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6ca5b6de4f14a2688ba7f6f7decd474"/>
        <w:lock w:val="sdtLocked"/>
        <w:richText/>
      </w:sdtPr>
      <w:sdtContent>
        <w:p>
          <w:pPr>
            <w:jc w:val="both"/>
            <w:rPr>
              <w:rFonts w:ascii="Times New Roman" w:hAnsi="Times New Roman"/>
            </w:rPr>
          </w:pPr>
          <w:r>
            <w:rPr>
              <w:rFonts w:ascii="Times New Roman" w:hAnsi="Times New Roman"/>
              <w:b/>
              <w:i/>
            </w:rPr>
            <w:t>Suvestinė redakcija nuo 2026-02-04 iki 2026-02-10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5pt;height:43.6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3e0b85091f246cf97f2e2efd30b8734"/>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3e0b85091f246cf97f2e2efd30b8734"/>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027bd9b5aef74d63ab4ec1d181d3390d"/>
            <w:lock w:val="sdtLocked"/>
            <w:richText/>
          </w:sdtPr>
          <w:sdtContent>
            <w:p>
              <w:pPr>
                <w:tabs>
                  <w:tab w:val="left" w:pos="1985"/>
                </w:tabs>
                <w:jc w:val="center"/>
                <w:rPr>
                  <w:b/>
                  <w:bCs/>
                  <w:sz w:val="22"/>
                  <w:szCs w:val="22"/>
                </w:rPr>
              </w:pPr>
              <w:sdt>
                <w:sdtPr>
                  <w:alias w:val="Numeris"/>
                  <w:tag w:val="nr_027bd9b5aef74d63ab4ec1d181d3390d"/>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027bd9b5aef74d63ab4ec1d181d3390d"/>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2e0fb22f7b1745e1996f25be08f32cef"/>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2e0fb22f7b1745e1996f25be08f32cef"/>
                  <w:lock w:val="sdtLocked"/>
                  <w:richText/>
                </w:sdtPr>
                <w:sdtContent>
                  <w:r>
                    <w:rPr>
                      <w:b/>
                      <w:bCs/>
                    </w:rPr>
                    <w:t>III</w:t>
                  </w:r>
                </w:sdtContent>
              </w:sdt>
              <w:r>
                <w:rPr>
                  <w:b/>
                  <w:bCs/>
                </w:rPr>
                <w:t xml:space="preserve"> SKYRIUS</w:t>
              </w:r>
            </w:p>
            <w:p>
              <w:pPr>
                <w:jc w:val="center"/>
                <w:rPr>
                  <w:b/>
                  <w:bCs/>
                </w:rPr>
              </w:pPr>
              <w:sdt>
                <w:sdtPr>
                  <w:alias w:val="Pavadinimas"/>
                  <w:tag w:val="title_2e0fb22f7b1745e1996f25be08f32cef"/>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9"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320 199,779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53"/>
                      <w:rPr>
                        <w:sz w:val="20"/>
                      </w:rPr>
                    </w:pPr>
                    <w:r>
                      <w:rPr>
                        <w:sz w:val="20"/>
                      </w:rPr>
                      <w:t>45 252,182</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firstLine="106"/>
                      <w:rPr>
                        <w:sz w:val="20"/>
                      </w:rPr>
                    </w:pPr>
                    <w:r>
                      <w:rPr>
                        <w:sz w:val="20"/>
                      </w:rPr>
                      <w:t>7 985,679</w:t>
                    </w:r>
                  </w:p>
                  <w:p>
                    <w:pPr>
                      <w:ind w:left="-57" w:right="-57"/>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38 717,928</w:t>
                    </w:r>
                  </w:p>
                  <w:p>
                    <w:pPr>
                      <w:rPr>
                        <w:sz w:val="20"/>
                      </w:rPr>
                    </w:pP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rPr>
                    </w:pPr>
                    <w:r>
                      <w:rPr>
                        <w:sz w:val="20"/>
                      </w:rPr>
                      <w:t>6 832,575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975"/>
                </w:trPr>
                <w:tc>
                  <w:tcPr>
                    <w:tcW w:w="2130"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rPr>
                        <w:color w:val="000000"/>
                        <w:sz w:val="20"/>
                      </w:rPr>
                    </w:pPr>
                    <w:r>
                      <w:rPr>
                        <w:color w:val="000000"/>
                        <w:sz w:val="20"/>
                      </w:rPr>
                      <w:t>1 616,463</w:t>
                    </w:r>
                  </w:p>
                </w:tc>
                <w:tc>
                  <w:tcPr>
                    <w:tcW w:w="1118" w:type="dxa"/>
                    <w:tcMar>
                      <w:left w:w="105" w:type="dxa"/>
                      <w:right w:w="105" w:type="dxa"/>
                    </w:tcMar>
                  </w:tcPr>
                  <w:p>
                    <w:pPr>
                      <w:rPr>
                        <w:color w:val="000000"/>
                        <w:sz w:val="20"/>
                      </w:rPr>
                    </w:pPr>
                    <w:r>
                      <w:rPr>
                        <w:color w:val="000000"/>
                        <w:sz w:val="20"/>
                      </w:rPr>
                      <w:t xml:space="preserve">2021–2027 m. IP (ESF+) </w:t>
                    </w:r>
                  </w:p>
                </w:tc>
                <w:tc>
                  <w:tcPr>
                    <w:tcW w:w="2001" w:type="dxa"/>
                    <w:gridSpan w:val="2"/>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134"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rPr>
                        <w:color w:val="000000"/>
                        <w:sz w:val="20"/>
                      </w:rPr>
                    </w:pPr>
                    <w:r>
                      <w:rPr>
                        <w:color w:val="000000"/>
                        <w:sz w:val="20"/>
                      </w:rPr>
                      <w:t>285,259</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134"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Pr>
                  <w:p>
                    <w:pPr/>
                    <w:r>
                      <w:rPr>
                        <w:sz w:val="20"/>
                      </w:rPr>
                      <w:t>2.10. Medicinos darbuotojų (specializuotos sveikatos priežiūros) paruošimas operatyviai ir koordinuotai teikti asmens sveikatos priežiūros paslaugas sužalotiems kariams ir civiliams</w:t>
                    </w:r>
                  </w:p>
                </w:tc>
                <w:tc>
                  <w:tcPr>
                    <w:tcW w:w="699" w:type="dxa"/>
                    <w:vMerge w:val="restart"/>
                  </w:tcPr>
                  <w:p>
                    <w:pPr/>
                    <w:r>
                      <w:rPr>
                        <w:sz w:val="20"/>
                      </w:rPr>
                      <w:t>I</w:t>
                    </w:r>
                  </w:p>
                </w:tc>
                <w:tc>
                  <w:tcPr>
                    <w:tcW w:w="1985" w:type="dxa"/>
                    <w:vMerge w:val="restart"/>
                  </w:tcPr>
                  <w:p>
                    <w:pPr/>
                    <w:r>
                      <w:rPr>
                        <w:sz w:val="20"/>
                      </w:rPr>
                      <w:t>ESSC, VU ir LSMU</w:t>
                    </w:r>
                  </w:p>
                </w:tc>
                <w:tc>
                  <w:tcPr>
                    <w:tcW w:w="829" w:type="dxa"/>
                    <w:gridSpan w:val="3"/>
                    <w:vMerge w:val="restart"/>
                  </w:tcPr>
                  <w:p>
                    <w:pPr/>
                    <w:r>
                      <w:rPr>
                        <w:sz w:val="20"/>
                      </w:rPr>
                      <w:t>P</w:t>
                    </w:r>
                  </w:p>
                </w:tc>
                <w:tc>
                  <w:tcPr>
                    <w:tcW w:w="1014" w:type="dxa"/>
                    <w:gridSpan w:val="3"/>
                    <w:vMerge w:val="restart"/>
                  </w:tcPr>
                  <w:p>
                    <w:pPr/>
                    <w:r>
                      <w:rPr>
                        <w:sz w:val="20"/>
                      </w:rPr>
                      <w:t>Taip</w:t>
                    </w:r>
                  </w:p>
                </w:tc>
                <w:tc>
                  <w:tcPr>
                    <w:tcW w:w="681" w:type="dxa"/>
                    <w:gridSpan w:val="3"/>
                    <w:vMerge w:val="restart"/>
                  </w:tcPr>
                  <w:p>
                    <w:pPr/>
                    <w:r>
                      <w:rPr>
                        <w:sz w:val="20"/>
                      </w:rPr>
                      <w:t>D</w:t>
                    </w:r>
                  </w:p>
                </w:tc>
                <w:tc>
                  <w:tcPr>
                    <w:tcW w:w="1167" w:type="dxa"/>
                    <w:gridSpan w:val="2"/>
                    <w:tcMar>
                      <w:left w:w="105" w:type="dxa"/>
                      <w:right w:w="105" w:type="dxa"/>
                    </w:tcMar>
                  </w:tcPr>
                  <w:p>
                    <w:pPr>
                      <w:jc w:val="center"/>
                      <w:rPr>
                        <w:color w:val="000000"/>
                        <w:sz w:val="20"/>
                      </w:rPr>
                    </w:pPr>
                    <w:r>
                      <w:rPr>
                        <w:sz w:val="20"/>
                      </w:rPr>
                      <w:t>6 723,896</w:t>
                    </w:r>
                  </w:p>
                </w:tc>
                <w:tc>
                  <w:tcPr>
                    <w:tcW w:w="1118" w:type="dxa"/>
                    <w:tcMar>
                      <w:left w:w="105" w:type="dxa"/>
                      <w:right w:w="105" w:type="dxa"/>
                    </w:tcMar>
                  </w:tcPr>
                  <w:p>
                    <w:pPr>
                      <w:rPr>
                        <w:color w:val="000000"/>
                        <w:sz w:val="20"/>
                      </w:rPr>
                    </w:pPr>
                    <w:r>
                      <w:rPr>
                        <w:sz w:val="20"/>
                      </w:rPr>
                      <w:t xml:space="preserve">2021–2027 m. IP (ESF+) </w:t>
                    </w:r>
                  </w:p>
                </w:tc>
                <w:tc>
                  <w:tcPr>
                    <w:tcW w:w="2001" w:type="dxa"/>
                    <w:gridSpan w:val="2"/>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134"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pPr/>
                    <w:r>
                      <w:rPr>
                        <w:sz w:val="20"/>
                      </w:rPr>
                      <w:t>CPVA</w:t>
                    </w:r>
                  </w:p>
                </w:tc>
                <w:tc>
                  <w:tcPr>
                    <w:tcW w:w="1279" w:type="dxa"/>
                  </w:tcPr>
                  <w:p>
                    <w:pPr/>
                    <w:r>
                      <w:rPr>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sz w:val="20"/>
                      </w:rPr>
                      <w:t>1 186,570</w:t>
                    </w:r>
                  </w:p>
                </w:tc>
                <w:tc>
                  <w:tcPr>
                    <w:tcW w:w="1118" w:type="dxa"/>
                    <w:tcMar>
                      <w:left w:w="105" w:type="dxa"/>
                      <w:right w:w="105" w:type="dxa"/>
                    </w:tcMar>
                  </w:tcPr>
                  <w:p>
                    <w:pPr>
                      <w:rPr>
                        <w:color w:val="000000"/>
                        <w:sz w:val="20"/>
                      </w:rPr>
                    </w:pPr>
                    <w:r>
                      <w:rPr>
                        <w:sz w:val="20"/>
                      </w:rPr>
                      <w:t>2021–2027 m. IP (BF)</w:t>
                    </w:r>
                  </w:p>
                </w:tc>
                <w:tc>
                  <w:tcPr>
                    <w:tcW w:w="2001" w:type="dxa"/>
                    <w:gridSpan w:val="2"/>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134"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pPr/>
                  </w:p>
                </w:tc>
                <w:tc>
                  <w:tcPr>
                    <w:tcW w:w="1279" w:type="dxa"/>
                    <w:vAlign w:val="center"/>
                  </w:tcPr>
                  <w:p>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shd w:val="clear" w:color="auto" w:fill="auto"/>
                  </w:tcPr>
                  <w:p>
                    <w:pPr>
                      <w:ind w:left="-57" w:right="-57"/>
                      <w:rPr>
                        <w:sz w:val="20"/>
                      </w:rPr>
                    </w:pPr>
                  </w:p>
                </w:tc>
                <w:tc>
                  <w:tcPr>
                    <w:tcW w:w="1134"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30" w:type="dxa"/>
                    <w:gridSpan w:val="2"/>
                    <w:vMerge/>
                    <w:shd w:val="clear" w:color="auto" w:fill="auto"/>
                  </w:tcPr>
                  <w:p>
                    <w:pPr>
                      <w:rPr>
                        <w:iCs/>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134"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9"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134"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P – Modernizuotų asmens sveikatos priežiūros įstaigų skaičius</w:t>
                    </w:r>
                  </w:p>
                </w:tc>
                <w:tc>
                  <w:tcPr>
                    <w:tcW w:w="1134"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159 958,803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R –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R –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75 115,004</w:t>
                    </w:r>
                  </w:p>
                  <w:p>
                    <w:pPr>
                      <w:jc w:val="center"/>
                      <w:rPr>
                        <w:sz w:val="20"/>
                      </w:rPr>
                    </w:pP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R –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lang w:val="en-US"/>
                      </w:rPr>
                    </w:pPr>
                    <w:r>
                      <w:rPr>
                        <w:sz w:val="20"/>
                        <w:lang w:val="en-US"/>
                      </w:rPr>
                      <w:t>18 802,691</w:t>
                    </w:r>
                  </w:p>
                  <w:p>
                    <w:pPr>
                      <w:jc w:val="center"/>
                      <w:rPr>
                        <w:sz w:val="20"/>
                      </w:rPr>
                    </w:pP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R –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R – Aktyviojo gydymo lovų užimtumas, proc.</w:t>
                    </w:r>
                  </w:p>
                </w:tc>
                <w:tc>
                  <w:tcPr>
                    <w:tcW w:w="1134" w:type="dxa"/>
                    <w:gridSpan w:val="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trike/>
                        <w:sz w:val="20"/>
                      </w:rPr>
                    </w:pPr>
                    <w:r>
                      <w:rPr>
                        <w:sz w:val="20"/>
                      </w:rPr>
                      <w:t>27 218,273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4 803,224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shd w:val="clear" w:color="auto" w:fill="auto"/>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shd w:val="clear" w:color="auto" w:fill="auto"/>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shd w:val="clear" w:color="auto" w:fill="auto"/>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shd w:val="clear" w:color="auto" w:fill="auto"/>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15 230,950</w:t>
                    </w:r>
                  </w:p>
                  <w:p>
                    <w:pPr>
                      <w:ind w:firstLine="62"/>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2 687,815</w:t>
                    </w:r>
                  </w:p>
                  <w:p>
                    <w:pPr>
                      <w:ind w:firstLine="62"/>
                    </w:pP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699" w:type="dxa"/>
                    <w:shd w:val="clear" w:color="auto" w:fill="auto"/>
                  </w:tcPr>
                  <w:p>
                    <w:pPr>
                      <w:rPr>
                        <w:sz w:val="20"/>
                      </w:rPr>
                    </w:pPr>
                    <w:r>
                      <w:rPr>
                        <w:sz w:val="20"/>
                      </w:rPr>
                      <w:t>R</w:t>
                    </w:r>
                  </w:p>
                </w:tc>
                <w:tc>
                  <w:tcPr>
                    <w:tcW w:w="1985" w:type="dxa"/>
                    <w:shd w:val="clear" w:color="auto" w:fill="auto"/>
                  </w:tcPr>
                  <w:p>
                    <w:pPr>
                      <w:rPr>
                        <w:sz w:val="20"/>
                      </w:rPr>
                    </w:pPr>
                    <w:r>
                      <w:rPr>
                        <w:sz w:val="20"/>
                      </w:rPr>
                      <w:t>-</w:t>
                    </w:r>
                  </w:p>
                </w:tc>
                <w:tc>
                  <w:tcPr>
                    <w:tcW w:w="829" w:type="dxa"/>
                    <w:gridSpan w:val="3"/>
                    <w:shd w:val="clear" w:color="auto" w:fill="auto"/>
                  </w:tcPr>
                  <w:p>
                    <w:pPr>
                      <w:rPr>
                        <w:sz w:val="20"/>
                      </w:rPr>
                    </w:pPr>
                    <w:r>
                      <w:rPr>
                        <w:sz w:val="20"/>
                      </w:rPr>
                      <w:t>-</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167" w:type="dxa"/>
                    <w:gridSpan w:val="2"/>
                    <w:shd w:val="clear" w:color="auto" w:fill="auto"/>
                  </w:tcPr>
                  <w:p>
                    <w:pPr>
                      <w:rPr>
                        <w:sz w:val="20"/>
                        <w:lang w:val="en-US"/>
                      </w:rPr>
                    </w:pPr>
                    <w:r>
                      <w:rPr>
                        <w:sz w:val="20"/>
                        <w:lang w:val="en-US"/>
                      </w:rPr>
                      <w:t>-</w:t>
                    </w:r>
                  </w:p>
                </w:tc>
                <w:tc>
                  <w:tcPr>
                    <w:tcW w:w="1118" w:type="dxa"/>
                    <w:shd w:val="clear" w:color="auto" w:fill="auto"/>
                  </w:tcPr>
                  <w:p>
                    <w:pPr>
                      <w:rPr>
                        <w:sz w:val="20"/>
                      </w:rPr>
                    </w:pPr>
                    <w:r>
                      <w:rPr>
                        <w:sz w:val="20"/>
                      </w:rPr>
                      <w:t>-</w:t>
                    </w:r>
                  </w:p>
                </w:tc>
                <w:tc>
                  <w:tcPr>
                    <w:tcW w:w="2001" w:type="dxa"/>
                    <w:gridSpan w:val="2"/>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11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shd w:val="clear" w:color="auto" w:fill="auto"/>
                  </w:tcPr>
                  <w:p>
                    <w:pPr>
                      <w:rPr>
                        <w:sz w:val="20"/>
                      </w:rPr>
                    </w:pPr>
                    <w:r>
                      <w:rPr>
                        <w:sz w:val="20"/>
                      </w:rPr>
                      <w:t>11.3. Sveikatos priežiūros specialistų kvalifikacijos tobulinimas</w:t>
                    </w:r>
                  </w:p>
                </w:tc>
                <w:tc>
                  <w:tcPr>
                    <w:tcW w:w="699" w:type="dxa"/>
                    <w:shd w:val="clear" w:color="auto" w:fill="auto"/>
                  </w:tcPr>
                  <w:p>
                    <w:pPr>
                      <w:rPr>
                        <w:sz w:val="20"/>
                      </w:rPr>
                    </w:pPr>
                    <w:r>
                      <w:rPr>
                        <w:sz w:val="20"/>
                      </w:rPr>
                      <w:t>I</w:t>
                    </w:r>
                  </w:p>
                </w:tc>
                <w:tc>
                  <w:tcPr>
                    <w:tcW w:w="1985" w:type="dxa"/>
                    <w:shd w:val="clear" w:color="auto" w:fill="auto"/>
                  </w:tcPr>
                  <w:p>
                    <w:pPr>
                      <w:rPr>
                        <w:sz w:val="20"/>
                      </w:rPr>
                    </w:pPr>
                    <w:r>
                      <w:rPr>
                        <w:sz w:val="20"/>
                      </w:rPr>
                      <w:t>SAM</w:t>
                    </w:r>
                  </w:p>
                </w:tc>
                <w:tc>
                  <w:tcPr>
                    <w:tcW w:w="829" w:type="dxa"/>
                    <w:gridSpan w:val="3"/>
                    <w:shd w:val="clear" w:color="auto" w:fill="auto"/>
                  </w:tcPr>
                  <w:p>
                    <w:pPr>
                      <w:rPr>
                        <w:sz w:val="20"/>
                      </w:rPr>
                    </w:pPr>
                    <w:r>
                      <w:rPr>
                        <w:sz w:val="20"/>
                      </w:rPr>
                      <w:t>P</w:t>
                    </w:r>
                  </w:p>
                </w:tc>
                <w:tc>
                  <w:tcPr>
                    <w:tcW w:w="1014" w:type="dxa"/>
                    <w:gridSpan w:val="3"/>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5 000</w:t>
                    </w:r>
                  </w:p>
                  <w:p>
                    <w:pPr>
                      <w:rPr>
                        <w:sz w:val="20"/>
                        <w:lang w:val="en-US"/>
                      </w:rPr>
                    </w:pPr>
                  </w:p>
                </w:tc>
                <w:tc>
                  <w:tcPr>
                    <w:tcW w:w="1118" w:type="dxa"/>
                    <w:shd w:val="clear" w:color="auto" w:fill="auto"/>
                  </w:tcPr>
                  <w:p>
                    <w:pPr>
                      <w:ind w:left="-57" w:right="-57"/>
                      <w:rPr>
                        <w:sz w:val="20"/>
                      </w:rPr>
                    </w:pPr>
                    <w:r>
                      <w:rPr>
                        <w:sz w:val="20"/>
                      </w:rPr>
                      <w:t>VB</w:t>
                    </w:r>
                  </w:p>
                </w:tc>
                <w:tc>
                  <w:tcPr>
                    <w:tcW w:w="2001" w:type="dxa"/>
                    <w:gridSpan w:val="2"/>
                    <w:shd w:val="clear" w:color="auto" w:fill="auto"/>
                  </w:tcPr>
                  <w:p>
                    <w:pPr>
                      <w:ind w:left="-57" w:right="-57"/>
                      <w:rPr>
                        <w:sz w:val="20"/>
                      </w:rPr>
                    </w:pPr>
                    <w:r>
                      <w:rPr>
                        <w:sz w:val="20"/>
                      </w:rPr>
                      <w:t>P – Specialistai, dalyvavę kvalifikacijos tobulinimo veiklose, asmenys</w:t>
                    </w:r>
                  </w:p>
                </w:tc>
                <w:tc>
                  <w:tcPr>
                    <w:tcW w:w="1134"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9"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30" w:type="dxa"/>
                    <w:gridSpan w:val="2"/>
                    <w:vMerge w:val="restart"/>
                    <w:shd w:val="clear" w:color="auto" w:fill="auto"/>
                  </w:tcPr>
                  <w:p>
                    <w:pPr>
                      <w:rPr>
                        <w:sz w:val="20"/>
                      </w:rPr>
                    </w:pPr>
                    <w:r>
                      <w:rPr>
                        <w:sz w:val="20"/>
                      </w:rPr>
                      <w:t>11.4. Ilgalaikės priežiūros paslaugas teikiančių specialistų parengimas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SAM</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167" w:type="dxa"/>
                    <w:gridSpan w:val="2"/>
                    <w:shd w:val="clear" w:color="auto" w:fill="auto"/>
                  </w:tcPr>
                  <w:p>
                    <w:pPr>
                      <w:rPr>
                        <w:sz w:val="20"/>
                        <w:lang w:val="en-US"/>
                      </w:rPr>
                    </w:pPr>
                    <w:r>
                      <w:rPr>
                        <w:sz w:val="20"/>
                        <w:lang w:val="en-US"/>
                      </w:rPr>
                      <w:t>2 100</w:t>
                    </w:r>
                  </w:p>
                  <w:p>
                    <w:pPr>
                      <w:rPr>
                        <w:sz w:val="20"/>
                        <w:lang w:val="en-US"/>
                      </w:rPr>
                    </w:pPr>
                  </w:p>
                </w:tc>
                <w:tc>
                  <w:tcPr>
                    <w:tcW w:w="1118" w:type="dxa"/>
                    <w:shd w:val="clear" w:color="auto" w:fill="auto"/>
                  </w:tcPr>
                  <w:p>
                    <w:pPr>
                      <w:ind w:left="-57" w:right="-57"/>
                      <w:rPr>
                        <w:sz w:val="20"/>
                      </w:rPr>
                    </w:pPr>
                    <w:r>
                      <w:rPr>
                        <w:sz w:val="20"/>
                      </w:rPr>
                      <w:t>EGADP</w:t>
                    </w:r>
                  </w:p>
                  <w:p>
                    <w:pPr>
                      <w:ind w:left="-57" w:right="-57"/>
                      <w:rPr>
                        <w:sz w:val="20"/>
                      </w:rPr>
                    </w:pPr>
                  </w:p>
                </w:tc>
                <w:tc>
                  <w:tcPr>
                    <w:tcW w:w="2001" w:type="dxa"/>
                    <w:gridSpan w:val="2"/>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9"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shd w:val="clear" w:color="auto" w:fill="auto"/>
                  </w:tcPr>
                  <w:p>
                    <w:pPr>
                      <w:rPr>
                        <w:sz w:val="20"/>
                        <w:lang w:val="en-US"/>
                      </w:rPr>
                    </w:pPr>
                    <w:r>
                      <w:rPr>
                        <w:sz w:val="20"/>
                        <w:lang w:val="en-US"/>
                      </w:rPr>
                      <w:t>440</w:t>
                    </w:r>
                  </w:p>
                </w:tc>
                <w:tc>
                  <w:tcPr>
                    <w:tcW w:w="1118" w:type="dxa"/>
                    <w:shd w:val="clear" w:color="auto" w:fill="auto"/>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shd w:val="clear" w:color="auto" w:fill="auto"/>
                  </w:tcPr>
                  <w:p>
                    <w:pPr>
                      <w:rPr>
                        <w:sz w:val="20"/>
                      </w:rPr>
                    </w:pPr>
                    <w:r>
                      <w:rPr>
                        <w:b/>
                        <w:bCs/>
                        <w:sz w:val="20"/>
                      </w:rPr>
                      <w:t>13. Programos „Motinos ir vaiko sveikata bei gerovė“ įgyvendinimas</w:t>
                    </w:r>
                  </w:p>
                </w:tc>
                <w:tc>
                  <w:tcPr>
                    <w:tcW w:w="699" w:type="dxa"/>
                    <w:vMerge w:val="restart"/>
                    <w:shd w:val="clear" w:color="auto" w:fill="auto"/>
                  </w:tcPr>
                  <w:p>
                    <w:pPr>
                      <w:rPr>
                        <w:sz w:val="20"/>
                      </w:rPr>
                    </w:pPr>
                    <w:r>
                      <w:rPr>
                        <w:sz w:val="20"/>
                      </w:rPr>
                      <w:t>I</w:t>
                    </w:r>
                  </w:p>
                </w:tc>
                <w:tc>
                  <w:tcPr>
                    <w:tcW w:w="1985" w:type="dxa"/>
                    <w:vMerge w:val="restart"/>
                    <w:shd w:val="clear" w:color="auto" w:fill="auto"/>
                  </w:tcPr>
                  <w:p>
                    <w:pPr>
                      <w:rPr>
                        <w:sz w:val="20"/>
                      </w:rPr>
                    </w:pPr>
                    <w:r>
                      <w:rPr>
                        <w:sz w:val="20"/>
                      </w:rPr>
                      <w:t>Lietuvos sveikatos mokslų universiteto ligoninė Kauno klinikos</w:t>
                    </w:r>
                  </w:p>
                </w:tc>
                <w:tc>
                  <w:tcPr>
                    <w:tcW w:w="829" w:type="dxa"/>
                    <w:gridSpan w:val="3"/>
                    <w:vMerge w:val="restart"/>
                    <w:shd w:val="clear" w:color="auto" w:fill="auto"/>
                  </w:tcPr>
                  <w:p>
                    <w:pPr>
                      <w:rPr>
                        <w:sz w:val="20"/>
                      </w:rPr>
                    </w:pPr>
                    <w:r>
                      <w:rPr>
                        <w:sz w:val="20"/>
                      </w:rPr>
                      <w:t>P</w:t>
                    </w:r>
                  </w:p>
                </w:tc>
                <w:tc>
                  <w:tcPr>
                    <w:tcW w:w="1014" w:type="dxa"/>
                    <w:gridSpan w:val="3"/>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167" w:type="dxa"/>
                    <w:gridSpan w:val="2"/>
                    <w:tcBorders>
                      <w:bottom w:val="single" w:sz="4" w:space="0" w:color="auto"/>
                    </w:tcBorders>
                    <w:shd w:val="clear" w:color="auto" w:fill="auto"/>
                  </w:tcPr>
                  <w:p>
                    <w:pPr>
                      <w:rPr>
                        <w:b/>
                        <w:bCs/>
                        <w:sz w:val="20"/>
                      </w:rPr>
                    </w:pPr>
                    <w:r>
                      <w:rPr>
                        <w:b/>
                        <w:bCs/>
                        <w:sz w:val="20"/>
                      </w:rPr>
                      <w:t>34 219,646</w:t>
                    </w:r>
                  </w:p>
                </w:tc>
                <w:tc>
                  <w:tcPr>
                    <w:tcW w:w="1118" w:type="dxa"/>
                    <w:tcBorders>
                      <w:bottom w:val="single" w:sz="4" w:space="0" w:color="auto"/>
                    </w:tcBorders>
                    <w:shd w:val="clear" w:color="auto" w:fill="auto"/>
                  </w:tcPr>
                  <w:p>
                    <w:pPr>
                      <w:rPr>
                        <w:sz w:val="20"/>
                      </w:rPr>
                    </w:pPr>
                    <w:r>
                      <w:rPr>
                        <w:sz w:val="20"/>
                      </w:rPr>
                      <w:t>-</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shd w:val="clear" w:color="auto" w:fill="auto"/>
                  </w:tcPr>
                  <w:p>
                    <w:pPr>
                      <w:rPr>
                        <w:sz w:val="20"/>
                      </w:rPr>
                    </w:pPr>
                    <w:r>
                      <w:rPr>
                        <w:sz w:val="20"/>
                      </w:rPr>
                      <w:t>29 086,699</w:t>
                    </w:r>
                  </w:p>
                </w:tc>
                <w:tc>
                  <w:tcPr>
                    <w:tcW w:w="1118" w:type="dxa"/>
                    <w:shd w:val="clear" w:color="auto" w:fill="auto"/>
                  </w:tcPr>
                  <w:p>
                    <w:pPr>
                      <w:rPr>
                        <w:sz w:val="20"/>
                      </w:rPr>
                    </w:pPr>
                    <w:r>
                      <w:rPr>
                        <w:sz w:val="20"/>
                      </w:rPr>
                      <w:t>AŠĮFP</w:t>
                    </w: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val="restart"/>
                    <w:shd w:val="clear" w:color="auto" w:fill="auto"/>
                  </w:tcPr>
                  <w:p>
                    <w:pPr>
                      <w:rPr>
                        <w:sz w:val="20"/>
                      </w:rPr>
                    </w:pPr>
                    <w:r>
                      <w:rPr>
                        <w:sz w:val="20"/>
                      </w:rPr>
                      <w:t>5 132,947</w:t>
                    </w:r>
                  </w:p>
                </w:tc>
                <w:tc>
                  <w:tcPr>
                    <w:tcW w:w="1118" w:type="dxa"/>
                    <w:vMerge w:val="restart"/>
                    <w:shd w:val="clear" w:color="auto" w:fill="auto"/>
                  </w:tcPr>
                  <w:p>
                    <w:pPr>
                      <w:rPr>
                        <w:sz w:val="20"/>
                      </w:rPr>
                    </w:pPr>
                    <w:r>
                      <w:rPr>
                        <w:sz w:val="20"/>
                      </w:rPr>
                      <w:t>AŠĮFP</w:t>
                    </w:r>
                  </w:p>
                  <w:p>
                    <w:pPr>
                      <w:rPr>
                        <w:sz w:val="20"/>
                      </w:rPr>
                    </w:pPr>
                    <w:r>
                      <w:rPr>
                        <w:sz w:val="20"/>
                      </w:rPr>
                      <w:t>(BF)</w:t>
                    </w:r>
                  </w:p>
                </w:tc>
                <w:tc>
                  <w:tcPr>
                    <w:tcW w:w="2001" w:type="dxa"/>
                    <w:gridSpan w:val="2"/>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Sukurti paslaugų teikimo metodikos ir organizacinių procesų aprašai, vnt.</w:t>
                    </w:r>
                  </w:p>
                </w:tc>
                <w:tc>
                  <w:tcPr>
                    <w:tcW w:w="1134"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shd w:val="clear" w:color="auto" w:fill="auto"/>
                  </w:tcPr>
                  <w:p>
                    <w:pPr>
                      <w:rPr>
                        <w:sz w:val="20"/>
                      </w:rPr>
                    </w:pPr>
                  </w:p>
                </w:tc>
                <w:tc>
                  <w:tcPr>
                    <w:tcW w:w="699" w:type="dxa"/>
                    <w:vMerge/>
                    <w:shd w:val="clear" w:color="auto" w:fill="auto"/>
                  </w:tcPr>
                  <w:p>
                    <w:pPr>
                      <w:rPr>
                        <w:sz w:val="20"/>
                      </w:rPr>
                    </w:pPr>
                  </w:p>
                </w:tc>
                <w:tc>
                  <w:tcPr>
                    <w:tcW w:w="1985" w:type="dxa"/>
                    <w:vMerge/>
                    <w:shd w:val="clear" w:color="auto" w:fill="auto"/>
                  </w:tcPr>
                  <w:p>
                    <w:pPr>
                      <w:rPr>
                        <w:sz w:val="20"/>
                      </w:rPr>
                    </w:pPr>
                  </w:p>
                </w:tc>
                <w:tc>
                  <w:tcPr>
                    <w:tcW w:w="829" w:type="dxa"/>
                    <w:gridSpan w:val="3"/>
                    <w:vMerge/>
                    <w:shd w:val="clear" w:color="auto" w:fill="auto"/>
                  </w:tcPr>
                  <w:p>
                    <w:pPr>
                      <w:rPr>
                        <w:sz w:val="20"/>
                      </w:rPr>
                    </w:pPr>
                  </w:p>
                </w:tc>
                <w:tc>
                  <w:tcPr>
                    <w:tcW w:w="1014" w:type="dxa"/>
                    <w:gridSpan w:val="3"/>
                    <w:vMerge/>
                    <w:shd w:val="clear" w:color="auto" w:fill="auto"/>
                  </w:tcPr>
                  <w:p>
                    <w:pPr>
                      <w:rPr>
                        <w:sz w:val="20"/>
                      </w:rPr>
                    </w:pPr>
                  </w:p>
                </w:tc>
                <w:tc>
                  <w:tcPr>
                    <w:tcW w:w="681" w:type="dxa"/>
                    <w:gridSpan w:val="3"/>
                    <w:vMerge/>
                    <w:shd w:val="clear" w:color="auto" w:fill="auto"/>
                  </w:tcPr>
                  <w:p>
                    <w:pPr>
                      <w:jc w:val="center"/>
                      <w:rPr>
                        <w:sz w:val="20"/>
                      </w:rPr>
                    </w:pPr>
                  </w:p>
                </w:tc>
                <w:tc>
                  <w:tcPr>
                    <w:tcW w:w="1167" w:type="dxa"/>
                    <w:gridSpan w:val="2"/>
                    <w:vMerge/>
                    <w:shd w:val="clear" w:color="auto" w:fill="auto"/>
                  </w:tcPr>
                  <w:p>
                    <w:pPr>
                      <w:rPr>
                        <w:sz w:val="20"/>
                      </w:rPr>
                    </w:pPr>
                  </w:p>
                </w:tc>
                <w:tc>
                  <w:tcPr>
                    <w:tcW w:w="1118" w:type="dxa"/>
                    <w:vMerge/>
                    <w:shd w:val="clear" w:color="auto" w:fill="auto"/>
                  </w:tcPr>
                  <w:p>
                    <w:pPr>
                      <w:rPr>
                        <w:sz w:val="20"/>
                      </w:rPr>
                    </w:pPr>
                  </w:p>
                </w:tc>
                <w:tc>
                  <w:tcPr>
                    <w:tcW w:w="2001" w:type="dxa"/>
                    <w:gridSpan w:val="2"/>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92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2513"/>
    <o:shapelayout v:ext="edit">
      <o:idmap v:ext="edit" data="1"/>
    </o:shapelayout>
  </w:shapeDefaults>
  <w:decimalSymbol w:val=","/>
  <w:listSeparator w:val=";"/>
  <w14:docId w14:val="48AE1D14"/>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63.png"/>
  <Relationship Id="rId19" Type="http://schemas.openxmlformats.org/officeDocument/2006/relationships/oleObject" Target="embeddings/oleObject163.bin"/>
  <Relationship Id="rId2" Type="http://schemas.openxmlformats.org/officeDocument/2006/relationships/header" Target="header86.xml"/>
  <Relationship Id="rId20" Type="http://schemas.openxmlformats.org/officeDocument/2006/relationships/header" Target="header124.xml"/>
  <Relationship Id="rId21" Type="http://schemas.openxmlformats.org/officeDocument/2006/relationships/header" Target="header125.xml"/>
  <Relationship Id="rId22" Type="http://schemas.openxmlformats.org/officeDocument/2006/relationships/footer" Target="footer124.xml"/>
  <Relationship Id="rId23" Type="http://schemas.openxmlformats.org/officeDocument/2006/relationships/footer" Target="footer125.xml"/>
  <Relationship Id="rId24" Type="http://schemas.openxmlformats.org/officeDocument/2006/relationships/header" Target="header126.xml"/>
  <Relationship Id="rId25" Type="http://schemas.openxmlformats.org/officeDocument/2006/relationships/footer" Target="footer126.xml"/>
  <Relationship Id="rId26" Type="http://schemas.openxmlformats.org/officeDocument/2006/relationships/header" Target="header211.xml"/>
  <Relationship Id="rId27" Type="http://schemas.openxmlformats.org/officeDocument/2006/relationships/header" Target="header212.xml"/>
  <Relationship Id="rId28" Type="http://schemas.openxmlformats.org/officeDocument/2006/relationships/footer" Target="footer211.xml"/>
  <Relationship Id="rId29" Type="http://schemas.openxmlformats.org/officeDocument/2006/relationships/footer" Target="footer212.xml"/>
  <Relationship Id="rId3" Type="http://schemas.openxmlformats.org/officeDocument/2006/relationships/footer" Target="footer85.xml"/>
  <Relationship Id="rId30" Type="http://schemas.openxmlformats.org/officeDocument/2006/relationships/header" Target="header213.xml"/>
  <Relationship Id="rId31" Type="http://schemas.openxmlformats.org/officeDocument/2006/relationships/footer" Target="footer213.xml"/>
  <Relationship Id="rId32" Type="http://schemas.openxmlformats.org/officeDocument/2006/relationships/customXml" Target="../customXml/item4.xml"/>
  <Relationship Id="rId4" Type="http://schemas.openxmlformats.org/officeDocument/2006/relationships/footer" Target="footer86.xml"/>
  <Relationship Id="rId5" Type="http://schemas.openxmlformats.org/officeDocument/2006/relationships/header" Target="header87.xml"/>
  <Relationship Id="rId6" Type="http://schemas.openxmlformats.org/officeDocument/2006/relationships/footer" Target="footer8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b6ca5b6de4f14a2688ba7f6f7decd474">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3e0b85091f246cf97f2e2efd30b8734">
    <Part Type="skyrius" Nr="1" Title="PLĖTROS PROGRAMOS PAŽANGOS PRIEMONĖS SIEKIAMI REZULTATAI" DocPartId="b924309999714986a1f663aef95b7db6" PartId="027bd9b5aef74d63ab4ec1d181d3390d"/>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2e0fb22f7b1745e1996f25be08f32cef"/>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A730E00-68AA-4B11-94C1-515FBEBE37DF}">
  <ds:schemaRefs>
    <ds:schemaRef ds:uri="http://lrs.lt/TAIS/DocParts"/>
  </ds:schemaRefs>
</ds:datastoreItem>
</file>

<file path=customXml/itemProps6.xml><?xml version="1.0" encoding="utf-8"?>
<ds:datastoreItem xmlns:ds="http://schemas.openxmlformats.org/officeDocument/2006/customXml" ds:itemID="{C58E3A7F-DEB1-42D3-A124-C048D56170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197</TotalTime>
  <Pages>64</Pages>
  <Words>60103</Words>
  <Characters>34260</Characters>
  <Application>Microsoft Office Word</Application>
  <DocSecurity>0</DocSecurity>
  <Lines>285</Lines>
  <Paragraphs>188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94175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2026-02-04T06:52:00Z</dcterms:modified>
  <revision>103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