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b12ba4bf762421ca9d1678c99ecae84"/>
        <w:lock w:val="sdtLocked"/>
        <w:richText/>
      </w:sdtPr>
      <w:sdtContent>
        <w:p>
          <w:pPr>
            <w:jc w:val="both"/>
            <w:rPr>
              <w:rFonts w:ascii="Times New Roman" w:hAnsi="Times New Roman"/>
            </w:rPr>
          </w:pPr>
          <w:r>
            <w:rPr>
              <w:rFonts w:ascii="Times New Roman" w:hAnsi="Times New Roman"/>
              <w:b/>
              <w:i/>
            </w:rPr>
            <w:t>Suvestinė redakcija nuo 2026-06-09 iki 2026-06-23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2pt;height:43.55pt" o:ole="" fillcolor="window">
                <v:imagedata r:id="rId18" o:title=""/>
              </v:shape>
              <o:OLEObject Type="Embed" ProgID="Word.Picture.8" ShapeID="_x0000_i1025" DrawAspect="Content" ObjectID="_0000000001" r:id="rId19"/>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7e00c1bea6e04480a31e94ac6c847bc9"/>
        <w:lock w:val="sdtLocked"/>
        <w:richText/>
      </w:sdtPr>
      <w:sdtContent>
        <w:p>
          <w:pPr>
            <w:shd w:val="clear" w:color="000000" w:fill="auto"/>
            <w:ind w:left="6521"/>
            <w:sectPr>
              <w:headerReference w:type="even" r:id="rId20"/>
              <w:headerReference w:type="default" r:id="rId21"/>
              <w:footerReference w:type="even" r:id="rId22"/>
              <w:footerReference w:type="default" r:id="rId23"/>
              <w:headerReference w:type="first" r:id="rId24"/>
              <w:footerReference w:type="first" r:id="rId25"/>
              <w:pgSz w:w="11906" w:h="16838" w:code="9"/>
              <w:pgMar w:top="851" w:right="567" w:bottom="1134" w:left="992" w:header="567" w:footer="567" w:gutter="0"/>
              <w:pgNumType w:start="1"/>
              <w:cols w:space="1296"/>
              <w:titlePg/>
              <w:docGrid w:linePitch="360"/>
            </w:sectPr>
          </w:pPr>
        </w:p>
        <w:p>
          <w:pPr>
            <w:shd w:val="clear" w:color="000000" w:fill="auto"/>
            <w:ind w:left="6521"/>
            <w:rPr>
              <w:sz w:val="22"/>
              <w:szCs w:val="22"/>
            </w:rPr>
          </w:pPr>
          <w:r>
            <w:rPr>
              <w:sz w:val="22"/>
              <w:szCs w:val="22"/>
            </w:rPr>
            <w:t>PATVIRTINTA</w:t>
          </w:r>
        </w:p>
        <w:p>
          <w:pPr>
            <w:shd w:val="clear" w:color="000000" w:fill="auto"/>
            <w:ind w:left="6521"/>
            <w:rPr>
              <w:sz w:val="22"/>
              <w:szCs w:val="22"/>
            </w:rPr>
          </w:pPr>
          <w:r>
            <w:rPr>
              <w:sz w:val="22"/>
              <w:szCs w:val="22"/>
            </w:rPr>
            <w:t>Lietuvos Respublikos sveikatos apsaugos ministro 2022 m. gegužės 20 d. įsakymu</w:t>
          </w:r>
        </w:p>
        <w:p>
          <w:pPr>
            <w:shd w:val="clear" w:color="000000" w:fill="auto"/>
            <w:ind w:left="6521"/>
            <w:rPr>
              <w:sz w:val="22"/>
              <w:szCs w:val="22"/>
            </w:rPr>
          </w:pPr>
          <w:r>
            <w:rPr>
              <w:sz w:val="22"/>
              <w:szCs w:val="22"/>
            </w:rPr>
            <w:t>Nr. V-988</w:t>
          </w:r>
        </w:p>
        <w:p>
          <w:pPr>
            <w:shd w:val="clear" w:color="000000" w:fill="auto"/>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shd w:val="clear" w:color="000000" w:fill="auto"/>
            <w:jc w:val="center"/>
            <w:rPr>
              <w:b/>
              <w:szCs w:val="24"/>
            </w:rPr>
          </w:pPr>
        </w:p>
        <w:p>
          <w:pPr>
            <w:shd w:val="clear" w:color="000000" w:fill="auto"/>
            <w:jc w:val="center"/>
            <w:rPr>
              <w:b/>
              <w:sz w:val="22"/>
              <w:szCs w:val="22"/>
              <w:lang w:eastAsia="lt-LT"/>
            </w:rPr>
          </w:pPr>
          <w:sdt>
            <w:sdtPr>
              <w:alias w:val="Pavadinimas"/>
              <w:tag w:val="title_7e00c1bea6e04480a31e94ac6c847bc9"/>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shd w:val="clear" w:color="000000" w:fill="auto"/>
            <w:jc w:val="center"/>
            <w:rPr>
              <w:b/>
              <w:sz w:val="22"/>
              <w:szCs w:val="22"/>
              <w:lang w:eastAsia="lt-LT"/>
            </w:rPr>
          </w:pPr>
        </w:p>
        <w:sdt>
          <w:sdtPr>
            <w:alias w:val="skyrius"/>
            <w:tag w:val="part_ed03eb13e1d04245a53cad59932558e0"/>
            <w:lock w:val="sdtLocked"/>
            <w:richText/>
          </w:sdtPr>
          <w:sdtContent>
            <w:p>
              <w:pPr>
                <w:tabs>
                  <w:tab w:val="left" w:pos="1985"/>
                </w:tabs>
                <w:jc w:val="center"/>
                <w:rPr>
                  <w:b/>
                  <w:bCs/>
                  <w:sz w:val="22"/>
                  <w:szCs w:val="22"/>
                </w:rPr>
              </w:pPr>
              <w:sdt>
                <w:sdtPr>
                  <w:alias w:val="Numeris"/>
                  <w:tag w:val="nr_ed03eb13e1d04245a53cad59932558e0"/>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ed03eb13e1d04245a53cad59932558e0"/>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sz w:val="20"/>
                      </w:rPr>
                    </w:pPr>
                    <w:r>
                      <w:rPr>
                        <w:sz w:val="20"/>
                      </w:rPr>
                      <w:t>R-11-002-02-11-01-01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Išvengiamų hospitalizacijų skaičius </w:t>
                    </w:r>
                  </w:p>
                </w:tc>
                <w:tc>
                  <w:tcPr>
                    <w:tcW w:w="1078" w:type="dxa"/>
                    <w:shd w:val="clear" w:color="auto" w:fill="FFFFFF" w:themeFill="background1"/>
                  </w:tcPr>
                  <w:p>
                    <w:pPr>
                      <w:jc w:val="center"/>
                      <w:rPr>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sz w:val="20"/>
                      </w:rPr>
                    </w:pPr>
                    <w:r>
                      <w:rPr>
                        <w:sz w:val="20"/>
                      </w:rPr>
                      <w:t>(2019 m.)</w:t>
                    </w:r>
                  </w:p>
                </w:tc>
                <w:tc>
                  <w:tcPr>
                    <w:tcW w:w="945" w:type="dxa"/>
                    <w:shd w:val="clear" w:color="auto" w:fill="FFFFFF" w:themeFill="background1"/>
                  </w:tcPr>
                  <w:p>
                    <w:pPr>
                      <w:jc w:val="center"/>
                      <w:rPr>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szCs w:val="24"/>
                      </w:rPr>
                      <w:t>–</w:t>
                    </w:r>
                    <w:r>
                      <w:rPr>
                        <w:bCs/>
                        <w:sz w:val="20"/>
                      </w:rPr>
                      <w:t xml:space="preserve">2027 m. IP) </w:t>
                    </w:r>
                  </w:p>
                  <w:p>
                    <w:pPr>
                      <w:jc w:val="center"/>
                      <w:rPr>
                        <w:sz w:val="20"/>
                      </w:rPr>
                    </w:pPr>
                    <w:r>
                      <w:rPr>
                        <w:bCs/>
                        <w:sz w:val="20"/>
                      </w:rPr>
                      <w:t xml:space="preserve">Europos regioninės plėtros fondas (toliau </w:t>
                    </w:r>
                    <w:r>
                      <w:rPr>
                        <w:szCs w:val="24"/>
                      </w:rPr>
                      <w:t>–</w:t>
                    </w:r>
                    <w:r>
                      <w:rPr>
                        <w:bCs/>
                        <w:sz w:val="20"/>
                      </w:rPr>
                      <w:t xml:space="preserve"> ERPF))  </w:t>
                    </w:r>
                  </w:p>
                </w:tc>
              </w:tr>
              <w:tr>
                <w:trPr>
                  <w:trHeight w:val="330"/>
                </w:trPr>
                <w:tc>
                  <w:tcPr>
                    <w:tcW w:w="1346" w:type="dxa"/>
                    <w:shd w:val="clear" w:color="auto" w:fill="FFFFFF" w:themeFill="background1"/>
                  </w:tcPr>
                  <w:p>
                    <w:pPr>
                      <w:rPr>
                        <w:sz w:val="20"/>
                      </w:rPr>
                    </w:pPr>
                    <w:r>
                      <w:rPr>
                        <w:sz w:val="20"/>
                      </w:rPr>
                      <w:t>R-11-002-02-11-01-02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sz w:val="20"/>
                      </w:rPr>
                    </w:pPr>
                  </w:p>
                </w:tc>
                <w:tc>
                  <w:tcPr>
                    <w:tcW w:w="1079" w:type="dxa"/>
                    <w:shd w:val="clear" w:color="auto" w:fill="FFFFFF" w:themeFill="background1"/>
                  </w:tcPr>
                  <w:p>
                    <w:pPr>
                      <w:jc w:val="center"/>
                      <w:rPr>
                        <w:sz w:val="20"/>
                      </w:rPr>
                    </w:pPr>
                    <w:r>
                      <w:rPr>
                        <w:sz w:val="20"/>
                      </w:rPr>
                      <w:t>40/60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sz w:val="20"/>
                      </w:rPr>
                    </w:pPr>
                    <w:r>
                      <w:rPr>
                        <w:sz w:val="20"/>
                      </w:rPr>
                      <w:t>R-11-002-02-11-01-04</w:t>
                    </w:r>
                  </w:p>
                </w:tc>
                <w:tc>
                  <w:tcPr>
                    <w:tcW w:w="9144" w:type="dxa"/>
                    <w:gridSpan w:val="7"/>
                    <w:shd w:val="clear" w:color="auto" w:fill="FFFFFF" w:themeFill="background1"/>
                  </w:tcPr>
                  <w:p>
                    <w:pPr>
                      <w:rPr>
                        <w:i/>
                        <w:iCs/>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R-11-002-02-11-01-05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13,3</w:t>
                    </w:r>
                  </w:p>
                  <w:p>
                    <w:pPr>
                      <w:jc w:val="center"/>
                      <w:rPr>
                        <w:sz w:val="20"/>
                      </w:rPr>
                    </w:pPr>
                    <w:r>
                      <w:rPr>
                        <w:sz w:val="20"/>
                      </w:rPr>
                      <w:t>(2019 m.)</w:t>
                    </w:r>
                  </w:p>
                </w:tc>
                <w:tc>
                  <w:tcPr>
                    <w:tcW w:w="945" w:type="dxa"/>
                    <w:shd w:val="clear" w:color="auto" w:fill="FFFFFF" w:themeFill="background1"/>
                  </w:tcPr>
                  <w:p>
                    <w:pPr>
                      <w:jc w:val="center"/>
                      <w:rPr>
                        <w:sz w:val="20"/>
                      </w:rPr>
                    </w:pPr>
                    <w:r>
                      <w:rPr>
                        <w:sz w:val="20"/>
                      </w:rPr>
                      <w:t>11,5</w:t>
                    </w:r>
                  </w:p>
                  <w:p>
                    <w:pPr>
                      <w:jc w:val="center"/>
                      <w:rPr>
                        <w:sz w:val="20"/>
                      </w:rPr>
                    </w:pPr>
                  </w:p>
                </w:tc>
                <w:tc>
                  <w:tcPr>
                    <w:tcW w:w="1079" w:type="dxa"/>
                    <w:shd w:val="clear" w:color="auto" w:fill="FFFFFF" w:themeFill="background1"/>
                  </w:tcPr>
                  <w:p>
                    <w:pPr>
                      <w:jc w:val="center"/>
                      <w:rPr>
                        <w:sz w:val="20"/>
                        <w:lang w:val="en-US"/>
                      </w:rPr>
                    </w:pPr>
                    <w:r>
                      <w:rPr>
                        <w:sz w:val="20"/>
                        <w:lang w:val="en-US"/>
                      </w:rPr>
                      <w:t>9</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sz w:val="20"/>
                      </w:rPr>
                      <w:t>2021</w:t>
                    </w:r>
                    <w:r>
                      <w:rPr>
                        <w:szCs w:val="24"/>
                      </w:rPr>
                      <w:t>–</w:t>
                    </w:r>
                    <w:r>
                      <w:rPr>
                        <w:sz w:val="20"/>
                      </w:rPr>
                      <w:t>2027 m. IP (ERPF, ESF+)</w:t>
                    </w:r>
                  </w:p>
                </w:tc>
              </w:tr>
              <w:tr>
                <w:trPr>
                  <w:trHeight w:val="330"/>
                </w:trPr>
                <w:tc>
                  <w:tcPr>
                    <w:tcW w:w="1346" w:type="dxa"/>
                    <w:shd w:val="clear" w:color="auto" w:fill="FFFFFF" w:themeFill="background1"/>
                  </w:tcPr>
                  <w:p>
                    <w:pPr>
                      <w:rPr>
                        <w:sz w:val="20"/>
                      </w:rPr>
                    </w:pPr>
                    <w:r>
                      <w:rPr>
                        <w:sz w:val="20"/>
                      </w:rPr>
                      <w:t>R-11-002-02-11-01-06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18,24</w:t>
                    </w:r>
                  </w:p>
                  <w:p>
                    <w:pPr>
                      <w:jc w:val="center"/>
                      <w:rPr>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12</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(ERPF, ESF+)</w:t>
                    </w:r>
                  </w:p>
                  <w:p>
                    <w:pPr>
                      <w:jc w:val="center"/>
                      <w:rPr>
                        <w:sz w:val="20"/>
                      </w:rPr>
                    </w:pPr>
                    <w:r>
                      <w:rPr>
                        <w:sz w:val="20"/>
                      </w:rPr>
                      <w:t>EFPR; ESF+</w:t>
                    </w:r>
                  </w:p>
                </w:tc>
              </w:tr>
              <w:tr>
                <w:trPr>
                  <w:trHeight w:val="330"/>
                </w:trPr>
                <w:tc>
                  <w:tcPr>
                    <w:tcW w:w="1346" w:type="dxa"/>
                    <w:shd w:val="clear" w:color="auto" w:fill="FFFFFF" w:themeFill="background1"/>
                  </w:tcPr>
                  <w:p>
                    <w:pPr>
                      <w:rPr>
                        <w:sz w:val="20"/>
                      </w:rPr>
                    </w:pPr>
                    <w:r>
                      <w:rPr>
                        <w:sz w:val="20"/>
                      </w:rPr>
                      <w:t>R-11-002-02-11-01-07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sz w:val="20"/>
                      </w:rPr>
                    </w:pPr>
                    <w:r>
                      <w:rPr>
                        <w:sz w:val="20"/>
                      </w:rPr>
                      <w:t>(2014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lang w:val="en-US"/>
                      </w:rPr>
                    </w:pPr>
                    <w:r>
                      <w:rPr>
                        <w:sz w:val="20"/>
                        <w:lang w:val="en-US"/>
                      </w:rPr>
                      <w:t>60,0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77,1</w:t>
                    </w:r>
                  </w:p>
                  <w:p>
                    <w:pPr>
                      <w:jc w:val="center"/>
                      <w:rPr>
                        <w:sz w:val="20"/>
                      </w:rPr>
                    </w:pPr>
                    <w:r>
                      <w:rPr>
                        <w:sz w:val="20"/>
                      </w:rPr>
                      <w:t>(2015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rPr>
                    </w:pPr>
                    <w:r>
                      <w:rPr>
                        <w:sz w:val="20"/>
                      </w:rPr>
                      <w:t>83</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valstybės biudžeto lėšos (toliau – VB)</w:t>
                    </w:r>
                  </w:p>
                  <w:p>
                    <w:pPr>
                      <w:jc w:val="center"/>
                      <w:rPr>
                        <w:sz w:val="20"/>
                      </w:rPr>
                    </w:pPr>
                  </w:p>
                </w:tc>
              </w:tr>
              <w:tr>
                <w:trPr>
                  <w:trHeight w:val="330"/>
                </w:trPr>
                <w:tc>
                  <w:tcPr>
                    <w:tcW w:w="1346" w:type="dxa"/>
                    <w:shd w:val="clear" w:color="auto" w:fill="FFFFFF" w:themeFill="background1"/>
                  </w:tcPr>
                  <w:p>
                    <w:pPr>
                      <w:rPr>
                        <w:sz w:val="20"/>
                      </w:rPr>
                    </w:pPr>
                    <w:r>
                      <w:rPr>
                        <w:sz w:val="20"/>
                      </w:rPr>
                      <w:t>R-11-002-02-11-01-09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62,9</w:t>
                    </w:r>
                  </w:p>
                  <w:p>
                    <w:pPr>
                      <w:jc w:val="center"/>
                      <w:rPr>
                        <w:sz w:val="20"/>
                      </w:rPr>
                    </w:pPr>
                    <w:r>
                      <w:rPr>
                        <w:sz w:val="20"/>
                      </w:rPr>
                      <w:t>(2015 m.)</w:t>
                    </w:r>
                  </w:p>
                </w:tc>
                <w:tc>
                  <w:tcPr>
                    <w:tcW w:w="945" w:type="dxa"/>
                    <w:shd w:val="clear" w:color="auto" w:fill="FFFFFF" w:themeFill="background1"/>
                  </w:tcPr>
                  <w:p>
                    <w:pPr>
                      <w:jc w:val="center"/>
                      <w:rPr>
                        <w:sz w:val="20"/>
                      </w:rPr>
                    </w:pPr>
                    <w:r>
                      <w:rPr>
                        <w:sz w:val="20"/>
                      </w:rPr>
                      <w:t>64,8</w:t>
                    </w:r>
                  </w:p>
                  <w:p>
                    <w:pPr>
                      <w:jc w:val="center"/>
                      <w:rPr>
                        <w:sz w:val="20"/>
                      </w:rPr>
                    </w:pPr>
                  </w:p>
                </w:tc>
                <w:tc>
                  <w:tcPr>
                    <w:tcW w:w="1079" w:type="dxa"/>
                    <w:shd w:val="clear" w:color="auto" w:fill="FFFFFF" w:themeFill="background1"/>
                  </w:tcPr>
                  <w:p>
                    <w:pPr>
                      <w:jc w:val="center"/>
                      <w:rPr>
                        <w:sz w:val="20"/>
                      </w:rPr>
                    </w:pPr>
                    <w:r>
                      <w:rPr>
                        <w:sz w:val="20"/>
                      </w:rPr>
                      <w:t>67,9</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w:t>
                    </w:r>
                  </w:p>
                  <w:p>
                    <w:pPr>
                      <w:jc w:val="center"/>
                      <w:rPr>
                        <w:sz w:val="20"/>
                      </w:rPr>
                    </w:pPr>
                    <w:r>
                      <w:rPr>
                        <w:sz w:val="20"/>
                      </w:rPr>
                      <w:t>(2015 m.)</w:t>
                    </w:r>
                  </w:p>
                </w:tc>
                <w:tc>
                  <w:tcPr>
                    <w:tcW w:w="945" w:type="dxa"/>
                    <w:shd w:val="clear" w:color="auto" w:fill="FFFFFF" w:themeFill="background1"/>
                  </w:tcPr>
                  <w:p>
                    <w:pPr>
                      <w:jc w:val="center"/>
                      <w:rPr>
                        <w:sz w:val="20"/>
                      </w:rPr>
                    </w:pPr>
                    <w:r>
                      <w:rPr>
                        <w:sz w:val="20"/>
                      </w:rPr>
                      <w:t>52</w:t>
                    </w:r>
                  </w:p>
                  <w:p>
                    <w:pPr>
                      <w:jc w:val="center"/>
                      <w:rPr>
                        <w:sz w:val="20"/>
                      </w:rPr>
                    </w:pPr>
                  </w:p>
                </w:tc>
                <w:tc>
                  <w:tcPr>
                    <w:tcW w:w="1079" w:type="dxa"/>
                    <w:shd w:val="clear" w:color="auto" w:fill="FFFFFF" w:themeFill="background1"/>
                  </w:tcPr>
                  <w:p>
                    <w:pPr>
                      <w:jc w:val="center"/>
                      <w:rPr>
                        <w:sz w:val="20"/>
                      </w:rPr>
                    </w:pPr>
                    <w:r>
                      <w:rPr>
                        <w:sz w:val="20"/>
                      </w:rPr>
                      <w:t>55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r>
                      <w:rPr>
                        <w:sz w:val="20"/>
                      </w:rPr>
                      <w:t>ESF+; VB</w:t>
                    </w:r>
                  </w:p>
                </w:tc>
              </w:tr>
              <w:tr>
                <w:trPr>
                  <w:trHeight w:val="330"/>
                </w:trPr>
                <w:tc>
                  <w:tcPr>
                    <w:tcW w:w="1346" w:type="dxa"/>
                    <w:shd w:val="clear" w:color="auto" w:fill="FFFFFF" w:themeFill="background1"/>
                  </w:tcPr>
                  <w:p>
                    <w:pPr>
                      <w:rPr>
                        <w:sz w:val="20"/>
                      </w:rPr>
                    </w:pPr>
                    <w:r>
                      <w:rPr>
                        <w:sz w:val="20"/>
                      </w:rPr>
                      <w:t>R-11-002-02-11-01-11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57,5</w:t>
                    </w:r>
                  </w:p>
                  <w:p>
                    <w:pPr>
                      <w:jc w:val="center"/>
                      <w:rPr>
                        <w:sz w:val="20"/>
                      </w:rPr>
                    </w:pPr>
                    <w:r>
                      <w:rPr>
                        <w:sz w:val="20"/>
                      </w:rPr>
                      <w:t>(2015 m.)</w:t>
                    </w:r>
                  </w:p>
                </w:tc>
                <w:tc>
                  <w:tcPr>
                    <w:tcW w:w="945" w:type="dxa"/>
                    <w:shd w:val="clear" w:color="auto" w:fill="FFFFFF" w:themeFill="background1"/>
                  </w:tcPr>
                  <w:p>
                    <w:pPr>
                      <w:jc w:val="center"/>
                      <w:rPr>
                        <w:sz w:val="20"/>
                      </w:rPr>
                    </w:pPr>
                    <w:r>
                      <w:rPr>
                        <w:sz w:val="20"/>
                      </w:rPr>
                      <w:t>59</w:t>
                    </w:r>
                  </w:p>
                  <w:p>
                    <w:pPr>
                      <w:jc w:val="center"/>
                      <w:rPr>
                        <w:sz w:val="20"/>
                      </w:rPr>
                    </w:pPr>
                  </w:p>
                </w:tc>
                <w:tc>
                  <w:tcPr>
                    <w:tcW w:w="1079" w:type="dxa"/>
                    <w:shd w:val="clear" w:color="auto" w:fill="FFFFFF" w:themeFill="background1"/>
                  </w:tcPr>
                  <w:p>
                    <w:pPr>
                      <w:jc w:val="center"/>
                      <w:rPr>
                        <w:sz w:val="20"/>
                      </w:rPr>
                    </w:pPr>
                    <w:r>
                      <w:rPr>
                        <w:sz w:val="20"/>
                      </w:rPr>
                      <w:t>62,5</w:t>
                    </w:r>
                  </w:p>
                  <w:p>
                    <w:pPr>
                      <w:jc w:val="center"/>
                      <w:rPr>
                        <w:sz w:val="20"/>
                      </w:rPr>
                    </w:pPr>
                  </w:p>
                </w:tc>
                <w:tc>
                  <w:tcPr>
                    <w:tcW w:w="1344" w:type="dxa"/>
                    <w:shd w:val="clear" w:color="auto" w:fill="FFFFFF" w:themeFill="background1"/>
                  </w:tcPr>
                  <w:p>
                    <w:pPr>
                      <w:jc w:val="center"/>
                      <w:rPr>
                        <w:bCs/>
                        <w:sz w:val="20"/>
                      </w:rPr>
                    </w:pPr>
                    <w:r>
                      <w:rPr>
                        <w:bCs/>
                        <w:sz w:val="20"/>
                      </w:rPr>
                      <w:t>EGADP; 2021</w:t>
                    </w:r>
                    <w:r>
                      <w:rPr>
                        <w:szCs w:val="24"/>
                      </w:rPr>
                      <w:t>–</w:t>
                    </w:r>
                    <w:r>
                      <w:rPr>
                        <w:bCs/>
                        <w:sz w:val="20"/>
                      </w:rPr>
                      <w:t>2027 m. IP (ESF+); VB</w:t>
                    </w:r>
                  </w:p>
                  <w:p>
                    <w:pPr>
                      <w:jc w:val="center"/>
                      <w:rPr>
                        <w:sz w:val="20"/>
                      </w:rPr>
                    </w:pPr>
                  </w:p>
                </w:tc>
              </w:tr>
              <w:tr>
                <w:trPr>
                  <w:trHeight w:val="330"/>
                </w:trPr>
                <w:tc>
                  <w:tcPr>
                    <w:tcW w:w="1346" w:type="dxa"/>
                    <w:shd w:val="clear" w:color="auto" w:fill="FFFFFF" w:themeFill="background1"/>
                  </w:tcPr>
                  <w:p>
                    <w:pPr>
                      <w:rPr>
                        <w:sz w:val="20"/>
                      </w:rPr>
                    </w:pPr>
                    <w:r>
                      <w:rPr>
                        <w:sz w:val="20"/>
                      </w:rPr>
                      <w:t>R-11-002-02-11-01-12</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Efektyvių organų donorų skaičius</w:t>
                    </w:r>
                  </w:p>
                </w:tc>
                <w:tc>
                  <w:tcPr>
                    <w:tcW w:w="1078" w:type="dxa"/>
                    <w:shd w:val="clear" w:color="auto" w:fill="FFFFFF" w:themeFill="background1"/>
                  </w:tcPr>
                  <w:p>
                    <w:pPr>
                      <w:jc w:val="center"/>
                      <w:rPr>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sz w:val="20"/>
                      </w:rPr>
                    </w:pPr>
                    <w:r>
                      <w:rPr>
                        <w:sz w:val="20"/>
                      </w:rPr>
                      <w:t>(2019 m.)</w:t>
                    </w:r>
                  </w:p>
                </w:tc>
                <w:tc>
                  <w:tcPr>
                    <w:tcW w:w="945" w:type="dxa"/>
                    <w:shd w:val="clear" w:color="auto" w:fill="FFFFFF" w:themeFill="background1"/>
                  </w:tcPr>
                  <w:p>
                    <w:pPr>
                      <w:jc w:val="center"/>
                      <w:rPr>
                        <w:sz w:val="20"/>
                      </w:rPr>
                    </w:pPr>
                    <w:r>
                      <w:rPr>
                        <w:sz w:val="20"/>
                      </w:rPr>
                      <w:t>25</w:t>
                    </w:r>
                  </w:p>
                  <w:p>
                    <w:pPr>
                      <w:jc w:val="center"/>
                      <w:rPr>
                        <w:sz w:val="20"/>
                      </w:rPr>
                    </w:pPr>
                  </w:p>
                </w:tc>
                <w:tc>
                  <w:tcPr>
                    <w:tcW w:w="1079" w:type="dxa"/>
                    <w:shd w:val="clear" w:color="auto" w:fill="FFFFFF" w:themeFill="background1"/>
                  </w:tcPr>
                  <w:p>
                    <w:pPr>
                      <w:jc w:val="center"/>
                      <w:rPr>
                        <w:sz w:val="20"/>
                      </w:rPr>
                    </w:pPr>
                    <w:r>
                      <w:rPr>
                        <w:sz w:val="20"/>
                      </w:rPr>
                      <w:t>30</w:t>
                    </w:r>
                  </w:p>
                  <w:p>
                    <w:pPr>
                      <w:jc w:val="center"/>
                      <w:rPr>
                        <w:sz w:val="20"/>
                      </w:rPr>
                    </w:pPr>
                  </w:p>
                </w:tc>
                <w:tc>
                  <w:tcPr>
                    <w:tcW w:w="1344" w:type="dxa"/>
                    <w:shd w:val="clear" w:color="auto" w:fill="FFFFFF" w:themeFill="background1"/>
                  </w:tcPr>
                  <w:p>
                    <w:pPr>
                      <w:jc w:val="center"/>
                      <w:rPr>
                        <w:sz w:val="20"/>
                      </w:rPr>
                    </w:pPr>
                    <w:r>
                      <w:rPr>
                        <w:sz w:val="20"/>
                      </w:rPr>
                      <w:t>EGADP; 2021–2027 m. IP (ERPF)</w:t>
                    </w:r>
                  </w:p>
                </w:tc>
              </w:tr>
              <w:tr>
                <w:trPr>
                  <w:trHeight w:val="330"/>
                </w:trPr>
                <w:tc>
                  <w:tcPr>
                    <w:tcW w:w="1346" w:type="dxa"/>
                    <w:shd w:val="clear" w:color="auto" w:fill="FFFFFF" w:themeFill="background1"/>
                  </w:tcPr>
                  <w:p>
                    <w:pPr>
                      <w:rPr>
                        <w:sz w:val="20"/>
                      </w:rPr>
                    </w:pPr>
                    <w:r>
                      <w:rPr>
                        <w:sz w:val="20"/>
                      </w:rPr>
                      <w:t>R-11-002-02-11-01-13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65360 </w:t>
                    </w:r>
                  </w:p>
                </w:tc>
                <w:tc>
                  <w:tcPr>
                    <w:tcW w:w="1079" w:type="dxa"/>
                    <w:shd w:val="clear" w:color="auto" w:fill="FFFFFF" w:themeFill="background1"/>
                  </w:tcPr>
                  <w:p>
                    <w:pPr>
                      <w:jc w:val="center"/>
                      <w:rPr>
                        <w:sz w:val="20"/>
                      </w:rPr>
                    </w:pPr>
                    <w:r>
                      <w:rPr>
                        <w:sz w:val="20"/>
                        <w:lang w:val="en-US"/>
                      </w:rPr>
                      <w:t xml:space="preserve">73 020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sz w:val="20"/>
                      </w:rPr>
                    </w:pPr>
                    <w:r>
                      <w:rPr>
                        <w:sz w:val="20"/>
                      </w:rPr>
                      <w:t>(2019 m.)</w:t>
                    </w:r>
                  </w:p>
                </w:tc>
                <w:tc>
                  <w:tcPr>
                    <w:tcW w:w="945" w:type="dxa"/>
                    <w:shd w:val="clear" w:color="auto" w:fill="FFFFFF" w:themeFill="background1"/>
                  </w:tcPr>
                  <w:p>
                    <w:pPr>
                      <w:jc w:val="center"/>
                      <w:rPr>
                        <w:sz w:val="20"/>
                      </w:rPr>
                    </w:pPr>
                    <w:r>
                      <w:rPr>
                        <w:sz w:val="20"/>
                      </w:rPr>
                      <w:t xml:space="preserve">307358 </w:t>
                    </w:r>
                  </w:p>
                </w:tc>
                <w:tc>
                  <w:tcPr>
                    <w:tcW w:w="1079" w:type="dxa"/>
                    <w:shd w:val="clear" w:color="auto" w:fill="FFFFFF" w:themeFill="background1"/>
                  </w:tcPr>
                  <w:p>
                    <w:pPr>
                      <w:jc w:val="center"/>
                      <w:rPr>
                        <w:sz w:val="20"/>
                      </w:rPr>
                    </w:pPr>
                    <w:r>
                      <w:rPr>
                        <w:sz w:val="20"/>
                        <w:lang w:val="en-US"/>
                      </w:rPr>
                      <w:t xml:space="preserve">362 243 </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R-11-002-02-11-01-15</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sz w:val="20"/>
                      </w:rPr>
                    </w:pPr>
                    <w:r>
                      <w:rPr>
                        <w:sz w:val="20"/>
                      </w:rPr>
                      <w:t>Atvejų skaičius</w:t>
                    </w:r>
                  </w:p>
                </w:tc>
                <w:tc>
                  <w:tcPr>
                    <w:tcW w:w="1078" w:type="dxa"/>
                    <w:shd w:val="clear" w:color="auto" w:fill="FFFFFF" w:themeFill="background1"/>
                  </w:tcPr>
                  <w:p>
                    <w:pPr>
                      <w:jc w:val="center"/>
                      <w:rPr>
                        <w:sz w:val="20"/>
                      </w:rPr>
                    </w:pPr>
                    <w:r>
                      <w:rPr>
                        <w:sz w:val="20"/>
                      </w:rPr>
                      <w:t>616 734 (2019 m.)</w:t>
                    </w:r>
                  </w:p>
                </w:tc>
                <w:tc>
                  <w:tcPr>
                    <w:tcW w:w="945" w:type="dxa"/>
                    <w:shd w:val="clear" w:color="auto" w:fill="FFFFFF" w:themeFill="background1"/>
                  </w:tcPr>
                  <w:p>
                    <w:pPr>
                      <w:jc w:val="center"/>
                      <w:rPr>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667"/>
                </w:trPr>
                <w:tc>
                  <w:tcPr>
                    <w:tcW w:w="1346" w:type="dxa"/>
                    <w:shd w:val="clear" w:color="auto" w:fill="FFFFFF" w:themeFill="background1"/>
                  </w:tcPr>
                  <w:p>
                    <w:pPr>
                      <w:rPr>
                        <w:sz w:val="20"/>
                      </w:rPr>
                    </w:pPr>
                    <w:r>
                      <w:rPr>
                        <w:sz w:val="20"/>
                      </w:rPr>
                      <w:t>R-11-002-02-11-01-16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73</w:t>
                    </w:r>
                  </w:p>
                  <w:p>
                    <w:pPr>
                      <w:jc w:val="center"/>
                      <w:rPr>
                        <w:sz w:val="20"/>
                      </w:rPr>
                    </w:pPr>
                    <w:r>
                      <w:rPr>
                        <w:sz w:val="20"/>
                      </w:rPr>
                      <w:t>(2018 m.)</w:t>
                    </w:r>
                  </w:p>
                </w:tc>
                <w:tc>
                  <w:tcPr>
                    <w:tcW w:w="945" w:type="dxa"/>
                    <w:shd w:val="clear" w:color="auto" w:fill="FFFFFF" w:themeFill="background1"/>
                  </w:tcPr>
                  <w:p>
                    <w:pPr>
                      <w:jc w:val="center"/>
                      <w:rPr>
                        <w:sz w:val="20"/>
                      </w:rPr>
                    </w:pPr>
                    <w:r>
                      <w:rPr>
                        <w:sz w:val="20"/>
                      </w:rPr>
                      <w:t>80</w:t>
                    </w:r>
                  </w:p>
                  <w:p>
                    <w:pPr>
                      <w:jc w:val="center"/>
                      <w:rPr>
                        <w:sz w:val="20"/>
                      </w:rPr>
                    </w:pPr>
                  </w:p>
                </w:tc>
                <w:tc>
                  <w:tcPr>
                    <w:tcW w:w="1079" w:type="dxa"/>
                    <w:shd w:val="clear" w:color="auto" w:fill="FFFFFF" w:themeFill="background1"/>
                  </w:tcPr>
                  <w:p>
                    <w:pPr>
                      <w:jc w:val="center"/>
                      <w:rPr>
                        <w:sz w:val="20"/>
                        <w:lang w:val="en-US"/>
                      </w:rPr>
                    </w:pPr>
                    <w:r>
                      <w:rPr>
                        <w:sz w:val="20"/>
                        <w:lang w:val="en-US"/>
                      </w:rPr>
                      <w:t>82</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R-11-002-02-11-01-17</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50,2</w:t>
                    </w:r>
                  </w:p>
                  <w:p>
                    <w:pPr>
                      <w:jc w:val="center"/>
                      <w:rPr>
                        <w:sz w:val="20"/>
                      </w:rPr>
                    </w:pPr>
                    <w:r>
                      <w:rPr>
                        <w:sz w:val="20"/>
                      </w:rPr>
                      <w:t>(2020 m.)</w:t>
                    </w:r>
                  </w:p>
                </w:tc>
                <w:tc>
                  <w:tcPr>
                    <w:tcW w:w="945" w:type="dxa"/>
                    <w:shd w:val="clear" w:color="auto" w:fill="FFFFFF" w:themeFill="background1"/>
                  </w:tcPr>
                  <w:p>
                    <w:pPr>
                      <w:jc w:val="center"/>
                      <w:rPr>
                        <w:sz w:val="20"/>
                      </w:rPr>
                    </w:pPr>
                    <w:r>
                      <w:rPr>
                        <w:sz w:val="20"/>
                      </w:rPr>
                      <w:t>60</w:t>
                    </w:r>
                  </w:p>
                  <w:p>
                    <w:pPr>
                      <w:jc w:val="center"/>
                      <w:rPr>
                        <w:sz w:val="20"/>
                      </w:rPr>
                    </w:pPr>
                  </w:p>
                </w:tc>
                <w:tc>
                  <w:tcPr>
                    <w:tcW w:w="1079" w:type="dxa"/>
                    <w:shd w:val="clear" w:color="auto" w:fill="FFFFFF" w:themeFill="background1"/>
                  </w:tcPr>
                  <w:p>
                    <w:pPr>
                      <w:jc w:val="center"/>
                      <w:rPr>
                        <w:sz w:val="20"/>
                        <w:lang w:val="en-US"/>
                      </w:rPr>
                    </w:pPr>
                    <w:r>
                      <w:rPr>
                        <w:sz w:val="20"/>
                        <w:lang w:val="en-US"/>
                      </w:rPr>
                      <w:t>80</w:t>
                    </w:r>
                  </w:p>
                  <w:p>
                    <w:pPr>
                      <w:jc w:val="center"/>
                      <w:rPr>
                        <w:sz w:val="20"/>
                      </w:rPr>
                    </w:pP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R-11-002-02-11-01-18</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19,7</w:t>
                    </w:r>
                  </w:p>
                  <w:p>
                    <w:pPr>
                      <w:jc w:val="center"/>
                      <w:rPr>
                        <w:sz w:val="20"/>
                      </w:rPr>
                    </w:pPr>
                    <w:r>
                      <w:rPr>
                        <w:sz w:val="20"/>
                      </w:rPr>
                      <w:t>(2019 m.)</w:t>
                    </w:r>
                  </w:p>
                </w:tc>
                <w:tc>
                  <w:tcPr>
                    <w:tcW w:w="945" w:type="dxa"/>
                    <w:shd w:val="clear" w:color="auto" w:fill="FFFFFF" w:themeFill="background1"/>
                  </w:tcPr>
                  <w:p>
                    <w:pPr>
                      <w:jc w:val="center"/>
                      <w:rPr>
                        <w:sz w:val="20"/>
                      </w:rPr>
                    </w:pPr>
                    <w:r>
                      <w:rPr>
                        <w:sz w:val="20"/>
                      </w:rPr>
                      <w:t>14</w:t>
                    </w:r>
                  </w:p>
                  <w:p>
                    <w:pPr>
                      <w:jc w:val="center"/>
                      <w:rPr>
                        <w:sz w:val="20"/>
                      </w:rPr>
                    </w:pPr>
                  </w:p>
                </w:tc>
                <w:tc>
                  <w:tcPr>
                    <w:tcW w:w="1079" w:type="dxa"/>
                    <w:shd w:val="clear" w:color="auto" w:fill="FFFFFF" w:themeFill="background1"/>
                  </w:tcPr>
                  <w:p>
                    <w:pPr>
                      <w:jc w:val="center"/>
                      <w:rPr>
                        <w:sz w:val="20"/>
                        <w:lang w:val="en-US"/>
                      </w:rPr>
                    </w:pPr>
                    <w:r>
                      <w:rPr>
                        <w:sz w:val="20"/>
                        <w:lang w:val="en-US"/>
                      </w:rPr>
                      <w:t>6</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 ESF+)</w:t>
                    </w:r>
                  </w:p>
                </w:tc>
              </w:tr>
              <w:tr>
                <w:trPr>
                  <w:trHeight w:val="330"/>
                </w:trPr>
                <w:tc>
                  <w:tcPr>
                    <w:tcW w:w="1346" w:type="dxa"/>
                    <w:shd w:val="clear" w:color="auto" w:fill="FFFFFF" w:themeFill="background1"/>
                  </w:tcPr>
                  <w:p>
                    <w:pPr>
                      <w:rPr>
                        <w:sz w:val="20"/>
                      </w:rPr>
                    </w:pPr>
                    <w:r>
                      <w:rPr>
                        <w:sz w:val="20"/>
                      </w:rPr>
                      <w:t>R-11-002-02-11-01-19</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91,4</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sz w:val="20"/>
                      </w:rPr>
                      <w:t>2021</w:t>
                    </w:r>
                    <w:r>
                      <w:rPr>
                        <w:szCs w:val="24"/>
                      </w:rPr>
                      <w:t>–</w:t>
                    </w:r>
                    <w:r>
                      <w:rPr>
                        <w:sz w:val="20"/>
                      </w:rPr>
                      <w:t>2027 m. IP (ERPF)</w:t>
                    </w:r>
                  </w:p>
                </w:tc>
              </w:tr>
              <w:tr>
                <w:trPr>
                  <w:trHeight w:val="330"/>
                </w:trPr>
                <w:tc>
                  <w:tcPr>
                    <w:tcW w:w="1346" w:type="dxa"/>
                    <w:shd w:val="clear" w:color="auto" w:fill="FFFFFF" w:themeFill="background1"/>
                  </w:tcPr>
                  <w:p>
                    <w:pPr>
                      <w:rPr>
                        <w:sz w:val="20"/>
                      </w:rPr>
                    </w:pPr>
                    <w:r>
                      <w:rPr>
                        <w:sz w:val="20"/>
                      </w:rPr>
                      <w:t>R-11-002-02-11-01-20</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81,6</w:t>
                    </w:r>
                  </w:p>
                  <w:p>
                    <w:pPr>
                      <w:jc w:val="center"/>
                      <w:rPr>
                        <w:sz w:val="20"/>
                      </w:rPr>
                    </w:pPr>
                    <w:r>
                      <w:rPr>
                        <w:sz w:val="20"/>
                      </w:rPr>
                      <w:t>(2019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R-11-002-02-11-01-21</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sz w:val="20"/>
                      </w:rPr>
                    </w:pPr>
                    <w:r>
                      <w:rPr>
                        <w:sz w:val="20"/>
                      </w:rPr>
                      <w:t>(2019 m.)</w:t>
                    </w:r>
                  </w:p>
                </w:tc>
                <w:tc>
                  <w:tcPr>
                    <w:tcW w:w="945" w:type="dxa"/>
                    <w:shd w:val="clear" w:color="auto" w:fill="FFFFFF" w:themeFill="background1"/>
                  </w:tcPr>
                  <w:p>
                    <w:pPr>
                      <w:jc w:val="center"/>
                      <w:rPr>
                        <w:sz w:val="20"/>
                      </w:rPr>
                    </w:pPr>
                    <w:r>
                      <w:rPr>
                        <w:sz w:val="20"/>
                      </w:rPr>
                      <w:t>2</w:t>
                    </w:r>
                  </w:p>
                  <w:p>
                    <w:pPr>
                      <w:jc w:val="center"/>
                      <w:rPr>
                        <w:sz w:val="20"/>
                      </w:rPr>
                    </w:pPr>
                  </w:p>
                </w:tc>
                <w:tc>
                  <w:tcPr>
                    <w:tcW w:w="1079" w:type="dxa"/>
                    <w:shd w:val="clear" w:color="auto" w:fill="FFFFFF" w:themeFill="background1"/>
                  </w:tcPr>
                  <w:p>
                    <w:pPr>
                      <w:jc w:val="center"/>
                      <w:rPr>
                        <w:sz w:val="20"/>
                        <w:lang w:val="en-US"/>
                      </w:rPr>
                    </w:pPr>
                    <w:r>
                      <w:rPr>
                        <w:sz w:val="20"/>
                        <w:lang w:val="en-US"/>
                      </w:rPr>
                      <w:t>2,5</w:t>
                    </w:r>
                  </w:p>
                  <w:p>
                    <w:pPr>
                      <w:jc w:val="center"/>
                      <w:rPr>
                        <w:sz w:val="20"/>
                      </w:rPr>
                    </w:pPr>
                  </w:p>
                </w:tc>
                <w:tc>
                  <w:tcPr>
                    <w:tcW w:w="1344" w:type="dxa"/>
                    <w:shd w:val="clear" w:color="auto" w:fill="FFFFFF" w:themeFill="background1"/>
                  </w:tcPr>
                  <w:p>
                    <w:pPr>
                      <w:jc w:val="center"/>
                      <w:rPr>
                        <w:sz w:val="20"/>
                      </w:rPr>
                    </w:pPr>
                    <w:r>
                      <w:rPr>
                        <w:bCs/>
                        <w:sz w:val="20"/>
                      </w:rPr>
                      <w:t>EGADP; 2021</w:t>
                    </w:r>
                    <w:r>
                      <w:rPr>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sz w:val="20"/>
                      </w:rPr>
                    </w:pPr>
                    <w:r>
                      <w:rPr>
                        <w:sz w:val="20"/>
                      </w:rPr>
                      <w:t>R-11-002-02-11-01-23</w:t>
                    </w:r>
                  </w:p>
                </w:tc>
                <w:tc>
                  <w:tcPr>
                    <w:tcW w:w="1079" w:type="dxa"/>
                    <w:shd w:val="clear" w:color="auto" w:fill="FFFFFF" w:themeFill="background1"/>
                  </w:tcPr>
                  <w:p>
                    <w:pPr>
                      <w:rPr>
                        <w:sz w:val="20"/>
                      </w:rPr>
                    </w:pPr>
                    <w:r>
                      <w:rPr>
                        <w:iCs/>
                        <w:sz w:val="20"/>
                      </w:rPr>
                      <w:t xml:space="preserve">Rezultato </w:t>
                    </w:r>
                  </w:p>
                </w:tc>
                <w:tc>
                  <w:tcPr>
                    <w:tcW w:w="2541" w:type="dxa"/>
                    <w:shd w:val="clear" w:color="auto" w:fill="FFFFFF" w:themeFill="background1"/>
                  </w:tcPr>
                  <w:p>
                    <w:pPr>
                      <w:rPr>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sz w:val="20"/>
                      </w:rPr>
                    </w:pP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R-11-002-02-11-01-24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55,2</w:t>
                    </w:r>
                  </w:p>
                  <w:p>
                    <w:pPr>
                      <w:jc w:val="center"/>
                      <w:rPr>
                        <w:sz w:val="20"/>
                      </w:rPr>
                    </w:pPr>
                    <w:r>
                      <w:rPr>
                        <w:sz w:val="20"/>
                      </w:rPr>
                      <w:t>(2019 m.)</w:t>
                    </w:r>
                  </w:p>
                </w:tc>
                <w:tc>
                  <w:tcPr>
                    <w:tcW w:w="945" w:type="dxa"/>
                    <w:shd w:val="clear" w:color="auto" w:fill="FFFFFF" w:themeFill="background1"/>
                  </w:tcPr>
                  <w:p>
                    <w:pPr>
                      <w:jc w:val="center"/>
                      <w:rPr>
                        <w:sz w:val="20"/>
                      </w:rPr>
                    </w:pPr>
                    <w:r>
                      <w:rPr>
                        <w:sz w:val="20"/>
                      </w:rPr>
                      <w:t>36</w:t>
                    </w:r>
                  </w:p>
                  <w:p>
                    <w:pPr>
                      <w:jc w:val="center"/>
                      <w:rPr>
                        <w:sz w:val="20"/>
                      </w:rPr>
                    </w:pPr>
                  </w:p>
                </w:tc>
                <w:tc>
                  <w:tcPr>
                    <w:tcW w:w="1079" w:type="dxa"/>
                    <w:shd w:val="clear" w:color="auto" w:fill="FFFFFF" w:themeFill="background1"/>
                  </w:tcPr>
                  <w:p>
                    <w:pPr>
                      <w:jc w:val="center"/>
                      <w:rPr>
                        <w:sz w:val="20"/>
                        <w:lang w:val="en-US"/>
                      </w:rPr>
                    </w:pPr>
                    <w:r>
                      <w:rPr>
                        <w:sz w:val="20"/>
                        <w:lang w:val="en-US"/>
                      </w:rPr>
                      <w:t>30</w:t>
                    </w:r>
                  </w:p>
                  <w:p>
                    <w:pPr>
                      <w:jc w:val="center"/>
                      <w:rPr>
                        <w:sz w:val="20"/>
                      </w:rPr>
                    </w:pPr>
                  </w:p>
                </w:tc>
                <w:tc>
                  <w:tcPr>
                    <w:tcW w:w="1344" w:type="dxa"/>
                    <w:shd w:val="clear" w:color="auto" w:fill="FFFFFF" w:themeFill="background1"/>
                  </w:tcPr>
                  <w:p>
                    <w:pPr>
                      <w:jc w:val="center"/>
                      <w:rPr>
                        <w:bCs/>
                        <w:sz w:val="20"/>
                      </w:rPr>
                    </w:pPr>
                    <w:r>
                      <w:rPr>
                        <w:bCs/>
                        <w:sz w:val="20"/>
                      </w:rPr>
                      <w:t>EGADP;</w:t>
                    </w:r>
                  </w:p>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9144" w:type="dxa"/>
                    <w:gridSpan w:val="7"/>
                    <w:shd w:val="clear" w:color="auto" w:fill="FFFFFF" w:themeFill="background1"/>
                  </w:tcPr>
                  <w:p>
                    <w:pPr>
                      <w:rPr>
                        <w:bCs/>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R-11-002-02-11-01-26</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1 823 440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R-11-002-02-11-01-29</w:t>
                    </w:r>
                  </w:p>
                </w:tc>
                <w:tc>
                  <w:tcPr>
                    <w:tcW w:w="9144" w:type="dxa"/>
                    <w:gridSpan w:val="7"/>
                    <w:shd w:val="clear" w:color="auto" w:fill="FFFFFF" w:themeFill="background1"/>
                  </w:tcPr>
                  <w:p>
                    <w:pPr>
                      <w:rPr>
                        <w:sz w:val="20"/>
                      </w:rPr>
                    </w:pPr>
                    <w:r>
                      <w:rPr>
                        <w:i/>
                        <w:sz w:val="20"/>
                      </w:rPr>
                      <w:t>Neteko galios nuo 2025-10-04</w:t>
                    </w:r>
                  </w:p>
                </w:tc>
              </w:tr>
              <w:tr>
                <w:trPr>
                  <w:trHeight w:val="330"/>
                </w:trPr>
                <w:tc>
                  <w:tcPr>
                    <w:tcW w:w="1346" w:type="dxa"/>
                    <w:shd w:val="clear" w:color="auto" w:fill="FFFFFF" w:themeFill="background1"/>
                  </w:tcPr>
                  <w:p>
                    <w:pPr>
                      <w:rPr>
                        <w:sz w:val="20"/>
                      </w:rPr>
                    </w:pPr>
                    <w:r>
                      <w:rPr>
                        <w:sz w:val="20"/>
                      </w:rPr>
                      <w:t>R-11-002-02-11-01-30</w:t>
                    </w:r>
                  </w:p>
                </w:tc>
                <w:tc>
                  <w:tcPr>
                    <w:tcW w:w="9144" w:type="dxa"/>
                    <w:gridSpan w:val="7"/>
                    <w:shd w:val="clear" w:color="auto" w:fill="FFFFFF" w:themeFill="background1"/>
                  </w:tcPr>
                  <w:p>
                    <w:pPr>
                      <w:rPr>
                        <w:sz w:val="20"/>
                      </w:rPr>
                    </w:pPr>
                    <w:r>
                      <w:rPr>
                        <w:i/>
                        <w:iCs/>
                        <w:sz w:val="20"/>
                      </w:rPr>
                      <w:t>Neteko galios nuo 2026-05-22</w:t>
                    </w:r>
                  </w:p>
                </w:tc>
              </w:tr>
              <w:tr>
                <w:trPr>
                  <w:trHeight w:val="330"/>
                </w:trPr>
                <w:tc>
                  <w:tcPr>
                    <w:tcW w:w="1346" w:type="dxa"/>
                    <w:shd w:val="clear" w:color="auto" w:fill="FFFFFF" w:themeFill="background1"/>
                  </w:tcPr>
                  <w:p>
                    <w:pPr>
                      <w:rPr>
                        <w:sz w:val="20"/>
                      </w:rPr>
                    </w:pPr>
                    <w:r>
                      <w:rPr>
                        <w:sz w:val="20"/>
                      </w:rPr>
                      <w:t>P-11-002-02-11-01-31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Naujos arba modernizuotos sveikatos priežiūros infrastruktūros talpumas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426 000</w:t>
                    </w:r>
                  </w:p>
                  <w:p>
                    <w:pPr>
                      <w:jc w:val="center"/>
                      <w:rPr>
                        <w:sz w:val="20"/>
                      </w:rPr>
                    </w:pPr>
                    <w:r>
                      <w:rPr>
                        <w:sz w:val="20"/>
                      </w:rPr>
                      <w:t>(2024 m.)</w:t>
                    </w:r>
                  </w:p>
                </w:tc>
                <w:tc>
                  <w:tcPr>
                    <w:tcW w:w="1079" w:type="dxa"/>
                    <w:shd w:val="clear" w:color="auto" w:fill="FFFFFF" w:themeFill="background1"/>
                  </w:tcPr>
                  <w:p>
                    <w:pPr>
                      <w:jc w:val="center"/>
                      <w:rPr>
                        <w:sz w:val="20"/>
                      </w:rPr>
                    </w:pPr>
                    <w:r>
                      <w:rPr>
                        <w:sz w:val="20"/>
                      </w:rPr>
                      <w:t>3 543 550</w:t>
                    </w:r>
                  </w:p>
                  <w:p>
                    <w:pPr>
                      <w:jc w:val="center"/>
                      <w:rPr>
                        <w:sz w:val="20"/>
                      </w:rPr>
                    </w:pPr>
                    <w:r>
                      <w:rPr>
                        <w:sz w:val="20"/>
                      </w:rPr>
                      <w:t>(2029 m.)</w:t>
                    </w:r>
                  </w:p>
                </w:tc>
                <w:tc>
                  <w:tcPr>
                    <w:tcW w:w="1344" w:type="dxa"/>
                    <w:shd w:val="clear" w:color="auto" w:fill="FFFFFF" w:themeFill="background1"/>
                  </w:tcPr>
                  <w:p>
                    <w:pPr>
                      <w:jc w:val="center"/>
                      <w:rPr>
                        <w:sz w:val="20"/>
                      </w:rPr>
                    </w:pPr>
                    <w:r>
                      <w:rPr>
                        <w:sz w:val="20"/>
                      </w:rPr>
                      <w:t>2021–2027 m. IP (ERPF)</w:t>
                    </w:r>
                  </w:p>
                </w:tc>
              </w:tr>
              <w:tr>
                <w:trPr>
                  <w:trHeight w:val="330"/>
                </w:trPr>
                <w:tc>
                  <w:tcPr>
                    <w:tcW w:w="1346" w:type="dxa"/>
                    <w:shd w:val="clear" w:color="auto" w:fill="FFFFFF" w:themeFill="background1"/>
                  </w:tcPr>
                  <w:p>
                    <w:pPr>
                      <w:rPr>
                        <w:sz w:val="20"/>
                      </w:rPr>
                    </w:pPr>
                    <w:r>
                      <w:rPr>
                        <w:sz w:val="20"/>
                      </w:rPr>
                      <w:t>P-11-002-02-11-01-32</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Greitosios medicinos pagalbos paslaugų infrastruktūros, kuriai skirta parama, pajėgumas</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558 000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sz w:val="20"/>
                      </w:rPr>
                    </w:pPr>
                    <w:r>
                      <w:rPr>
                        <w:sz w:val="20"/>
                      </w:rPr>
                      <w:t>(2029 m.)</w:t>
                    </w:r>
                  </w:p>
                </w:tc>
                <w:tc>
                  <w:tcPr>
                    <w:tcW w:w="1344" w:type="dxa"/>
                    <w:shd w:val="clear" w:color="auto" w:fill="FFFFFF" w:themeFill="background1"/>
                  </w:tcPr>
                  <w:p>
                    <w:pPr>
                      <w:jc w:val="center"/>
                      <w:rPr>
                        <w:sz w:val="20"/>
                      </w:rPr>
                    </w:pPr>
                    <w:r>
                      <w:rPr>
                        <w:bCs/>
                        <w:sz w:val="20"/>
                      </w:rPr>
                      <w:t>2021</w:t>
                    </w:r>
                    <w:r>
                      <w:rPr>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Modernizuotų infekcinių ligų klasterio kompetencijos centrų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ind w:firstLine="53"/>
                      <w:jc w:val="center"/>
                      <w:rPr>
                        <w:bCs/>
                        <w:sz w:val="20"/>
                      </w:rPr>
                    </w:pPr>
                    <w:r>
                      <w:rPr>
                        <w:bCs/>
                        <w:sz w:val="20"/>
                      </w:rPr>
                      <w:t>5</w:t>
                    </w:r>
                  </w:p>
                  <w:p>
                    <w:pPr>
                      <w:jc w:val="center"/>
                      <w:rPr>
                        <w:sz w:val="20"/>
                      </w:rPr>
                    </w:pPr>
                    <w:r>
                      <w:rPr>
                        <w:bCs/>
                        <w:sz w:val="20"/>
                      </w:rPr>
                      <w:t>(2026 m. II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Ligoninių, kuriose įrengti modernizuoti skubiosios pagalbos, reanimacijos arba intensyviosios terapijos skyriai,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(2026 m. II ketv.)</w:t>
                    </w:r>
                  </w:p>
                </w:tc>
                <w:tc>
                  <w:tcPr>
                    <w:tcW w:w="1344" w:type="dxa"/>
                    <w:shd w:val="clear" w:color="auto" w:fill="FFFFFF" w:themeFill="background1"/>
                  </w:tcPr>
                  <w:p>
                    <w:pPr>
                      <w:jc w:val="center"/>
                      <w:rPr>
                        <w:i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Pažangiosios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(2026 m. II ketv.)</w:t>
                    </w:r>
                  </w:p>
                </w:tc>
                <w:tc>
                  <w:tcPr>
                    <w:tcW w:w="1344" w:type="dxa"/>
                    <w:shd w:val="clear" w:color="auto" w:fill="FFFFFF" w:themeFill="background1"/>
                  </w:tcPr>
                  <w:p>
                    <w:pPr>
                      <w:spacing w:line="276" w:lineRule="auto"/>
                      <w:jc w:val="center"/>
                      <w:rPr>
                        <w:iCs/>
                        <w:sz w:val="20"/>
                      </w:rPr>
                    </w:pPr>
                    <w:r>
                      <w:rPr>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shd w:val="clear" w:color="auto" w:fill="FFFFFF"/>
                  </w:tcPr>
                  <w:p>
                    <w:pPr>
                      <w:rPr>
                        <w:sz w:val="20"/>
                      </w:rPr>
                    </w:pPr>
                    <w:r>
                      <w:rPr>
                        <w:sz w:val="20"/>
                      </w:rPr>
                      <w:t>P-11-002-02-11-01-57</w:t>
                    </w:r>
                  </w:p>
                </w:tc>
                <w:tc>
                  <w:tcPr>
                    <w:tcW w:w="1079" w:type="dxa"/>
                    <w:shd w:val="clear" w:color="auto" w:fill="FFFFFF"/>
                  </w:tcPr>
                  <w:p>
                    <w:pPr>
                      <w:rPr>
                        <w:sz w:val="20"/>
                      </w:rPr>
                    </w:pPr>
                    <w:r>
                      <w:rPr>
                        <w:sz w:val="20"/>
                      </w:rPr>
                      <w:t>Produkto</w:t>
                    </w:r>
                  </w:p>
                </w:tc>
                <w:tc>
                  <w:tcPr>
                    <w:tcW w:w="2541" w:type="dxa"/>
                    <w:shd w:val="clear" w:color="auto" w:fill="FFFFFF"/>
                  </w:tcPr>
                  <w:p>
                    <w:pPr>
                      <w:rPr>
                        <w:sz w:val="20"/>
                      </w:rPr>
                    </w:pPr>
                    <w:r>
                      <w:rPr>
                        <w:sz w:val="20"/>
                      </w:rPr>
                      <w:t>Sveikatos priežiūros įstaigos, įgyvendinusios sveikatos priežiūros specialistų įgalinimo, pritraukimo ir išlaikymo projektus</w:t>
                    </w:r>
                  </w:p>
                </w:tc>
                <w:tc>
                  <w:tcPr>
                    <w:tcW w:w="1078" w:type="dxa"/>
                    <w:shd w:val="clear" w:color="auto" w:fill="FFFFFF"/>
                  </w:tcPr>
                  <w:p>
                    <w:pPr>
                      <w:jc w:val="center"/>
                      <w:rPr>
                        <w:sz w:val="20"/>
                      </w:rPr>
                    </w:pPr>
                    <w:r>
                      <w:rPr>
                        <w:sz w:val="20"/>
                      </w:rPr>
                      <w:t>Skaičius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5</w:t>
                    </w:r>
                  </w:p>
                  <w:p>
                    <w:pPr>
                      <w:jc w:val="center"/>
                      <w:rPr>
                        <w:sz w:val="20"/>
                      </w:rPr>
                    </w:pPr>
                    <w:r>
                      <w:rPr>
                        <w:sz w:val="20"/>
                      </w:rPr>
                      <w:t>(2024 m.)</w:t>
                    </w:r>
                  </w:p>
                </w:tc>
                <w:tc>
                  <w:tcPr>
                    <w:tcW w:w="1079" w:type="dxa"/>
                    <w:shd w:val="clear" w:color="auto" w:fill="FFFFFF"/>
                  </w:tcPr>
                  <w:p>
                    <w:pPr>
                      <w:jc w:val="both"/>
                      <w:rPr>
                        <w:sz w:val="20"/>
                      </w:rPr>
                    </w:pPr>
                    <w:r>
                      <w:rPr>
                        <w:sz w:val="20"/>
                      </w:rPr>
                      <w:t>105</w:t>
                    </w:r>
                  </w:p>
                  <w:p>
                    <w:pPr>
                      <w:jc w:val="center"/>
                      <w:rPr>
                        <w:sz w:val="20"/>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szCs w:val="24"/>
                      </w:rPr>
                      <w:t>–</w:t>
                    </w:r>
                    <w:r>
                      <w:rPr>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cPr>
                  <w:p>
                    <w:pPr>
                      <w:spacing w:line="276" w:lineRule="auto"/>
                      <w:rPr>
                        <w:sz w:val="20"/>
                      </w:rPr>
                    </w:pPr>
                    <w:r>
                      <w:rPr>
                        <w:sz w:val="20"/>
                      </w:rPr>
                      <w:t>P-11-002-02-11-01-60</w:t>
                    </w:r>
                  </w:p>
                </w:tc>
                <w:tc>
                  <w:tcPr>
                    <w:tcW w:w="1079" w:type="dxa"/>
                    <w:shd w:val="clear" w:color="auto" w:fill="FFFFFF"/>
                  </w:tcPr>
                  <w:p>
                    <w:pPr>
                      <w:spacing w:line="276" w:lineRule="auto"/>
                      <w:rPr>
                        <w:sz w:val="20"/>
                      </w:rPr>
                    </w:pPr>
                    <w:r>
                      <w:rPr>
                        <w:sz w:val="20"/>
                      </w:rPr>
                      <w:t>Produkto</w:t>
                    </w:r>
                  </w:p>
                </w:tc>
                <w:tc>
                  <w:tcPr>
                    <w:tcW w:w="2541" w:type="dxa"/>
                    <w:shd w:val="clear" w:color="auto" w:fill="FFFFFF"/>
                  </w:tcPr>
                  <w:p>
                    <w:pPr>
                      <w:rPr>
                        <w:sz w:val="20"/>
                      </w:rPr>
                    </w:pPr>
                    <w:r>
                      <w:rPr>
                        <w:sz w:val="20"/>
                      </w:rPr>
                      <w:t>Asmenys, dalyvavę kvalifikacijos įgijimo veiklose</w:t>
                    </w:r>
                  </w:p>
                </w:tc>
                <w:tc>
                  <w:tcPr>
                    <w:tcW w:w="1078" w:type="dxa"/>
                    <w:shd w:val="clear" w:color="auto" w:fill="FFFFFF"/>
                  </w:tcPr>
                  <w:p>
                    <w:pPr>
                      <w:spacing w:line="276" w:lineRule="auto"/>
                      <w:jc w:val="center"/>
                      <w:rPr>
                        <w:sz w:val="20"/>
                      </w:rPr>
                    </w:pPr>
                    <w:r>
                      <w:rPr>
                        <w:sz w:val="20"/>
                      </w:rPr>
                      <w:t>Asmenys</w:t>
                    </w:r>
                  </w:p>
                </w:tc>
                <w:tc>
                  <w:tcPr>
                    <w:tcW w:w="1078" w:type="dxa"/>
                    <w:shd w:val="clear" w:color="auto" w:fill="FFFFFF"/>
                  </w:tcPr>
                  <w:p>
                    <w:pPr>
                      <w:jc w:val="center"/>
                      <w:rPr>
                        <w:sz w:val="20"/>
                      </w:rPr>
                    </w:pPr>
                    <w:r>
                      <w:rPr>
                        <w:sz w:val="20"/>
                      </w:rPr>
                      <w:t>0</w:t>
                    </w:r>
                  </w:p>
                </w:tc>
                <w:tc>
                  <w:tcPr>
                    <w:tcW w:w="945" w:type="dxa"/>
                    <w:shd w:val="clear" w:color="auto" w:fill="FFFFFF"/>
                  </w:tcPr>
                  <w:p>
                    <w:pPr>
                      <w:jc w:val="both"/>
                      <w:rPr>
                        <w:sz w:val="20"/>
                      </w:rPr>
                    </w:pPr>
                    <w:r>
                      <w:rPr>
                        <w:sz w:val="20"/>
                      </w:rPr>
                      <w:t>0</w:t>
                    </w:r>
                  </w:p>
                  <w:p>
                    <w:pPr>
                      <w:jc w:val="center"/>
                      <w:rPr>
                        <w:sz w:val="20"/>
                      </w:rPr>
                    </w:pPr>
                    <w:r>
                      <w:rPr>
                        <w:sz w:val="20"/>
                      </w:rPr>
                      <w:t>(2024 m.)</w:t>
                    </w:r>
                  </w:p>
                </w:tc>
                <w:tc>
                  <w:tcPr>
                    <w:tcW w:w="1079" w:type="dxa"/>
                    <w:shd w:val="clear" w:color="auto" w:fill="FFFFFF"/>
                  </w:tcPr>
                  <w:p>
                    <w:pPr>
                      <w:jc w:val="both"/>
                      <w:rPr>
                        <w:sz w:val="20"/>
                      </w:rPr>
                    </w:pPr>
                    <w:r>
                      <w:rPr>
                        <w:sz w:val="20"/>
                      </w:rPr>
                      <w:t>324</w:t>
                    </w:r>
                  </w:p>
                  <w:p>
                    <w:pPr>
                      <w:jc w:val="center"/>
                      <w:rPr>
                        <w:sz w:val="20"/>
                        <w:lang w:val="en-US"/>
                      </w:rPr>
                    </w:pPr>
                    <w:r>
                      <w:rPr>
                        <w:sz w:val="20"/>
                      </w:rPr>
                      <w:t>(2029 m.)</w:t>
                    </w:r>
                  </w:p>
                </w:tc>
                <w:tc>
                  <w:tcPr>
                    <w:tcW w:w="1344" w:type="dxa"/>
                    <w:shd w:val="clear" w:color="auto" w:fill="FFFFFF"/>
                  </w:tcPr>
                  <w:p>
                    <w:pPr>
                      <w:jc w:val="center"/>
                      <w:rPr>
                        <w:bCs/>
                        <w:sz w:val="20"/>
                      </w:rPr>
                    </w:pPr>
                    <w:r>
                      <w:rPr>
                        <w:sz w:val="20"/>
                      </w:rPr>
                      <w:t>2021–2027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ir patvirtinta ilgalaikė sveikatos žmogiškųjų išteklių valdymo strategija</w:t>
                    </w:r>
                    <w:r>
                      <w:rPr>
                        <w:sz w:val="20"/>
                        <w:vertAlign w:val="superscript"/>
                      </w:rPr>
                      <w:t>1</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rPr>
                      <w:t>1</w:t>
                    </w:r>
                  </w:p>
                  <w:p>
                    <w:pPr>
                      <w:ind w:firstLine="53"/>
                      <w:jc w:val="center"/>
                      <w:rPr>
                        <w:sz w:val="20"/>
                      </w:rPr>
                    </w:pPr>
                    <w:r>
                      <w:rPr>
                        <w:sz w:val="20"/>
                      </w:rPr>
                      <w:t>(2026 m.)</w:t>
                    </w:r>
                  </w:p>
                </w:tc>
                <w:tc>
                  <w:tcPr>
                    <w:tcW w:w="1344" w:type="dxa"/>
                    <w:shd w:val="clear" w:color="auto" w:fill="FFFFFF" w:themeFill="background1"/>
                  </w:tcPr>
                  <w:p>
                    <w:pPr>
                      <w:spacing w:line="276" w:lineRule="auto"/>
                      <w:jc w:val="center"/>
                      <w:rPr>
                        <w:bCs/>
                        <w:sz w:val="20"/>
                      </w:rPr>
                    </w:pPr>
                    <w:r>
                      <w:rPr>
                        <w:bCs/>
                        <w:sz w:val="20"/>
                      </w:rPr>
                      <w:t>2021</w:t>
                    </w:r>
                    <w:r>
                      <w:rPr>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 ir projektai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P-11-002-02-11-01-81</w:t>
                    </w:r>
                  </w:p>
                </w:tc>
                <w:tc>
                  <w:tcPr>
                    <w:tcW w:w="1079" w:type="dxa"/>
                    <w:shd w:val="clear" w:color="auto" w:fill="FFFFFF" w:themeFill="background1"/>
                  </w:tcPr>
                  <w:p>
                    <w:pPr>
                      <w:spacing w:line="276" w:lineRule="auto"/>
                      <w:rPr>
                        <w:sz w:val="20"/>
                      </w:rPr>
                    </w:pPr>
                    <w:r>
                      <w:rPr>
                        <w:sz w:val="20"/>
                      </w:rPr>
                      <w:t xml:space="preserve">Produkto </w:t>
                    </w:r>
                  </w:p>
                </w:tc>
                <w:tc>
                  <w:tcPr>
                    <w:tcW w:w="2541" w:type="dxa"/>
                    <w:shd w:val="clear" w:color="auto" w:fill="FFFFFF" w:themeFill="background1"/>
                  </w:tcPr>
                  <w:p>
                    <w:pPr>
                      <w:rPr>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ind w:firstLine="53"/>
                      <w:jc w:val="center"/>
                      <w:rPr>
                        <w:sz w:val="20"/>
                      </w:rPr>
                    </w:pPr>
                    <w:r>
                      <w:rPr>
                        <w:sz w:val="20"/>
                        <w:lang w:val="en-US"/>
                      </w:rPr>
                      <w:t>10 990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AŠĮFP</w:t>
                    </w:r>
                  </w:p>
                </w:tc>
              </w:tr>
              <w:tr>
                <w:trPr>
                  <w:trHeight w:val="330"/>
                </w:trPr>
                <w:tc>
                  <w:tcPr>
                    <w:tcW w:w="1346" w:type="dxa"/>
                    <w:shd w:val="clear" w:color="auto" w:fill="FFFFFF" w:themeFill="background1"/>
                  </w:tcPr>
                  <w:p>
                    <w:pPr>
                      <w:spacing w:line="276" w:lineRule="auto"/>
                      <w:rPr>
                        <w:sz w:val="20"/>
                      </w:rPr>
                    </w:pPr>
                    <w:r>
                      <w:rPr>
                        <w:sz w:val="20"/>
                      </w:rPr>
                      <w:t>R-11-002-02-11-01-89</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Naujų arba modernizuotų e. sveikatos priežiūros</w:t>
                    </w:r>
                  </w:p>
                  <w:p>
                    <w:pPr>
                      <w:rPr>
                        <w:sz w:val="20"/>
                      </w:rPr>
                    </w:pPr>
                    <w:r>
                      <w:rPr>
                        <w:sz w:val="20"/>
                      </w:rPr>
                      <w:t>paslaugų naudotojų skaičius per metus</w:t>
                    </w:r>
                  </w:p>
                </w:tc>
                <w:tc>
                  <w:tcPr>
                    <w:tcW w:w="1078" w:type="dxa"/>
                    <w:shd w:val="clear" w:color="auto" w:fill="FFFFFF" w:themeFill="background1"/>
                  </w:tcPr>
                  <w:p>
                    <w:pPr>
                      <w:spacing w:line="276" w:lineRule="auto"/>
                      <w:jc w:val="center"/>
                      <w:rPr>
                        <w:sz w:val="20"/>
                      </w:rPr>
                    </w:pPr>
                    <w:r>
                      <w:rPr>
                        <w:sz w:val="20"/>
                      </w:rPr>
                      <w:t>Naudotojai per metus</w:t>
                    </w:r>
                  </w:p>
                  <w:p>
                    <w:pPr>
                      <w:spacing w:line="276" w:lineRule="auto"/>
                      <w:jc w:val="center"/>
                      <w:rPr>
                        <w:sz w:val="20"/>
                      </w:rPr>
                    </w:pP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1 400 000</w:t>
                    </w:r>
                  </w:p>
                  <w:p>
                    <w:pPr>
                      <w:jc w:val="center"/>
                      <w:rPr>
                        <w:sz w:val="20"/>
                      </w:rPr>
                    </w:pPr>
                    <w:r>
                      <w:rPr>
                        <w:sz w:val="20"/>
                      </w:rPr>
                      <w:t>(2029 m.)</w:t>
                    </w:r>
                  </w:p>
                  <w:p>
                    <w:pPr>
                      <w:jc w:val="center"/>
                      <w:rPr>
                        <w:sz w:val="20"/>
                        <w:lang w:val="en-US"/>
                      </w:rPr>
                    </w:pPr>
                  </w:p>
                </w:tc>
                <w:tc>
                  <w:tcPr>
                    <w:tcW w:w="1344" w:type="dxa"/>
                    <w:shd w:val="clear" w:color="auto" w:fill="FFFFFF" w:themeFill="background1"/>
                  </w:tcPr>
                  <w:p>
                    <w:pPr>
                      <w:spacing w:line="276" w:lineRule="auto"/>
                      <w:jc w:val="center"/>
                      <w:rPr>
                        <w:bCs/>
                        <w:sz w:val="20"/>
                      </w:rPr>
                    </w:pPr>
                    <w:r>
                      <w:rPr>
                        <w:bCs/>
                        <w:sz w:val="20"/>
                      </w:rPr>
                      <w:t>2021–2027 m. IP (ERPF)</w:t>
                    </w:r>
                  </w:p>
                </w:tc>
              </w:tr>
              <w:tr>
                <w:trPr>
                  <w:trHeight w:val="330"/>
                </w:trPr>
                <w:tc>
                  <w:tcPr>
                    <w:tcW w:w="1346" w:type="dxa"/>
                    <w:shd w:val="clear" w:color="auto" w:fill="FFFFFF" w:themeFill="background1"/>
                  </w:tcPr>
                  <w:p>
                    <w:pPr>
                      <w:spacing w:line="276" w:lineRule="auto"/>
                      <w:rPr>
                        <w:sz w:val="20"/>
                      </w:rPr>
                    </w:pPr>
                    <w:r>
                      <w:rPr>
                        <w:sz w:val="20"/>
                      </w:rPr>
                      <w:t>P-11-002-02-11-01-90</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Pateikta sveikatos priežiūros paslaugų kokybės rodiklių suvestinė internete</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Žmogiškųjų išteklių ir infrastruktūros pajėgumų didinimas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tc>
                <w:tc>
                  <w:tcPr>
                    <w:tcW w:w="1079" w:type="dxa"/>
                    <w:shd w:val="clear" w:color="auto" w:fill="FFFFFF" w:themeFill="background1"/>
                  </w:tcPr>
                  <w:p>
                    <w:pPr>
                      <w:jc w:val="center"/>
                      <w:rPr>
                        <w:sz w:val="20"/>
                      </w:rPr>
                    </w:pPr>
                    <w:r>
                      <w:rPr>
                        <w:sz w:val="20"/>
                      </w:rPr>
                      <w:t xml:space="preserve">1085 </w:t>
                    </w:r>
                  </w:p>
                  <w:p>
                    <w:pPr>
                      <w:jc w:val="center"/>
                      <w:rPr>
                        <w:sz w:val="20"/>
                      </w:rPr>
                    </w:pPr>
                    <w:r>
                      <w:rPr>
                        <w:sz w:val="20"/>
                      </w:rPr>
                      <w:t>(202</w:t>
                    </w:r>
                    <w:r>
                      <w:rPr>
                        <w:sz w:val="20"/>
                        <w:lang w:val="en-US"/>
                      </w:rPr>
                      <w:t>5</w:t>
                    </w:r>
                    <w:r>
                      <w:rPr>
                        <w:sz w:val="20"/>
                      </w:rPr>
                      <w:t xml:space="preserve"> m. II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P-11-002-02-11-01-92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cs="Arial"/>
                        <w:sz w:val="20"/>
                      </w:rPr>
                      <w:t>Infrastruktūros pajėgumų didinimas</w:t>
                    </w:r>
                    <w:r>
                      <w:rPr>
                        <w:sz w:val="20"/>
                      </w:rPr>
                      <w:t xml:space="preserve">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85</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100</w:t>
                    </w:r>
                  </w:p>
                  <w:p>
                    <w:pPr>
                      <w:jc w:val="center"/>
                      <w:rPr>
                        <w:sz w:val="20"/>
                      </w:rPr>
                    </w:pPr>
                    <w:r>
                      <w:rPr>
                        <w:sz w:val="20"/>
                      </w:rPr>
                      <w:t>(202</w:t>
                    </w:r>
                    <w:r>
                      <w:rPr>
                        <w:sz w:val="20"/>
                        <w:lang w:val="en-US"/>
                      </w:rPr>
                      <w:t>6</w:t>
                    </w:r>
                    <w:r>
                      <w:rPr>
                        <w:sz w:val="20"/>
                      </w:rPr>
                      <w:t xml:space="preserve"> m. I ketv.)</w:t>
                    </w:r>
                  </w:p>
                </w:tc>
                <w:tc>
                  <w:tcPr>
                    <w:tcW w:w="1344" w:type="dxa"/>
                    <w:shd w:val="clear" w:color="auto" w:fill="FFFFFF" w:themeFill="background1"/>
                  </w:tcPr>
                  <w:p>
                    <w:pPr>
                      <w:spacing w:line="276" w:lineRule="auto"/>
                      <w:jc w:val="center"/>
                      <w:rPr>
                        <w:sz w:val="20"/>
                      </w:rPr>
                    </w:pPr>
                    <w:r>
                      <w:rPr>
                        <w:sz w:val="20"/>
                      </w:rPr>
                      <w:t>EGADP</w:t>
                    </w:r>
                  </w:p>
                  <w:p>
                    <w:pPr>
                      <w:spacing w:line="276" w:lineRule="auto"/>
                      <w:jc w:val="center"/>
                      <w:rPr>
                        <w:bCs/>
                        <w:sz w:val="20"/>
                      </w:rPr>
                    </w:pPr>
                  </w:p>
                </w:tc>
              </w:tr>
            </w:tbl>
            <w:p>
              <w:pPr>
                <w:rPr>
                  <w:sz w:val="10"/>
                  <w:szCs w:val="10"/>
                </w:rPr>
              </w:pPr>
            </w:p>
            <w:p>
              <w:pPr>
                <w:jc w:val="both"/>
                <w:rPr>
                  <w:b/>
                  <w:bCs/>
                  <w:sz w:val="20"/>
                  <w:lang w:eastAsia="lt-LT"/>
                </w:rPr>
              </w:pPr>
              <w:r>
                <w:rPr>
                  <w:b/>
                  <w:bCs/>
                  <w:sz w:val="20"/>
                  <w:lang w:eastAsia="lt-LT"/>
                </w:rPr>
                <w:t>Pastabos:</w:t>
              </w:r>
            </w:p>
            <w:p>
              <w:pPr>
                <w:jc w:val="both"/>
                <w:rPr>
                  <w:i/>
                  <w:iCs/>
                  <w:sz w:val="16"/>
                  <w:szCs w:val="16"/>
                  <w:lang w:eastAsia="lt-LT"/>
                </w:rPr>
              </w:pPr>
              <w:r>
                <w:rPr>
                  <w:sz w:val="16"/>
                  <w:szCs w:val="16"/>
                  <w:lang w:eastAsia="lt-LT"/>
                </w:rPr>
                <w:t xml:space="preserve">1. </w:t>
              </w:r>
              <w:r>
                <w:rPr>
                  <w:sz w:val="16"/>
                  <w:szCs w:val="16"/>
                  <w:lang w:val="lt"/>
                </w:rPr>
                <w:t>Nacionaliniai rodikliai, kurių bus siekiama vykdant veiklas, finansuojamas iš 2021–2027 m. IP ir (arba) EGDAP lėšų.</w:t>
              </w:r>
            </w:p>
            <w:p>
              <w:pPr>
                <w:jc w:val="both"/>
                <w:rPr>
                  <w:sz w:val="20"/>
                  <w:lang w:eastAsia="lt-LT"/>
                </w:rPr>
              </w:pPr>
              <w:r>
                <w:rPr>
                  <w:sz w:val="16"/>
                  <w:szCs w:val="16"/>
                  <w:lang w:eastAsia="lt-LT"/>
                </w:rPr>
                <w:t>2.</w:t>
              </w:r>
              <w:r>
                <w:rPr>
                  <w:sz w:val="16"/>
                  <w:szCs w:val="16"/>
                  <w:lang w:val="lt"/>
                </w:rPr>
                <w:t xml:space="preserve"> EGADP bendrieji rodikliai. Bendrieji rodikliai nurodyti Ekonomikos gaivinimo ir atsparumo didinimo plane „Naujos kartos Lietuva“ ir neturi siektinų reikšmių. Duomenys bus renkami iš susijusių reformų ir investicijų rodiklių. Ataskaitinis laikotarpis – iki 2026 m. IV ketv</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9d0aedf2bf194fce908dda4419ffb962"/>
            <w:lock w:val="sdtLocked"/>
            <w:richText/>
          </w:sdtPr>
          <w:sdtContent>
            <w:p>
              <w:pPr>
                <w:ind w:left="720" w:right="-31"/>
                <w:jc w:val="center"/>
                <w:rPr>
                  <w:b/>
                  <w:bCs/>
                  <w:color w:val="000000"/>
                  <w:szCs w:val="24"/>
                </w:rPr>
              </w:pPr>
              <w:sdt>
                <w:sdtPr>
                  <w:alias w:val="Numeris"/>
                  <w:tag w:val="nr_9d0aedf2bf194fce908dda4419ffb962"/>
                  <w:lock w:val="sdtLocked"/>
                  <w:richText/>
                </w:sdtPr>
                <w:sdtContent>
                  <w:r>
                    <w:rPr>
                      <w:b/>
                      <w:bCs/>
                      <w:color w:val="000000"/>
                      <w:szCs w:val="24"/>
                    </w:rPr>
                    <w:t>II</w:t>
                  </w:r>
                </w:sdtContent>
              </w:sdt>
              <w:r>
                <w:rPr>
                  <w:b/>
                  <w:bCs/>
                  <w:color w:val="000000"/>
                  <w:szCs w:val="24"/>
                </w:rPr>
                <w:t xml:space="preserve"> SKYRIUS</w:t>
              </w:r>
            </w:p>
            <w:p>
              <w:pPr>
                <w:ind w:right="-31"/>
                <w:jc w:val="center"/>
              </w:pPr>
              <w:sdt>
                <w:sdtPr>
                  <w:alias w:val="Pavadinimas"/>
                  <w:tag w:val="title_9d0aedf2bf194fce908dda4419ffb962"/>
                  <w:lock w:val="sdtLocked"/>
                  <w:richText/>
                </w:sdtPr>
                <w:sdtContent>
                  <w:r>
                    <w:rPr>
                      <w:b/>
                      <w:bCs/>
                      <w:color w:val="000000"/>
                      <w:szCs w:val="24"/>
                    </w:rPr>
                    <w:t>PLĖTROS PROGRAMOS PAŽANGOS PRIEMONĖS FINANSAVIMO ŠALTINIAI</w:t>
                  </w:r>
                </w:sdtContent>
              </w:sdt>
            </w:p>
            <w:p>
              <w:pPr>
                <w:ind w:left="720" w:firstLine="62"/>
                <w:jc w:val="cente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7475"/>
                <w:gridCol w:w="3149"/>
              </w:tblGrid>
              <w:tr>
                <w:trPr>
                  <w:trHeight w:val="555"/>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Finansavimo apimtis ir šaltiniai</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Lėšų poreikis (tūkst. eurų)</w:t>
                    </w:r>
                  </w:p>
                </w:tc>
              </w:tr>
              <w:tr>
                <w:trPr>
                  <w:trHeight w:val="270"/>
                </w:trPr>
                <w:tc>
                  <w:tcPr>
                    <w:tcW w:w="8212" w:type="dxa"/>
                    <w:shd w:val="clear" w:color="auto" w:fill="D9E2F3"/>
                    <w:tcMar>
                      <w:top w:w="28" w:type="dxa"/>
                      <w:left w:w="30" w:type="dxa"/>
                      <w:bottom w:w="28" w:type="dxa"/>
                      <w:right w:w="30" w:type="dxa"/>
                    </w:tcMar>
                    <w:vAlign w:val="center"/>
                  </w:tcPr>
                  <w:p>
                    <w:pPr>
                      <w:rPr>
                        <w:sz w:val="4"/>
                        <w:szCs w:val="4"/>
                      </w:rPr>
                    </w:pPr>
                  </w:p>
                  <w:p>
                    <w:pPr>
                      <w:jc w:val="center"/>
                      <w:rPr>
                        <w:b/>
                        <w:bCs/>
                        <w:color w:val="000000"/>
                        <w:sz w:val="20"/>
                      </w:rPr>
                    </w:pPr>
                    <w:r>
                      <w:rPr>
                        <w:b/>
                        <w:bCs/>
                        <w:color w:val="000000"/>
                        <w:sz w:val="20"/>
                      </w:rPr>
                      <w:t>1</w:t>
                    </w:r>
                  </w:p>
                </w:tc>
                <w:tc>
                  <w:tcPr>
                    <w:tcW w:w="3402" w:type="dxa"/>
                    <w:shd w:val="clear" w:color="auto" w:fill="D9E2F3"/>
                    <w:tcMar>
                      <w:top w:w="28" w:type="dxa"/>
                      <w:left w:w="30" w:type="dxa"/>
                      <w:bottom w:w="28" w:type="dxa"/>
                      <w:right w:w="30" w:type="dxa"/>
                    </w:tcMar>
                    <w:vAlign w:val="center"/>
                  </w:tcPr>
                  <w:p>
                    <w:pPr>
                      <w:rPr>
                        <w:sz w:val="4"/>
                        <w:szCs w:val="4"/>
                      </w:rPr>
                    </w:pPr>
                  </w:p>
                  <w:p>
                    <w:pPr>
                      <w:ind w:left="15" w:hanging="15"/>
                      <w:jc w:val="center"/>
                      <w:rPr>
                        <w:b/>
                        <w:bCs/>
                        <w:color w:val="000000"/>
                        <w:sz w:val="20"/>
                      </w:rPr>
                    </w:pPr>
                    <w:r>
                      <w:rPr>
                        <w:b/>
                        <w:bCs/>
                        <w:color w:val="000000"/>
                        <w:sz w:val="20"/>
                      </w:rPr>
                      <w:t>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1.1. Valstybės biudžeto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97 485,731</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1.1.1.1.1. Valstybės biudžeto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46 919,719</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i/>
                        <w:iCs/>
                        <w:sz w:val="20"/>
                        <w:highlight w:val="yellow"/>
                      </w:rPr>
                    </w:pPr>
                    <w:r>
                      <w:rPr>
                        <w:sz w:val="20"/>
                      </w:rPr>
                      <w:t>1.1.1.1.2. Valstybės biudžeto lėšos, skirtos apmokėti bendrai finansuojamų iš ES fondų lėšų projektų netinkamam finansuoti iš ES fondų lėšų pirkimo ir (arba) importo PVM</w:t>
                    </w:r>
                  </w:p>
                </w:tc>
                <w:tc>
                  <w:tcPr>
                    <w:tcW w:w="3402" w:type="dxa"/>
                    <w:tcMar>
                      <w:top w:w="28" w:type="dxa"/>
                      <w:left w:w="30" w:type="dxa"/>
                      <w:bottom w:w="28" w:type="dxa"/>
                      <w:right w:w="30" w:type="dxa"/>
                    </w:tcMar>
                    <w:vAlign w:val="center"/>
                  </w:tcPr>
                  <w:p>
                    <w:pPr>
                      <w:rPr>
                        <w:sz w:val="4"/>
                        <w:szCs w:val="4"/>
                      </w:rPr>
                    </w:pPr>
                  </w:p>
                  <w:p>
                    <w:pPr>
                      <w:jc w:val="center"/>
                      <w:rPr>
                        <w:color w:val="215E99"/>
                        <w:sz w:val="20"/>
                      </w:rPr>
                    </w:pPr>
                    <w:r>
                      <w:rPr>
                        <w:sz w:val="20"/>
                      </w:rPr>
                      <w:t>50 566,012</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1.2. Europos Sąjungos ir kitos tarptautinės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b/>
                        <w:bCs/>
                        <w:sz w:val="20"/>
                      </w:rPr>
                    </w:pPr>
                    <w:r>
                      <w:rPr>
                        <w:b/>
                        <w:bCs/>
                        <w:sz w:val="20"/>
                      </w:rPr>
                      <w:t>89 381,753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Sostinės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36 571,033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1.2.2.8.1. 2021–2027 m. ES struktūrinių fondų bendrojo finansavimo lėšos, Vidurio ir vakarų Lietuvos regionas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47 677,773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1.2.3.1.68. Antrojo Šveicarijos įnašo finansinės paramos bendrojo finansavimo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5 132,947</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1.3. Europos Sąjungos ir kita tarptautinė finansinė parama</w:t>
                    </w:r>
                  </w:p>
                </w:tc>
                <w:tc>
                  <w:tcPr>
                    <w:tcW w:w="3402" w:type="dxa"/>
                    <w:tcMar>
                      <w:top w:w="28" w:type="dxa"/>
                      <w:left w:w="30" w:type="dxa"/>
                      <w:bottom w:w="28" w:type="dxa"/>
                      <w:right w:w="30" w:type="dxa"/>
                    </w:tcMar>
                    <w:vAlign w:val="center"/>
                  </w:tcPr>
                  <w:p>
                    <w:pPr>
                      <w:rPr>
                        <w:sz w:val="4"/>
                        <w:szCs w:val="4"/>
                      </w:rPr>
                    </w:pPr>
                  </w:p>
                  <w:p>
                    <w:pPr>
                      <w:jc w:val="center"/>
                      <w:rPr>
                        <w:b/>
                        <w:color w:val="215E99"/>
                        <w:sz w:val="20"/>
                      </w:rPr>
                    </w:pPr>
                    <w:r>
                      <w:rPr>
                        <w:b/>
                        <w:sz w:val="20"/>
                      </w:rPr>
                      <w:t>641 510,653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socialinis fondas +)</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88 047,443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Sostinės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38 371,033</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1.3.2.8.1. 2021–2027 m. ES struktūrinių fondų lėšos, Vidurio ir vakarų Lietuvos regionas (Europos regioninės plėtros fondas)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182 126,604</w:t>
                    </w: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highlight w:val="yellow"/>
                      </w:rPr>
                    </w:pPr>
                    <w:r>
                      <w:rPr>
                        <w:sz w:val="20"/>
                      </w:rPr>
                      <w:t>1.3.3.1.57. Ekonomikos gaivinimo ir atsparumo didinimo priemonės lėšos</w:t>
                    </w:r>
                  </w:p>
                </w:tc>
                <w:tc>
                  <w:tcPr>
                    <w:tcW w:w="3402" w:type="dxa"/>
                    <w:tcMar>
                      <w:top w:w="28" w:type="dxa"/>
                      <w:left w:w="30" w:type="dxa"/>
                      <w:bottom w:w="28" w:type="dxa"/>
                      <w:right w:w="30" w:type="dxa"/>
                    </w:tcMar>
                    <w:vAlign w:val="center"/>
                  </w:tcPr>
                  <w:p>
                    <w:pPr>
                      <w:rPr>
                        <w:sz w:val="4"/>
                        <w:szCs w:val="4"/>
                      </w:rPr>
                    </w:pPr>
                  </w:p>
                  <w:p>
                    <w:pPr>
                      <w:jc w:val="center"/>
                      <w:rPr>
                        <w:sz w:val="20"/>
                        <w:lang w:val="en-US"/>
                      </w:rPr>
                    </w:pPr>
                    <w:r>
                      <w:rPr>
                        <w:sz w:val="20"/>
                        <w:lang w:val="en-US"/>
                      </w:rPr>
                      <w:t>303 878,874</w:t>
                    </w:r>
                  </w:p>
                </w:tc>
              </w:tr>
              <w:tr>
                <w:trPr>
                  <w:trHeight w:val="15"/>
                </w:trPr>
                <w:tc>
                  <w:tcPr>
                    <w:tcW w:w="8212" w:type="dxa"/>
                    <w:tcMar>
                      <w:top w:w="28" w:type="dxa"/>
                      <w:left w:w="30" w:type="dxa"/>
                      <w:bottom w:w="28" w:type="dxa"/>
                      <w:right w:w="30" w:type="dxa"/>
                    </w:tcMar>
                    <w:vAlign w:val="center"/>
                  </w:tcPr>
                  <w:p>
                    <w:pPr>
                      <w:rPr>
                        <w:sz w:val="4"/>
                        <w:szCs w:val="4"/>
                      </w:rPr>
                    </w:pPr>
                  </w:p>
                  <w:p>
                    <w:pPr>
                      <w:ind w:left="104"/>
                      <w:rPr>
                        <w:sz w:val="20"/>
                      </w:rPr>
                    </w:pPr>
                    <w:r>
                      <w:rPr>
                        <w:sz w:val="20"/>
                      </w:rPr>
                      <w:t>1.3.3.1.68. Antrojo Šveicarijos įnašo finansinės paramos lėšos</w:t>
                    </w:r>
                  </w:p>
                </w:tc>
                <w:tc>
                  <w:tcPr>
                    <w:tcW w:w="3402" w:type="dxa"/>
                    <w:tcMar>
                      <w:top w:w="28" w:type="dxa"/>
                      <w:left w:w="30" w:type="dxa"/>
                      <w:bottom w:w="28" w:type="dxa"/>
                      <w:right w:w="30" w:type="dxa"/>
                    </w:tcMar>
                    <w:vAlign w:val="center"/>
                  </w:tcPr>
                  <w:p>
                    <w:pPr>
                      <w:rPr>
                        <w:sz w:val="4"/>
                        <w:szCs w:val="4"/>
                      </w:rPr>
                    </w:pPr>
                  </w:p>
                  <w:p>
                    <w:pPr>
                      <w:jc w:val="center"/>
                      <w:rPr>
                        <w:sz w:val="20"/>
                      </w:rPr>
                    </w:pPr>
                    <w:r>
                      <w:rPr>
                        <w:sz w:val="20"/>
                      </w:rPr>
                      <w:t>29 086,699</w:t>
                    </w:r>
                  </w:p>
                </w:tc>
              </w:tr>
              <w:tr>
                <w:trPr>
                  <w:trHeight w:val="225"/>
                </w:trPr>
                <w:tc>
                  <w:tcPr>
                    <w:tcW w:w="8212" w:type="dxa"/>
                    <w:tcMar>
                      <w:top w:w="28" w:type="dxa"/>
                      <w:left w:w="30" w:type="dxa"/>
                      <w:bottom w:w="28" w:type="dxa"/>
                      <w:right w:w="30" w:type="dxa"/>
                    </w:tcMar>
                    <w:vAlign w:val="center"/>
                  </w:tcPr>
                  <w:p>
                    <w:pPr>
                      <w:rPr>
                        <w:sz w:val="4"/>
                        <w:szCs w:val="4"/>
                      </w:rPr>
                    </w:pPr>
                  </w:p>
                  <w:p>
                    <w:pPr>
                      <w:ind w:left="104"/>
                      <w:jc w:val="both"/>
                      <w:rPr>
                        <w:b/>
                        <w:bCs/>
                        <w:sz w:val="20"/>
                      </w:rPr>
                    </w:pPr>
                    <w:r>
                      <w:rPr>
                        <w:b/>
                        <w:bCs/>
                        <w:sz w:val="20"/>
                      </w:rPr>
                      <w:t>1.4.</w:t>
                    </w:r>
                    <w:r>
                      <w:rPr>
                        <w:b/>
                        <w:bCs/>
                        <w:i/>
                        <w:iCs/>
                        <w:sz w:val="20"/>
                      </w:rPr>
                      <w:t xml:space="preserve"> </w:t>
                    </w:r>
                    <w:r>
                      <w:rPr>
                        <w:b/>
                        <w:bCs/>
                        <w:sz w:val="20"/>
                      </w:rPr>
                      <w:t>Biudžetinių įstaigų pajamų įmokos ir kitos pajamos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ind w:left="104"/>
                      <w:rPr>
                        <w:b/>
                        <w:bCs/>
                        <w:sz w:val="20"/>
                      </w:rPr>
                    </w:pPr>
                    <w:r>
                      <w:rPr>
                        <w:b/>
                        <w:bCs/>
                        <w:sz w:val="20"/>
                      </w:rPr>
                      <w:t>2. Kitos lėšos</w:t>
                    </w:r>
                  </w:p>
                </w:tc>
                <w:tc>
                  <w:tcPr>
                    <w:tcW w:w="3402" w:type="dxa"/>
                    <w:tcMar>
                      <w:top w:w="28" w:type="dxa"/>
                      <w:left w:w="30" w:type="dxa"/>
                      <w:bottom w:w="28" w:type="dxa"/>
                      <w:right w:w="30" w:type="dxa"/>
                    </w:tcMar>
                    <w:vAlign w:val="center"/>
                  </w:tcPr>
                  <w:p>
                    <w:pPr>
                      <w:rPr>
                        <w:sz w:val="4"/>
                        <w:szCs w:val="4"/>
                      </w:rPr>
                    </w:pPr>
                  </w:p>
                  <w:p>
                    <w:pPr>
                      <w:jc w:val="center"/>
                      <w:rPr>
                        <w:b/>
                        <w:bCs/>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2.1.Savivaldybių biudžetų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2.2. Privačios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tcMar>
                      <w:top w:w="28" w:type="dxa"/>
                      <w:left w:w="30" w:type="dxa"/>
                      <w:bottom w:w="28" w:type="dxa"/>
                      <w:right w:w="30" w:type="dxa"/>
                    </w:tcMar>
                    <w:vAlign w:val="center"/>
                  </w:tcPr>
                  <w:p>
                    <w:pPr>
                      <w:rPr>
                        <w:sz w:val="4"/>
                        <w:szCs w:val="4"/>
                      </w:rPr>
                    </w:pPr>
                  </w:p>
                  <w:p>
                    <w:pPr>
                      <w:rPr>
                        <w:sz w:val="20"/>
                      </w:rPr>
                    </w:pPr>
                    <w:r>
                      <w:rPr>
                        <w:sz w:val="20"/>
                      </w:rPr>
                      <w:t>2.3. Kitos viešosios lėšos</w:t>
                    </w:r>
                  </w:p>
                </w:tc>
                <w:tc>
                  <w:tcPr>
                    <w:tcW w:w="3402" w:type="dxa"/>
                    <w:tcMar>
                      <w:top w:w="28" w:type="dxa"/>
                      <w:left w:w="30" w:type="dxa"/>
                      <w:bottom w:w="28" w:type="dxa"/>
                      <w:right w:w="30" w:type="dxa"/>
                    </w:tcMar>
                    <w:vAlign w:val="center"/>
                  </w:tcPr>
                  <w:p>
                    <w:pPr>
                      <w:rPr>
                        <w:sz w:val="4"/>
                        <w:szCs w:val="4"/>
                      </w:rPr>
                    </w:pPr>
                  </w:p>
                  <w:p>
                    <w:pPr>
                      <w:jc w:val="center"/>
                      <w:rPr>
                        <w:sz w:val="20"/>
                      </w:rPr>
                    </w:pPr>
                  </w:p>
                </w:tc>
              </w:tr>
              <w:tr>
                <w:trPr>
                  <w:trHeight w:val="15"/>
                </w:trPr>
                <w:tc>
                  <w:tcPr>
                    <w:tcW w:w="8212" w:type="dxa"/>
                    <w:shd w:val="clear" w:color="auto" w:fill="D9E2F3"/>
                    <w:tcMar>
                      <w:top w:w="28" w:type="dxa"/>
                      <w:left w:w="30" w:type="dxa"/>
                      <w:bottom w:w="28" w:type="dxa"/>
                      <w:right w:w="30" w:type="dxa"/>
                    </w:tcMar>
                    <w:vAlign w:val="center"/>
                  </w:tcPr>
                  <w:p>
                    <w:pPr>
                      <w:rPr>
                        <w:sz w:val="4"/>
                        <w:szCs w:val="4"/>
                      </w:rPr>
                    </w:pPr>
                  </w:p>
                  <w:p>
                    <w:pPr>
                      <w:rPr>
                        <w:b/>
                        <w:bCs/>
                        <w:color w:val="000000"/>
                        <w:sz w:val="20"/>
                      </w:rPr>
                    </w:pPr>
                    <w:r>
                      <w:rPr>
                        <w:b/>
                        <w:bCs/>
                        <w:color w:val="000000"/>
                        <w:sz w:val="20"/>
                      </w:rPr>
                      <w:t>IŠ VISO:</w:t>
                    </w:r>
                  </w:p>
                </w:tc>
                <w:tc>
                  <w:tcPr>
                    <w:tcW w:w="3402" w:type="dxa"/>
                    <w:shd w:val="clear" w:color="auto" w:fill="D9E2F3"/>
                    <w:tcMar>
                      <w:top w:w="28" w:type="dxa"/>
                      <w:left w:w="30" w:type="dxa"/>
                      <w:bottom w:w="28" w:type="dxa"/>
                      <w:right w:w="30" w:type="dxa"/>
                    </w:tcMar>
                    <w:vAlign w:val="center"/>
                  </w:tcPr>
                  <w:p>
                    <w:pPr>
                      <w:rPr>
                        <w:sz w:val="4"/>
                        <w:szCs w:val="4"/>
                      </w:rPr>
                    </w:pPr>
                  </w:p>
                  <w:p>
                    <w:pPr>
                      <w:ind w:left="360"/>
                      <w:jc w:val="center"/>
                      <w:rPr>
                        <w:b/>
                        <w:bCs/>
                        <w:color w:val="000000"/>
                        <w:sz w:val="20"/>
                        <w:lang w:val="en-US"/>
                      </w:rPr>
                    </w:pPr>
                    <w:r>
                      <w:rPr>
                        <w:b/>
                        <w:bCs/>
                        <w:color w:val="000000"/>
                        <w:sz w:val="20"/>
                        <w:lang w:val="en-US"/>
                      </w:rPr>
                      <w:t>828 378,137</w:t>
                    </w:r>
                  </w:p>
                </w:tc>
              </w:tr>
            </w:tbl>
            <w:p>
              <w:pPr>
                <w:rPr>
                  <w:sz w:val="6"/>
                  <w:szCs w:val="6"/>
                </w:rPr>
              </w:pPr>
            </w:p>
            <w:p>
              <w:pPr>
                <w:jc w:val="both"/>
                <w:rPr>
                  <w:sz w:val="22"/>
                  <w:szCs w:val="22"/>
                </w:rPr>
              </w:pPr>
              <w:r>
                <w:rPr>
                  <w:b/>
                  <w:bCs/>
                  <w:sz w:val="22"/>
                  <w:szCs w:val="22"/>
                </w:rPr>
                <w:t>Pastaba</w:t>
              </w:r>
              <w:r>
                <w:rPr>
                  <w:sz w:val="22"/>
                  <w:szCs w:val="22"/>
                </w:rPr>
                <w:t>.</w:t>
              </w:r>
              <w:r>
                <w:rPr>
                  <w:b/>
                  <w:bCs/>
                  <w:sz w:val="22"/>
                  <w:szCs w:val="22"/>
                </w:rPr>
                <w:t xml:space="preserve"> </w:t>
              </w:r>
              <w:r>
                <w:rPr>
                  <w:sz w:val="22"/>
                  <w:szCs w:val="22"/>
                </w:rPr>
                <w:t>Priimant sprendimą dėl projektų finansavimo ir prisiimant įsipareigojimus pagal sudarytas projektų finansavimo sutartis, sudaryta galimybė viršyti Ekonomikos gaivinimo ir atsparumo didinimo plano „Naujos kartos Lietuva“ lėšų paskirstymo plane, patvirtintame Lietuvos Respublikos Vyriausybės 2023 m. liepos 31 d. nutarimu Nr. 612 „Dėl 2021–2027 metų Europos Sąjungos fondų investicijų programos ir Ekonomikos gaivinimo ir atsparumo didinimo plano „Naujos kartos Lietuva“ Lietuvai skirtų lėšų paskirstymo“ (toliau – Nutarimas Nr. 612), nurodytas EGADP subsidijos lėšas ir jas finansuoti iš nepanaudotų EGADP lėšų, kurios sudaro ne daugiau, negu nurodyta Nutarimo Nr.  612 2.5.14 papunktyje ir ne daugiau kaip 62 980 973 eurus.</w:t>
              </w:r>
            </w:p>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skyrius"/>
            <w:tag w:val="part_13f1e790d1734dd6a8693daf23472349"/>
            <w:lock w:val="sdtLocked"/>
            <w:richText/>
          </w:sdtPr>
          <w:sdtContent>
            <w:p>
              <w:pPr>
                <w:ind w:left="-284"/>
                <w:jc w:val="center"/>
                <w:sectPr>
                  <w:headerReference w:type="even" r:id="rId26"/>
                  <w:headerReference w:type="default" r:id="rId27"/>
                  <w:footerReference w:type="even" r:id="rId28"/>
                  <w:footerReference w:type="default" r:id="rId29"/>
                  <w:headerReference w:type="first" r:id="rId30"/>
                  <w:footerReference w:type="first" r:id="rId31"/>
                  <w:pgSz w:w="11906" w:h="16838" w:code="9"/>
                  <w:pgMar w:top="1701" w:right="567" w:bottom="1134" w:left="709" w:header="1134" w:footer="1134" w:gutter="0"/>
                  <w:cols w:space="1296"/>
                  <w:titlePg/>
                  <w:docGrid w:linePitch="326"/>
                </w:sectPr>
              </w:pPr>
            </w:p>
            <w:p>
              <w:pPr>
                <w:ind w:left="-284"/>
                <w:jc w:val="center"/>
                <w:rPr>
                  <w:b/>
                  <w:bCs/>
                </w:rPr>
              </w:pPr>
              <w:sdt>
                <w:sdtPr>
                  <w:alias w:val="Numeris"/>
                  <w:tag w:val="nr_13f1e790d1734dd6a8693daf23472349"/>
                  <w:lock w:val="sdtLocked"/>
                  <w:richText/>
                </w:sdtPr>
                <w:sdtContent>
                  <w:r>
                    <w:rPr>
                      <w:b/>
                      <w:bCs/>
                    </w:rPr>
                    <w:t>III</w:t>
                  </w:r>
                </w:sdtContent>
              </w:sdt>
              <w:r>
                <w:rPr>
                  <w:b/>
                  <w:bCs/>
                </w:rPr>
                <w:t xml:space="preserve"> SKYRIUS</w:t>
              </w:r>
            </w:p>
            <w:p>
              <w:pPr>
                <w:jc w:val="center"/>
                <w:rPr>
                  <w:b/>
                  <w:bCs/>
                </w:rPr>
              </w:pPr>
              <w:sdt>
                <w:sdtPr>
                  <w:alias w:val="Pavadinimas"/>
                  <w:tag w:val="title_13f1e790d1734dd6a8693daf23472349"/>
                  <w:lock w:val="sdtLocked"/>
                  <w:richText/>
                </w:sdtPr>
                <w:sdtContent>
                  <w:r>
                    <w:rPr>
                      <w:b/>
                      <w:bCs/>
                    </w:rPr>
                    <w:t>PLĖTROS PROGRAMOS PAŽANGOS PRIEMONĖS VEIKLŲ SUVESTINĖ</w:t>
                  </w:r>
                </w:sdtContent>
              </w:sdt>
            </w:p>
            <w:p>
              <w:pPr>
                <w:jc w:val="center"/>
                <w:rPr>
                  <w:b/>
                  <w:bCs/>
                </w:rPr>
              </w:pPr>
            </w:p>
            <w:tbl>
              <w:tblPr>
                <w:tblW w:w="15029"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2124"/>
                <w:gridCol w:w="699"/>
                <w:gridCol w:w="1985"/>
                <w:gridCol w:w="114"/>
                <w:gridCol w:w="680"/>
                <w:gridCol w:w="35"/>
                <w:gridCol w:w="20"/>
                <w:gridCol w:w="986"/>
                <w:gridCol w:w="8"/>
                <w:gridCol w:w="32"/>
                <w:gridCol w:w="625"/>
                <w:gridCol w:w="24"/>
                <w:gridCol w:w="27"/>
                <w:gridCol w:w="1140"/>
                <w:gridCol w:w="1118"/>
                <w:gridCol w:w="16"/>
                <w:gridCol w:w="1985"/>
                <w:gridCol w:w="1001"/>
                <w:gridCol w:w="133"/>
                <w:gridCol w:w="992"/>
                <w:gridCol w:w="1279"/>
              </w:tblGrid>
              <w:tr>
                <w:trPr>
                  <w:trHeight w:val="1425"/>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69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985"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1118"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130"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69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985"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829"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1014"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681" w:type="dxa"/>
                    <w:gridSpan w:val="3"/>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167"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1118"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001"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1134" w:type="dxa"/>
                    <w:gridSpan w:val="2"/>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b/>
                        <w:bCs/>
                        <w:color w:val="000000"/>
                        <w:sz w:val="20"/>
                      </w:rPr>
                    </w:pPr>
                    <w:r>
                      <w:rPr>
                        <w:color w:val="000000" w:themeColor="text1"/>
                        <w:kern w:val="2"/>
                        <w:sz w:val="20"/>
                        <w:lang w:val="en-US"/>
                        <w14:ligatures w14:val="standardContextual"/>
                      </w:rPr>
                      <w:t>10 425</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w:t>
                    </w:r>
                  </w:p>
                </w:tc>
                <w:tc>
                  <w:tcPr>
                    <w:tcW w:w="2001"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1134"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8 612</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EGADP</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130" w:type="dxa"/>
                    <w:gridSpan w:val="2"/>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jc w:val="center"/>
                      <w:rPr>
                        <w:color w:val="000000"/>
                        <w:sz w:val="20"/>
                      </w:rPr>
                    </w:pPr>
                    <w:r>
                      <w:rPr>
                        <w:color w:val="000000" w:themeColor="text1"/>
                        <w:kern w:val="2"/>
                        <w:sz w:val="20"/>
                        <w:lang w:val="en-US"/>
                        <w14:ligatures w14:val="standardContextual"/>
                      </w:rPr>
                      <w:t>1 813</w:t>
                    </w:r>
                  </w:p>
                </w:tc>
                <w:tc>
                  <w:tcPr>
                    <w:tcW w:w="1118" w:type="dxa"/>
                    <w:tcBorders>
                      <w:top w:val="single" w:sz="2" w:space="0" w:color="auto"/>
                      <w:left w:val="single" w:sz="2" w:space="0" w:color="auto"/>
                      <w:bottom w:val="single" w:sz="2" w:space="0" w:color="auto"/>
                      <w:right w:val="single" w:sz="2" w:space="0" w:color="auto"/>
                    </w:tcBorders>
                    <w:shd w:val="clear" w:color="auto" w:fill="F2F2F2" w:themeFill="background1" w:themeFillShade="F2"/>
                  </w:tcPr>
                  <w:p>
                    <w:pPr>
                      <w:ind w:left="-57" w:right="-57"/>
                      <w:rPr>
                        <w:color w:val="000000"/>
                        <w:sz w:val="20"/>
                      </w:rPr>
                    </w:pPr>
                    <w:r>
                      <w:rPr>
                        <w:color w:val="000000" w:themeColor="text1"/>
                        <w:kern w:val="2"/>
                        <w:sz w:val="20"/>
                        <w14:ligatures w14:val="standardContextual"/>
                      </w:rPr>
                      <w:t xml:space="preserve">VB lėšos netinka-mam PVM apmokėti (toliau – PVM iš VB </w:t>
                    </w:r>
                  </w:p>
                </w:tc>
                <w:tc>
                  <w:tcPr>
                    <w:tcW w:w="2001" w:type="dxa"/>
                    <w:gridSpan w:val="2"/>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130"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69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829"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2001"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1134" w:type="dxa"/>
                    <w:gridSpan w:val="2"/>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130" w:type="dxa"/>
                    <w:gridSpan w:val="2"/>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69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67" w:type="dxa"/>
                    <w:gridSpan w:val="2"/>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Socialiniams partneriams pristatytas ir viešai konsultacijai pateiktas ilgalaikės priežiūros paslaugų teikimo ir finansavimo modelis, vnt.</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(2022 m. III ketv.)</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Sveikatos apsaugos ministerija (toliau – SAM);</w:t>
                    </w:r>
                  </w:p>
                  <w:p>
                    <w:pPr>
                      <w:ind w:left="-57" w:right="-57"/>
                      <w:jc w:val="center"/>
                      <w:rPr>
                        <w:sz w:val="20"/>
                      </w:rPr>
                    </w:pPr>
                    <w:r>
                      <w:rPr>
                        <w:kern w:val="2"/>
                        <w:sz w:val="20"/>
                        <w14:ligatures w14:val="standardContextual"/>
                      </w:rPr>
                      <w:t xml:space="preserve">Socialinės apsaugos ir darbo ministerija (toliau – SADM) </w:t>
                    </w:r>
                  </w:p>
                </w:tc>
              </w:tr>
              <w:tr>
                <w:trPr>
                  <w:trHeight w:val="599"/>
                </w:trPr>
                <w:tc>
                  <w:tcPr>
                    <w:tcW w:w="2130" w:type="dxa"/>
                    <w:gridSpan w:val="2"/>
                    <w:vMerge/>
                    <w:tcBorders>
                      <w:left w:val="single" w:sz="4" w:space="0" w:color="auto"/>
                      <w:bottom w:val="single" w:sz="4" w:space="0" w:color="auto"/>
                      <w:right w:val="single" w:sz="4" w:space="0" w:color="auto"/>
                    </w:tcBorders>
                  </w:tcPr>
                  <w:p>
                    <w:pPr>
                      <w:ind w:left="-57" w:right="-57"/>
                      <w:rPr>
                        <w:sz w:val="20"/>
                      </w:rPr>
                    </w:pPr>
                  </w:p>
                </w:tc>
                <w:tc>
                  <w:tcPr>
                    <w:tcW w:w="699" w:type="dxa"/>
                    <w:vMerge/>
                    <w:tcBorders>
                      <w:left w:val="single" w:sz="4" w:space="0" w:color="auto"/>
                      <w:bottom w:val="single" w:sz="4" w:space="0" w:color="auto"/>
                      <w:right w:val="single" w:sz="4" w:space="0" w:color="auto"/>
                    </w:tcBorders>
                  </w:tcPr>
                  <w:p>
                    <w:pPr>
                      <w:ind w:left="-57" w:right="-57"/>
                      <w:jc w:val="center"/>
                      <w:rPr>
                        <w:sz w:val="20"/>
                      </w:rPr>
                    </w:pPr>
                  </w:p>
                </w:tc>
                <w:tc>
                  <w:tcPr>
                    <w:tcW w:w="1985" w:type="dxa"/>
                    <w:vMerge/>
                    <w:tcBorders>
                      <w:left w:val="single" w:sz="4" w:space="0" w:color="auto"/>
                      <w:bottom w:val="single" w:sz="4" w:space="0" w:color="auto"/>
                      <w:right w:val="single" w:sz="4" w:space="0" w:color="auto"/>
                    </w:tcBorders>
                  </w:tcPr>
                  <w:p>
                    <w:pPr>
                      <w:ind w:left="-57" w:right="-57"/>
                      <w:jc w:val="center"/>
                      <w:rPr>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sz w:val="20"/>
                      </w:rPr>
                    </w:pPr>
                  </w:p>
                </w:tc>
                <w:tc>
                  <w:tcPr>
                    <w:tcW w:w="1167"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1118" w:type="dxa"/>
                    <w:vMerge/>
                    <w:tcBorders>
                      <w:left w:val="single" w:sz="4" w:space="0" w:color="auto"/>
                      <w:bottom w:val="single" w:sz="4" w:space="0" w:color="auto"/>
                      <w:right w:val="single" w:sz="4" w:space="0" w:color="auto"/>
                    </w:tcBorders>
                  </w:tcPr>
                  <w:p>
                    <w:pPr>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rPr>
                        <w:sz w:val="20"/>
                      </w:rPr>
                    </w:pPr>
                    <w:r>
                      <w:rPr>
                        <w:color w:val="000000" w:themeColor="text1"/>
                        <w:kern w:val="2"/>
                        <w:sz w:val="20"/>
                        <w14:ligatures w14:val="standardContextual"/>
                      </w:rPr>
                      <w:t>P – Įsigalioję teisės aktai, reglamentuojantys ilgalaikės priežiūros paslaugų modelio įgyvendinimą, kompl.</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ind w:left="-57" w:right="-57"/>
                      <w:jc w:val="center"/>
                      <w:rPr>
                        <w:kern w:val="2"/>
                        <w14:ligatures w14:val="standardContextual"/>
                      </w:rPr>
                    </w:pPr>
                    <w:r>
                      <w:rPr>
                        <w:color w:val="000000" w:themeColor="text1"/>
                        <w:kern w:val="2"/>
                        <w:sz w:val="20"/>
                        <w14:ligatures w14:val="standardContextual"/>
                      </w:rPr>
                      <w:t>1</w:t>
                    </w:r>
                  </w:p>
                  <w:p>
                    <w:pPr>
                      <w:ind w:left="-57" w:right="-57"/>
                      <w:jc w:val="center"/>
                      <w:rPr>
                        <w:sz w:val="20"/>
                      </w:rPr>
                    </w:pPr>
                    <w:r>
                      <w:rPr>
                        <w:color w:val="000000" w:themeColor="text1"/>
                        <w:kern w:val="2"/>
                        <w:sz w:val="20"/>
                        <w14:ligatures w14:val="standardContextual"/>
                      </w:rPr>
                      <w:t>(2024 m. I ketv.)</w:t>
                    </w:r>
                  </w:p>
                </w:tc>
                <w:tc>
                  <w:tcPr>
                    <w:tcW w:w="992"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279" w:type="dxa"/>
                    <w:vMerge/>
                    <w:tcBorders>
                      <w:top w:val="single" w:sz="2" w:space="0" w:color="auto"/>
                      <w:left w:val="single" w:sz="2" w:space="0" w:color="auto"/>
                      <w:bottom w:val="single" w:sz="2" w:space="0" w:color="auto"/>
                      <w:right w:val="single" w:sz="2" w:space="0" w:color="auto"/>
                    </w:tcBorders>
                    <w:vAlign w:val="center"/>
                  </w:tcPr>
                  <w:p>
                    <w:pPr>
                      <w:ind w:left="-57" w:right="-57"/>
                      <w:jc w:val="center"/>
                      <w:rPr>
                        <w:sz w:val="20"/>
                      </w:rPr>
                    </w:pPr>
                  </w:p>
                </w:tc>
              </w:tr>
              <w:tr>
                <w:trPr>
                  <w:trHeight w:val="926"/>
                </w:trPr>
                <w:tc>
                  <w:tcPr>
                    <w:tcW w:w="2130" w:type="dxa"/>
                    <w:gridSpan w:val="2"/>
                    <w:vMerge w:val="restart"/>
                    <w:tcBorders>
                      <w:top w:val="single" w:sz="4" w:space="0" w:color="auto"/>
                      <w:left w:val="single" w:sz="4" w:space="0" w:color="auto"/>
                      <w:bottom w:val="single" w:sz="4" w:space="0" w:color="auto"/>
                      <w:right w:val="single" w:sz="4" w:space="0" w:color="auto"/>
                    </w:tcBorders>
                  </w:tcPr>
                  <w:p>
                    <w:pPr>
                      <w:ind w:left="-57" w:right="-57"/>
                      <w:rPr>
                        <w:iCs/>
                        <w:sz w:val="20"/>
                      </w:rPr>
                    </w:pPr>
                    <w:r>
                      <w:rPr>
                        <w:iCs/>
                        <w:sz w:val="20"/>
                      </w:rPr>
                      <w:t>1.2. Ilgalaikės priežiūros dienos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Asmens sveikatos priežiūros įstaigos (toliau – ASPĮ); savivaldybių administracijos; savivaldybių įstaigos, teikiančios globos paslaugas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D</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5 220</w:t>
                    </w:r>
                  </w:p>
                  <w:p>
                    <w:pPr>
                      <w:spacing w:line="276" w:lineRule="auto"/>
                      <w:rPr>
                        <w:kern w:val="2"/>
                        <w14:ligatures w14:val="standardContextual"/>
                      </w:rPr>
                    </w:pPr>
                    <w:r>
                      <w:rPr>
                        <w:kern w:val="2"/>
                        <w:sz w:val="20"/>
                        <w14:ligatures w14:val="standardContextual"/>
                      </w:rPr>
                      <w:t xml:space="preserve"> </w:t>
                    </w:r>
                  </w:p>
                  <w:p>
                    <w:pPr>
                      <w:spacing w:line="276" w:lineRule="auto"/>
                      <w:rPr>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EGADP</w:t>
                    </w:r>
                  </w:p>
                  <w:p>
                    <w:pPr>
                      <w:spacing w:line="276" w:lineRule="auto"/>
                      <w:ind w:left="-57" w:right="-57"/>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Įkurtų specializuotų dienos priežiūros centrų, skirtų integruotoms ilgalaikės priežiūros paslaugoms teikti, skaičius,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VšĮ Centrinė projektų valdymo agentūra (toliau – CPVA)</w:t>
                    </w:r>
                  </w:p>
                  <w:p>
                    <w:pPr>
                      <w:ind w:left="-57" w:right="-57"/>
                      <w:jc w:val="center"/>
                      <w:rPr>
                        <w:sz w:val="20"/>
                      </w:rPr>
                    </w:pP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SAM; SADM</w:t>
                    </w: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R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1 096</w:t>
                    </w:r>
                  </w:p>
                  <w:p>
                    <w:pPr>
                      <w:jc w:val="center"/>
                      <w:rPr>
                        <w:color w:val="000000"/>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color w:val="000000" w:themeColor="text1"/>
                        <w:kern w:val="2"/>
                        <w:sz w:val="20"/>
                        <w14:ligatures w14:val="standardContextual"/>
                      </w:rPr>
                      <w:t>PVM iš VB</w:t>
                    </w:r>
                  </w:p>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color w:val="000000"/>
                        <w:sz w:val="20"/>
                      </w:rPr>
                    </w:pPr>
                    <w:r>
                      <w:rPr>
                        <w:color w:val="000000" w:themeColor="text1"/>
                        <w:kern w:val="2"/>
                        <w:sz w:val="20"/>
                        <w14:ligatures w14:val="standardContextual"/>
                      </w:rPr>
                      <w:t xml:space="preserve">P – Žmogiškųjų išteklių ir infrastruktūros pajėgumų didinimas, vnt.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center"/>
                      <w:rPr>
                        <w:color w:val="000000"/>
                        <w:sz w:val="20"/>
                      </w:rPr>
                    </w:pPr>
                    <w:r>
                      <w:rPr>
                        <w:color w:val="000000" w:themeColor="text1"/>
                        <w:kern w:val="2"/>
                        <w:sz w:val="20"/>
                        <w14:ligatures w14:val="standardContextual"/>
                      </w:rPr>
                      <w:t xml:space="preserve">3           (202</w:t>
                    </w:r>
                    <w:r>
                      <w:rPr>
                        <w:color w:val="000000" w:themeColor="text1"/>
                        <w:kern w:val="2"/>
                        <w:sz w:val="20"/>
                        <w:lang w:val="en-US"/>
                        <w14:ligatures w14:val="standardContextual"/>
                      </w:rPr>
                      <w:t>5</w:t>
                    </w:r>
                    <w:r>
                      <w:rPr>
                        <w:color w:val="000000" w:themeColor="text1"/>
                        <w:kern w:val="2"/>
                        <w:sz w:val="20"/>
                        <w14:ligatures w14:val="standardContextual"/>
                      </w:rPr>
                      <w:t xml:space="preserve"> m. II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130" w:type="dxa"/>
                    <w:gridSpan w:val="2"/>
                    <w:vMerge/>
                    <w:tcBorders>
                      <w:left w:val="single" w:sz="4" w:space="0" w:color="auto"/>
                      <w:right w:val="single" w:sz="4" w:space="0" w:color="auto"/>
                    </w:tcBorders>
                    <w:shd w:val="clear" w:color="auto" w:fill="FFFFFF" w:themeFill="background1"/>
                  </w:tcPr>
                  <w:p>
                    <w:pPr>
                      <w:ind w:left="-57" w:right="-57"/>
                      <w:rPr>
                        <w:iCs/>
                        <w:sz w:val="20"/>
                      </w:rPr>
                    </w:pPr>
                  </w:p>
                </w:tc>
                <w:tc>
                  <w:tcPr>
                    <w:tcW w:w="69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985"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829"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014"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681" w:type="dxa"/>
                    <w:gridSpan w:val="3"/>
                    <w:vMerge/>
                    <w:tcBorders>
                      <w:left w:val="single" w:sz="4" w:space="0" w:color="auto"/>
                      <w:right w:val="single" w:sz="4" w:space="0" w:color="auto"/>
                    </w:tcBorders>
                    <w:shd w:val="clear" w:color="auto" w:fill="FFFFFF" w:themeFill="background1"/>
                  </w:tcPr>
                  <w:p>
                    <w:pPr>
                      <w:ind w:left="-57" w:right="-57"/>
                      <w:jc w:val="cente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jc w:val="center"/>
                      <w:rPr>
                        <w:color w:val="000000"/>
                        <w:sz w:val="20"/>
                      </w:rPr>
                    </w:pPr>
                  </w:p>
                </w:tc>
                <w:tc>
                  <w:tcPr>
                    <w:tcW w:w="2001"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ind w:left="-57" w:right="-57"/>
                      <w:jc w:val="both"/>
                      <w:rPr>
                        <w:sz w:val="20"/>
                      </w:rPr>
                    </w:pPr>
                    <w:r>
                      <w:rPr>
                        <w:color w:val="000000" w:themeColor="text1"/>
                        <w:kern w:val="2"/>
                        <w:sz w:val="20"/>
                        <w14:ligatures w14:val="standardContextual"/>
                      </w:rPr>
                      <w:t xml:space="preserve">P – Infrastruktūros pajėgumų didinimas  </w:t>
                    </w:r>
                  </w:p>
                </w:tc>
                <w:tc>
                  <w:tcPr>
                    <w:tcW w:w="1134" w:type="dxa"/>
                    <w:gridSpan w:val="2"/>
                    <w:tcBorders>
                      <w:top w:val="single" w:sz="2" w:space="0" w:color="auto"/>
                      <w:left w:val="single" w:sz="2" w:space="0" w:color="auto"/>
                      <w:bottom w:val="single" w:sz="2" w:space="0" w:color="auto"/>
                      <w:right w:val="single" w:sz="2" w:space="0" w:color="auto"/>
                    </w:tcBorders>
                    <w:shd w:val="clear" w:color="auto" w:fill="FFFFFF" w:themeFill="background1"/>
                  </w:tcPr>
                  <w:p>
                    <w:pPr>
                      <w:spacing w:line="276" w:lineRule="auto"/>
                      <w:jc w:val="center"/>
                      <w:rPr>
                        <w:kern w:val="2"/>
                        <w14:ligatures w14:val="standardContextual"/>
                      </w:rPr>
                    </w:pPr>
                    <w:r>
                      <w:rPr>
                        <w:color w:val="000000" w:themeColor="text1"/>
                        <w:kern w:val="2"/>
                        <w:sz w:val="20"/>
                        <w:lang w:val="en-US"/>
                        <w14:ligatures w14:val="standardContextual"/>
                      </w:rPr>
                      <w:t>7</w:t>
                    </w:r>
                  </w:p>
                  <w:p>
                    <w:pPr>
                      <w:ind w:left="-57" w:right="-57"/>
                      <w:jc w:val="center"/>
                      <w:rPr>
                        <w:color w:val="000000"/>
                        <w:sz w:val="20"/>
                      </w:rPr>
                    </w:pPr>
                    <w:r>
                      <w:rPr>
                        <w:color w:val="000000" w:themeColor="text1"/>
                        <w:kern w:val="2"/>
                        <w:sz w:val="20"/>
                        <w14:ligatures w14:val="standardContextual"/>
                      </w:rPr>
                      <w:t>(202</w:t>
                    </w:r>
                    <w:r>
                      <w:rPr>
                        <w:color w:val="000000" w:themeColor="text1"/>
                        <w:kern w:val="2"/>
                        <w:sz w:val="20"/>
                        <w:lang w:val="en-US"/>
                        <w14:ligatures w14:val="standardContextual"/>
                      </w:rPr>
                      <w:t>6</w:t>
                    </w:r>
                    <w:r>
                      <w:rPr>
                        <w:color w:val="000000" w:themeColor="text1"/>
                        <w:kern w:val="2"/>
                        <w:sz w:val="20"/>
                        <w14:ligatures w14:val="standardContextual"/>
                      </w:rPr>
                      <w:t xml:space="preserve">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9"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23"/>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sz w:val="20"/>
                      </w:rPr>
                      <w:t>1.3. Mobiliųjų komandų aprūpinimas įranga ir transporto priemonėmis</w:t>
                    </w:r>
                  </w:p>
                </w:tc>
                <w:tc>
                  <w:tcPr>
                    <w:tcW w:w="69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I</w:t>
                    </w:r>
                  </w:p>
                </w:tc>
                <w:tc>
                  <w:tcPr>
                    <w:tcW w:w="1985"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p>
                    <w:pPr>
                      <w:ind w:left="-57" w:right="-57"/>
                      <w:jc w:val="center"/>
                      <w:rPr>
                        <w:color w:val="FF0000"/>
                        <w:sz w:val="20"/>
                      </w:rPr>
                    </w:pPr>
                    <w:r>
                      <w:rPr>
                        <w:sz w:val="20"/>
                      </w:rPr>
                      <w:t>savivaldybių administracijos</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D</w:t>
                    </w:r>
                  </w:p>
                  <w:p>
                    <w:pPr>
                      <w:ind w:left="-57" w:right="-57"/>
                      <w:jc w:val="center"/>
                      <w:rPr>
                        <w:color w:val="000000"/>
                        <w:sz w:val="20"/>
                      </w:rPr>
                    </w:pPr>
                  </w:p>
                </w:tc>
                <w:tc>
                  <w:tcPr>
                    <w:tcW w:w="1167" w:type="dxa"/>
                    <w:gridSpan w:val="2"/>
                    <w:tcBorders>
                      <w:top w:val="single" w:sz="4" w:space="0" w:color="auto"/>
                      <w:left w:val="single" w:sz="4" w:space="0" w:color="auto"/>
                      <w:right w:val="single" w:sz="4" w:space="0" w:color="auto"/>
                    </w:tcBorders>
                  </w:tcPr>
                  <w:p>
                    <w:r>
                      <w:rPr>
                        <w:b/>
                        <w:bCs/>
                        <w:sz w:val="20"/>
                      </w:rPr>
                      <w:t xml:space="preserve">   </w:t>
                    </w:r>
                    <w:r>
                      <w:rPr>
                        <w:sz w:val="20"/>
                      </w:rPr>
                      <w:t xml:space="preserve"> 3 392</w:t>
                    </w:r>
                  </w:p>
                  <w:p>
                    <w:pPr>
                      <w:ind w:left="-57" w:right="-57"/>
                      <w:jc w:val="center"/>
                      <w:rPr>
                        <w:sz w:val="20"/>
                      </w:rPr>
                    </w:pPr>
                  </w:p>
                </w:tc>
                <w:tc>
                  <w:tcPr>
                    <w:tcW w:w="1118" w:type="dxa"/>
                    <w:tcBorders>
                      <w:top w:val="single" w:sz="4" w:space="0" w:color="auto"/>
                      <w:left w:val="single" w:sz="4" w:space="0" w:color="auto"/>
                      <w:right w:val="single" w:sz="4" w:space="0" w:color="auto"/>
                    </w:tcBorders>
                  </w:tcPr>
                  <w:p>
                    <w:pPr>
                      <w:jc w:val="center"/>
                      <w:rPr>
                        <w:sz w:val="20"/>
                      </w:rPr>
                    </w:pPr>
                    <w:r>
                      <w:rPr>
                        <w:sz w:val="20"/>
                      </w:rPr>
                      <w:t>EGADP</w:t>
                    </w:r>
                  </w:p>
                  <w:p>
                    <w:pPr>
                      <w:ind w:left="-57" w:right="-57"/>
                      <w:rPr>
                        <w:sz w:val="20"/>
                      </w:rPr>
                    </w:pPr>
                  </w:p>
                </w:tc>
                <w:tc>
                  <w:tcPr>
                    <w:tcW w:w="2001" w:type="dxa"/>
                    <w:gridSpan w:val="2"/>
                    <w:vMerge w:val="restart"/>
                    <w:tcBorders>
                      <w:top w:val="single" w:sz="4" w:space="0" w:color="auto"/>
                      <w:left w:val="single" w:sz="4" w:space="0" w:color="auto"/>
                      <w:right w:val="single" w:sz="4" w:space="0" w:color="auto"/>
                    </w:tcBorders>
                  </w:tcPr>
                  <w:p>
                    <w:pPr>
                      <w:ind w:left="-57" w:right="-57"/>
                      <w:rPr>
                        <w:sz w:val="20"/>
                      </w:rPr>
                    </w:pPr>
                    <w:r>
                      <w:rPr>
                        <w:sz w:val="20"/>
                      </w:rPr>
                      <w:t>P – Sukurtų ilgalaikės priežiūros specialistų komandų, teikiančių paslaugas gyventojų namuose, skaičius, vnt.</w:t>
                    </w:r>
                  </w:p>
                </w:tc>
                <w:tc>
                  <w:tcPr>
                    <w:tcW w:w="1134" w:type="dxa"/>
                    <w:gridSpan w:val="2"/>
                    <w:vMerge w:val="restart"/>
                    <w:tcBorders>
                      <w:top w:val="single" w:sz="4" w:space="0" w:color="auto"/>
                      <w:left w:val="single" w:sz="4" w:space="0" w:color="auto"/>
                      <w:right w:val="single" w:sz="4" w:space="0" w:color="auto"/>
                    </w:tcBorders>
                  </w:tcPr>
                  <w:p>
                    <w:pPr>
                      <w:spacing w:line="276" w:lineRule="auto"/>
                      <w:ind w:left="-57" w:right="-57"/>
                      <w:jc w:val="center"/>
                      <w:rPr>
                        <w:kern w:val="2"/>
                        <w14:ligatures w14:val="standardContextual"/>
                      </w:rPr>
                    </w:pPr>
                    <w:r>
                      <w:rPr>
                        <w:kern w:val="2"/>
                        <w:sz w:val="20"/>
                        <w14:ligatures w14:val="standardContextual"/>
                      </w:rPr>
                      <w:t>90</w:t>
                    </w:r>
                  </w:p>
                  <w:p>
                    <w:pPr>
                      <w:ind w:left="-57" w:right="-57"/>
                      <w:jc w:val="center"/>
                      <w:rPr>
                        <w:sz w:val="20"/>
                      </w:rPr>
                    </w:pPr>
                    <w:r>
                      <w:rPr>
                        <w:kern w:val="2"/>
                        <w:sz w:val="20"/>
                        <w14:ligatures w14:val="standardContextual"/>
                      </w:rPr>
                      <w:t>(2026 m. 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tc>
              </w:tr>
              <w:tr>
                <w:trPr>
                  <w:trHeight w:val="419"/>
                </w:trPr>
                <w:tc>
                  <w:tcPr>
                    <w:tcW w:w="2130" w:type="dxa"/>
                    <w:gridSpan w:val="2"/>
                    <w:vMerge/>
                    <w:tcBorders>
                      <w:left w:val="single" w:sz="4" w:space="0" w:color="auto"/>
                      <w:bottom w:val="single" w:sz="4" w:space="0" w:color="auto"/>
                      <w:right w:val="single" w:sz="4" w:space="0" w:color="auto"/>
                    </w:tcBorders>
                  </w:tcPr>
                  <w:p>
                    <w:pPr>
                      <w:ind w:left="-57" w:right="-57"/>
                      <w:rPr>
                        <w:iCs/>
                        <w:sz w:val="20"/>
                      </w:rPr>
                    </w:pPr>
                  </w:p>
                </w:tc>
                <w:tc>
                  <w:tcPr>
                    <w:tcW w:w="69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985"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829"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014"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681" w:type="dxa"/>
                    <w:gridSpan w:val="3"/>
                    <w:vMerge/>
                    <w:tcBorders>
                      <w:left w:val="single" w:sz="4" w:space="0" w:color="auto"/>
                      <w:bottom w:val="single" w:sz="4" w:space="0" w:color="auto"/>
                      <w:right w:val="single" w:sz="4" w:space="0" w:color="auto"/>
                    </w:tcBorders>
                  </w:tcPr>
                  <w:p>
                    <w:pPr>
                      <w:ind w:left="-57" w:right="-57"/>
                      <w:jc w:val="center"/>
                      <w:rPr>
                        <w:color w:val="000000"/>
                        <w:sz w:val="20"/>
                      </w:rPr>
                    </w:pPr>
                  </w:p>
                </w:tc>
                <w:tc>
                  <w:tcPr>
                    <w:tcW w:w="1167" w:type="dxa"/>
                    <w:gridSpan w:val="2"/>
                    <w:vMerge w:val="restart"/>
                    <w:tcBorders>
                      <w:left w:val="single" w:sz="4" w:space="0" w:color="auto"/>
                      <w:bottom w:val="single" w:sz="4" w:space="0" w:color="auto"/>
                      <w:right w:val="single" w:sz="4" w:space="0" w:color="auto"/>
                    </w:tcBorders>
                    <w:vAlign w:val="center"/>
                  </w:tcPr>
                  <w:p>
                    <w:pPr>
                      <w:ind w:left="-57" w:right="-57"/>
                      <w:jc w:val="center"/>
                      <w:rPr>
                        <w:sz w:val="20"/>
                      </w:rPr>
                    </w:pPr>
                  </w:p>
                  <w:p>
                    <w:pPr>
                      <w:ind w:left="-57" w:right="-57"/>
                      <w:jc w:val="center"/>
                      <w:rPr>
                        <w:sz w:val="20"/>
                      </w:rPr>
                    </w:pPr>
                    <w:r>
                      <w:rPr>
                        <w:sz w:val="20"/>
                      </w:rPr>
                      <w:t>717</w:t>
                    </w:r>
                  </w:p>
                </w:tc>
                <w:tc>
                  <w:tcPr>
                    <w:tcW w:w="1118"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p>
                    <w:pPr>
                      <w:ind w:left="-57" w:right="-57"/>
                      <w:rPr>
                        <w:sz w:val="20"/>
                      </w:rPr>
                    </w:pPr>
                    <w:r>
                      <w:rPr>
                        <w:sz w:val="20"/>
                      </w:rPr>
                      <w:t>PVM iš VB</w:t>
                    </w:r>
                  </w:p>
                </w:tc>
                <w:tc>
                  <w:tcPr>
                    <w:tcW w:w="2001" w:type="dxa"/>
                    <w:gridSpan w:val="2"/>
                    <w:vMerge/>
                    <w:tcBorders>
                      <w:left w:val="single" w:sz="4" w:space="0" w:color="auto"/>
                      <w:bottom w:val="single" w:sz="4" w:space="0" w:color="auto"/>
                      <w:right w:val="single" w:sz="4" w:space="0" w:color="auto"/>
                    </w:tcBorders>
                  </w:tcPr>
                  <w:p>
                    <w:pPr>
                      <w:ind w:left="-57" w:right="-57"/>
                      <w:rPr>
                        <w:sz w:val="20"/>
                      </w:rPr>
                    </w:pPr>
                  </w:p>
                </w:tc>
                <w:tc>
                  <w:tcPr>
                    <w:tcW w:w="1134" w:type="dxa"/>
                    <w:gridSpan w:val="2"/>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right w:val="single" w:sz="4" w:space="0" w:color="auto"/>
                    </w:tcBorders>
                  </w:tcPr>
                  <w:p>
                    <w:pPr>
                      <w:ind w:left="-57" w:right="-57"/>
                      <w:jc w:val="center"/>
                      <w:rPr>
                        <w:sz w:val="20"/>
                      </w:rPr>
                    </w:pPr>
                  </w:p>
                </w:tc>
                <w:tc>
                  <w:tcPr>
                    <w:tcW w:w="1279" w:type="dxa"/>
                    <w:vMerge/>
                    <w:tcBorders>
                      <w:left w:val="single" w:sz="4" w:space="0" w:color="auto"/>
                      <w:right w:val="single" w:sz="4" w:space="0" w:color="auto"/>
                    </w:tcBorders>
                  </w:tcPr>
                  <w:p>
                    <w:pPr>
                      <w:ind w:left="-57" w:right="-57"/>
                      <w:jc w:val="center"/>
                      <w:rPr>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rPr>
                        <w:kern w:val="2"/>
                        <w14:ligatures w14:val="standardContextual"/>
                      </w:rPr>
                    </w:pPr>
                    <w:r>
                      <w:rPr>
                        <w:kern w:val="2"/>
                        <w:sz w:val="20"/>
                        <w14:ligatures w14:val="standardContextual"/>
                      </w:rPr>
                      <w:t xml:space="preserve">P – Žmogiškųjų išteklių ir infrastruktūros pajėgumų didinimas, vnt.  </w:t>
                    </w:r>
                  </w:p>
                  <w:p>
                    <w:pPr>
                      <w:ind w:left="-57" w:right="-57"/>
                      <w:rPr>
                        <w:color w:val="000000"/>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 xml:space="preserve">82 </w:t>
                    </w:r>
                  </w:p>
                  <w:p>
                    <w:pPr>
                      <w:ind w:left="-57" w:right="-57"/>
                      <w:jc w:val="center"/>
                      <w:rPr>
                        <w:color w:val="000000"/>
                        <w:sz w:val="20"/>
                      </w:rPr>
                    </w:pPr>
                    <w:r>
                      <w:rPr>
                        <w:color w:val="000000"/>
                        <w:sz w:val="20"/>
                      </w:rPr>
                      <w:t>(202</w:t>
                    </w:r>
                    <w:r>
                      <w:rPr>
                        <w:color w:val="000000"/>
                        <w:sz w:val="20"/>
                        <w:lang w:val="en-US"/>
                      </w:rPr>
                      <w:t>5</w:t>
                    </w:r>
                    <w:r>
                      <w:rPr>
                        <w:color w:val="000000"/>
                        <w:sz w:val="20"/>
                      </w:rPr>
                      <w:t xml:space="preserve">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rPr>
                        <w:color w:val="000000"/>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1118" w:type="dxa"/>
                    <w:vMerge/>
                    <w:tcBorders>
                      <w:left w:val="single" w:sz="4" w:space="0" w:color="auto"/>
                      <w:bottom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Infrastruktūros pajėgumų didinimas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lang w:val="en-US"/>
                      </w:rPr>
                      <w:t>8</w:t>
                    </w:r>
                  </w:p>
                  <w:p>
                    <w:pPr>
                      <w:ind w:left="-57" w:right="-57"/>
                      <w:jc w:val="center"/>
                      <w:rPr>
                        <w:color w:val="000000"/>
                        <w:sz w:val="20"/>
                      </w:rPr>
                    </w:pPr>
                    <w:r>
                      <w:rPr>
                        <w:color w:val="000000"/>
                        <w:sz w:val="20"/>
                      </w:rPr>
                      <w:t>(202</w:t>
                    </w:r>
                    <w:r>
                      <w:rPr>
                        <w:color w:val="000000"/>
                        <w:sz w:val="20"/>
                        <w:lang w:val="en-US"/>
                      </w:rPr>
                      <w:t>6</w:t>
                    </w:r>
                    <w:r>
                      <w:rPr>
                        <w:color w:val="000000"/>
                        <w:sz w:val="20"/>
                      </w:rPr>
                      <w:t xml:space="preserve"> m. 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279"/>
                </w:trPr>
                <w:tc>
                  <w:tcPr>
                    <w:tcW w:w="2130" w:type="dxa"/>
                    <w:gridSpan w:val="2"/>
                    <w:vMerge w:val="restart"/>
                    <w:tcBorders>
                      <w:top w:val="single" w:sz="4" w:space="0" w:color="auto"/>
                      <w:left w:val="single" w:sz="4" w:space="0" w:color="auto"/>
                      <w:right w:val="single" w:sz="4" w:space="0" w:color="auto"/>
                    </w:tcBorders>
                    <w:hideMark/>
                  </w:tcPr>
                  <w:p>
                    <w:pPr>
                      <w:ind w:left="-57" w:right="-57"/>
                      <w:rPr>
                        <w:sz w:val="20"/>
                      </w:rPr>
                    </w:pPr>
                    <w:r>
                      <w:rPr>
                        <w:sz w:val="20"/>
                      </w:rPr>
                      <w:t>2. Pasirengimo grėsmėms stiprinimas:</w:t>
                    </w:r>
                  </w:p>
                </w:tc>
                <w:tc>
                  <w:tcPr>
                    <w:tcW w:w="699" w:type="dxa"/>
                    <w:vMerge w:val="restart"/>
                    <w:tcBorders>
                      <w:top w:val="single" w:sz="4" w:space="0" w:color="auto"/>
                      <w:left w:val="single" w:sz="4" w:space="0" w:color="auto"/>
                      <w:right w:val="single" w:sz="4" w:space="0" w:color="auto"/>
                    </w:tcBorders>
                    <w:hideMark/>
                  </w:tcPr>
                  <w:p>
                    <w:pPr>
                      <w:ind w:left="-57" w:right="-57"/>
                      <w:jc w:val="center"/>
                      <w:rPr>
                        <w:sz w:val="20"/>
                      </w:rPr>
                    </w:pPr>
                    <w:r>
                      <w:rPr>
                        <w:sz w:val="20"/>
                      </w:rPr>
                      <w:t>-</w:t>
                    </w:r>
                  </w:p>
                </w:tc>
                <w:tc>
                  <w:tcPr>
                    <w:tcW w:w="1985" w:type="dxa"/>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829"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014"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681" w:type="dxa"/>
                    <w:gridSpan w:val="3"/>
                    <w:vMerge w:val="restart"/>
                    <w:tcBorders>
                      <w:top w:val="single" w:sz="4" w:space="0" w:color="auto"/>
                      <w:left w:val="single" w:sz="4" w:space="0" w:color="auto"/>
                      <w:right w:val="single" w:sz="4" w:space="0" w:color="auto"/>
                    </w:tcBorders>
                    <w:hideMark/>
                  </w:tcPr>
                  <w:p>
                    <w:pPr>
                      <w:ind w:left="-57" w:right="-57"/>
                      <w:jc w:val="center"/>
                      <w:rPr>
                        <w:bCs/>
                        <w:sz w:val="20"/>
                      </w:rPr>
                    </w:pPr>
                    <w:r>
                      <w:rPr>
                        <w:bCs/>
                        <w:sz w:val="20"/>
                      </w:rPr>
                      <w:t>-</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lang w:val="en-US"/>
                      </w:rPr>
                    </w:pPr>
                    <w:r>
                      <w:rPr>
                        <w:sz w:val="20"/>
                        <w:lang w:val="en-US"/>
                      </w:rPr>
                      <w:t>352 141,139</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R – Mirštamumas nuo miokardo infarkto per 30 dienų nuo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bCs/>
                        <w:sz w:val="20"/>
                      </w:rPr>
                      <w:t>9</w:t>
                    </w:r>
                  </w:p>
                  <w:p>
                    <w:pPr>
                      <w:ind w:left="-57" w:right="-57"/>
                      <w:jc w:val="center"/>
                      <w:rPr>
                        <w:bCs/>
                        <w:sz w:val="20"/>
                      </w:rPr>
                    </w:pPr>
                    <w:r>
                      <w:rPr>
                        <w:bCs/>
                        <w:sz w:val="20"/>
                      </w:rPr>
                      <w:t>(2030 m.)</w:t>
                    </w:r>
                  </w:p>
                  <w:p>
                    <w:pPr>
                      <w:ind w:left="-57" w:right="-57"/>
                      <w:jc w:val="center"/>
                      <w:rPr>
                        <w:bCs/>
                        <w:sz w:val="20"/>
                      </w:rPr>
                    </w:pPr>
                  </w:p>
                  <w:p>
                    <w:pPr>
                      <w:ind w:left="-57" w:right="-57"/>
                      <w:jc w:val="center"/>
                      <w:rPr>
                        <w:bCs/>
                        <w:sz w:val="20"/>
                      </w:rPr>
                    </w:pPr>
                  </w:p>
                </w:tc>
                <w:tc>
                  <w:tcPr>
                    <w:tcW w:w="2271" w:type="dxa"/>
                    <w:gridSpan w:val="2"/>
                    <w:vMerge w:val="restart"/>
                    <w:tcBorders>
                      <w:top w:val="single" w:sz="4" w:space="0" w:color="auto"/>
                      <w:left w:val="single" w:sz="4" w:space="0" w:color="auto"/>
                      <w:right w:val="single" w:sz="4" w:space="0" w:color="auto"/>
                    </w:tcBorders>
                  </w:tcPr>
                  <w:p>
                    <w:pPr>
                      <w:ind w:left="-57" w:right="-57"/>
                      <w:jc w:val="cente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231 363,738</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12</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35 360,362</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Efektyvių organų donorų skaičius 1 mln. gyventojų</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30</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070"/>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11 933,495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(ERPF, Sostinės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bCs/>
                        <w:sz w:val="20"/>
                      </w:rPr>
                    </w:pPr>
                    <w:r>
                      <w:rPr>
                        <w:kern w:val="2"/>
                        <w:sz w:val="20"/>
                        <w14:ligatures w14:val="standardContextual"/>
                      </w:rPr>
                      <w:t>R – Aktyviojo gydymo sveikatos priežiūros įstaigose nustatytų invazinių </w:t>
                    </w:r>
                    <w:r>
                      <w:rPr>
                        <w:i/>
                        <w:iCs/>
                        <w:kern w:val="2"/>
                        <w:sz w:val="20"/>
                        <w14:ligatures w14:val="standardContextual"/>
                      </w:rPr>
                      <w:t>Klebsiella pneumoniae</w:t>
                    </w:r>
                    <w:r>
                      <w:rPr>
                        <w:kern w:val="2"/>
                        <w:sz w:val="20"/>
                        <w14:ligatures w14:val="standardContextual"/>
                      </w:rPr>
                      <w:t>, atsparių  trečios kartos cefalosporinams, dalis (EARS-Net duomenimis), proc.</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30</w:t>
                    </w:r>
                  </w:p>
                  <w:p>
                    <w:pPr>
                      <w:spacing w:line="276" w:lineRule="auto"/>
                      <w:ind w:left="-57" w:right="-57"/>
                      <w:jc w:val="center"/>
                      <w:rPr>
                        <w:kern w:val="2"/>
                        <w:sz w:val="20"/>
                        <w14:ligatures w14:val="standardContextual"/>
                      </w:rPr>
                    </w:pPr>
                    <w:r>
                      <w:rPr>
                        <w:kern w:val="2"/>
                        <w:sz w:val="20"/>
                        <w14:ligatures w14:val="standardContextual"/>
                      </w:rPr>
                      <w:t>(2030 m.)</w:t>
                    </w:r>
                  </w:p>
                  <w:p>
                    <w:pPr>
                      <w:ind w:left="-57" w:right="-57"/>
                      <w:jc w:val="center"/>
                      <w:rPr>
                        <w:bCs/>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279"/>
                </w:trPr>
                <w:tc>
                  <w:tcPr>
                    <w:tcW w:w="2130" w:type="dxa"/>
                    <w:gridSpan w:val="2"/>
                    <w:vMerge/>
                    <w:tcBorders>
                      <w:left w:val="single" w:sz="4" w:space="0" w:color="auto"/>
                      <w:right w:val="single" w:sz="4" w:space="0" w:color="auto"/>
                    </w:tcBorders>
                    <w:vAlign w:val="center"/>
                    <w:hideMark/>
                  </w:tcPr>
                  <w:p>
                    <w:pPr>
                      <w:rPr>
                        <w:b/>
                        <w:bCs/>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bCs/>
                        <w:sz w:val="20"/>
                      </w:rPr>
                    </w:pPr>
                  </w:p>
                </w:tc>
                <w:tc>
                  <w:tcPr>
                    <w:tcW w:w="829" w:type="dxa"/>
                    <w:gridSpan w:val="3"/>
                    <w:vMerge/>
                    <w:tcBorders>
                      <w:left w:val="single" w:sz="4" w:space="0" w:color="auto"/>
                      <w:right w:val="single" w:sz="4" w:space="0" w:color="auto"/>
                    </w:tcBorders>
                    <w:vAlign w:val="center"/>
                    <w:hideMark/>
                  </w:tcPr>
                  <w:p>
                    <w:pPr>
                      <w:rPr>
                        <w:bCs/>
                        <w:sz w:val="20"/>
                      </w:rPr>
                    </w:pPr>
                  </w:p>
                </w:tc>
                <w:tc>
                  <w:tcPr>
                    <w:tcW w:w="1014" w:type="dxa"/>
                    <w:gridSpan w:val="3"/>
                    <w:vMerge/>
                    <w:tcBorders>
                      <w:left w:val="single" w:sz="4" w:space="0" w:color="auto"/>
                      <w:right w:val="single" w:sz="4" w:space="0" w:color="auto"/>
                    </w:tcBorders>
                    <w:vAlign w:val="center"/>
                    <w:hideMark/>
                  </w:tcPr>
                  <w:p>
                    <w:pPr>
                      <w:rPr>
                        <w:bCs/>
                        <w:sz w:val="20"/>
                      </w:rPr>
                    </w:pPr>
                  </w:p>
                </w:tc>
                <w:tc>
                  <w:tcPr>
                    <w:tcW w:w="681" w:type="dxa"/>
                    <w:gridSpan w:val="3"/>
                    <w:vMerge/>
                    <w:tcBorders>
                      <w:left w:val="single" w:sz="4" w:space="0" w:color="auto"/>
                      <w:right w:val="single" w:sz="4" w:space="0" w:color="auto"/>
                    </w:tcBorders>
                    <w:vAlign w:val="center"/>
                    <w:hideMark/>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lang w:val="en-US"/>
                        <w14:ligatures w14:val="standardContextual"/>
                      </w:rPr>
                      <w:t>10 133,495</w:t>
                    </w: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ind w:left="-57" w:right="-57"/>
                      <w:jc w:val="center"/>
                      <w:rPr>
                        <w:sz w:val="20"/>
                      </w:rPr>
                    </w:pPr>
                  </w:p>
                </w:tc>
                <w:tc>
                  <w:tcPr>
                    <w:tcW w:w="2271" w:type="dxa"/>
                    <w:gridSpan w:val="2"/>
                    <w:vMerge/>
                    <w:tcBorders>
                      <w:left w:val="single" w:sz="4" w:space="0" w:color="auto"/>
                      <w:right w:val="single" w:sz="4" w:space="0" w:color="auto"/>
                    </w:tcBorders>
                    <w:vAlign w:val="center"/>
                    <w:hideMark/>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45 507,182</w:t>
                    </w:r>
                  </w:p>
                  <w:p>
                    <w:pPr>
                      <w:ind w:left="-57" w:right="-57" w:hanging="70"/>
                      <w:jc w:val="center"/>
                      <w:rPr>
                        <w:bCs/>
                        <w:sz w:val="20"/>
                      </w:rPr>
                    </w:pP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(ERPF,</w:t>
                    </w:r>
                  </w:p>
                  <w:p>
                    <w:pPr>
                      <w:ind w:left="-57" w:right="-57"/>
                      <w:jc w:val="center"/>
                      <w:rPr>
                        <w:bCs/>
                        <w:sz w:val="20"/>
                      </w:rPr>
                    </w:pPr>
                    <w:r>
                      <w:rPr>
                        <w:kern w:val="2"/>
                        <w:sz w:val="20"/>
                        <w14:ligatures w14:val="standardContextual"/>
                      </w:rPr>
                      <w:t>Vidurio ir vakarų Lietuvos (toliau – VVL) regionas)</w:t>
                    </w:r>
                  </w:p>
                </w:tc>
                <w:tc>
                  <w:tcPr>
                    <w:tcW w:w="2001"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tcBorders>
                      <w:top w:val="single" w:sz="4" w:space="0" w:color="auto"/>
                      <w:left w:val="single" w:sz="4" w:space="0" w:color="auto"/>
                      <w:bottom w:val="single" w:sz="4" w:space="0" w:color="auto"/>
                      <w:right w:val="single" w:sz="4" w:space="0" w:color="auto"/>
                    </w:tcBorders>
                    <w:vAlign w:val="center"/>
                  </w:tcPr>
                  <w:p>
                    <w:pP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983"/>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8 030,679</w:t>
                    </w:r>
                  </w:p>
                  <w:p>
                    <w:pPr>
                      <w:ind w:left="-57" w:right="-57"/>
                      <w:jc w:val="center"/>
                      <w:rPr>
                        <w:sz w:val="20"/>
                      </w:rPr>
                    </w:pPr>
                  </w:p>
                </w:tc>
                <w:tc>
                  <w:tcPr>
                    <w:tcW w:w="1118" w:type="dxa"/>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2271" w:type="dxa"/>
                    <w:gridSpan w:val="2"/>
                    <w:vMerge/>
                    <w:tcBorders>
                      <w:left w:val="single" w:sz="4" w:space="0" w:color="auto"/>
                      <w:right w:val="single" w:sz="4" w:space="0" w:color="auto"/>
                    </w:tcBorders>
                    <w:vAlign w:val="center"/>
                  </w:tcPr>
                  <w:p>
                    <w:pPr>
                      <w:rPr>
                        <w:b/>
                        <w:sz w:val="16"/>
                        <w:szCs w:val="16"/>
                      </w:rPr>
                    </w:pPr>
                  </w:p>
                </w:tc>
              </w:tr>
              <w:tr>
                <w:trPr>
                  <w:trHeight w:val="2248"/>
                </w:trPr>
                <w:tc>
                  <w:tcPr>
                    <w:tcW w:w="2130" w:type="dxa"/>
                    <w:gridSpan w:val="2"/>
                    <w:vMerge/>
                    <w:tcBorders>
                      <w:left w:val="single" w:sz="4" w:space="0" w:color="auto"/>
                      <w:right w:val="single" w:sz="4" w:space="0" w:color="auto"/>
                    </w:tcBorders>
                    <w:vAlign w:val="center"/>
                  </w:tcPr>
                  <w:p>
                    <w:pPr>
                      <w:rPr>
                        <w:b/>
                        <w:bCs/>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bCs/>
                        <w:sz w:val="20"/>
                      </w:rPr>
                    </w:pPr>
                  </w:p>
                </w:tc>
                <w:tc>
                  <w:tcPr>
                    <w:tcW w:w="829" w:type="dxa"/>
                    <w:gridSpan w:val="3"/>
                    <w:vMerge/>
                    <w:tcBorders>
                      <w:left w:val="single" w:sz="4" w:space="0" w:color="auto"/>
                      <w:right w:val="single" w:sz="4" w:space="0" w:color="auto"/>
                    </w:tcBorders>
                    <w:vAlign w:val="center"/>
                  </w:tcPr>
                  <w:p>
                    <w:pPr>
                      <w:rPr>
                        <w:bCs/>
                        <w:sz w:val="20"/>
                      </w:rPr>
                    </w:pPr>
                  </w:p>
                </w:tc>
                <w:tc>
                  <w:tcPr>
                    <w:tcW w:w="1014" w:type="dxa"/>
                    <w:gridSpan w:val="3"/>
                    <w:vMerge/>
                    <w:tcBorders>
                      <w:left w:val="single" w:sz="4" w:space="0" w:color="auto"/>
                      <w:right w:val="single" w:sz="4" w:space="0" w:color="auto"/>
                    </w:tcBorders>
                    <w:vAlign w:val="center"/>
                  </w:tcPr>
                  <w:p>
                    <w:pPr>
                      <w:rPr>
                        <w:bCs/>
                        <w:sz w:val="20"/>
                      </w:rPr>
                    </w:pPr>
                  </w:p>
                </w:tc>
                <w:tc>
                  <w:tcPr>
                    <w:tcW w:w="681" w:type="dxa"/>
                    <w:gridSpan w:val="3"/>
                    <w:vMerge/>
                    <w:tcBorders>
                      <w:left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8 340,359</w:t>
                    </w: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(ESF+,</w:t>
                    </w:r>
                  </w:p>
                  <w:p>
                    <w:pPr>
                      <w:ind w:left="-57" w:right="-57"/>
                      <w:jc w:val="center"/>
                      <w:rPr>
                        <w:sz w:val="20"/>
                      </w:rPr>
                    </w:pPr>
                    <w:r>
                      <w:rPr>
                        <w:kern w:val="2"/>
                        <w:sz w:val="20"/>
                        <w14:ligatures w14:val="standardContextual"/>
                      </w:rPr>
                      <w:t>VVL regionas)</w:t>
                    </w:r>
                  </w:p>
                </w:tc>
                <w:tc>
                  <w:tcPr>
                    <w:tcW w:w="2001"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(90 proc.)“</w:t>
                    </w:r>
                  </w:p>
                </w:tc>
                <w:tc>
                  <w:tcPr>
                    <w:tcW w:w="2271" w:type="dxa"/>
                    <w:gridSpan w:val="2"/>
                    <w:vMerge/>
                    <w:tcBorders>
                      <w:left w:val="single" w:sz="4" w:space="0" w:color="auto"/>
                      <w:right w:val="single" w:sz="4" w:space="0" w:color="auto"/>
                    </w:tcBorders>
                    <w:vAlign w:val="center"/>
                  </w:tcPr>
                  <w:p>
                    <w:pPr>
                      <w:rPr>
                        <w:b/>
                        <w:sz w:val="16"/>
                        <w:szCs w:val="16"/>
                      </w:rPr>
                    </w:pPr>
                  </w:p>
                </w:tc>
              </w:tr>
              <w:tr>
                <w:trPr>
                  <w:trHeight w:val="2248"/>
                </w:trPr>
                <w:tc>
                  <w:tcPr>
                    <w:tcW w:w="2130" w:type="dxa"/>
                    <w:gridSpan w:val="2"/>
                    <w:vMerge/>
                    <w:tcBorders>
                      <w:left w:val="single" w:sz="4" w:space="0" w:color="auto"/>
                      <w:bottom w:val="single" w:sz="4" w:space="0" w:color="auto"/>
                      <w:right w:val="single" w:sz="4" w:space="0" w:color="auto"/>
                    </w:tcBorders>
                    <w:vAlign w:val="center"/>
                  </w:tcPr>
                  <w:p>
                    <w:pPr>
                      <w:rPr>
                        <w:b/>
                        <w:bCs/>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bCs/>
                        <w:sz w:val="20"/>
                      </w:rPr>
                    </w:pPr>
                  </w:p>
                </w:tc>
                <w:tc>
                  <w:tcPr>
                    <w:tcW w:w="829" w:type="dxa"/>
                    <w:gridSpan w:val="3"/>
                    <w:vMerge/>
                    <w:tcBorders>
                      <w:left w:val="single" w:sz="4" w:space="0" w:color="auto"/>
                      <w:bottom w:val="single" w:sz="4" w:space="0" w:color="auto"/>
                      <w:right w:val="single" w:sz="4" w:space="0" w:color="auto"/>
                    </w:tcBorders>
                    <w:vAlign w:val="center"/>
                  </w:tcPr>
                  <w:p>
                    <w:pPr>
                      <w:rPr>
                        <w:bCs/>
                        <w:sz w:val="20"/>
                      </w:rPr>
                    </w:pPr>
                  </w:p>
                </w:tc>
                <w:tc>
                  <w:tcPr>
                    <w:tcW w:w="1014" w:type="dxa"/>
                    <w:gridSpan w:val="3"/>
                    <w:vMerge/>
                    <w:tcBorders>
                      <w:left w:val="single" w:sz="4" w:space="0" w:color="auto"/>
                      <w:bottom w:val="single" w:sz="4" w:space="0" w:color="auto"/>
                      <w:right w:val="single" w:sz="4" w:space="0" w:color="auto"/>
                    </w:tcBorders>
                    <w:vAlign w:val="center"/>
                  </w:tcPr>
                  <w:p>
                    <w:pPr>
                      <w:rPr>
                        <w:bCs/>
                        <w:sz w:val="20"/>
                      </w:rPr>
                    </w:pPr>
                  </w:p>
                </w:tc>
                <w:tc>
                  <w:tcPr>
                    <w:tcW w:w="681" w:type="dxa"/>
                    <w:gridSpan w:val="3"/>
                    <w:vMerge/>
                    <w:tcBorders>
                      <w:left w:val="single" w:sz="4" w:space="0" w:color="auto"/>
                      <w:bottom w:val="single" w:sz="4" w:space="0" w:color="auto"/>
                      <w:right w:val="single" w:sz="4" w:space="0" w:color="auto"/>
                    </w:tcBorders>
                    <w:vAlign w:val="center"/>
                  </w:tcPr>
                  <w:p>
                    <w:pPr>
                      <w:rPr>
                        <w:bCs/>
                        <w:sz w:val="20"/>
                      </w:rPr>
                    </w:pP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kern w:val="2"/>
                        <w:sz w:val="20"/>
                        <w14:ligatures w14:val="standardContextual"/>
                      </w:rPr>
                    </w:pPr>
                    <w:r>
                      <w:rPr>
                        <w:kern w:val="2"/>
                        <w:sz w:val="20"/>
                        <w14:ligatures w14:val="standardContextual"/>
                      </w:rPr>
                      <w:t>1 471,829</w:t>
                    </w: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2021–2027 m. IP (BF, VVL regionas)</w:t>
                    </w:r>
                  </w:p>
                </w:tc>
                <w:tc>
                  <w:tcPr>
                    <w:tcW w:w="2001"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p>
                </w:tc>
                <w:tc>
                  <w:tcPr>
                    <w:tcW w:w="1134"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p>
                </w:tc>
                <w:tc>
                  <w:tcPr>
                    <w:tcW w:w="2271" w:type="dxa"/>
                    <w:gridSpan w:val="2"/>
                    <w:vMerge/>
                    <w:tcBorders>
                      <w:left w:val="single" w:sz="4" w:space="0" w:color="auto"/>
                      <w:bottom w:val="single" w:sz="4" w:space="0" w:color="auto"/>
                      <w:right w:val="single" w:sz="4" w:space="0" w:color="auto"/>
                    </w:tcBorders>
                    <w:vAlign w:val="center"/>
                  </w:tcPr>
                  <w:p>
                    <w:pPr>
                      <w:rPr>
                        <w:b/>
                        <w:sz w:val="16"/>
                        <w:szCs w:val="16"/>
                      </w:rPr>
                    </w:pPr>
                  </w:p>
                </w:tc>
              </w:tr>
              <w:tr>
                <w:trPr>
                  <w:trHeight w:val="2126"/>
                </w:trPr>
                <w:tc>
                  <w:tcPr>
                    <w:tcW w:w="2130" w:type="dxa"/>
                    <w:gridSpan w:val="2"/>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69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985"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829"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014"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681" w:type="dxa"/>
                    <w:gridSpan w:val="3"/>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167" w:type="dxa"/>
                    <w:gridSpan w:val="2"/>
                    <w:vMerge w:val="restart"/>
                    <w:tcBorders>
                      <w:top w:val="single" w:sz="4" w:space="0" w:color="auto"/>
                      <w:left w:val="single" w:sz="4" w:space="0" w:color="auto"/>
                      <w:right w:val="single" w:sz="4" w:space="0" w:color="auto"/>
                    </w:tcBorders>
                  </w:tcPr>
                  <w:p>
                    <w:pPr>
                      <w:jc w:val="center"/>
                      <w:rPr>
                        <w:sz w:val="20"/>
                      </w:rPr>
                    </w:pPr>
                    <w:r>
                      <w:rPr>
                        <w:sz w:val="20"/>
                      </w:rPr>
                      <w:t>-</w:t>
                    </w:r>
                  </w:p>
                </w:tc>
                <w:tc>
                  <w:tcPr>
                    <w:tcW w:w="1118"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 xml:space="preserve">P  – Įsigaliojęs sveikatos priežiūros įstaigų bendradarbiavimo gerinimo ir infrastruktūros pritaikymo ekstremaliosioms situacijoms modernizavimo veiksmų planas,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875"/>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ind w:left="-57" w:right="-57"/>
                      <w:jc w:val="center"/>
                      <w:rPr>
                        <w:color w:val="000000"/>
                        <w:sz w:val="20"/>
                      </w:rPr>
                    </w:pPr>
                  </w:p>
                </w:tc>
                <w:tc>
                  <w:tcPr>
                    <w:tcW w:w="1118" w:type="dxa"/>
                    <w:vMerge/>
                    <w:tcBorders>
                      <w:left w:val="single" w:sz="4" w:space="0" w:color="auto"/>
                      <w:right w:val="single" w:sz="4" w:space="0" w:color="auto"/>
                    </w:tcBorders>
                    <w:vAlign w:val="center"/>
                  </w:tcPr>
                  <w:p>
                    <w:pPr>
                      <w:ind w:left="-57" w:right="-57"/>
                      <w:jc w:val="cente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P – Nustatyti infekcinių ligų centrų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jc w:val="both"/>
                      <w:rPr>
                        <w:color w:val="000000"/>
                        <w:sz w:val="20"/>
                      </w:rPr>
                    </w:pPr>
                    <w:r>
                      <w:rPr>
                        <w:color w:val="000000"/>
                        <w:sz w:val="20"/>
                      </w:rPr>
                      <w:t>P – Nustatyti ligoninių skubiosios medicinos pagalbos, reanimacijos ir intensyviosios terapijos skyrių infrastruktūros reikalavimai, kompl.</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9" w:type="dxa"/>
                    <w:vMerge/>
                    <w:tcBorders>
                      <w:left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color w:val="000000"/>
                        <w:sz w:val="20"/>
                      </w:rPr>
                    </w:pPr>
                  </w:p>
                </w:tc>
                <w:tc>
                  <w:tcPr>
                    <w:tcW w:w="699" w:type="dxa"/>
                    <w:vMerge/>
                    <w:tcBorders>
                      <w:left w:val="single" w:sz="4" w:space="0" w:color="auto"/>
                      <w:right w:val="single" w:sz="4" w:space="0" w:color="auto"/>
                    </w:tcBorders>
                    <w:vAlign w:val="center"/>
                  </w:tcPr>
                  <w:p>
                    <w:pPr>
                      <w:ind w:left="-57" w:right="-57"/>
                      <w:rPr>
                        <w:iCs/>
                        <w:sz w:val="20"/>
                      </w:rPr>
                    </w:pPr>
                  </w:p>
                </w:tc>
                <w:tc>
                  <w:tcPr>
                    <w:tcW w:w="1985" w:type="dxa"/>
                    <w:vMerge/>
                    <w:tcBorders>
                      <w:left w:val="single" w:sz="4" w:space="0" w:color="auto"/>
                      <w:right w:val="single" w:sz="4" w:space="0" w:color="auto"/>
                    </w:tcBorders>
                    <w:vAlign w:val="center"/>
                  </w:tcPr>
                  <w:p>
                    <w:pPr>
                      <w:rPr>
                        <w:color w:val="000000"/>
                        <w:sz w:val="20"/>
                      </w:rPr>
                    </w:pPr>
                  </w:p>
                </w:tc>
                <w:tc>
                  <w:tcPr>
                    <w:tcW w:w="829" w:type="dxa"/>
                    <w:gridSpan w:val="3"/>
                    <w:vMerge/>
                    <w:tcBorders>
                      <w:left w:val="single" w:sz="4" w:space="0" w:color="auto"/>
                      <w:right w:val="single" w:sz="4" w:space="0" w:color="auto"/>
                    </w:tcBorders>
                    <w:vAlign w:val="center"/>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000000"/>
                        <w:sz w:val="20"/>
                      </w:rPr>
                    </w:pPr>
                    <w:r>
                      <w:rPr>
                        <w:color w:val="000000"/>
                        <w:sz w:val="20"/>
                      </w:rPr>
                      <w:t xml:space="preserve">P – 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29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2.2. Infekcinių ligų klasterių centrų įrengimas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spacing w:line="276" w:lineRule="auto"/>
                      <w:rPr>
                        <w:kern w:val="2"/>
                        <w:sz w:val="20"/>
                        <w14:ligatures w14:val="standardContextual"/>
                      </w:rPr>
                    </w:pPr>
                    <w:r>
                      <w:rPr>
                        <w:kern w:val="2"/>
                        <w:sz w:val="20"/>
                        <w14:ligatures w14:val="standardContextual"/>
                      </w:rPr>
                      <w:t>ASPĮ</w:t>
                    </w:r>
                  </w:p>
                  <w:p>
                    <w:pPr>
                      <w:rPr>
                        <w:sz w:val="20"/>
                      </w:rPr>
                    </w:pP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117 472,921</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EGADP</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Modernizuotų infekcinių ligų klasterio kompetencijos centrų skaičius,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4</w:t>
                    </w:r>
                  </w:p>
                  <w:p>
                    <w:pPr>
                      <w:ind w:left="-57" w:right="-57"/>
                      <w:jc w:val="center"/>
                      <w:rPr>
                        <w:sz w:val="20"/>
                      </w:rPr>
                    </w:pPr>
                    <w:r>
                      <w:rPr>
                        <w:kern w:val="2"/>
                        <w:sz w:val="20"/>
                        <w14:ligatures w14:val="standardContextual"/>
                      </w:rPr>
                      <w:t>(2026 m. II ketv.)</w:t>
                    </w: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kern w:val="2"/>
                        <w:sz w:val="20"/>
                        <w14:ligatures w14:val="standardContextual"/>
                      </w:rPr>
                      <w:t>SAM“</w:t>
                    </w:r>
                  </w:p>
                </w:tc>
              </w:tr>
              <w:tr>
                <w:trPr>
                  <w:trHeight w:val="787"/>
                </w:trPr>
                <w:tc>
                  <w:tcPr>
                    <w:tcW w:w="2130" w:type="dxa"/>
                    <w:gridSpan w:val="2"/>
                    <w:vMerge/>
                    <w:tcBorders>
                      <w:left w:val="single" w:sz="4" w:space="0" w:color="auto"/>
                      <w:bottom w:val="single" w:sz="4" w:space="0" w:color="auto"/>
                      <w:right w:val="single" w:sz="4" w:space="0" w:color="auto"/>
                    </w:tcBorders>
                    <w:vAlign w:val="center"/>
                  </w:tcPr>
                  <w:p>
                    <w:pPr>
                      <w:rPr>
                        <w:color w:val="000000"/>
                        <w:sz w:val="20"/>
                      </w:rPr>
                    </w:pPr>
                  </w:p>
                </w:tc>
                <w:tc>
                  <w:tcPr>
                    <w:tcW w:w="699" w:type="dxa"/>
                    <w:vMerge/>
                    <w:tcBorders>
                      <w:left w:val="single" w:sz="4" w:space="0" w:color="auto"/>
                      <w:bottom w:val="single" w:sz="4" w:space="0" w:color="auto"/>
                      <w:right w:val="single" w:sz="4" w:space="0" w:color="auto"/>
                    </w:tcBorders>
                    <w:vAlign w:val="center"/>
                  </w:tcPr>
                  <w:p>
                    <w:pPr>
                      <w:rPr>
                        <w:color w:val="000000"/>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24 669,314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9" w:type="dxa"/>
                    <w:vMerge/>
                    <w:tcBorders>
                      <w:left w:val="single" w:sz="4" w:space="0" w:color="auto"/>
                      <w:bottom w:val="single" w:sz="4" w:space="0" w:color="auto"/>
                      <w:right w:val="single" w:sz="4" w:space="0" w:color="auto"/>
                    </w:tcBorders>
                    <w:vAlign w:val="center"/>
                  </w:tcPr>
                  <w:p>
                    <w:pPr>
                      <w:rPr>
                        <w:color w:val="000000"/>
                        <w:sz w:val="20"/>
                      </w:rPr>
                    </w:pPr>
                  </w:p>
                </w:tc>
              </w:tr>
              <w:tr>
                <w:trPr>
                  <w:trHeight w:val="1319"/>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ind w:left="-57" w:right="-57"/>
                      <w:rPr>
                        <w:iCs/>
                        <w:sz w:val="20"/>
                      </w:rPr>
                    </w:pPr>
                    <w:r>
                      <w:rPr>
                        <w:iCs/>
                        <w:sz w:val="20"/>
                      </w:rPr>
                      <w:t>2.3. Regioninių sveikatos priežiūros įstaigų infrastruktūros modernizavimas</w:t>
                    </w:r>
                  </w:p>
                </w:tc>
                <w:tc>
                  <w:tcPr>
                    <w:tcW w:w="699"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color w:val="000000"/>
                        <w:sz w:val="20"/>
                      </w:rPr>
                    </w:pPr>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ASPĮ</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lang w:val="en-US"/>
                      </w:rPr>
                    </w:pPr>
                    <w:r>
                      <w:rPr>
                        <w:kern w:val="2"/>
                        <w:sz w:val="20"/>
                        <w14:ligatures w14:val="standardContextual"/>
                      </w:rPr>
                      <w:t>50 909,844</w:t>
                    </w:r>
                  </w:p>
                </w:tc>
                <w:tc>
                  <w:tcPr>
                    <w:tcW w:w="1118" w:type="dxa"/>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EGADP</w:t>
                    </w:r>
                  </w:p>
                </w:tc>
                <w:tc>
                  <w:tcPr>
                    <w:tcW w:w="2001" w:type="dxa"/>
                    <w:gridSpan w:val="2"/>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Ligoninių, kuriose įrengti modernizuoti skubiosios pagalbos, reanimacijos arba intensyviosios terapijos skyriai, skaičius, vnt.</w:t>
                    </w:r>
                  </w:p>
                </w:tc>
                <w:tc>
                  <w:tcPr>
                    <w:tcW w:w="1134"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w:t>
                    </w:r>
                  </w:p>
                  <w:p>
                    <w:pPr>
                      <w:ind w:left="-57" w:right="-57"/>
                      <w:jc w:val="center"/>
                      <w:rPr>
                        <w:sz w:val="20"/>
                      </w:rPr>
                    </w:pPr>
                    <w:r>
                      <w:rPr>
                        <w:sz w:val="20"/>
                      </w:rPr>
                      <w:t>(2026 m. II ketv.)</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kern w:val="2"/>
                        <w:sz w:val="20"/>
                        <w14:ligatures w14:val="standardContextual"/>
                      </w:rPr>
                      <w:t>10 691,048</w:t>
                    </w:r>
                  </w:p>
                </w:tc>
                <w:tc>
                  <w:tcPr>
                    <w:tcW w:w="1118"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19"/>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n/a</w:t>
                    </w:r>
                  </w:p>
                </w:tc>
                <w:tc>
                  <w:tcPr>
                    <w:tcW w:w="992"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gridBefore w:val="1"/>
                  <w:wBefore w:w="6" w:type="dxa"/>
                  <w:trHeight w:val="1025"/>
                </w:trPr>
                <w:tc>
                  <w:tcPr>
                    <w:tcW w:w="2124" w:type="dxa"/>
                    <w:vMerge w:val="restart"/>
                  </w:tcPr>
                  <w:p>
                    <w:pPr>
                      <w:rPr>
                        <w:sz w:val="20"/>
                      </w:rPr>
                    </w:pPr>
                    <w:r>
                      <w:rPr>
                        <w:color w:val="000000"/>
                        <w:sz w:val="20"/>
                      </w:rPr>
                      <w:t>2.4.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sz w:val="20"/>
                      </w:rPr>
                    </w:pPr>
                    <w:r>
                      <w:rPr>
                        <w:color w:val="000000"/>
                        <w:sz w:val="20"/>
                      </w:rPr>
                      <w:t>ASPĮ</w:t>
                    </w:r>
                  </w:p>
                </w:tc>
                <w:tc>
                  <w:tcPr>
                    <w:tcW w:w="849" w:type="dxa"/>
                    <w:gridSpan w:val="4"/>
                    <w:vMerge w:val="restart"/>
                  </w:tcPr>
                  <w:p>
                    <w:pPr>
                      <w:rPr>
                        <w:sz w:val="20"/>
                      </w:rPr>
                    </w:pPr>
                    <w:r>
                      <w:rPr>
                        <w:color w:val="000000"/>
                        <w:sz w:val="20"/>
                      </w:rPr>
                      <w:t>P</w:t>
                    </w:r>
                  </w:p>
                </w:tc>
                <w:tc>
                  <w:tcPr>
                    <w:tcW w:w="994" w:type="dxa"/>
                    <w:gridSpan w:val="2"/>
                    <w:vMerge w:val="restart"/>
                  </w:tcPr>
                  <w:p>
                    <w:pPr>
                      <w:rPr>
                        <w:sz w:val="20"/>
                      </w:rPr>
                    </w:pPr>
                    <w:r>
                      <w:rPr>
                        <w:color w:val="000000"/>
                        <w:sz w:val="20"/>
                      </w:rPr>
                      <w:t>Taip</w:t>
                    </w:r>
                  </w:p>
                </w:tc>
                <w:tc>
                  <w:tcPr>
                    <w:tcW w:w="708" w:type="dxa"/>
                    <w:gridSpan w:val="4"/>
                    <w:vMerge w:val="restart"/>
                  </w:tcPr>
                  <w:p>
                    <w:pPr>
                      <w:rPr>
                        <w:sz w:val="20"/>
                      </w:rPr>
                    </w:pPr>
                    <w:r>
                      <w:rPr>
                        <w:color w:val="000000"/>
                        <w:sz w:val="20"/>
                      </w:rPr>
                      <w:t>D</w:t>
                    </w:r>
                  </w:p>
                </w:tc>
                <w:tc>
                  <w:tcPr>
                    <w:tcW w:w="1140" w:type="dxa"/>
                  </w:tcPr>
                  <w:p>
                    <w:pPr>
                      <w:jc w:val="center"/>
                      <w:rPr>
                        <w:sz w:val="20"/>
                      </w:rPr>
                    </w:pPr>
                    <w:r>
                      <w:rPr>
                        <w:color w:val="000000"/>
                        <w:sz w:val="20"/>
                      </w:rPr>
                      <w:t>5 850,490</w:t>
                    </w:r>
                  </w:p>
                </w:tc>
                <w:tc>
                  <w:tcPr>
                    <w:tcW w:w="1134" w:type="dxa"/>
                    <w:gridSpan w:val="2"/>
                  </w:tcPr>
                  <w:p>
                    <w:pPr>
                      <w:rPr>
                        <w:sz w:val="20"/>
                      </w:rPr>
                    </w:pPr>
                    <w:r>
                      <w:rPr>
                        <w:color w:val="000000"/>
                        <w:sz w:val="20"/>
                      </w:rPr>
                      <w:t>2021–2027 m. IP (ERPF)</w:t>
                    </w:r>
                  </w:p>
                </w:tc>
                <w:tc>
                  <w:tcPr>
                    <w:tcW w:w="1985" w:type="dxa"/>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both"/>
                      <w:rPr>
                        <w:color w:val="000000"/>
                        <w:sz w:val="20"/>
                      </w:rPr>
                    </w:pPr>
                    <w:r>
                      <w:rPr>
                        <w:color w:val="000000"/>
                        <w:sz w:val="20"/>
                      </w:rPr>
                      <w:t>51 500</w:t>
                    </w:r>
                  </w:p>
                  <w:p>
                    <w:pPr>
                      <w:ind w:left="-57" w:right="-57"/>
                      <w:jc w:val="center"/>
                      <w:rPr>
                        <w:sz w:val="20"/>
                      </w:rPr>
                    </w:pPr>
                    <w:r>
                      <w:rPr>
                        <w:color w:val="000000"/>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gridBefore w:val="1"/>
                  <w:wBefore w:w="6" w:type="dxa"/>
                  <w:trHeight w:val="983"/>
                </w:trPr>
                <w:tc>
                  <w:tcPr>
                    <w:tcW w:w="2124" w:type="dxa"/>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49" w:type="dxa"/>
                    <w:gridSpan w:val="4"/>
                    <w:vMerge/>
                    <w:vAlign w:val="center"/>
                  </w:tcPr>
                  <w:p>
                    <w:pPr>
                      <w:rPr>
                        <w:color w:val="000000"/>
                        <w:sz w:val="20"/>
                      </w:rPr>
                    </w:pPr>
                  </w:p>
                </w:tc>
                <w:tc>
                  <w:tcPr>
                    <w:tcW w:w="994" w:type="dxa"/>
                    <w:gridSpan w:val="2"/>
                    <w:vMerge/>
                    <w:vAlign w:val="center"/>
                  </w:tcPr>
                  <w:p>
                    <w:pPr>
                      <w:rPr>
                        <w:color w:val="000000"/>
                        <w:sz w:val="20"/>
                      </w:rPr>
                    </w:pPr>
                  </w:p>
                </w:tc>
                <w:tc>
                  <w:tcPr>
                    <w:tcW w:w="708" w:type="dxa"/>
                    <w:gridSpan w:val="4"/>
                    <w:vMerge/>
                    <w:vAlign w:val="center"/>
                  </w:tcPr>
                  <w:p>
                    <w:pPr>
                      <w:rPr>
                        <w:color w:val="000000"/>
                        <w:sz w:val="20"/>
                      </w:rPr>
                    </w:pPr>
                  </w:p>
                </w:tc>
                <w:tc>
                  <w:tcPr>
                    <w:tcW w:w="1140" w:type="dxa"/>
                  </w:tcPr>
                  <w:p>
                    <w:pPr>
                      <w:tabs>
                        <w:tab w:val="center" w:pos="4153"/>
                        <w:tab w:val="right" w:pos="8306"/>
                      </w:tabs>
                      <w:jc w:val="both"/>
                      <w:rPr>
                        <w:color w:val="000000"/>
                        <w:sz w:val="20"/>
                      </w:rPr>
                    </w:pPr>
                    <w:r>
                      <w:rPr>
                        <w:color w:val="000000"/>
                        <w:sz w:val="20"/>
                      </w:rPr>
                      <w:t>5 850,490</w:t>
                    </w:r>
                    <w:r>
                      <w:rPr>
                        <w:strike/>
                        <w:color w:val="000000"/>
                        <w:sz w:val="20"/>
                      </w:rPr>
                      <w:t xml:space="preserve">  </w:t>
                    </w:r>
                  </w:p>
                </w:tc>
                <w:tc>
                  <w:tcPr>
                    <w:tcW w:w="1134" w:type="dxa"/>
                    <w:gridSpan w:val="2"/>
                  </w:tcPr>
                  <w:p>
                    <w:pPr>
                      <w:rPr>
                        <w:sz w:val="20"/>
                      </w:rPr>
                    </w:pPr>
                    <w:r>
                      <w:rPr>
                        <w:color w:val="000000"/>
                        <w:sz w:val="20"/>
                      </w:rPr>
                      <w:t>2021–2027 m. IP (BF)</w:t>
                    </w:r>
                  </w:p>
                </w:tc>
                <w:tc>
                  <w:tcPr>
                    <w:tcW w:w="1985" w:type="dxa"/>
                  </w:tcPr>
                  <w:p>
                    <w:pPr>
                      <w:ind w:left="-57" w:right="-57"/>
                      <w:rPr>
                        <w:sz w:val="20"/>
                      </w:rPr>
                    </w:pPr>
                    <w:r>
                      <w:rPr>
                        <w:color w:val="000000"/>
                        <w:sz w:val="20"/>
                      </w:rPr>
                      <w:t>R – Naujos arba modernizuotos sveikatos priežiūros infrastruktūros naudotojų skaičius per metus, asmenys per metus</w:t>
                    </w:r>
                  </w:p>
                </w:tc>
                <w:tc>
                  <w:tcPr>
                    <w:tcW w:w="1134" w:type="dxa"/>
                    <w:gridSpan w:val="2"/>
                  </w:tcPr>
                  <w:p>
                    <w:pPr>
                      <w:tabs>
                        <w:tab w:val="center" w:pos="4153"/>
                        <w:tab w:val="right" w:pos="8306"/>
                      </w:tabs>
                      <w:jc w:val="both"/>
                      <w:rPr>
                        <w:color w:val="000000"/>
                        <w:sz w:val="20"/>
                      </w:rPr>
                    </w:pPr>
                    <w:r>
                      <w:rPr>
                        <w:color w:val="000000"/>
                        <w:sz w:val="20"/>
                      </w:rPr>
                      <w:t>46 480</w:t>
                    </w:r>
                  </w:p>
                  <w:p>
                    <w:pPr>
                      <w:ind w:left="423" w:right="-57" w:hanging="480"/>
                      <w:jc w:val="center"/>
                      <w:rPr>
                        <w:sz w:val="20"/>
                      </w:rPr>
                    </w:pPr>
                    <w:r>
                      <w:rPr>
                        <w:color w:val="000000"/>
                        <w:sz w:val="20"/>
                      </w:rPr>
                      <w:t>(2029 m.)</w:t>
                    </w: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1023"/>
                </w:trPr>
                <w:tc>
                  <w:tcPr>
                    <w:tcW w:w="2130" w:type="dxa"/>
                    <w:gridSpan w:val="2"/>
                    <w:vMerge w:val="restart"/>
                  </w:tcPr>
                  <w:p>
                    <w:pPr>
                      <w:rPr>
                        <w:sz w:val="20"/>
                      </w:rPr>
                    </w:pPr>
                    <w:r>
                      <w:rPr>
                        <w:sz w:val="20"/>
                      </w:rPr>
                      <w:t>2.5. Regionų ir savivaldybių sveikatos priežiūros įstaigų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ind w:firstLine="53"/>
                      <w:rPr>
                        <w:sz w:val="20"/>
                      </w:rPr>
                    </w:pPr>
                    <w:r>
                      <w:rPr>
                        <w:sz w:val="20"/>
                      </w:rPr>
                      <w:t>38 972,928</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149 950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ind w:firstLine="106"/>
                      <w:rPr>
                        <w:sz w:val="20"/>
                      </w:rPr>
                    </w:pPr>
                    <w:r>
                      <w:rPr>
                        <w:sz w:val="20"/>
                      </w:rPr>
                      <w:t>6 877,575</w:t>
                    </w:r>
                  </w:p>
                </w:tc>
                <w:tc>
                  <w:tcPr>
                    <w:tcW w:w="1118" w:type="dxa"/>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rPr>
                    </w:pPr>
                    <w:r>
                      <w:rPr>
                        <w:sz w:val="20"/>
                      </w:rPr>
                      <w:t>134 490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60"/>
                </w:trPr>
                <w:tc>
                  <w:tcPr>
                    <w:tcW w:w="2130" w:type="dxa"/>
                    <w:gridSpan w:val="2"/>
                    <w:vMerge w:val="restart"/>
                  </w:tcPr>
                  <w:p>
                    <w:pPr>
                      <w:rPr>
                        <w:sz w:val="20"/>
                      </w:rPr>
                    </w:pPr>
                    <w:r>
                      <w:rPr>
                        <w:sz w:val="20"/>
                      </w:rPr>
                      <w:t>2.6. Skubios telemedicinos paslaugų diegimas,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rPr>
                    </w:pPr>
                    <w:r>
                      <w:rPr>
                        <w:sz w:val="20"/>
                      </w:rPr>
                      <w:t>3 825</w:t>
                    </w:r>
                  </w:p>
                  <w:p>
                    <w:pPr>
                      <w:rPr>
                        <w:sz w:val="20"/>
                      </w:rPr>
                    </w:pPr>
                  </w:p>
                </w:tc>
                <w:tc>
                  <w:tcPr>
                    <w:tcW w:w="1118" w:type="dxa"/>
                  </w:tcPr>
                  <w:p>
                    <w:pPr>
                      <w:rPr>
                        <w:sz w:val="20"/>
                      </w:rPr>
                    </w:pPr>
                    <w:r>
                      <w:rPr>
                        <w:sz w:val="20"/>
                      </w:rPr>
                      <w:t>2021–2027 m. IP (ERPF)</w:t>
                    </w:r>
                  </w:p>
                </w:tc>
                <w:tc>
                  <w:tcPr>
                    <w:tcW w:w="2001" w:type="dxa"/>
                    <w:gridSpan w:val="2"/>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vMerge w:val="restart"/>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130" w:type="dxa"/>
                    <w:gridSpan w:val="2"/>
                    <w:vMerge/>
                  </w:tcPr>
                  <w:p>
                    <w:pPr>
                      <w:rPr>
                        <w:color w:val="000000"/>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Pr>
                  <w:p>
                    <w:pPr>
                      <w:rPr>
                        <w:color w:val="000000"/>
                        <w:sz w:val="20"/>
                      </w:rPr>
                    </w:pPr>
                  </w:p>
                </w:tc>
                <w:tc>
                  <w:tcPr>
                    <w:tcW w:w="681" w:type="dxa"/>
                    <w:gridSpan w:val="3"/>
                    <w:vMerge/>
                  </w:tcPr>
                  <w:p>
                    <w:pPr>
                      <w:rPr>
                        <w:color w:val="000000"/>
                        <w:sz w:val="20"/>
                      </w:rPr>
                    </w:pPr>
                  </w:p>
                </w:tc>
                <w:tc>
                  <w:tcPr>
                    <w:tcW w:w="1167" w:type="dxa"/>
                    <w:gridSpan w:val="2"/>
                    <w:vMerge w:val="restart"/>
                  </w:tcPr>
                  <w:p>
                    <w:pPr>
                      <w:rPr>
                        <w:sz w:val="20"/>
                      </w:rPr>
                    </w:pPr>
                    <w:r>
                      <w:rPr>
                        <w:sz w:val="20"/>
                      </w:rPr>
                      <w:t>675</w:t>
                    </w:r>
                  </w:p>
                  <w:p>
                    <w:pPr>
                      <w:rPr>
                        <w:color w:val="000000"/>
                        <w:sz w:val="20"/>
                      </w:rPr>
                    </w:pPr>
                  </w:p>
                </w:tc>
                <w:tc>
                  <w:tcPr>
                    <w:tcW w:w="1118" w:type="dxa"/>
                    <w:vMerge w:val="restart"/>
                  </w:tcPr>
                  <w:p>
                    <w:pPr>
                      <w:rPr>
                        <w:color w:val="000000"/>
                        <w:sz w:val="20"/>
                      </w:rPr>
                    </w:pPr>
                    <w:r>
                      <w:rPr>
                        <w:sz w:val="20"/>
                      </w:rPr>
                      <w:t>2021–2027 m. IP (BF)</w:t>
                    </w:r>
                  </w:p>
                </w:tc>
                <w:tc>
                  <w:tcPr>
                    <w:tcW w:w="2001" w:type="dxa"/>
                    <w:gridSpan w:val="2"/>
                    <w:vMerge/>
                  </w:tcPr>
                  <w:p>
                    <w:pPr>
                      <w:ind w:left="-57" w:right="-57"/>
                      <w:rPr>
                        <w:color w:val="FF0000"/>
                        <w:sz w:val="20"/>
                      </w:rPr>
                    </w:pPr>
                  </w:p>
                </w:tc>
                <w:tc>
                  <w:tcPr>
                    <w:tcW w:w="1134" w:type="dxa"/>
                    <w:gridSpan w:val="2"/>
                    <w:vMerge/>
                  </w:tcPr>
                  <w:p>
                    <w:pPr>
                      <w:ind w:left="-57" w:right="-57"/>
                      <w:jc w:val="center"/>
                      <w:rPr>
                        <w:color w:val="FF0000"/>
                        <w:sz w:val="20"/>
                      </w:rPr>
                    </w:pPr>
                  </w:p>
                </w:tc>
                <w:tc>
                  <w:tcPr>
                    <w:tcW w:w="992" w:type="dxa"/>
                    <w:vMerge/>
                  </w:tcPr>
                  <w:p>
                    <w:pPr>
                      <w:rPr>
                        <w:color w:val="000000"/>
                        <w:sz w:val="20"/>
                      </w:rPr>
                    </w:pPr>
                  </w:p>
                </w:tc>
                <w:tc>
                  <w:tcPr>
                    <w:tcW w:w="1279" w:type="dxa"/>
                    <w:vMerge/>
                    <w:tcBorders>
                      <w:left w:val="single" w:sz="4" w:space="0" w:color="auto"/>
                      <w:right w:val="single" w:sz="4" w:space="0" w:color="auto"/>
                    </w:tcBorders>
                  </w:tcPr>
                  <w:p>
                    <w:pPr>
                      <w:rPr>
                        <w:color w:val="000000"/>
                        <w:sz w:val="20"/>
                      </w:rPr>
                    </w:pPr>
                  </w:p>
                </w:tc>
              </w:tr>
              <w:tr>
                <w:trPr>
                  <w:trHeight w:val="970"/>
                </w:trPr>
                <w:tc>
                  <w:tcPr>
                    <w:tcW w:w="2130" w:type="dxa"/>
                    <w:gridSpan w:val="2"/>
                    <w:vMerge/>
                    <w:vAlign w:val="center"/>
                  </w:tcPr>
                  <w:p>
                    <w:pPr>
                      <w:rPr>
                        <w:color w:val="000000"/>
                        <w:sz w:val="20"/>
                      </w:rPr>
                    </w:pPr>
                  </w:p>
                </w:tc>
                <w:tc>
                  <w:tcPr>
                    <w:tcW w:w="699" w:type="dxa"/>
                    <w:vMerge/>
                    <w:vAlign w:val="center"/>
                  </w:tcPr>
                  <w:p>
                    <w:pPr>
                      <w:rPr>
                        <w:color w:val="000000"/>
                        <w:sz w:val="20"/>
                      </w:rPr>
                    </w:pPr>
                  </w:p>
                </w:tc>
                <w:tc>
                  <w:tcPr>
                    <w:tcW w:w="1985" w:type="dxa"/>
                    <w:vMerge/>
                    <w:vAlign w:val="center"/>
                  </w:tcPr>
                  <w:p>
                    <w:pPr>
                      <w:rPr>
                        <w:color w:val="000000"/>
                        <w:sz w:val="20"/>
                      </w:rPr>
                    </w:pPr>
                  </w:p>
                </w:tc>
                <w:tc>
                  <w:tcPr>
                    <w:tcW w:w="829" w:type="dxa"/>
                    <w:gridSpan w:val="3"/>
                    <w:vMerge/>
                    <w:vAlign w:val="center"/>
                  </w:tcPr>
                  <w:p>
                    <w:pPr>
                      <w:rPr>
                        <w:color w:val="000000"/>
                        <w:sz w:val="20"/>
                      </w:rPr>
                    </w:pPr>
                  </w:p>
                </w:tc>
                <w:tc>
                  <w:tcPr>
                    <w:tcW w:w="1014" w:type="dxa"/>
                    <w:gridSpan w:val="3"/>
                    <w:vMerge/>
                    <w:vAlign w:val="center"/>
                  </w:tcPr>
                  <w:p>
                    <w:pPr>
                      <w:rPr>
                        <w:color w:val="000000"/>
                        <w:sz w:val="20"/>
                      </w:rPr>
                    </w:pPr>
                  </w:p>
                </w:tc>
                <w:tc>
                  <w:tcPr>
                    <w:tcW w:w="681" w:type="dxa"/>
                    <w:gridSpan w:val="3"/>
                    <w:vMerge/>
                    <w:vAlign w:val="center"/>
                  </w:tcPr>
                  <w:p>
                    <w:pPr>
                      <w:rPr>
                        <w:color w:val="000000"/>
                        <w:sz w:val="20"/>
                      </w:rPr>
                    </w:pPr>
                  </w:p>
                </w:tc>
                <w:tc>
                  <w:tcPr>
                    <w:tcW w:w="1167" w:type="dxa"/>
                    <w:gridSpan w:val="2"/>
                    <w:vMerge/>
                    <w:vAlign w:val="center"/>
                  </w:tcPr>
                  <w:p>
                    <w:pPr>
                      <w:rPr>
                        <w:color w:val="000000"/>
                        <w:sz w:val="20"/>
                      </w:rPr>
                    </w:pPr>
                  </w:p>
                </w:tc>
                <w:tc>
                  <w:tcPr>
                    <w:tcW w:w="1118" w:type="dxa"/>
                    <w:vMerge/>
                    <w:vAlign w:val="center"/>
                  </w:tcPr>
                  <w:p>
                    <w:pPr>
                      <w:rPr>
                        <w:color w:val="000000"/>
                        <w:sz w:val="20"/>
                      </w:rPr>
                    </w:pPr>
                  </w:p>
                </w:tc>
                <w:tc>
                  <w:tcPr>
                    <w:tcW w:w="2001" w:type="dxa"/>
                    <w:gridSpan w:val="2"/>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1134" w:type="dxa"/>
                    <w:gridSpan w:val="2"/>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510"/>
                </w:trPr>
                <w:tc>
                  <w:tcPr>
                    <w:tcW w:w="2130" w:type="dxa"/>
                    <w:gridSpan w:val="2"/>
                    <w:tcMar>
                      <w:left w:w="105" w:type="dxa"/>
                      <w:right w:w="105" w:type="dxa"/>
                    </w:tcMar>
                  </w:tcPr>
                  <w:p>
                    <w:pPr>
                      <w:rPr>
                        <w:color w:val="000000"/>
                        <w:sz w:val="20"/>
                      </w:rPr>
                    </w:pPr>
                    <w:r>
                      <w:rPr>
                        <w:color w:val="000000"/>
                        <w:sz w:val="20"/>
                      </w:rPr>
                      <w:t xml:space="preserve">2.7.  .</w:t>
                    </w:r>
                  </w:p>
                </w:tc>
                <w:tc>
                  <w:tcPr>
                    <w:tcW w:w="12899" w:type="dxa"/>
                    <w:gridSpan w:val="20"/>
                  </w:tcPr>
                  <w:p>
                    <w:pPr>
                      <w:rPr>
                        <w:color w:val="000000"/>
                        <w:sz w:val="20"/>
                      </w:rPr>
                    </w:pPr>
                    <w:r>
                      <w:rPr>
                        <w:i/>
                        <w:color w:val="000000"/>
                        <w:sz w:val="20"/>
                      </w:rPr>
                      <w:t>Neteko galios 2026-03-06.</w:t>
                    </w:r>
                  </w:p>
                </w:tc>
              </w:tr>
              <w:tr>
                <w:trPr>
                  <w:trHeight w:val="975"/>
                </w:trPr>
                <w:tc>
                  <w:tcPr>
                    <w:tcW w:w="2130" w:type="dxa"/>
                    <w:gridSpan w:val="2"/>
                    <w:vMerge w:val="restart"/>
                    <w:tcMar>
                      <w:left w:w="105" w:type="dxa"/>
                      <w:right w:w="105" w:type="dxa"/>
                    </w:tcMar>
                  </w:tcPr>
                  <w:p>
                    <w:pPr>
                      <w:rPr>
                        <w:color w:val="000000"/>
                        <w:sz w:val="20"/>
                      </w:rPr>
                    </w:pPr>
                    <w:r>
                      <w:rPr>
                        <w:color w:val="000000"/>
                        <w:sz w:val="20"/>
                      </w:rPr>
                      <w:t>2.8. Skubiosios medicinos pagalbos paslaugų skaitmeninių sprendimų diegimas, Sostinės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683,005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55 000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975"/>
                </w:trPr>
                <w:tc>
                  <w:tcPr>
                    <w:tcW w:w="2130" w:type="dxa"/>
                    <w:gridSpan w:val="2"/>
                    <w:vMerge w:val="restart"/>
                    <w:tcMar>
                      <w:left w:w="105" w:type="dxa"/>
                      <w:right w:w="105" w:type="dxa"/>
                    </w:tcMar>
                  </w:tcPr>
                  <w:p>
                    <w:pPr>
                      <w:rPr>
                        <w:color w:val="000000"/>
                        <w:sz w:val="20"/>
                      </w:rPr>
                    </w:pPr>
                    <w:r>
                      <w:rPr>
                        <w:color w:val="000000"/>
                        <w:sz w:val="20"/>
                      </w:rPr>
                      <w:t>2.9. Skubiosios medicinos pagalbos paslaugų skaitmeninių sprendimų diegimas,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1985" w:type="dxa"/>
                    <w:vMerge w:val="restart"/>
                    <w:tcMar>
                      <w:left w:w="105" w:type="dxa"/>
                      <w:right w:w="105" w:type="dxa"/>
                    </w:tcMar>
                  </w:tcPr>
                  <w:p>
                    <w:pPr>
                      <w:rPr>
                        <w:color w:val="000000"/>
                        <w:sz w:val="20"/>
                      </w:rPr>
                    </w:pPr>
                    <w:r>
                      <w:rPr>
                        <w:color w:val="000000"/>
                        <w:sz w:val="20"/>
                      </w:rPr>
                      <w:t>VĮ Registrų centras</w:t>
                    </w:r>
                  </w:p>
                </w:tc>
                <w:tc>
                  <w:tcPr>
                    <w:tcW w:w="829" w:type="dxa"/>
                    <w:gridSpan w:val="3"/>
                    <w:vMerge w:val="restart"/>
                    <w:tcMar>
                      <w:left w:w="105" w:type="dxa"/>
                      <w:right w:w="105" w:type="dxa"/>
                    </w:tcMar>
                  </w:tcPr>
                  <w:p>
                    <w:pPr>
                      <w:rPr>
                        <w:color w:val="000000"/>
                        <w:sz w:val="20"/>
                      </w:rPr>
                    </w:pPr>
                    <w:r>
                      <w:rPr>
                        <w:color w:val="000000"/>
                        <w:sz w:val="20"/>
                      </w:rPr>
                      <w:t>P</w:t>
                    </w:r>
                  </w:p>
                </w:tc>
                <w:tc>
                  <w:tcPr>
                    <w:tcW w:w="1014" w:type="dxa"/>
                    <w:gridSpan w:val="3"/>
                    <w:vMerge w:val="restart"/>
                    <w:tcMar>
                      <w:left w:w="105" w:type="dxa"/>
                      <w:right w:w="105" w:type="dxa"/>
                    </w:tcMar>
                  </w:tcPr>
                  <w:p>
                    <w:pPr>
                      <w:rPr>
                        <w:color w:val="000000"/>
                        <w:sz w:val="20"/>
                      </w:rPr>
                    </w:pPr>
                    <w:r>
                      <w:rPr>
                        <w:color w:val="000000"/>
                        <w:sz w:val="20"/>
                      </w:rPr>
                      <w:t>Taip</w:t>
                    </w:r>
                  </w:p>
                </w:tc>
                <w:tc>
                  <w:tcPr>
                    <w:tcW w:w="681" w:type="dxa"/>
                    <w:gridSpan w:val="3"/>
                    <w:vMerge w:val="restart"/>
                    <w:tcMar>
                      <w:left w:w="105" w:type="dxa"/>
                      <w:right w:w="105" w:type="dxa"/>
                    </w:tcMar>
                  </w:tcPr>
                  <w:p>
                    <w:pPr>
                      <w:rPr>
                        <w:color w:val="000000"/>
                        <w:sz w:val="20"/>
                      </w:rPr>
                    </w:pPr>
                    <w:r>
                      <w:rPr>
                        <w:color w:val="000000"/>
                        <w:sz w:val="20"/>
                      </w:rPr>
                      <w:t>D</w:t>
                    </w:r>
                  </w:p>
                </w:tc>
                <w:tc>
                  <w:tcPr>
                    <w:tcW w:w="1167" w:type="dxa"/>
                    <w:gridSpan w:val="2"/>
                    <w:tcMar>
                      <w:left w:w="105" w:type="dxa"/>
                      <w:right w:w="105" w:type="dxa"/>
                    </w:tcMar>
                  </w:tcPr>
                  <w:p>
                    <w:pPr>
                      <w:jc w:val="center"/>
                      <w:rPr>
                        <w:color w:val="000000"/>
                        <w:sz w:val="20"/>
                      </w:rPr>
                    </w:pPr>
                    <w:r>
                      <w:rPr>
                        <w:color w:val="000000"/>
                        <w:sz w:val="20"/>
                      </w:rPr>
                      <w:t xml:space="preserve">2 709,254 </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P</w:t>
                    </w:r>
                    <w:r>
                      <w:rPr>
                        <w:color w:val="000000"/>
                        <w:szCs w:val="24"/>
                      </w:rPr>
                      <w:t xml:space="preserve"> – </w:t>
                    </w:r>
                    <w:r>
                      <w:rPr>
                        <w:color w:val="000000"/>
                        <w:sz w:val="20"/>
                      </w:rPr>
                      <w:t xml:space="preserve">Naujos arba modernizuotos sveikatos priežiūros infrastruktūros talpumas, 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rPr>
                        <w:color w:val="000000"/>
                        <w:sz w:val="20"/>
                      </w:rPr>
                    </w:pPr>
                    <w:r>
                      <w:rPr>
                        <w:color w:val="000000"/>
                        <w:sz w:val="20"/>
                      </w:rPr>
                      <w:t>SAM</w:t>
                    </w:r>
                  </w:p>
                </w:tc>
              </w:tr>
              <w:tr>
                <w:trPr>
                  <w:trHeight w:val="975"/>
                </w:trPr>
                <w:tc>
                  <w:tcPr>
                    <w:tcW w:w="2130" w:type="dxa"/>
                    <w:gridSpan w:val="2"/>
                    <w:vMerge/>
                    <w:vAlign w:val="center"/>
                  </w:tcPr>
                  <w:p/>
                </w:tc>
                <w:tc>
                  <w:tcPr>
                    <w:tcW w:w="699" w:type="dxa"/>
                    <w:vMerge/>
                    <w:vAlign w:val="center"/>
                  </w:tcPr>
                  <w:p/>
                </w:tc>
                <w:tc>
                  <w:tcPr>
                    <w:tcW w:w="1985" w:type="dxa"/>
                    <w:vMerge/>
                    <w:vAlign w:val="center"/>
                  </w:tcPr>
                  <w:p/>
                </w:tc>
                <w:tc>
                  <w:tcPr>
                    <w:tcW w:w="829" w:type="dxa"/>
                    <w:gridSpan w:val="3"/>
                    <w:vMerge/>
                    <w:vAlign w:val="center"/>
                  </w:tcPr>
                  <w:p/>
                </w:tc>
                <w:tc>
                  <w:tcPr>
                    <w:tcW w:w="1014" w:type="dxa"/>
                    <w:gridSpan w:val="3"/>
                    <w:vMerge/>
                    <w:vAlign w:val="center"/>
                  </w:tcPr>
                  <w:p/>
                </w:tc>
                <w:tc>
                  <w:tcPr>
                    <w:tcW w:w="681" w:type="dxa"/>
                    <w:gridSpan w:val="3"/>
                    <w:vMerge/>
                    <w:vAlign w:val="center"/>
                  </w:tcPr>
                  <w:p/>
                </w:tc>
                <w:tc>
                  <w:tcPr>
                    <w:tcW w:w="1167" w:type="dxa"/>
                    <w:gridSpan w:val="2"/>
                    <w:tcMar>
                      <w:left w:w="105" w:type="dxa"/>
                      <w:right w:w="105" w:type="dxa"/>
                    </w:tcMar>
                  </w:tcPr>
                  <w:p>
                    <w:pPr>
                      <w:jc w:val="center"/>
                      <w:rPr>
                        <w:color w:val="000000"/>
                        <w:sz w:val="20"/>
                      </w:rPr>
                    </w:pPr>
                    <w:r>
                      <w:rPr>
                        <w:color w:val="000000"/>
                        <w:sz w:val="20"/>
                      </w:rPr>
                      <w:t xml:space="preserve">478,104 </w:t>
                    </w:r>
                  </w:p>
                </w:tc>
                <w:tc>
                  <w:tcPr>
                    <w:tcW w:w="1118" w:type="dxa"/>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Naujos arba modernizuotos sveikatos priežiūros infrastruktūros naudotojų skaičius per metus,</w:t>
                    </w:r>
                  </w:p>
                  <w:p>
                    <w:pPr>
                      <w:ind w:left="-57" w:right="-57"/>
                      <w:rPr>
                        <w:color w:val="000000"/>
                        <w:sz w:val="20"/>
                      </w:rPr>
                    </w:pPr>
                    <w:r>
                      <w:rPr>
                        <w:color w:val="000000"/>
                        <w:sz w:val="20"/>
                      </w:rPr>
                      <w:t xml:space="preserve">asmenys per metus </w:t>
                    </w:r>
                  </w:p>
                </w:tc>
                <w:tc>
                  <w:tcPr>
                    <w:tcW w:w="1134" w:type="dxa"/>
                    <w:gridSpan w:val="2"/>
                    <w:tcMar>
                      <w:left w:w="105" w:type="dxa"/>
                      <w:right w:w="105" w:type="dxa"/>
                    </w:tcMar>
                  </w:tcPr>
                  <w:p>
                    <w:pPr>
                      <w:ind w:left="-57" w:right="-57"/>
                      <w:jc w:val="center"/>
                      <w:rPr>
                        <w:color w:val="000000"/>
                        <w:sz w:val="20"/>
                      </w:rPr>
                    </w:pPr>
                    <w:r>
                      <w:rPr>
                        <w:color w:val="000000"/>
                        <w:sz w:val="20"/>
                      </w:rPr>
                      <w:t>180 000</w:t>
                    </w:r>
                  </w:p>
                  <w:p>
                    <w:pPr>
                      <w:ind w:left="-57" w:right="-57"/>
                      <w:jc w:val="center"/>
                      <w:rPr>
                        <w:color w:val="000000"/>
                        <w:sz w:val="20"/>
                      </w:rPr>
                    </w:pPr>
                    <w:r>
                      <w:rPr>
                        <w:color w:val="000000"/>
                        <w:sz w:val="20"/>
                      </w:rPr>
                      <w:t>(2029 m.)</w:t>
                    </w:r>
                  </w:p>
                </w:tc>
                <w:tc>
                  <w:tcPr>
                    <w:tcW w:w="992" w:type="dxa"/>
                    <w:vMerge/>
                    <w:vAlign w:val="center"/>
                  </w:tcPr>
                  <w:p/>
                </w:tc>
                <w:tc>
                  <w:tcPr>
                    <w:tcW w:w="1279" w:type="dxa"/>
                    <w:vMerge/>
                    <w:vAlign w:val="center"/>
                  </w:tcPr>
                  <w:p/>
                </w:tc>
              </w:tr>
              <w:tr>
                <w:trPr>
                  <w:trHeight w:val="451"/>
                </w:trPr>
                <w:tc>
                  <w:tcPr>
                    <w:tcW w:w="2130" w:type="dxa"/>
                    <w:gridSpan w:val="2"/>
                  </w:tcPr>
                  <w:p>
                    <w:r>
                      <w:rPr>
                        <w:sz w:val="20"/>
                      </w:rPr>
                      <w:t>2.10.</w:t>
                    </w:r>
                  </w:p>
                </w:tc>
                <w:tc>
                  <w:tcPr>
                    <w:tcW w:w="11620" w:type="dxa"/>
                    <w:gridSpan w:val="19"/>
                  </w:tcPr>
                  <w:p>
                    <w:r>
                      <w:rPr>
                        <w:i/>
                        <w:sz w:val="20"/>
                      </w:rPr>
                      <w:t>Neteko galios 2026-03-06</w:t>
                    </w:r>
                    <w:r>
                      <w:t>.</w:t>
                    </w:r>
                  </w:p>
                </w:tc>
                <w:tc>
                  <w:tcPr>
                    <w:tcW w:w="1279" w:type="dxa"/>
                  </w:tcPr>
                  <w:p>
                    <w:r>
                      <w:rPr>
                        <w:sz w:val="20"/>
                      </w:rPr>
                      <w:t>SAM</w:t>
                    </w:r>
                  </w:p>
                </w:tc>
              </w:tr>
              <w:tr>
                <w:trPr>
                  <w:trHeight w:val="414"/>
                </w:trPr>
                <w:tc>
                  <w:tcPr>
                    <w:tcW w:w="2130" w:type="dxa"/>
                    <w:gridSpan w:val="2"/>
                  </w:tcPr>
                  <w:p>
                    <w:pPr>
                      <w:rPr>
                        <w:color w:val="000000"/>
                        <w:sz w:val="20"/>
                      </w:rPr>
                    </w:pPr>
                    <w:r>
                      <w:rPr>
                        <w:color w:val="000000"/>
                        <w:sz w:val="20"/>
                      </w:rPr>
                      <w:t>2.11.</w:t>
                    </w:r>
                  </w:p>
                </w:tc>
                <w:tc>
                  <w:tcPr>
                    <w:tcW w:w="12899" w:type="dxa"/>
                    <w:gridSpan w:val="20"/>
                    <w:tcBorders>
                      <w:right w:val="single" w:sz="4" w:space="0" w:color="auto"/>
                    </w:tcBorders>
                  </w:tcPr>
                  <w:p>
                    <w:pPr>
                      <w:rPr>
                        <w:i/>
                        <w:iCs/>
                        <w:color w:val="000000"/>
                        <w:sz w:val="20"/>
                      </w:rPr>
                    </w:pPr>
                    <w:r>
                      <w:rPr>
                        <w:i/>
                        <w:iCs/>
                        <w:color w:val="000000"/>
                        <w:sz w:val="20"/>
                      </w:rPr>
                      <w:t>Neteko galios 2026-05-04</w:t>
                    </w:r>
                  </w:p>
                </w:tc>
              </w:tr>
              <w:tr>
                <w:trPr>
                  <w:trHeight w:val="414"/>
                </w:trPr>
                <w:tc>
                  <w:tcPr>
                    <w:tcW w:w="2130" w:type="dxa"/>
                    <w:gridSpan w:val="2"/>
                  </w:tcPr>
                  <w:p>
                    <w:pPr>
                      <w:rPr>
                        <w:sz w:val="20"/>
                      </w:rPr>
                    </w:pPr>
                    <w:r>
                      <w:rPr>
                        <w:sz w:val="20"/>
                      </w:rPr>
                      <w:t xml:space="preserve">2.12. </w:t>
                    </w:r>
                  </w:p>
                </w:tc>
                <w:tc>
                  <w:tcPr>
                    <w:tcW w:w="12899" w:type="dxa"/>
                    <w:gridSpan w:val="20"/>
                    <w:tcBorders>
                      <w:right w:val="single" w:sz="4" w:space="0" w:color="auto"/>
                    </w:tcBorders>
                  </w:tcPr>
                  <w:p>
                    <w:pPr>
                      <w:rPr>
                        <w:color w:val="000000"/>
                        <w:sz w:val="20"/>
                      </w:rPr>
                    </w:pPr>
                    <w:r>
                      <w:rPr>
                        <w:i/>
                        <w:iCs/>
                        <w:color w:val="000000"/>
                        <w:sz w:val="20"/>
                      </w:rPr>
                      <w:t>Neteko galios 2026-05-04</w:t>
                    </w:r>
                  </w:p>
                </w:tc>
              </w:tr>
              <w:tr>
                <w:trPr>
                  <w:trHeight w:val="414"/>
                </w:trPr>
                <w:tc>
                  <w:tcPr>
                    <w:tcW w:w="2130" w:type="dxa"/>
                    <w:gridSpan w:val="2"/>
                    <w:vMerge w:val="restart"/>
                  </w:tcPr>
                  <w:p>
                    <w:pPr>
                      <w:rPr>
                        <w:b/>
                        <w:bCs/>
                        <w:sz w:val="20"/>
                      </w:rPr>
                    </w:pPr>
                    <w:r>
                      <w:rPr>
                        <w:color w:val="000000"/>
                        <w:sz w:val="20"/>
                      </w:rPr>
                      <w:t>2.13. Regionų ir savivaldybių sveikatos priežiūros įstaigų  infrastruktūros modernizavimas, Sostinės regionas</w:t>
                    </w:r>
                  </w:p>
                </w:tc>
                <w:tc>
                  <w:tcPr>
                    <w:tcW w:w="699" w:type="dxa"/>
                    <w:vMerge w:val="restart"/>
                  </w:tcPr>
                  <w:p>
                    <w:pPr>
                      <w:rPr>
                        <w:sz w:val="20"/>
                      </w:rPr>
                    </w:pPr>
                    <w:r>
                      <w:rPr>
                        <w:color w:val="000000"/>
                        <w:sz w:val="20"/>
                      </w:rPr>
                      <w:t>I</w:t>
                    </w:r>
                  </w:p>
                </w:tc>
                <w:tc>
                  <w:tcPr>
                    <w:tcW w:w="1985" w:type="dxa"/>
                    <w:vMerge w:val="restart"/>
                  </w:tcPr>
                  <w:p>
                    <w:pPr>
                      <w:tabs>
                        <w:tab w:val="center" w:pos="4153"/>
                        <w:tab w:val="right" w:pos="8306"/>
                      </w:tabs>
                      <w:jc w:val="both"/>
                      <w:rPr>
                        <w:color w:val="000000"/>
                        <w:sz w:val="20"/>
                      </w:rPr>
                    </w:pPr>
                    <w:r>
                      <w:rPr>
                        <w:color w:val="000000"/>
                        <w:sz w:val="20"/>
                      </w:rPr>
                      <w:t>VšĮ Respublikinė Vilniaus universitetinė ligoninė</w:t>
                    </w:r>
                  </w:p>
                  <w:p>
                    <w:pPr>
                      <w:rPr>
                        <w:sz w:val="20"/>
                      </w:rPr>
                    </w:pP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rPr>
                      <w:t xml:space="preserve">5 400 </w:t>
                    </w:r>
                  </w:p>
                </w:tc>
                <w:tc>
                  <w:tcPr>
                    <w:tcW w:w="1118" w:type="dxa"/>
                  </w:tcPr>
                  <w:p>
                    <w:pPr>
                      <w:tabs>
                        <w:tab w:val="center" w:pos="4153"/>
                        <w:tab w:val="right" w:pos="8306"/>
                      </w:tabs>
                      <w:jc w:val="both"/>
                      <w:rPr>
                        <w:color w:val="000000"/>
                        <w:sz w:val="20"/>
                      </w:rPr>
                    </w:pPr>
                    <w:r>
                      <w:rPr>
                        <w:color w:val="000000"/>
                        <w:sz w:val="20"/>
                      </w:rPr>
                      <w:t>2021–2027 m. IP (ERPF)</w:t>
                    </w:r>
                  </w:p>
                  <w:p>
                    <w:pPr>
                      <w:rPr>
                        <w:sz w:val="20"/>
                      </w:rPr>
                    </w:pPr>
                  </w:p>
                </w:tc>
                <w:tc>
                  <w:tcPr>
                    <w:tcW w:w="2001" w:type="dxa"/>
                    <w:gridSpan w:val="2"/>
                  </w:tcPr>
                  <w:p>
                    <w:pPr>
                      <w:ind w:left="-57" w:right="-57"/>
                      <w:rPr>
                        <w:sz w:val="20"/>
                      </w:rPr>
                    </w:pPr>
                    <w:r>
                      <w:rPr>
                        <w:color w:val="000000"/>
                        <w:sz w:val="20"/>
                      </w:rPr>
                      <w:t>P – Naujos arba modernizuotos sveikatos priežiūros infrastruktūros talpumas, asmenys per metus</w:t>
                    </w:r>
                  </w:p>
                </w:tc>
                <w:tc>
                  <w:tcPr>
                    <w:tcW w:w="1134" w:type="dxa"/>
                    <w:gridSpan w:val="2"/>
                  </w:tcPr>
                  <w:p>
                    <w:pPr>
                      <w:tabs>
                        <w:tab w:val="center" w:pos="4153"/>
                        <w:tab w:val="right" w:pos="8306"/>
                      </w:tabs>
                      <w:jc w:val="center"/>
                      <w:rPr>
                        <w:color w:val="000000"/>
                        <w:sz w:val="20"/>
                      </w:rPr>
                    </w:pPr>
                    <w:r>
                      <w:rPr>
                        <w:sz w:val="20"/>
                      </w:rPr>
                      <w:t>5 550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Cs w:val="24"/>
                      </w:rPr>
                      <w:t xml:space="preserve">3 600  </w:t>
                    </w:r>
                  </w:p>
                </w:tc>
                <w:tc>
                  <w:tcPr>
                    <w:tcW w:w="1118" w:type="dxa"/>
                  </w:tcPr>
                  <w:p>
                    <w:pPr>
                      <w:rPr>
                        <w:sz w:val="20"/>
                      </w:rPr>
                    </w:pPr>
                    <w:r>
                      <w:rPr>
                        <w:color w:val="000000"/>
                        <w:szCs w:val="24"/>
                      </w:rPr>
                      <w:t>2021–2027 m. IP (BF)</w:t>
                    </w:r>
                  </w:p>
                </w:tc>
                <w:tc>
                  <w:tcPr>
                    <w:tcW w:w="2001" w:type="dxa"/>
                    <w:gridSpan w:val="2"/>
                  </w:tcPr>
                  <w:p>
                    <w:pPr>
                      <w:tabs>
                        <w:tab w:val="center" w:pos="4153"/>
                        <w:tab w:val="right" w:pos="8306"/>
                      </w:tabs>
                      <w:jc w:val="both"/>
                      <w:rPr>
                        <w:color w:val="000000"/>
                        <w:szCs w:val="24"/>
                      </w:rPr>
                    </w:pPr>
                    <w:r>
                      <w:rPr>
                        <w:color w:val="000000"/>
                        <w:szCs w:val="24"/>
                      </w:rPr>
                      <w:t>R – Naujos arba modernizuotos sveikatos priežiūros infrastruktūros naudotojų skaičius per metus,</w:t>
                    </w:r>
                  </w:p>
                  <w:p>
                    <w:pPr>
                      <w:ind w:left="-57" w:right="-57"/>
                      <w:rPr>
                        <w:sz w:val="20"/>
                      </w:rPr>
                    </w:pPr>
                    <w:r>
                      <w:rPr>
                        <w:color w:val="000000"/>
                        <w:szCs w:val="24"/>
                      </w:rPr>
                      <w:t>asmenys per metus</w:t>
                    </w:r>
                  </w:p>
                </w:tc>
                <w:tc>
                  <w:tcPr>
                    <w:tcW w:w="1134" w:type="dxa"/>
                    <w:gridSpan w:val="2"/>
                  </w:tcPr>
                  <w:p>
                    <w:pPr>
                      <w:tabs>
                        <w:tab w:val="center" w:pos="4153"/>
                        <w:tab w:val="right" w:pos="8306"/>
                      </w:tabs>
                      <w:jc w:val="center"/>
                      <w:rPr>
                        <w:color w:val="000000"/>
                        <w:szCs w:val="24"/>
                      </w:rPr>
                    </w:pPr>
                    <w:r>
                      <w:rPr>
                        <w:szCs w:val="24"/>
                      </w:rPr>
                      <w:t>5 440</w:t>
                    </w:r>
                  </w:p>
                  <w:p>
                    <w:pPr>
                      <w:ind w:left="-57" w:right="-57"/>
                      <w:jc w:val="center"/>
                      <w:rPr>
                        <w:sz w:val="20"/>
                      </w:rPr>
                    </w:pPr>
                    <w:r>
                      <w:rPr>
                        <w:color w:val="000000"/>
                        <w:szCs w:val="24"/>
                      </w:rPr>
                      <w:t>(2029 m.)</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tcPr>
                  <w:p>
                    <w:pPr>
                      <w:rPr>
                        <w:b/>
                        <w:bCs/>
                        <w:sz w:val="20"/>
                      </w:rPr>
                    </w:pPr>
                    <w:r>
                      <w:rPr>
                        <w:color w:val="000000"/>
                        <w:sz w:val="20"/>
                      </w:rPr>
                      <w:t xml:space="preserve">2.14. Sveikatos priežiūros specialistų paruošimas operatyviai ir koordinuotai teikti asmens sveikatos priežiūros paslaugas </w:t>
                    </w:r>
                    <w:r>
                      <w:rPr>
                        <w:iCs/>
                        <w:sz w:val="20"/>
                      </w:rPr>
                      <w:t>įvairių krizių ar ekstremaliųjų situacijų metu</w:t>
                    </w:r>
                  </w:p>
                </w:tc>
                <w:tc>
                  <w:tcPr>
                    <w:tcW w:w="699" w:type="dxa"/>
                    <w:vMerge w:val="restart"/>
                  </w:tcPr>
                  <w:p>
                    <w:pPr>
                      <w:rPr>
                        <w:sz w:val="20"/>
                      </w:rPr>
                    </w:pPr>
                    <w:r>
                      <w:rPr>
                        <w:color w:val="000000"/>
                        <w:sz w:val="20"/>
                      </w:rPr>
                      <w:t>I</w:t>
                    </w:r>
                  </w:p>
                </w:tc>
                <w:tc>
                  <w:tcPr>
                    <w:tcW w:w="1985" w:type="dxa"/>
                    <w:vMerge w:val="restart"/>
                  </w:tcPr>
                  <w:p>
                    <w:pPr>
                      <w:rPr>
                        <w:sz w:val="20"/>
                      </w:rPr>
                    </w:pPr>
                    <w:r>
                      <w:rPr>
                        <w:sz w:val="20"/>
                      </w:rPr>
                      <w:t xml:space="preserve">Sveikatos apsaugos ministerijos Ekstremalių sveikatai situacijų centras, Vilniaus universitetas ir Lietuvos sveikatos mokslų universitetas </w:t>
                    </w:r>
                  </w:p>
                </w:tc>
                <w:tc>
                  <w:tcPr>
                    <w:tcW w:w="829" w:type="dxa"/>
                    <w:gridSpan w:val="3"/>
                    <w:vMerge w:val="restart"/>
                  </w:tcPr>
                  <w:p>
                    <w:pPr>
                      <w:rPr>
                        <w:sz w:val="20"/>
                      </w:rPr>
                    </w:pPr>
                    <w:r>
                      <w:rPr>
                        <w:color w:val="000000"/>
                        <w:sz w:val="20"/>
                      </w:rPr>
                      <w:t>P</w:t>
                    </w:r>
                  </w:p>
                </w:tc>
                <w:tc>
                  <w:tcPr>
                    <w:tcW w:w="1014" w:type="dxa"/>
                    <w:gridSpan w:val="3"/>
                    <w:vMerge w:val="restart"/>
                  </w:tcPr>
                  <w:p>
                    <w:pPr>
                      <w:rPr>
                        <w:sz w:val="20"/>
                      </w:rPr>
                    </w:pPr>
                    <w:r>
                      <w:rPr>
                        <w:color w:val="000000"/>
                        <w:sz w:val="20"/>
                      </w:rPr>
                      <w:t>Taip</w:t>
                    </w:r>
                  </w:p>
                </w:tc>
                <w:tc>
                  <w:tcPr>
                    <w:tcW w:w="681" w:type="dxa"/>
                    <w:gridSpan w:val="3"/>
                    <w:vMerge w:val="restart"/>
                  </w:tcPr>
                  <w:p>
                    <w:pPr>
                      <w:rPr>
                        <w:sz w:val="20"/>
                      </w:rPr>
                    </w:pPr>
                    <w:r>
                      <w:rPr>
                        <w:color w:val="000000"/>
                        <w:sz w:val="20"/>
                      </w:rPr>
                      <w:t>D</w:t>
                    </w:r>
                  </w:p>
                </w:tc>
                <w:tc>
                  <w:tcPr>
                    <w:tcW w:w="1167" w:type="dxa"/>
                    <w:gridSpan w:val="2"/>
                  </w:tcPr>
                  <w:p>
                    <w:pPr>
                      <w:rPr>
                        <w:b/>
                        <w:bCs/>
                        <w:sz w:val="20"/>
                      </w:rPr>
                    </w:pPr>
                    <w:r>
                      <w:rPr>
                        <w:color w:val="000000"/>
                        <w:sz w:val="20"/>
                        <w:lang w:val="en-US"/>
                      </w:rPr>
                      <w:t>9 321,577</w:t>
                    </w:r>
                  </w:p>
                </w:tc>
                <w:tc>
                  <w:tcPr>
                    <w:tcW w:w="1118" w:type="dxa"/>
                  </w:tcPr>
                  <w:p>
                    <w:pPr>
                      <w:rPr>
                        <w:sz w:val="20"/>
                      </w:rPr>
                    </w:pPr>
                    <w:r>
                      <w:rPr>
                        <w:color w:val="000000"/>
                        <w:sz w:val="20"/>
                      </w:rPr>
                      <w:t xml:space="preserve">2021–2027 m. IP (ESF+) </w:t>
                    </w:r>
                  </w:p>
                </w:tc>
                <w:tc>
                  <w:tcPr>
                    <w:tcW w:w="2001" w:type="dxa"/>
                    <w:gridSpan w:val="2"/>
                  </w:tcPr>
                  <w:p>
                    <w:pPr>
                      <w:ind w:left="-57" w:right="-57"/>
                      <w:rPr>
                        <w:sz w:val="20"/>
                      </w:rPr>
                    </w:pPr>
                    <w:r>
                      <w:rPr>
                        <w:color w:val="000000"/>
                        <w:sz w:val="20"/>
                      </w:rPr>
                      <w:t>P – Specialistai, dalyvavę kvalifikacijos tobulinimo ar perkvalifikavimo veiklose, asmenys</w:t>
                    </w:r>
                  </w:p>
                </w:tc>
                <w:tc>
                  <w:tcPr>
                    <w:tcW w:w="1134" w:type="dxa"/>
                    <w:gridSpan w:val="2"/>
                  </w:tcPr>
                  <w:p>
                    <w:pPr>
                      <w:ind w:left="-57" w:right="-57"/>
                      <w:jc w:val="center"/>
                      <w:rPr>
                        <w:color w:val="000000"/>
                        <w:sz w:val="20"/>
                      </w:rPr>
                    </w:pPr>
                    <w:r>
                      <w:rPr>
                        <w:color w:val="000000"/>
                        <w:sz w:val="20"/>
                      </w:rPr>
                      <w:t>4 920</w:t>
                    </w:r>
                  </w:p>
                  <w:p>
                    <w:pPr>
                      <w:ind w:left="-57" w:right="-57"/>
                      <w:jc w:val="center"/>
                      <w:rPr>
                        <w:sz w:val="20"/>
                      </w:rPr>
                    </w:pPr>
                    <w:r>
                      <w:rPr>
                        <w:color w:val="000000"/>
                        <w:sz w:val="20"/>
                      </w:rPr>
                      <w:t>(2029 m.)</w:t>
                    </w:r>
                  </w:p>
                </w:tc>
                <w:tc>
                  <w:tcPr>
                    <w:tcW w:w="992" w:type="dxa"/>
                    <w:vMerge w:val="restart"/>
                  </w:tcPr>
                  <w:p>
                    <w:pPr>
                      <w:rPr>
                        <w:sz w:val="20"/>
                      </w:rPr>
                    </w:pPr>
                    <w:r>
                      <w:rPr>
                        <w:color w:val="000000"/>
                        <w:sz w:val="20"/>
                      </w:rPr>
                      <w:t>CPVA</w:t>
                    </w:r>
                  </w:p>
                </w:tc>
                <w:tc>
                  <w:tcPr>
                    <w:tcW w:w="1279" w:type="dxa"/>
                    <w:vMerge w:val="restart"/>
                  </w:tcPr>
                  <w:p>
                    <w:pPr>
                      <w:rPr>
                        <w:color w:val="000000"/>
                        <w:sz w:val="20"/>
                      </w:rPr>
                    </w:pPr>
                    <w:r>
                      <w:rPr>
                        <w:color w:val="000000"/>
                        <w:sz w:val="20"/>
                      </w:rPr>
                      <w:t>SAM</w:t>
                    </w:r>
                  </w:p>
                </w:tc>
              </w:tr>
              <w:tr>
                <w:trPr>
                  <w:trHeight w:val="414"/>
                </w:trPr>
                <w:tc>
                  <w:tcPr>
                    <w:tcW w:w="2130" w:type="dxa"/>
                    <w:gridSpan w:val="2"/>
                    <w:vMerge/>
                    <w:vAlign w:val="center"/>
                  </w:tcPr>
                  <w:p>
                    <w:pPr>
                      <w:rPr>
                        <w:b/>
                        <w:bCs/>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b/>
                        <w:bCs/>
                        <w:sz w:val="20"/>
                      </w:rPr>
                    </w:pPr>
                    <w:r>
                      <w:rPr>
                        <w:color w:val="000000"/>
                        <w:sz w:val="20"/>
                      </w:rPr>
                      <w:t>490,611</w:t>
                    </w:r>
                  </w:p>
                </w:tc>
                <w:tc>
                  <w:tcPr>
                    <w:tcW w:w="1118" w:type="dxa"/>
                  </w:tcPr>
                  <w:p>
                    <w:pPr>
                      <w:rPr>
                        <w:sz w:val="20"/>
                      </w:rPr>
                    </w:pPr>
                    <w:r>
                      <w:rPr>
                        <w:color w:val="000000"/>
                        <w:sz w:val="20"/>
                      </w:rPr>
                      <w:t>2021–2027 m. IP (BF)</w:t>
                    </w:r>
                  </w:p>
                </w:tc>
                <w:tc>
                  <w:tcPr>
                    <w:tcW w:w="2001" w:type="dxa"/>
                    <w:gridSpan w:val="2"/>
                  </w:tcPr>
                  <w:p>
                    <w:pPr>
                      <w:ind w:left="-57" w:right="-57"/>
                      <w:rPr>
                        <w:sz w:val="20"/>
                      </w:rPr>
                    </w:pPr>
                    <w:r>
                      <w:rPr>
                        <w:color w:val="000000"/>
                        <w:sz w:val="20"/>
                      </w:rPr>
                      <w:t>R – Specialistų, kurie po dalyvavimo veiklose įgijo ar patobulino kvalifikaciją, dalis, proc.</w:t>
                    </w:r>
                  </w:p>
                </w:tc>
                <w:tc>
                  <w:tcPr>
                    <w:tcW w:w="1134" w:type="dxa"/>
                    <w:gridSpan w:val="2"/>
                  </w:tcPr>
                  <w:p>
                    <w:pPr>
                      <w:ind w:left="-57" w:right="-57"/>
                      <w:jc w:val="center"/>
                      <w:rPr>
                        <w:color w:val="000000"/>
                        <w:sz w:val="20"/>
                      </w:rPr>
                    </w:pPr>
                    <w:r>
                      <w:rPr>
                        <w:color w:val="000000"/>
                        <w:sz w:val="20"/>
                      </w:rPr>
                      <w:t>90</w:t>
                    </w:r>
                  </w:p>
                  <w:p>
                    <w:pPr>
                      <w:ind w:left="-57" w:right="-57"/>
                      <w:jc w:val="center"/>
                      <w:rPr>
                        <w:color w:val="000000"/>
                        <w:sz w:val="20"/>
                      </w:rPr>
                    </w:pPr>
                    <w:r>
                      <w:rPr>
                        <w:color w:val="000000"/>
                        <w:sz w:val="20"/>
                      </w:rPr>
                      <w:t>(2029 m.)</w:t>
                    </w:r>
                  </w:p>
                  <w:p>
                    <w:pPr>
                      <w:ind w:left="-57" w:right="-57"/>
                      <w:jc w:val="center"/>
                      <w:rPr>
                        <w:sz w:val="20"/>
                      </w:rPr>
                    </w:pPr>
                  </w:p>
                </w:tc>
                <w:tc>
                  <w:tcPr>
                    <w:tcW w:w="992" w:type="dxa"/>
                    <w:vMerge/>
                    <w:vAlign w:val="center"/>
                  </w:tcPr>
                  <w:p>
                    <w:pPr>
                      <w:rPr>
                        <w:sz w:val="20"/>
                      </w:rPr>
                    </w:pPr>
                  </w:p>
                </w:tc>
                <w:tc>
                  <w:tcPr>
                    <w:tcW w:w="1279" w:type="dxa"/>
                    <w:vMerge/>
                    <w:vAlign w:val="center"/>
                  </w:tcPr>
                  <w:p>
                    <w:pPr>
                      <w:rPr>
                        <w:color w:val="000000"/>
                        <w:sz w:val="20"/>
                      </w:rPr>
                    </w:pPr>
                  </w:p>
                </w:tc>
              </w:tr>
              <w:tr>
                <w:trPr>
                  <w:trHeight w:val="5917"/>
                </w:trPr>
                <w:tc>
                  <w:tcPr>
                    <w:tcW w:w="2130" w:type="dxa"/>
                    <w:gridSpan w:val="2"/>
                    <w:vMerge w:val="restart"/>
                  </w:tcPr>
                  <w:p>
                    <w:pPr>
                      <w:rPr>
                        <w:sz w:val="20"/>
                      </w:rPr>
                    </w:pPr>
                    <w:r>
                      <w:rPr>
                        <w:sz w:val="20"/>
                      </w:rPr>
                      <w:t>2.15. Infekcinių ligų centro įrengimas</w:t>
                    </w:r>
                  </w:p>
                  <w:p>
                    <w:pPr>
                      <w:rPr>
                        <w:b/>
                        <w:bCs/>
                        <w:color w:val="EE0000"/>
                        <w:sz w:val="20"/>
                      </w:rPr>
                    </w:pPr>
                  </w:p>
                  <w:p>
                    <w:pPr>
                      <w:rPr>
                        <w:b/>
                        <w:bCs/>
                        <w:sz w:val="20"/>
                      </w:rPr>
                    </w:pPr>
                  </w:p>
                </w:tc>
                <w:tc>
                  <w:tcPr>
                    <w:tcW w:w="699" w:type="dxa"/>
                    <w:vMerge w:val="restart"/>
                  </w:tcPr>
                  <w:p>
                    <w:pPr>
                      <w:rPr>
                        <w:sz w:val="20"/>
                      </w:rPr>
                    </w:pPr>
                    <w:r>
                      <w:rPr>
                        <w:sz w:val="20"/>
                      </w:rPr>
                      <w:t>I</w:t>
                    </w:r>
                  </w:p>
                </w:tc>
                <w:tc>
                  <w:tcPr>
                    <w:tcW w:w="1985" w:type="dxa"/>
                    <w:vMerge w:val="restart"/>
                  </w:tcPr>
                  <w:p>
                    <w:pPr>
                      <w:rPr>
                        <w:sz w:val="20"/>
                      </w:rPr>
                    </w:pPr>
                    <w:r>
                      <w:rPr>
                        <w:sz w:val="20"/>
                      </w:rPr>
                      <w:t>VšĮ Vilniaus universiteto ligoninė Santaros klinikos</w:t>
                    </w:r>
                  </w:p>
                  <w:p>
                    <w:pP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color w:val="000000"/>
                        <w:sz w:val="20"/>
                      </w:rPr>
                    </w:pPr>
                    <w:r>
                      <w:rPr>
                        <w:color w:val="000000"/>
                        <w:sz w:val="20"/>
                      </w:rPr>
                      <w:t>62 980,973</w:t>
                    </w:r>
                  </w:p>
                  <w:p>
                    <w:pPr>
                      <w:rPr>
                        <w:color w:val="000000"/>
                        <w:sz w:val="20"/>
                      </w:rPr>
                    </w:pPr>
                  </w:p>
                </w:tc>
                <w:tc>
                  <w:tcPr>
                    <w:tcW w:w="1118" w:type="dxa"/>
                  </w:tcPr>
                  <w:p>
                    <w:pPr>
                      <w:rPr>
                        <w:color w:val="000000"/>
                        <w:sz w:val="20"/>
                      </w:rPr>
                    </w:pPr>
                    <w:r>
                      <w:rPr>
                        <w:color w:val="000000"/>
                        <w:sz w:val="20"/>
                      </w:rPr>
                      <w:t>EGADP</w:t>
                    </w:r>
                  </w:p>
                  <w:p>
                    <w:pPr>
                      <w:rPr>
                        <w:color w:val="000000"/>
                        <w:sz w:val="20"/>
                      </w:rPr>
                    </w:pPr>
                  </w:p>
                  <w:p>
                    <w:pPr>
                      <w:rPr>
                        <w:color w:val="000000"/>
                        <w:sz w:val="20"/>
                      </w:rPr>
                    </w:pPr>
                    <w:r>
                      <w:rPr>
                        <w:color w:val="000000"/>
                        <w:sz w:val="20"/>
                      </w:rPr>
                      <w:t>Pastaba. Priimant sprendimą dėl projektų finansavimo ir priimant įsipareigojimus pagal sudarytas projektų finansavimo sutartis, galima viršyti Nutarime Nr. 612 nurodytas EGADP subsidijos lėšas, kaip nustatyta šios pažangos priemonės aprašo II skyriaus lentelės pastaboje.</w:t>
                    </w:r>
                  </w:p>
                  <w:p>
                    <w:pPr>
                      <w:rPr>
                        <w:color w:val="000000"/>
                        <w:sz w:val="20"/>
                      </w:rPr>
                    </w:pPr>
                  </w:p>
                  <w:p>
                    <w:pPr>
                      <w:rPr>
                        <w:color w:val="000000"/>
                        <w:sz w:val="20"/>
                      </w:rPr>
                    </w:pPr>
                  </w:p>
                  <w:p>
                    <w:pPr>
                      <w:rPr>
                        <w:color w:val="000000"/>
                        <w:sz w:val="20"/>
                      </w:rPr>
                    </w:pPr>
                  </w:p>
                </w:tc>
                <w:tc>
                  <w:tcPr>
                    <w:tcW w:w="2001" w:type="dxa"/>
                    <w:gridSpan w:val="2"/>
                  </w:tcPr>
                  <w:p>
                    <w:pPr>
                      <w:ind w:left="-57" w:right="-57"/>
                      <w:rPr>
                        <w:color w:val="000000"/>
                        <w:sz w:val="20"/>
                      </w:rPr>
                    </w:pPr>
                    <w:r>
                      <w:rPr>
                        <w:color w:val="000000"/>
                        <w:sz w:val="20"/>
                      </w:rPr>
                      <w:t xml:space="preserve">P – Modernizuotų  infekcinių ligų klasterio kompetencijos  centrų skaičius, vnt.</w:t>
                    </w:r>
                  </w:p>
                </w:tc>
                <w:tc>
                  <w:tcPr>
                    <w:tcW w:w="1134" w:type="dxa"/>
                    <w:gridSpan w:val="2"/>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(2027 m. IV ketv.)</w:t>
                    </w:r>
                  </w:p>
                </w:tc>
                <w:tc>
                  <w:tcPr>
                    <w:tcW w:w="992" w:type="dxa"/>
                    <w:vMerge w:val="restart"/>
                  </w:tcPr>
                  <w:p>
                    <w:pPr>
                      <w:rPr>
                        <w:sz w:val="20"/>
                      </w:rPr>
                    </w:pPr>
                    <w:r>
                      <w:rPr>
                        <w:sz w:val="20"/>
                      </w:rPr>
                      <w:t>CPVA</w:t>
                    </w:r>
                  </w:p>
                </w:tc>
                <w:tc>
                  <w:tcPr>
                    <w:tcW w:w="1279" w:type="dxa"/>
                    <w:vMerge w:val="restart"/>
                  </w:tcPr>
                  <w:p>
                    <w:pPr>
                      <w:rPr>
                        <w:color w:val="000000"/>
                        <w:sz w:val="20"/>
                      </w:rPr>
                    </w:pPr>
                    <w:r>
                      <w:rPr>
                        <w:color w:val="000000"/>
                        <w:sz w:val="20"/>
                      </w:rPr>
                      <w:t>SAM</w:t>
                    </w:r>
                  </w:p>
                  <w:p>
                    <w:pPr>
                      <w:rPr>
                        <w:color w:val="000000"/>
                        <w:sz w:val="20"/>
                      </w:rPr>
                    </w:pPr>
                  </w:p>
                </w:tc>
              </w:tr>
              <w:tr>
                <w:trPr>
                  <w:trHeight w:val="832"/>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rPr>
                        <w:sz w:val="20"/>
                      </w:rPr>
                    </w:pPr>
                  </w:p>
                </w:tc>
                <w:tc>
                  <w:tcPr>
                    <w:tcW w:w="1014" w:type="dxa"/>
                    <w:gridSpan w:val="3"/>
                    <w:vMerge/>
                    <w:vAlign w:val="center"/>
                  </w:tcPr>
                  <w:p>
                    <w:pPr>
                      <w:rPr>
                        <w:sz w:val="20"/>
                      </w:rPr>
                    </w:pPr>
                  </w:p>
                </w:tc>
                <w:tc>
                  <w:tcPr>
                    <w:tcW w:w="681" w:type="dxa"/>
                    <w:gridSpan w:val="3"/>
                    <w:vMerge/>
                    <w:vAlign w:val="center"/>
                  </w:tcPr>
                  <w:p>
                    <w:pPr>
                      <w:rPr>
                        <w:sz w:val="20"/>
                      </w:rPr>
                    </w:pPr>
                  </w:p>
                </w:tc>
                <w:tc>
                  <w:tcPr>
                    <w:tcW w:w="1167" w:type="dxa"/>
                    <w:gridSpan w:val="2"/>
                  </w:tcPr>
                  <w:p>
                    <w:pPr>
                      <w:rPr>
                        <w:color w:val="000000"/>
                        <w:sz w:val="20"/>
                      </w:rPr>
                    </w:pPr>
                    <w:r>
                      <w:rPr>
                        <w:color w:val="000000"/>
                        <w:sz w:val="20"/>
                      </w:rPr>
                      <w:t>-</w:t>
                    </w:r>
                  </w:p>
                </w:tc>
                <w:tc>
                  <w:tcPr>
                    <w:tcW w:w="1118" w:type="dxa"/>
                  </w:tcPr>
                  <w:p>
                    <w:pPr>
                      <w:rPr>
                        <w:color w:val="000000"/>
                        <w:sz w:val="20"/>
                      </w:rPr>
                    </w:pPr>
                    <w:r>
                      <w:rPr>
                        <w:color w:val="000000"/>
                        <w:sz w:val="20"/>
                      </w:rPr>
                      <w:t>PVM iš VB</w:t>
                    </w:r>
                  </w:p>
                </w:tc>
                <w:tc>
                  <w:tcPr>
                    <w:tcW w:w="2001" w:type="dxa"/>
                    <w:gridSpan w:val="2"/>
                  </w:tcPr>
                  <w:p>
                    <w:pPr>
                      <w:ind w:left="-57" w:right="-57"/>
                      <w:rPr>
                        <w:color w:val="000000"/>
                        <w:sz w:val="20"/>
                      </w:rPr>
                    </w:pPr>
                    <w:r>
                      <w:rPr>
                        <w:color w:val="000000"/>
                        <w:sz w:val="20"/>
                      </w:rPr>
                      <w:t>R – Naujos arba modernizuotos sveikatos priežiūros infrastruktūros talpumas, asmenys per metus</w:t>
                    </w:r>
                  </w:p>
                </w:tc>
                <w:tc>
                  <w:tcPr>
                    <w:tcW w:w="1134" w:type="dxa"/>
                    <w:gridSpan w:val="2"/>
                  </w:tcPr>
                  <w:p>
                    <w:pPr>
                      <w:ind w:left="-57" w:right="-57"/>
                      <w:jc w:val="center"/>
                      <w:rPr>
                        <w:color w:val="000000"/>
                        <w:sz w:val="20"/>
                      </w:rPr>
                    </w:pPr>
                    <w:r>
                      <w:rPr>
                        <w:color w:val="000000"/>
                        <w:sz w:val="20"/>
                      </w:rPr>
                      <w:t>n/a</w:t>
                    </w:r>
                  </w:p>
                </w:tc>
                <w:tc>
                  <w:tcPr>
                    <w:tcW w:w="992" w:type="dxa"/>
                    <w:vMerge/>
                    <w:vAlign w:val="center"/>
                  </w:tcPr>
                  <w:p>
                    <w:pPr>
                      <w:rPr>
                        <w:sz w:val="20"/>
                      </w:rPr>
                    </w:pPr>
                  </w:p>
                </w:tc>
                <w:tc>
                  <w:tcPr>
                    <w:tcW w:w="1279" w:type="dxa"/>
                    <w:vMerge/>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color w:val="000000"/>
                        <w:sz w:val="20"/>
                      </w:rPr>
                    </w:pPr>
                    <w:r>
                      <w:rPr>
                        <w:sz w:val="20"/>
                      </w:rPr>
                      <w:t>3. Pažangių ir įrodymais pagrįstų technologijų sveikatos sektoriuje diegimas</w:t>
                    </w:r>
                  </w:p>
                </w:tc>
                <w:tc>
                  <w:tcPr>
                    <w:tcW w:w="699" w:type="dxa"/>
                    <w:vMerge w:val="restart"/>
                    <w:shd w:val="clear" w:color="auto" w:fill="F2F2F2" w:themeFill="background1" w:themeFillShade="F2"/>
                  </w:tcPr>
                  <w:p>
                    <w:pPr>
                      <w:rPr>
                        <w:color w:val="000000"/>
                        <w:sz w:val="20"/>
                      </w:rPr>
                    </w:pPr>
                    <w:r>
                      <w:rPr>
                        <w:sz w:val="20"/>
                      </w:rPr>
                      <w:t>-</w:t>
                    </w:r>
                  </w:p>
                </w:tc>
                <w:tc>
                  <w:tcPr>
                    <w:tcW w:w="1985" w:type="dxa"/>
                    <w:vMerge w:val="restart"/>
                    <w:shd w:val="clear" w:color="auto" w:fill="F2F2F2" w:themeFill="background1" w:themeFillShade="F2"/>
                  </w:tcPr>
                  <w:p>
                    <w:pPr>
                      <w:rPr>
                        <w:color w:val="000000"/>
                        <w:sz w:val="20"/>
                      </w:rPr>
                    </w:pPr>
                    <w:r>
                      <w:rPr>
                        <w:sz w:val="20"/>
                      </w:rPr>
                      <w:t>-</w:t>
                    </w:r>
                  </w:p>
                </w:tc>
                <w:tc>
                  <w:tcPr>
                    <w:tcW w:w="829" w:type="dxa"/>
                    <w:gridSpan w:val="3"/>
                    <w:vMerge w:val="restart"/>
                    <w:shd w:val="clear" w:color="auto" w:fill="F2F2F2" w:themeFill="background1" w:themeFillShade="F2"/>
                  </w:tcPr>
                  <w:p>
                    <w:pPr>
                      <w:rPr>
                        <w:color w:val="000000"/>
                        <w:sz w:val="20"/>
                      </w:rPr>
                    </w:pPr>
                    <w:r>
                      <w:rPr>
                        <w:sz w:val="20"/>
                      </w:rPr>
                      <w:t>-</w:t>
                    </w:r>
                  </w:p>
                </w:tc>
                <w:tc>
                  <w:tcPr>
                    <w:tcW w:w="1014" w:type="dxa"/>
                    <w:gridSpan w:val="3"/>
                    <w:vMerge w:val="restart"/>
                    <w:shd w:val="clear" w:color="auto" w:fill="F2F2F2" w:themeFill="background1" w:themeFillShade="F2"/>
                  </w:tcPr>
                  <w:p>
                    <w:pPr>
                      <w:rPr>
                        <w:color w:val="000000"/>
                        <w:sz w:val="20"/>
                      </w:rPr>
                    </w:pPr>
                    <w:r>
                      <w:rPr>
                        <w:sz w:val="20"/>
                      </w:rPr>
                      <w:t>-</w:t>
                    </w:r>
                  </w:p>
                </w:tc>
                <w:tc>
                  <w:tcPr>
                    <w:tcW w:w="681" w:type="dxa"/>
                    <w:gridSpan w:val="3"/>
                    <w:vMerge w:val="restart"/>
                    <w:shd w:val="clear" w:color="auto" w:fill="F2F2F2" w:themeFill="background1" w:themeFillShade="F2"/>
                  </w:tcPr>
                  <w:p>
                    <w:pPr>
                      <w:rPr>
                        <w:color w:val="000000"/>
                        <w:sz w:val="20"/>
                      </w:rPr>
                    </w:pPr>
                    <w:r>
                      <w:rPr>
                        <w:sz w:val="20"/>
                      </w:rPr>
                      <w:t>-</w:t>
                    </w:r>
                  </w:p>
                </w:tc>
                <w:tc>
                  <w:tcPr>
                    <w:tcW w:w="1167" w:type="dxa"/>
                    <w:gridSpan w:val="2"/>
                    <w:tcBorders>
                      <w:top w:val="single" w:sz="2" w:space="0" w:color="auto"/>
                      <w:left w:val="single" w:sz="2" w:space="0" w:color="auto"/>
                      <w:bottom w:val="single" w:sz="2" w:space="0" w:color="auto"/>
                      <w:right w:val="single" w:sz="2" w:space="0" w:color="auto"/>
                    </w:tcBorders>
                  </w:tcPr>
                  <w:p>
                    <w:pPr>
                      <w:rPr>
                        <w:color w:val="000000"/>
                        <w:sz w:val="20"/>
                      </w:rPr>
                    </w:pPr>
                    <w:r>
                      <w:rPr>
                        <w:kern w:val="2"/>
                        <w:sz w:val="20"/>
                        <w14:ligatures w14:val="standardContextual"/>
                      </w:rPr>
                      <w:t>59 374,768</w:t>
                    </w:r>
                  </w:p>
                </w:tc>
                <w:tc>
                  <w:tcPr>
                    <w:tcW w:w="1118" w:type="dxa"/>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color w:val="FF0000"/>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Bendras 5 metų išgyvenamumas sergant krūties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83</w:t>
                    </w:r>
                  </w:p>
                  <w:p>
                    <w:pPr>
                      <w:ind w:left="-57" w:right="-57"/>
                      <w:jc w:val="center"/>
                      <w:rPr>
                        <w:color w:val="FF0000"/>
                        <w:sz w:val="20"/>
                      </w:rPr>
                    </w:pPr>
                    <w:r>
                      <w:rPr>
                        <w:color w:val="000000" w:themeColor="text1"/>
                        <w:kern w:val="2"/>
                        <w:sz w:val="20"/>
                        <w14:ligatures w14:val="standardContextual"/>
                      </w:rPr>
                      <w:t>(2030 m.)</w:t>
                    </w:r>
                  </w:p>
                </w:tc>
                <w:tc>
                  <w:tcPr>
                    <w:tcW w:w="992" w:type="dxa"/>
                    <w:vMerge w:val="restart"/>
                    <w:shd w:val="clear" w:color="auto" w:fill="F2F2F2" w:themeFill="background1" w:themeFillShade="F2"/>
                  </w:tcPr>
                  <w:p>
                    <w:pPr>
                      <w:rPr>
                        <w:color w:val="000000"/>
                        <w:sz w:val="20"/>
                      </w:rPr>
                    </w:pPr>
                    <w:r>
                      <w:rPr>
                        <w:color w:val="000000"/>
                        <w:sz w:val="20"/>
                      </w:rPr>
                      <w:t>-</w:t>
                    </w:r>
                  </w:p>
                </w:tc>
                <w:tc>
                  <w:tcPr>
                    <w:tcW w:w="1279"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sz w:val="20"/>
                        <w:lang w:val="en-US"/>
                        <w14:ligatures w14:val="standardContextual"/>
                      </w:rPr>
                    </w:pPr>
                    <w:r>
                      <w:rPr>
                        <w:kern w:val="2"/>
                        <w:sz w:val="20"/>
                        <w14:ligatures w14:val="standardContextual"/>
                      </w:rPr>
                      <w:t>24 803,</w:t>
                    </w:r>
                    <w:r>
                      <w:rPr>
                        <w:kern w:val="2"/>
                        <w:sz w:val="20"/>
                        <w:lang w:val="en-US"/>
                        <w14:ligatures w14:val="standardContextual"/>
                      </w:rPr>
                      <w:t>108</w:t>
                    </w:r>
                  </w:p>
                  <w:p>
                    <w:pPr>
                      <w:rPr>
                        <w:sz w:val="20"/>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EGADP</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5 metų išgyvenamumas sergant gimdos kaklelio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67,9</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r>
                      <w:rPr>
                        <w:kern w:val="2"/>
                        <w:sz w:val="20"/>
                        <w14:ligatures w14:val="standardContextual"/>
                      </w:rPr>
                      <w:t>5 191,433</w:t>
                    </w:r>
                  </w:p>
                  <w:p>
                    <w:pPr>
                      <w:rPr>
                        <w:sz w:val="20"/>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PVM iš VB</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Vyrų 5 metų išgyvenamumas sergant storosios žarnos vėžiu (dalis nuo visų atvejų),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55</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8 823,193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 xml:space="preserve">2021–2027 m. IP (ESF+, VVL regionas) </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Moterų 5 metų išgyvenamumas sergant storosios žarnos vėžiu (dalis nuo visų atvejų), proc. </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62,5</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1 557,034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 xml:space="preserve">2021–2027 m. IP (BF, VVL regionas) </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w:t>
                    </w:r>
                    <w:r>
                      <w:rPr>
                        <w:color w:val="000000" w:themeColor="text1"/>
                        <w:kern w:val="2"/>
                        <w:sz w:val="20"/>
                        <w14:ligatures w14:val="standardContextual"/>
                      </w:rPr>
                      <w:t xml:space="preserve"> Mirštamumas nuo miokardo infarkto per 30 dienų nuo hospitalizacijos,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9</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19 000</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color w:val="000000" w:themeColor="text1"/>
                        <w:kern w:val="2"/>
                        <w:sz w:val="20"/>
                        <w14:ligatures w14:val="standardContextual"/>
                      </w:rPr>
                      <w:t>VB</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color w:val="000000" w:themeColor="text1"/>
                        <w:kern w:val="2"/>
                        <w:sz w:val="20"/>
                        <w14:ligatures w14:val="standardContextual"/>
                      </w:rPr>
                      <w:t xml:space="preserve">R </w:t>
                    </w:r>
                    <w:r>
                      <w:rPr>
                        <w:color w:val="000000" w:themeColor="text1"/>
                        <w:kern w:val="2"/>
                        <w:szCs w:val="24"/>
                        <w14:ligatures w14:val="standardContextual"/>
                      </w:rPr>
                      <w:t xml:space="preserve">– </w:t>
                    </w:r>
                    <w:r>
                      <w:rPr>
                        <w:color w:val="000000" w:themeColor="text1"/>
                        <w:kern w:val="2"/>
                        <w:sz w:val="20"/>
                        <w14:ligatures w14:val="standardContextual"/>
                      </w:rPr>
                      <w:t>Mirštamumas nuo išeminio galvos smegenų insulto per 30 dienų po hospitalizacijos, proc.</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color w:val="000000" w:themeColor="text1"/>
                        <w:kern w:val="2"/>
                        <w:sz w:val="20"/>
                        <w14:ligatures w14:val="standardContextual"/>
                      </w:rPr>
                      <w:t>12</w:t>
                    </w:r>
                  </w:p>
                  <w:p>
                    <w:pPr>
                      <w:ind w:left="-57" w:right="-57"/>
                      <w:jc w:val="center"/>
                      <w:rPr>
                        <w:sz w:val="20"/>
                      </w:rPr>
                    </w:pPr>
                    <w:r>
                      <w:rPr>
                        <w:color w:val="000000" w:themeColor="text1"/>
                        <w:kern w:val="2"/>
                        <w:sz w:val="20"/>
                        <w14:ligatures w14:val="standardContextual"/>
                      </w:rPr>
                      <w:t>(2030 m.)“</w:t>
                    </w:r>
                  </w:p>
                </w:tc>
                <w:tc>
                  <w:tcPr>
                    <w:tcW w:w="992" w:type="dxa"/>
                    <w:vMerge/>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1937"/>
                </w:trPr>
                <w:tc>
                  <w:tcPr>
                    <w:tcW w:w="2130" w:type="dxa"/>
                    <w:gridSpan w:val="2"/>
                    <w:vMerge w:val="restart"/>
                    <w:tcBorders>
                      <w:bottom w:val="single" w:sz="4" w:space="0" w:color="auto"/>
                    </w:tcBorders>
                  </w:tcPr>
                  <w:p>
                    <w:pPr>
                      <w:rPr>
                        <w:sz w:val="20"/>
                      </w:rPr>
                    </w:pPr>
                    <w:r>
                      <w:rPr>
                        <w:sz w:val="20"/>
                      </w:rPr>
                      <w:t>3.1. Pažangios terapijos centro statyba</w:t>
                    </w:r>
                  </w:p>
                </w:tc>
                <w:tc>
                  <w:tcPr>
                    <w:tcW w:w="699"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VšĮ Vilniaus universiteto ligoninė Santaros klinikos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18 606</w:t>
                    </w:r>
                  </w:p>
                  <w:p>
                    <w:pPr>
                      <w:rPr>
                        <w:kern w:val="2"/>
                        <w:sz w:val="20"/>
                        <w14:ligatures w14:val="standardContextual"/>
                      </w:rPr>
                    </w:pPr>
                  </w:p>
                  <w:p>
                    <w:pPr>
                      <w:rPr>
                        <w:bCs/>
                        <w:kern w:val="2"/>
                        <w:sz w:val="20"/>
                        <w14:ligatures w14:val="standardContextual"/>
                      </w:rPr>
                    </w:pPr>
                  </w:p>
                  <w:p>
                    <w:pPr>
                      <w:rPr>
                        <w:color w:val="000000"/>
                        <w:sz w:val="20"/>
                      </w:rPr>
                    </w:pPr>
                  </w:p>
                </w:tc>
                <w:tc>
                  <w:tcPr>
                    <w:tcW w:w="1118"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EGADP</w:t>
                    </w: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kern w:val="2"/>
                        <w:sz w:val="20"/>
                        <w14:ligatures w14:val="standardContextual"/>
                      </w:rPr>
                    </w:pPr>
                  </w:p>
                  <w:p>
                    <w:pPr>
                      <w:rPr>
                        <w:color w:val="000000"/>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Pažangiosios terapijos centro pastato statybos darbų viešojo pirkimo procedūrų užbaigimas,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color w:val="F79646" w:themeColor="accent6"/>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(2022 m. IV ketv.)</w:t>
                    </w:r>
                  </w:p>
                </w:tc>
                <w:tc>
                  <w:tcPr>
                    <w:tcW w:w="992"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603"/>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val="restart"/>
                    <w:tcBorders>
                      <w:left w:val="single" w:sz="4" w:space="0" w:color="auto"/>
                      <w:right w:val="single" w:sz="4" w:space="0" w:color="auto"/>
                    </w:tcBorders>
                  </w:tcPr>
                  <w:p>
                    <w:pPr>
                      <w:rPr>
                        <w:color w:val="000000"/>
                        <w:sz w:val="20"/>
                      </w:rPr>
                    </w:pPr>
                    <w:r>
                      <w:rPr>
                        <w:color w:val="000000"/>
                        <w:sz w:val="20"/>
                      </w:rPr>
                      <w:t>3 893,04</w:t>
                    </w: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kern w:val="2"/>
                        <w:sz w:val="20"/>
                        <w14:ligatures w14:val="standardContextual"/>
                      </w:rPr>
                      <w:t>P – Pažangiosios terapijos centras,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(2026 m. II ketv.)</w:t>
                    </w: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761"/>
                </w:trPr>
                <w:tc>
                  <w:tcPr>
                    <w:tcW w:w="2130" w:type="dxa"/>
                    <w:gridSpan w:val="2"/>
                    <w:vMerge/>
                  </w:tcPr>
                  <w:p>
                    <w:pPr>
                      <w:rPr>
                        <w:sz w:val="20"/>
                      </w:rPr>
                    </w:pPr>
                  </w:p>
                </w:tc>
                <w:tc>
                  <w:tcPr>
                    <w:tcW w:w="699" w:type="dxa"/>
                    <w:vMerge/>
                  </w:tcPr>
                  <w:p>
                    <w:pPr>
                      <w:rPr>
                        <w:color w:val="000000"/>
                        <w:sz w:val="20"/>
                      </w:rPr>
                    </w:pPr>
                  </w:p>
                </w:tc>
                <w:tc>
                  <w:tcPr>
                    <w:tcW w:w="1985" w:type="dxa"/>
                    <w:vMerge/>
                  </w:tcPr>
                  <w:p>
                    <w:pPr>
                      <w:rPr>
                        <w:color w:val="000000"/>
                        <w:sz w:val="20"/>
                      </w:rPr>
                    </w:pPr>
                  </w:p>
                </w:tc>
                <w:tc>
                  <w:tcPr>
                    <w:tcW w:w="829" w:type="dxa"/>
                    <w:gridSpan w:val="3"/>
                    <w:vMerge/>
                  </w:tcPr>
                  <w:p>
                    <w:pPr>
                      <w:rPr>
                        <w:color w:val="000000"/>
                        <w:sz w:val="20"/>
                      </w:rPr>
                    </w:pPr>
                  </w:p>
                </w:tc>
                <w:tc>
                  <w:tcPr>
                    <w:tcW w:w="1014" w:type="dxa"/>
                    <w:gridSpan w:val="3"/>
                    <w:vMerge/>
                    <w:tcBorders>
                      <w:left w:val="single" w:sz="4" w:space="0" w:color="auto"/>
                      <w:right w:val="single" w:sz="4" w:space="0" w:color="auto"/>
                    </w:tcBorders>
                    <w:vAlign w:val="center"/>
                  </w:tcPr>
                  <w:p>
                    <w:pPr>
                      <w:rPr>
                        <w:color w:val="000000"/>
                        <w:sz w:val="20"/>
                      </w:rPr>
                    </w:pPr>
                  </w:p>
                </w:tc>
                <w:tc>
                  <w:tcPr>
                    <w:tcW w:w="681" w:type="dxa"/>
                    <w:gridSpan w:val="3"/>
                    <w:vMerge/>
                    <w:tcBorders>
                      <w:left w:val="single" w:sz="4" w:space="0" w:color="auto"/>
                      <w:right w:val="single" w:sz="4" w:space="0" w:color="auto"/>
                    </w:tcBorders>
                    <w:vAlign w:val="center"/>
                  </w:tcPr>
                  <w:p>
                    <w:pPr>
                      <w:rPr>
                        <w:color w:val="000000"/>
                        <w:sz w:val="20"/>
                      </w:rPr>
                    </w:pPr>
                  </w:p>
                </w:tc>
                <w:tc>
                  <w:tcPr>
                    <w:tcW w:w="1167" w:type="dxa"/>
                    <w:gridSpan w:val="2"/>
                    <w:vMerge/>
                    <w:tcBorders>
                      <w:left w:val="single" w:sz="4" w:space="0" w:color="auto"/>
                      <w:right w:val="single" w:sz="4" w:space="0" w:color="auto"/>
                    </w:tcBorders>
                    <w:vAlign w:val="center"/>
                  </w:tcPr>
                  <w:p>
                    <w:pPr>
                      <w:rPr>
                        <w:color w:val="000000"/>
                        <w:sz w:val="20"/>
                      </w:rPr>
                    </w:pPr>
                  </w:p>
                </w:tc>
                <w:tc>
                  <w:tcPr>
                    <w:tcW w:w="1118" w:type="dxa"/>
                    <w:vMerge/>
                    <w:tcBorders>
                      <w:left w:val="single" w:sz="4" w:space="0" w:color="auto"/>
                      <w:right w:val="single" w:sz="4" w:space="0" w:color="auto"/>
                    </w:tcBorders>
                    <w:vAlign w:val="cente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color w:val="FF0000"/>
                        <w:sz w:val="20"/>
                      </w:rPr>
                    </w:pPr>
                    <w:r>
                      <w:rPr>
                        <w:kern w:val="2"/>
                        <w:sz w:val="20"/>
                        <w14:ligatures w14:val="standardContextual"/>
                      </w:rPr>
                      <w:t>R – Naujos arba modernizuotos sveikatos priežiūros infrastruktūros talpumas, asmenys per metus</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1724"/>
                </w:trPr>
                <w:tc>
                  <w:tcPr>
                    <w:tcW w:w="2130" w:type="dxa"/>
                    <w:gridSpan w:val="2"/>
                    <w:vMerge w:val="restart"/>
                  </w:tcPr>
                  <w:p>
                    <w:pPr>
                      <w:rPr>
                        <w:sz w:val="20"/>
                      </w:rPr>
                    </w:pPr>
                    <w:r>
                      <w:rPr>
                        <w:sz w:val="20"/>
                      </w:rPr>
                      <w:t>3.2. Genomo tyrimams atlikti reikalingos įrangos įsigijimas ir tyrimų atlikimas</w:t>
                    </w:r>
                  </w:p>
                  <w:p>
                    <w:pPr>
                      <w:rPr>
                        <w:sz w:val="20"/>
                      </w:rPr>
                    </w:pPr>
                  </w:p>
                </w:tc>
                <w:tc>
                  <w:tcPr>
                    <w:tcW w:w="699"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I</w:t>
                    </w:r>
                  </w:p>
                </w:tc>
                <w:tc>
                  <w:tcPr>
                    <w:tcW w:w="1985"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ASPĮ</w:t>
                    </w:r>
                  </w:p>
                </w:tc>
                <w:tc>
                  <w:tcPr>
                    <w:tcW w:w="829"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P</w:t>
                    </w:r>
                  </w:p>
                </w:tc>
                <w:tc>
                  <w:tcPr>
                    <w:tcW w:w="1014"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Taip</w:t>
                    </w:r>
                  </w:p>
                </w:tc>
                <w:tc>
                  <w:tcPr>
                    <w:tcW w:w="681" w:type="dxa"/>
                    <w:gridSpan w:val="3"/>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rPr>
                        <w:color w:val="000000"/>
                        <w:sz w:val="20"/>
                      </w:rPr>
                    </w:pPr>
                    <w:r>
                      <w:rPr>
                        <w:kern w:val="2"/>
                        <w:sz w:val="20"/>
                        <w14:ligatures w14:val="standardContextual"/>
                      </w:rPr>
                      <w:t>6 197,108</w:t>
                    </w:r>
                  </w:p>
                </w:tc>
                <w:tc>
                  <w:tcPr>
                    <w:tcW w:w="1118" w:type="dxa"/>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EGADP</w:t>
                    </w:r>
                  </w:p>
                </w:tc>
                <w:tc>
                  <w:tcPr>
                    <w:tcW w:w="2001" w:type="dxa"/>
                    <w:gridSpan w:val="2"/>
                    <w:tcBorders>
                      <w:top w:val="single" w:sz="4" w:space="0" w:color="auto"/>
                      <w:left w:val="single" w:sz="4" w:space="0" w:color="auto"/>
                      <w:right w:val="single" w:sz="4" w:space="0" w:color="auto"/>
                    </w:tcBorders>
                  </w:tcPr>
                  <w:p>
                    <w:pPr>
                      <w:ind w:left="-57" w:right="-57"/>
                      <w:rPr>
                        <w:sz w:val="20"/>
                      </w:rPr>
                    </w:pPr>
                    <w:r>
                      <w:rPr>
                        <w:kern w:val="2"/>
                        <w:sz w:val="20"/>
                        <w14:ligatures w14:val="standardContextual"/>
                      </w:rPr>
                      <w:t>P – Patvirtinti teisės aktai dėl genomo tyrimų, vnt.</w:t>
                    </w:r>
                  </w:p>
                </w:tc>
                <w:tc>
                  <w:tcPr>
                    <w:tcW w:w="1134" w:type="dxa"/>
                    <w:gridSpan w:val="2"/>
                    <w:tcBorders>
                      <w:top w:val="single" w:sz="4" w:space="0" w:color="auto"/>
                      <w:left w:val="single" w:sz="4" w:space="0" w:color="auto"/>
                      <w:right w:val="single" w:sz="4" w:space="0" w:color="auto"/>
                    </w:tcBorders>
                  </w:tcPr>
                  <w:p>
                    <w:pPr>
                      <w:spacing w:line="276" w:lineRule="auto"/>
                      <w:ind w:left="-57" w:right="-57"/>
                      <w:jc w:val="center"/>
                      <w:rPr>
                        <w:color w:val="F79646" w:themeColor="accent6"/>
                        <w:kern w:val="2"/>
                        <w:sz w:val="20"/>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(2023 m. II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kern w:val="2"/>
                        <w:sz w:val="20"/>
                        <w14:ligatures w14:val="standardContextual"/>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color w:val="000000"/>
                        <w:kern w:val="2"/>
                        <w:sz w:val="20"/>
                        <w14:ligatures w14:val="standardContextual"/>
                      </w:rPr>
                      <w:t>SAM</w:t>
                    </w:r>
                  </w:p>
                </w:tc>
              </w:tr>
              <w:tr>
                <w:trPr>
                  <w:trHeight w:val="1724"/>
                </w:trPr>
                <w:tc>
                  <w:tcPr>
                    <w:tcW w:w="2130" w:type="dxa"/>
                    <w:gridSpan w:val="2"/>
                    <w:vMerge/>
                    <w:tcBorders>
                      <w:bottom w:val="single" w:sz="4" w:space="0" w:color="auto"/>
                    </w:tcBorders>
                  </w:tcPr>
                  <w:p>
                    <w:pPr>
                      <w:rPr>
                        <w:color w:val="000000"/>
                        <w:sz w:val="20"/>
                      </w:rPr>
                    </w:pPr>
                  </w:p>
                </w:tc>
                <w:tc>
                  <w:tcPr>
                    <w:tcW w:w="699"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1985"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829"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1014"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681" w:type="dxa"/>
                    <w:gridSpan w:val="3"/>
                    <w:vMerge/>
                    <w:tcBorders>
                      <w:left w:val="single" w:sz="4" w:space="0" w:color="auto"/>
                      <w:bottom w:val="single" w:sz="4" w:space="0" w:color="auto"/>
                      <w:right w:val="single" w:sz="4" w:space="0" w:color="auto"/>
                    </w:tcBorders>
                  </w:tcPr>
                  <w:p>
                    <w:pPr>
                      <w:rPr>
                        <w:kern w:val="2"/>
                        <w:sz w:val="20"/>
                        <w14:ligatures w14:val="standardContextual"/>
                      </w:rPr>
                    </w:pPr>
                  </w:p>
                </w:tc>
                <w:tc>
                  <w:tcPr>
                    <w:tcW w:w="1167" w:type="dxa"/>
                    <w:gridSpan w:val="2"/>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1 298, 393</w:t>
                    </w:r>
                  </w:p>
                </w:tc>
                <w:tc>
                  <w:tcPr>
                    <w:tcW w:w="1118" w:type="dxa"/>
                    <w:tcBorders>
                      <w:top w:val="single" w:sz="4" w:space="0" w:color="auto"/>
                      <w:left w:val="single" w:sz="4" w:space="0" w:color="auto"/>
                      <w:bottom w:val="single" w:sz="4" w:space="0" w:color="auto"/>
                      <w:right w:val="single" w:sz="4" w:space="0" w:color="auto"/>
                    </w:tcBorders>
                  </w:tcPr>
                  <w:p>
                    <w:pPr>
                      <w:rPr>
                        <w:kern w:val="2"/>
                        <w:sz w:val="20"/>
                        <w14:ligatures w14:val="standardContextual"/>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kern w:val="2"/>
                        <w:sz w:val="20"/>
                        <w14:ligatures w14:val="standardContextual"/>
                      </w:rPr>
                    </w:pPr>
                    <w:r>
                      <w:rPr>
                        <w:kern w:val="2"/>
                        <w:sz w:val="20"/>
                        <w14:ligatures w14:val="standardContextual"/>
                      </w:rPr>
                      <w:t>P – Atliktų žmogaus genomo sekos nustatymo tyrimų skaičius, vnt.</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1 570</w:t>
                    </w:r>
                  </w:p>
                  <w:p>
                    <w:pPr>
                      <w:spacing w:line="276" w:lineRule="auto"/>
                      <w:ind w:left="-57" w:right="-57"/>
                      <w:jc w:val="center"/>
                      <w:rPr>
                        <w:kern w:val="2"/>
                        <w:sz w:val="20"/>
                        <w14:ligatures w14:val="standardContextual"/>
                      </w:rPr>
                    </w:pPr>
                    <w:r>
                      <w:rPr>
                        <w:kern w:val="2"/>
                        <w:sz w:val="20"/>
                        <w14:ligatures w14:val="standardContextual"/>
                      </w:rPr>
                      <w:t>(2026 m. I ketv.)</w:t>
                    </w:r>
                  </w:p>
                </w:tc>
                <w:tc>
                  <w:tcPr>
                    <w:tcW w:w="992" w:type="dxa"/>
                    <w:vMerge/>
                    <w:tcBorders>
                      <w:left w:val="single" w:sz="4" w:space="0" w:color="auto"/>
                      <w:bottom w:val="single" w:sz="4" w:space="0" w:color="auto"/>
                      <w:right w:val="single" w:sz="4" w:space="0" w:color="auto"/>
                    </w:tcBorders>
                  </w:tcPr>
                  <w:p>
                    <w:pPr>
                      <w:rPr>
                        <w:kern w:val="2"/>
                        <w:sz w:val="20"/>
                        <w14:ligatures w14:val="standardContextual"/>
                      </w:rPr>
                    </w:pPr>
                  </w:p>
                </w:tc>
                <w:tc>
                  <w:tcPr>
                    <w:tcW w:w="1279" w:type="dxa"/>
                    <w:vMerge/>
                    <w:tcBorders>
                      <w:left w:val="single" w:sz="4" w:space="0" w:color="auto"/>
                      <w:bottom w:val="single" w:sz="4" w:space="0" w:color="auto"/>
                      <w:right w:val="single" w:sz="4" w:space="0" w:color="auto"/>
                    </w:tcBorders>
                  </w:tcPr>
                  <w:p>
                    <w:pPr>
                      <w:jc w:val="center"/>
                      <w:rPr>
                        <w:color w:val="000000"/>
                        <w:kern w:val="2"/>
                        <w:sz w:val="20"/>
                        <w14:ligatures w14:val="standardContextual"/>
                      </w:rPr>
                    </w:pPr>
                  </w:p>
                </w:tc>
              </w:tr>
              <w:tr>
                <w:trPr>
                  <w:trHeight w:val="1176"/>
                </w:trPr>
                <w:tc>
                  <w:tcPr>
                    <w:tcW w:w="2130" w:type="dxa"/>
                    <w:gridSpan w:val="2"/>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699" w:type="dxa"/>
                    <w:vMerge w:val="restart"/>
                  </w:tcPr>
                  <w:p>
                    <w:pPr>
                      <w:rPr>
                        <w:sz w:val="20"/>
                      </w:rPr>
                    </w:pPr>
                    <w:r>
                      <w:rPr>
                        <w:sz w:val="20"/>
                      </w:rPr>
                      <w:t>I</w:t>
                    </w:r>
                  </w:p>
                </w:tc>
                <w:tc>
                  <w:tcPr>
                    <w:tcW w:w="1985"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rPr>
                    </w:pPr>
                    <w:r>
                      <w:rPr>
                        <w:sz w:val="20"/>
                      </w:rPr>
                      <w:t>5 525</w:t>
                    </w:r>
                  </w:p>
                  <w:p>
                    <w:pPr>
                      <w:rPr>
                        <w:sz w:val="20"/>
                      </w:rPr>
                    </w:pPr>
                  </w:p>
                  <w:p>
                    <w:pPr>
                      <w:rPr>
                        <w:sz w:val="20"/>
                      </w:rPr>
                    </w:pPr>
                  </w:p>
                </w:tc>
                <w:tc>
                  <w:tcPr>
                    <w:tcW w:w="1118" w:type="dxa"/>
                    <w:vMerge w:val="restart"/>
                  </w:tcPr>
                  <w:p>
                    <w:pPr>
                      <w:rPr>
                        <w:sz w:val="20"/>
                      </w:rPr>
                    </w:pPr>
                    <w:r>
                      <w:rPr>
                        <w:sz w:val="20"/>
                      </w:rPr>
                      <w:t>2021–2027 m. IP (ESF</w:t>
                    </w:r>
                    <w:r>
                      <w:rPr>
                        <w:sz w:val="20"/>
                        <w:lang w:val="en-US"/>
                      </w:rPr>
                      <w:t>+</w:t>
                    </w:r>
                    <w:r>
                      <w:rPr>
                        <w:sz w:val="20"/>
                      </w:rPr>
                      <w:t xml:space="preserve">) </w:t>
                    </w: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1134" w:type="dxa"/>
                    <w:gridSpan w:val="2"/>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Borders>
                      <w:top w:val="single" w:sz="4" w:space="0" w:color="auto"/>
                      <w:left w:val="single" w:sz="4" w:space="0" w:color="auto"/>
                      <w:right w:val="single" w:sz="4" w:space="0" w:color="auto"/>
                    </w:tcBorders>
                  </w:tcPr>
                  <w:p>
                    <w:pPr>
                      <w:ind w:left="-57" w:right="-57"/>
                      <w:rPr>
                        <w:sz w:val="20"/>
                      </w:rPr>
                    </w:pPr>
                    <w:r>
                      <w:rPr>
                        <w:sz w:val="20"/>
                      </w:rPr>
                      <w:t>P – Specialistai, dalyvavę kvalifikacijos tobulinimo ar perkvalifikavimo veiklose, asmenys</w:t>
                    </w:r>
                  </w:p>
                </w:tc>
                <w:tc>
                  <w:tcPr>
                    <w:tcW w:w="1134" w:type="dxa"/>
                    <w:gridSpan w:val="2"/>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rPr>
                    </w:pPr>
                    <w:r>
                      <w:rPr>
                        <w:sz w:val="20"/>
                      </w:rPr>
                      <w:t>975</w:t>
                    </w:r>
                  </w:p>
                </w:tc>
                <w:tc>
                  <w:tcPr>
                    <w:tcW w:w="1118" w:type="dxa"/>
                    <w:vMerge w:val="restart"/>
                  </w:tcPr>
                  <w:p>
                    <w:pPr>
                      <w:rPr>
                        <w:sz w:val="20"/>
                      </w:rPr>
                    </w:pPr>
                    <w:r>
                      <w:rPr>
                        <w:sz w:val="20"/>
                      </w:rPr>
                      <w:t xml:space="preserve">2021–2027 m. IP (BF) </w:t>
                    </w:r>
                  </w:p>
                </w:tc>
                <w:tc>
                  <w:tcPr>
                    <w:tcW w:w="2001" w:type="dxa"/>
                    <w:gridSpan w:val="2"/>
                    <w:shd w:val="clear" w:color="auto" w:fill="FFFFFF" w:themeFill="background1"/>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92"/>
                </w:trPr>
                <w:tc>
                  <w:tcPr>
                    <w:tcW w:w="2130" w:type="dxa"/>
                    <w:gridSpan w:val="2"/>
                    <w:vMerge/>
                  </w:tcPr>
                  <w:p>
                    <w:pPr>
                      <w:rPr>
                        <w:iCs/>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1134" w:type="dxa"/>
                    <w:gridSpan w:val="2"/>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264"/>
                </w:trPr>
                <w:tc>
                  <w:tcPr>
                    <w:tcW w:w="2130" w:type="dxa"/>
                    <w:gridSpan w:val="2"/>
                  </w:tcPr>
                  <w:p>
                    <w:pPr>
                      <w:rPr>
                        <w:iCs/>
                        <w:sz w:val="20"/>
                      </w:rPr>
                    </w:pPr>
                    <w:r>
                      <w:rPr>
                        <w:iCs/>
                        <w:sz w:val="20"/>
                      </w:rPr>
                      <w:t>3.4. Sudėtingų sveikatos priežiūros diagnostikos ir gydymo paslaugų infrastruktūros modernizavimas</w:t>
                    </w:r>
                  </w:p>
                </w:tc>
                <w:tc>
                  <w:tcPr>
                    <w:tcW w:w="699" w:type="dxa"/>
                  </w:tcPr>
                  <w:p>
                    <w:pPr>
                      <w:rPr>
                        <w:color w:val="000000"/>
                        <w:sz w:val="20"/>
                      </w:rPr>
                    </w:pPr>
                    <w:r>
                      <w:rPr>
                        <w:sz w:val="20"/>
                      </w:rPr>
                      <w:t>I</w:t>
                    </w:r>
                  </w:p>
                </w:tc>
                <w:tc>
                  <w:tcPr>
                    <w:tcW w:w="1985" w:type="dxa"/>
                  </w:tcPr>
                  <w:p>
                    <w:pPr>
                      <w:rPr>
                        <w:color w:val="000000"/>
                        <w:sz w:val="20"/>
                      </w:rPr>
                    </w:pPr>
                    <w:r>
                      <w:rPr>
                        <w:sz w:val="20"/>
                      </w:rPr>
                      <w:t>ASPĮ</w:t>
                    </w:r>
                  </w:p>
                </w:tc>
                <w:tc>
                  <w:tcPr>
                    <w:tcW w:w="829" w:type="dxa"/>
                    <w:gridSpan w:val="3"/>
                  </w:tcPr>
                  <w:p>
                    <w:pPr>
                      <w:rPr>
                        <w:color w:val="000000"/>
                        <w:sz w:val="20"/>
                      </w:rPr>
                    </w:pPr>
                    <w:r>
                      <w:rPr>
                        <w:sz w:val="20"/>
                      </w:rPr>
                      <w:t>P</w:t>
                    </w:r>
                  </w:p>
                </w:tc>
                <w:tc>
                  <w:tcPr>
                    <w:tcW w:w="1014" w:type="dxa"/>
                    <w:gridSpan w:val="3"/>
                  </w:tcPr>
                  <w:p>
                    <w:pPr>
                      <w:rPr>
                        <w:color w:val="000000"/>
                        <w:sz w:val="20"/>
                      </w:rPr>
                    </w:pPr>
                    <w:r>
                      <w:rPr>
                        <w:sz w:val="20"/>
                      </w:rPr>
                      <w:t>Taip</w:t>
                    </w:r>
                  </w:p>
                </w:tc>
                <w:tc>
                  <w:tcPr>
                    <w:tcW w:w="681" w:type="dxa"/>
                    <w:gridSpan w:val="3"/>
                  </w:tcPr>
                  <w:p>
                    <w:pPr>
                      <w:rPr>
                        <w:color w:val="000000"/>
                        <w:sz w:val="20"/>
                      </w:rPr>
                    </w:pPr>
                    <w:r>
                      <w:rPr>
                        <w:sz w:val="20"/>
                      </w:rPr>
                      <w:t>D</w:t>
                    </w:r>
                  </w:p>
                </w:tc>
                <w:tc>
                  <w:tcPr>
                    <w:tcW w:w="1167" w:type="dxa"/>
                    <w:gridSpan w:val="2"/>
                  </w:tcPr>
                  <w:p>
                    <w:pPr>
                      <w:rPr>
                        <w:sz w:val="20"/>
                      </w:rPr>
                    </w:pPr>
                    <w:r>
                      <w:rPr>
                        <w:sz w:val="20"/>
                      </w:rPr>
                      <w:t>19 000</w:t>
                    </w:r>
                  </w:p>
                </w:tc>
                <w:tc>
                  <w:tcPr>
                    <w:tcW w:w="1118" w:type="dxa"/>
                  </w:tcPr>
                  <w:p>
                    <w:pPr>
                      <w:rPr>
                        <w:sz w:val="20"/>
                      </w:rPr>
                    </w:pPr>
                    <w:r>
                      <w:rPr>
                        <w:sz w:val="20"/>
                      </w:rPr>
                      <w:t>VB</w:t>
                    </w:r>
                  </w:p>
                </w:tc>
                <w:tc>
                  <w:tcPr>
                    <w:tcW w:w="2001" w:type="dxa"/>
                    <w:gridSpan w:val="2"/>
                  </w:tcPr>
                  <w:p>
                    <w:pPr>
                      <w:ind w:left="-57" w:right="-57"/>
                      <w:rPr>
                        <w:sz w:val="20"/>
                      </w:rPr>
                    </w:pPr>
                    <w:r>
                      <w:rPr>
                        <w:sz w:val="20"/>
                      </w:rPr>
                      <w:t>P – Modernizuotų asmens sveikatos priežiūros įstaigų skaičius</w:t>
                    </w:r>
                  </w:p>
                </w:tc>
                <w:tc>
                  <w:tcPr>
                    <w:tcW w:w="1134" w:type="dxa"/>
                    <w:gridSpan w:val="2"/>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r>
                      <w:rPr>
                        <w:iCs/>
                        <w:sz w:val="20"/>
                      </w:rPr>
                      <w:t>3.5. Inovatyvių specializuotų sveikatos priežiūros paslaugų teikimo ir organizavimo modelių kūrimas ir išbandymas, Vidurio ir vakarų Lietuvos regionas</w:t>
                    </w:r>
                  </w:p>
                </w:tc>
                <w:tc>
                  <w:tcPr>
                    <w:tcW w:w="699" w:type="dxa"/>
                    <w:tcBorders>
                      <w:top w:val="single" w:sz="4" w:space="0" w:color="auto"/>
                      <w:left w:val="single" w:sz="4" w:space="0" w:color="auto"/>
                      <w:bottom w:val="single" w:sz="4" w:space="0" w:color="auto"/>
                      <w:right w:val="single" w:sz="4" w:space="0" w:color="auto"/>
                    </w:tcBorders>
                  </w:tcPr>
                  <w:p>
                    <w:pPr>
                      <w:rPr>
                        <w:sz w:val="20"/>
                      </w:rPr>
                    </w:pPr>
                    <w:r>
                      <w:rPr>
                        <w:sz w:val="20"/>
                      </w:rPr>
                      <w:t>I</w:t>
                    </w:r>
                  </w:p>
                </w:tc>
                <w:tc>
                  <w:tcPr>
                    <w:tcW w:w="1985" w:type="dxa"/>
                    <w:tcBorders>
                      <w:top w:val="single" w:sz="4" w:space="0" w:color="auto"/>
                      <w:left w:val="single" w:sz="4" w:space="0" w:color="auto"/>
                      <w:bottom w:val="single" w:sz="4" w:space="0" w:color="auto"/>
                      <w:right w:val="single" w:sz="4" w:space="0" w:color="auto"/>
                    </w:tcBorders>
                  </w:tcPr>
                  <w:p>
                    <w:pPr>
                      <w:rPr>
                        <w:sz w:val="20"/>
                      </w:rPr>
                    </w:pPr>
                    <w:r>
                      <w:rPr>
                        <w:sz w:val="20"/>
                      </w:rPr>
                      <w:t>Valstybinė ligonių kasa prie Sveikatos apsaugos ministerijos, Lietuvos medicinos biblioteka (toliau – LMB)</w:t>
                    </w:r>
                  </w:p>
                  <w:p>
                    <w:pPr>
                      <w:rPr>
                        <w:sz w:val="20"/>
                      </w:rPr>
                    </w:pPr>
                  </w:p>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P</w:t>
                    </w: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Taip</w:t>
                    </w: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3 298,193</w:t>
                    </w:r>
                  </w:p>
                  <w:p>
                    <w:pPr>
                      <w:rPr>
                        <w:sz w:val="20"/>
                      </w:rPr>
                    </w:pP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CPVA</w:t>
                    </w: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SAM</w:t>
                    </w:r>
                  </w:p>
                </w:tc>
              </w:tr>
              <w:tr>
                <w:trPr>
                  <w:trHeight w:val="1264"/>
                </w:trPr>
                <w:tc>
                  <w:tcPr>
                    <w:tcW w:w="2130" w:type="dxa"/>
                    <w:gridSpan w:val="2"/>
                    <w:tcBorders>
                      <w:top w:val="single" w:sz="4" w:space="0" w:color="auto"/>
                      <w:left w:val="single" w:sz="4" w:space="0" w:color="auto"/>
                      <w:bottom w:val="single" w:sz="4" w:space="0" w:color="auto"/>
                      <w:right w:val="single" w:sz="4" w:space="0" w:color="auto"/>
                    </w:tcBorders>
                  </w:tcPr>
                  <w:p>
                    <w:pPr>
                      <w:rPr>
                        <w:iCs/>
                        <w:sz w:val="20"/>
                      </w:rPr>
                    </w:pPr>
                  </w:p>
                </w:tc>
                <w:tc>
                  <w:tcPr>
                    <w:tcW w:w="699" w:type="dxa"/>
                    <w:tcBorders>
                      <w:top w:val="single" w:sz="4" w:space="0" w:color="auto"/>
                      <w:left w:val="single" w:sz="4" w:space="0" w:color="auto"/>
                      <w:bottom w:val="single" w:sz="4" w:space="0" w:color="auto"/>
                      <w:right w:val="single" w:sz="4" w:space="0" w:color="auto"/>
                    </w:tcBorders>
                  </w:tcPr>
                  <w:p>
                    <w:pPr>
                      <w:rPr>
                        <w:sz w:val="20"/>
                      </w:rPr>
                    </w:pPr>
                  </w:p>
                </w:tc>
                <w:tc>
                  <w:tcPr>
                    <w:tcW w:w="1985" w:type="dxa"/>
                    <w:tcBorders>
                      <w:top w:val="single" w:sz="4" w:space="0" w:color="auto"/>
                      <w:left w:val="single" w:sz="4" w:space="0" w:color="auto"/>
                      <w:bottom w:val="single" w:sz="4" w:space="0" w:color="auto"/>
                      <w:right w:val="single" w:sz="4" w:space="0" w:color="auto"/>
                    </w:tcBorders>
                  </w:tcPr>
                  <w:p>
                    <w:pPr>
                      <w:rPr>
                        <w:sz w:val="20"/>
                      </w:rPr>
                    </w:pPr>
                  </w:p>
                </w:tc>
                <w:tc>
                  <w:tcPr>
                    <w:tcW w:w="829" w:type="dxa"/>
                    <w:gridSpan w:val="3"/>
                    <w:tcBorders>
                      <w:top w:val="single" w:sz="4" w:space="0" w:color="auto"/>
                      <w:left w:val="single" w:sz="4" w:space="0" w:color="auto"/>
                      <w:bottom w:val="single" w:sz="4" w:space="0" w:color="auto"/>
                      <w:right w:val="single" w:sz="4" w:space="0" w:color="auto"/>
                    </w:tcBorders>
                  </w:tcPr>
                  <w:p>
                    <w:pPr>
                      <w:rPr>
                        <w:sz w:val="20"/>
                      </w:rPr>
                    </w:pPr>
                  </w:p>
                </w:tc>
                <w:tc>
                  <w:tcPr>
                    <w:tcW w:w="1014" w:type="dxa"/>
                    <w:gridSpan w:val="3"/>
                    <w:tcBorders>
                      <w:top w:val="single" w:sz="4" w:space="0" w:color="auto"/>
                      <w:left w:val="single" w:sz="4" w:space="0" w:color="auto"/>
                      <w:bottom w:val="single" w:sz="4" w:space="0" w:color="auto"/>
                      <w:right w:val="single" w:sz="4" w:space="0" w:color="auto"/>
                    </w:tcBorders>
                  </w:tcPr>
                  <w:p>
                    <w:pPr>
                      <w:rPr>
                        <w:sz w:val="20"/>
                      </w:rPr>
                    </w:pPr>
                  </w:p>
                </w:tc>
                <w:tc>
                  <w:tcPr>
                    <w:tcW w:w="681" w:type="dxa"/>
                    <w:gridSpan w:val="3"/>
                    <w:tcBorders>
                      <w:top w:val="single" w:sz="4" w:space="0" w:color="auto"/>
                      <w:left w:val="single" w:sz="4" w:space="0" w:color="auto"/>
                      <w:bottom w:val="single" w:sz="4" w:space="0" w:color="auto"/>
                      <w:right w:val="single" w:sz="4" w:space="0" w:color="auto"/>
                    </w:tcBorders>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9"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4. Sveikatos sektoriaus skaitmeninimas:</w:t>
                    </w:r>
                  </w:p>
                  <w:p>
                    <w:pPr>
                      <w:rPr>
                        <w:sz w:val="20"/>
                      </w:rPr>
                    </w:pPr>
                  </w:p>
                </w:tc>
                <w:tc>
                  <w:tcPr>
                    <w:tcW w:w="699"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69 784,397</w:t>
                    </w:r>
                  </w:p>
                  <w:p>
                    <w:pPr>
                      <w:jc w:val="center"/>
                      <w:rPr>
                        <w:strike/>
                        <w:sz w:val="20"/>
                      </w:rPr>
                    </w:pPr>
                    <w:r>
                      <w:rPr>
                        <w:kern w:val="2"/>
                        <w:sz w:val="20"/>
                        <w14:ligatures w14:val="standardContextual"/>
                      </w:rPr>
                      <w:t xml:space="preserve"> </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37 000,028</w:t>
                    </w:r>
                  </w:p>
                  <w:p>
                    <w:pPr>
                      <w:jc w:val="center"/>
                      <w:rPr>
                        <w:strike/>
                        <w:sz w:val="20"/>
                      </w:rPr>
                    </w:pPr>
                    <w:r>
                      <w:rPr>
                        <w:kern w:val="2"/>
                        <w:sz w:val="20"/>
                        <w14:ligatures w14:val="standardContextual"/>
                      </w:rPr>
                      <w:t xml:space="preserve"> </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76"/>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r>
                      <w:rPr>
                        <w:kern w:val="2"/>
                        <w:sz w:val="20"/>
                        <w14:ligatures w14:val="standardContextual"/>
                      </w:rPr>
                      <w:t>7 761,217</w:t>
                    </w:r>
                  </w:p>
                  <w:p>
                    <w:pPr>
                      <w:jc w:val="center"/>
                      <w:rPr>
                        <w:strike/>
                        <w:sz w:val="20"/>
                      </w:rPr>
                    </w:pP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outset" w:sz="6" w:space="0" w:color="auto"/>
                      <w:left w:val="outset" w:sz="6" w:space="0" w:color="auto"/>
                      <w:bottom w:val="outset" w:sz="6" w:space="0" w:color="auto"/>
                      <w:right w:val="outset" w:sz="6" w:space="0" w:color="auto"/>
                    </w:tcBorders>
                    <w:vAlign w:val="center"/>
                    <w:hideMark/>
                  </w:tcPr>
                  <w:p>
                    <w:pPr>
                      <w:ind w:left="-57" w:right="-57"/>
                      <w:jc w:val="both"/>
                      <w:rPr>
                        <w:sz w:val="20"/>
                      </w:rPr>
                    </w:pPr>
                    <w:r>
                      <w:rPr>
                        <w:sz w:val="20"/>
                      </w:rPr>
                      <w:t>R – Mirštamumas nuo išeminio galvos smegenų insulto per 30 dienų po hospitalizacijos,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4" w:space="0" w:color="auto"/>
                      <w:right w:val="single" w:sz="4" w:space="0" w:color="auto"/>
                    </w:tcBorders>
                    <w:vAlign w:val="center"/>
                    <w:hideMark/>
                  </w:tcPr>
                  <w:p>
                    <w:pPr>
                      <w:rPr>
                        <w:sz w:val="20"/>
                      </w:rPr>
                    </w:pPr>
                  </w:p>
                </w:tc>
                <w:tc>
                  <w:tcPr>
                    <w:tcW w:w="1985" w:type="dxa"/>
                    <w:vMerge/>
                    <w:tcBorders>
                      <w:left w:val="single" w:sz="4" w:space="0" w:color="auto"/>
                      <w:right w:val="single" w:sz="4" w:space="0" w:color="auto"/>
                    </w:tcBorders>
                    <w:vAlign w:val="center"/>
                    <w:hideMark/>
                  </w:tcPr>
                  <w:p>
                    <w:pPr>
                      <w:rPr>
                        <w:sz w:val="20"/>
                      </w:rPr>
                    </w:pPr>
                  </w:p>
                </w:tc>
                <w:tc>
                  <w:tcPr>
                    <w:tcW w:w="829" w:type="dxa"/>
                    <w:gridSpan w:val="3"/>
                    <w:vMerge/>
                    <w:tcBorders>
                      <w:left w:val="single" w:sz="4" w:space="0" w:color="auto"/>
                      <w:right w:val="single" w:sz="4" w:space="0" w:color="auto"/>
                    </w:tcBorders>
                    <w:vAlign w:val="center"/>
                    <w:hideMark/>
                  </w:tcPr>
                  <w:p>
                    <w:pPr>
                      <w:rPr>
                        <w:sz w:val="20"/>
                      </w:rPr>
                    </w:pPr>
                  </w:p>
                </w:tc>
                <w:tc>
                  <w:tcPr>
                    <w:tcW w:w="1014" w:type="dxa"/>
                    <w:gridSpan w:val="3"/>
                    <w:vMerge/>
                    <w:tcBorders>
                      <w:left w:val="single" w:sz="4" w:space="0" w:color="auto"/>
                      <w:right w:val="single" w:sz="4" w:space="0" w:color="auto"/>
                    </w:tcBorders>
                    <w:vAlign w:val="center"/>
                    <w:hideMark/>
                  </w:tcPr>
                  <w:p>
                    <w:pPr>
                      <w:rPr>
                        <w:sz w:val="20"/>
                      </w:rPr>
                    </w:pPr>
                  </w:p>
                </w:tc>
                <w:tc>
                  <w:tcPr>
                    <w:tcW w:w="681" w:type="dxa"/>
                    <w:gridSpan w:val="3"/>
                    <w:vMerge/>
                    <w:tcBorders>
                      <w:left w:val="single" w:sz="4" w:space="0" w:color="auto"/>
                      <w:right w:val="single" w:sz="4"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outset" w:sz="6" w:space="0" w:color="auto"/>
                      <w:left w:val="outset" w:sz="6" w:space="0" w:color="auto"/>
                      <w:bottom w:val="outset" w:sz="6" w:space="0" w:color="auto"/>
                      <w:right w:val="outset" w:sz="6" w:space="0" w:color="auto"/>
                    </w:tcBorders>
                    <w:vAlign w:val="center"/>
                    <w:hideMark/>
                  </w:tcPr>
                  <w:p>
                    <w:pPr>
                      <w:ind w:left="-57" w:right="-57"/>
                      <w:jc w:val="both"/>
                      <w:rPr>
                        <w:sz w:val="20"/>
                      </w:rPr>
                    </w:pPr>
                    <w:r>
                      <w:rPr>
                        <w:sz w:val="20"/>
                      </w:rPr>
                      <w:t>R – Gyventojų, dėl laukimo laiko (ilgų eilių) atidėjusių kreipimąsi dėl sveikatos priežiūros paslaugų, dalis, proc</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 Sostinės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 Sostinės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tcPr>
                  <w:p>
                    <w:pPr>
                      <w:rPr>
                        <w:sz w:val="20"/>
                      </w:rPr>
                    </w:pPr>
                  </w:p>
                </w:tc>
                <w:tc>
                  <w:tcPr>
                    <w:tcW w:w="699" w:type="dxa"/>
                    <w:vMerge/>
                    <w:tcBorders>
                      <w:left w:val="single" w:sz="4" w:space="0" w:color="auto"/>
                      <w:right w:val="single" w:sz="4" w:space="0" w:color="auto"/>
                    </w:tcBorders>
                    <w:vAlign w:val="center"/>
                  </w:tcPr>
                  <w:p>
                    <w:pPr>
                      <w:rPr>
                        <w:sz w:val="20"/>
                      </w:rPr>
                    </w:pPr>
                  </w:p>
                </w:tc>
                <w:tc>
                  <w:tcPr>
                    <w:tcW w:w="1985" w:type="dxa"/>
                    <w:vMerge/>
                    <w:tcBorders>
                      <w:left w:val="single" w:sz="4" w:space="0" w:color="auto"/>
                      <w:right w:val="single" w:sz="4" w:space="0" w:color="auto"/>
                    </w:tcBorders>
                    <w:vAlign w:val="center"/>
                  </w:tcPr>
                  <w:p>
                    <w:pPr>
                      <w:rPr>
                        <w:sz w:val="20"/>
                      </w:rPr>
                    </w:pPr>
                  </w:p>
                </w:tc>
                <w:tc>
                  <w:tcPr>
                    <w:tcW w:w="829" w:type="dxa"/>
                    <w:gridSpan w:val="3"/>
                    <w:vMerge/>
                    <w:tcBorders>
                      <w:left w:val="single" w:sz="4" w:space="0" w:color="auto"/>
                      <w:right w:val="single" w:sz="4" w:space="0" w:color="auto"/>
                    </w:tcBorders>
                    <w:vAlign w:val="center"/>
                  </w:tcPr>
                  <w:p>
                    <w:pPr>
                      <w:rPr>
                        <w:sz w:val="20"/>
                      </w:rPr>
                    </w:pPr>
                  </w:p>
                </w:tc>
                <w:tc>
                  <w:tcPr>
                    <w:tcW w:w="1014" w:type="dxa"/>
                    <w:gridSpan w:val="3"/>
                    <w:vMerge/>
                    <w:tcBorders>
                      <w:left w:val="single" w:sz="4" w:space="0" w:color="auto"/>
                      <w:right w:val="single" w:sz="4" w:space="0" w:color="auto"/>
                    </w:tcBorders>
                    <w:vAlign w:val="center"/>
                  </w:tcPr>
                  <w:p>
                    <w:pPr>
                      <w:rPr>
                        <w:sz w:val="20"/>
                      </w:rPr>
                    </w:pPr>
                  </w:p>
                </w:tc>
                <w:tc>
                  <w:tcPr>
                    <w:tcW w:w="681" w:type="dxa"/>
                    <w:gridSpan w:val="3"/>
                    <w:vMerge/>
                    <w:tcBorders>
                      <w:left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14 888,775</w:t>
                    </w:r>
                  </w:p>
                </w:tc>
                <w:tc>
                  <w:tcPr>
                    <w:tcW w:w="1118" w:type="dxa"/>
                    <w:tcBorders>
                      <w:top w:val="single" w:sz="2" w:space="0" w:color="auto"/>
                      <w:left w:val="single" w:sz="2" w:space="0" w:color="auto"/>
                      <w:bottom w:val="single" w:sz="2" w:space="0" w:color="auto"/>
                      <w:right w:val="single" w:sz="2" w:space="0" w:color="auto"/>
                    </w:tcBorders>
                  </w:tcPr>
                  <w:p>
                    <w:pPr>
                      <w:spacing w:line="276" w:lineRule="auto"/>
                      <w:rPr>
                        <w:kern w:val="2"/>
                        <w14:ligatures w14:val="standardContextual"/>
                      </w:rPr>
                    </w:pPr>
                    <w:r>
                      <w:rPr>
                        <w:kern w:val="2"/>
                        <w:sz w:val="20"/>
                        <w14:ligatures w14:val="standardContextual"/>
                      </w:rPr>
                      <w:t>2021–2027 m. IP (ERPF,</w:t>
                    </w:r>
                  </w:p>
                  <w:p>
                    <w:pPr>
                      <w:rPr>
                        <w:sz w:val="20"/>
                      </w:rPr>
                    </w:pPr>
                    <w:r>
                      <w:rPr>
                        <w:kern w:val="2"/>
                        <w:sz w:val="20"/>
                        <w14:ligatures w14:val="standardContextual"/>
                      </w:rPr>
                      <w:t>VVL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4" w:space="0" w:color="auto"/>
                      <w:bottom w:val="single" w:sz="4" w:space="0" w:color="auto"/>
                      <w:right w:val="single" w:sz="4" w:space="0" w:color="auto"/>
                    </w:tcBorders>
                    <w:vAlign w:val="center"/>
                  </w:tcPr>
                  <w:p>
                    <w:pPr>
                      <w:rPr>
                        <w:sz w:val="20"/>
                      </w:rPr>
                    </w:pPr>
                  </w:p>
                </w:tc>
                <w:tc>
                  <w:tcPr>
                    <w:tcW w:w="1985" w:type="dxa"/>
                    <w:vMerge/>
                    <w:tcBorders>
                      <w:left w:val="single" w:sz="4" w:space="0" w:color="auto"/>
                      <w:bottom w:val="single" w:sz="4" w:space="0" w:color="auto"/>
                      <w:right w:val="single" w:sz="4" w:space="0" w:color="auto"/>
                    </w:tcBorders>
                    <w:vAlign w:val="center"/>
                  </w:tcPr>
                  <w:p>
                    <w:pPr>
                      <w:rPr>
                        <w:sz w:val="20"/>
                      </w:rPr>
                    </w:pPr>
                  </w:p>
                </w:tc>
                <w:tc>
                  <w:tcPr>
                    <w:tcW w:w="829" w:type="dxa"/>
                    <w:gridSpan w:val="3"/>
                    <w:vMerge/>
                    <w:tcBorders>
                      <w:left w:val="single" w:sz="4" w:space="0" w:color="auto"/>
                      <w:bottom w:val="single" w:sz="4" w:space="0" w:color="auto"/>
                      <w:right w:val="single" w:sz="4" w:space="0" w:color="auto"/>
                    </w:tcBorders>
                    <w:vAlign w:val="center"/>
                  </w:tcPr>
                  <w:p>
                    <w:pPr>
                      <w:rPr>
                        <w:sz w:val="20"/>
                      </w:rPr>
                    </w:pPr>
                  </w:p>
                </w:tc>
                <w:tc>
                  <w:tcPr>
                    <w:tcW w:w="1014" w:type="dxa"/>
                    <w:gridSpan w:val="3"/>
                    <w:vMerge/>
                    <w:tcBorders>
                      <w:left w:val="single" w:sz="4" w:space="0" w:color="auto"/>
                      <w:bottom w:val="single" w:sz="4" w:space="0" w:color="auto"/>
                      <w:right w:val="single" w:sz="4" w:space="0" w:color="auto"/>
                    </w:tcBorders>
                    <w:vAlign w:val="center"/>
                  </w:tcPr>
                  <w:p>
                    <w:pPr>
                      <w:rPr>
                        <w:sz w:val="20"/>
                      </w:rPr>
                    </w:pPr>
                  </w:p>
                </w:tc>
                <w:tc>
                  <w:tcPr>
                    <w:tcW w:w="681" w:type="dxa"/>
                    <w:gridSpan w:val="3"/>
                    <w:vMerge/>
                    <w:tcBorders>
                      <w:left w:val="single" w:sz="4" w:space="0" w:color="auto"/>
                      <w:bottom w:val="single" w:sz="4" w:space="0" w:color="auto"/>
                      <w:right w:val="single" w:sz="4" w:space="0" w:color="auto"/>
                    </w:tcBorders>
                    <w:vAlign w:val="center"/>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2 627,431</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 VVL regionas)</w:t>
                    </w:r>
                  </w:p>
                </w:tc>
                <w:tc>
                  <w:tcPr>
                    <w:tcW w:w="2001" w:type="dxa"/>
                    <w:gridSpan w:val="2"/>
                    <w:vAlign w:val="center"/>
                  </w:tcPr>
                  <w:p>
                    <w:pPr>
                      <w:ind w:left="-57" w:right="-57"/>
                      <w:jc w:val="both"/>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4.1. Teisės aktų ir kitų sveikatos skaitmeninimo srities dokumentų parengimas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R</w:t>
                    </w:r>
                  </w:p>
                </w:tc>
                <w:tc>
                  <w:tcPr>
                    <w:tcW w:w="1985" w:type="dxa"/>
                    <w:vMerge w:val="restart"/>
                    <w:tcBorders>
                      <w:top w:val="single" w:sz="2" w:space="0" w:color="auto"/>
                      <w:left w:val="single" w:sz="2" w:space="0" w:color="auto"/>
                      <w:bottom w:val="single" w:sz="2" w:space="0" w:color="auto"/>
                      <w:right w:val="single" w:sz="2" w:space="0" w:color="auto"/>
                    </w:tcBorders>
                  </w:tcPr>
                  <w:p>
                    <w:pPr>
                      <w:spacing w:line="276" w:lineRule="auto"/>
                      <w:rPr>
                        <w:kern w:val="2"/>
                        <w14:ligatures w14:val="standardContextual"/>
                      </w:rPr>
                    </w:pPr>
                    <w:r>
                      <w:rPr>
                        <w:kern w:val="2"/>
                        <w:sz w:val="20"/>
                        <w14:ligatures w14:val="standardContextual"/>
                      </w:rPr>
                      <w:t>-</w:t>
                    </w:r>
                  </w:p>
                  <w:p>
                    <w:pPr>
                      <w:rPr>
                        <w:sz w:val="20"/>
                      </w:rPr>
                    </w:pPr>
                    <w:r>
                      <w:rPr>
                        <w:kern w:val="2"/>
                        <w:sz w:val="20"/>
                        <w14:ligatures w14:val="standardContextual"/>
                      </w:rPr>
                      <w:t xml:space="preserve"> </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67" w:type="dxa"/>
                    <w:gridSpan w:val="2"/>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P – Įsigalioję teisės aktai, reglamentuojantys pakartotinį sveikatos duomenų naudojimą, kompl.</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(2022 m. III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Skaitmeninės sveikatos sistemos plėtros veiksmų planas ir projektai,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(2026 m. II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lang w:eastAsia="lt-LT"/>
                      </w:rPr>
                    </w:pPr>
                    <w:r>
                      <w:rPr>
                        <w:kern w:val="2"/>
                        <w:sz w:val="20"/>
                        <w14:ligatures w14:val="standardContextual"/>
                      </w:rPr>
                      <w:t xml:space="preserve">P –  Patvirtintas Skaitmeninės sveikatos sistemos plėtros veiksmų planas,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541"/>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4.2. Sveikatos priežiūros specialistų kompetencijų platformos sukūrimas</w:t>
                    </w:r>
                  </w:p>
                </w:tc>
                <w:tc>
                  <w:tcPr>
                    <w:tcW w:w="699" w:type="dxa"/>
                    <w:vMerge w:val="restart"/>
                    <w:tcBorders>
                      <w:top w:val="single" w:sz="2" w:space="0" w:color="auto"/>
                      <w:left w:val="single" w:sz="2" w:space="0" w:color="auto"/>
                      <w:right w:val="single" w:sz="2" w:space="0" w:color="auto"/>
                    </w:tcBorders>
                  </w:tcPr>
                  <w:p>
                    <w:pPr>
                      <w:rPr>
                        <w:sz w:val="20"/>
                      </w:rPr>
                    </w:pPr>
                    <w:r>
                      <w:rPr>
                        <w:sz w:val="20"/>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akreditavimo sveikatos priežiūros veiklai tarnyba prie Sveikatos apsaugos ministerijos (toliau – VASPVT)</w:t>
                    </w:r>
                  </w:p>
                </w:tc>
                <w:tc>
                  <w:tcPr>
                    <w:tcW w:w="829" w:type="dxa"/>
                    <w:gridSpan w:val="3"/>
                    <w:vMerge w:val="restart"/>
                    <w:tcBorders>
                      <w:top w:val="single" w:sz="2" w:space="0" w:color="auto"/>
                      <w:left w:val="single" w:sz="2" w:space="0" w:color="auto"/>
                      <w:right w:val="single" w:sz="2" w:space="0" w:color="auto"/>
                    </w:tcBorders>
                  </w:tcPr>
                  <w:p>
                    <w:pPr>
                      <w:spacing w:line="276" w:lineRule="auto"/>
                      <w:rPr>
                        <w:kern w:val="2"/>
                        <w14:ligatures w14:val="standardContextual"/>
                      </w:rPr>
                    </w:pPr>
                    <w:r>
                      <w:rPr>
                        <w:kern w:val="2"/>
                        <w:sz w:val="20"/>
                        <w14:ligatures w14:val="standardContextual"/>
                      </w:rPr>
                      <w:t>P</w:t>
                    </w:r>
                  </w:p>
                </w:tc>
                <w:tc>
                  <w:tcPr>
                    <w:tcW w:w="1014"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D</w:t>
                    </w:r>
                  </w:p>
                </w:tc>
                <w:tc>
                  <w:tcPr>
                    <w:tcW w:w="1167" w:type="dxa"/>
                    <w:gridSpan w:val="2"/>
                    <w:vMerge w:val="restart"/>
                    <w:tcBorders>
                      <w:top w:val="single" w:sz="2" w:space="0" w:color="auto"/>
                      <w:left w:val="single" w:sz="2" w:space="0" w:color="auto"/>
                      <w:right w:val="single" w:sz="2" w:space="0" w:color="auto"/>
                    </w:tcBorders>
                  </w:tcPr>
                  <w:p>
                    <w:pPr>
                      <w:spacing w:line="276" w:lineRule="auto"/>
                      <w:jc w:val="center"/>
                      <w:rPr>
                        <w:kern w:val="2"/>
                        <w14:ligatures w14:val="standardContextual"/>
                      </w:rPr>
                    </w:pPr>
                    <w:r>
                      <w:rPr>
                        <w:kern w:val="2"/>
                        <w:sz w:val="20"/>
                        <w14:ligatures w14:val="standardContextual"/>
                      </w:rPr>
                      <w:t>1 454,265</w:t>
                    </w:r>
                  </w:p>
                  <w:p>
                    <w:pPr>
                      <w:jc w:val="center"/>
                      <w:rPr>
                        <w:kern w:val="2"/>
                        <w:sz w:val="20"/>
                        <w14:ligatures w14:val="standardContextual"/>
                      </w:rPr>
                    </w:pPr>
                    <w:r>
                      <w:rPr>
                        <w:kern w:val="2"/>
                        <w:sz w:val="20"/>
                        <w14:ligatures w14:val="standardContextual"/>
                      </w:rPr>
                      <w:t xml:space="preserve"> </w:t>
                    </w:r>
                  </w:p>
                  <w:p>
                    <w:pPr>
                      <w:rPr>
                        <w:sz w:val="20"/>
                        <w:highlight w:val="yellow"/>
                      </w:rPr>
                    </w:pP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P – Atviros viešųjų pirkimų procedūros, skirtos sveikatos priežiūros specialistų gebėjimų platformos informacinių technologijų priemonei įdiegti, užbaigimas, vnt.</w:t>
                    </w:r>
                  </w:p>
                </w:tc>
                <w:tc>
                  <w:tcPr>
                    <w:tcW w:w="1134" w:type="dxa"/>
                    <w:gridSpan w:val="2"/>
                    <w:vMerge w:val="restart"/>
                    <w:tcBorders>
                      <w:top w:val="single" w:sz="2" w:space="0" w:color="auto"/>
                      <w:left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spacing w:line="276" w:lineRule="auto"/>
                      <w:ind w:left="-57" w:right="-57"/>
                      <w:jc w:val="center"/>
                      <w:rPr>
                        <w:kern w:val="2"/>
                        <w14:ligatures w14:val="standardContextual"/>
                      </w:rPr>
                    </w:pPr>
                    <w:r>
                      <w:rPr>
                        <w:kern w:val="2"/>
                        <w:sz w:val="20"/>
                        <w14:ligatures w14:val="standardContextual"/>
                      </w:rPr>
                      <w:t>(2022 m. IV ketv.)</w:t>
                    </w:r>
                  </w:p>
                  <w:p>
                    <w:pPr>
                      <w:ind w:left="-57" w:right="-57"/>
                      <w:jc w:val="center"/>
                      <w:rPr>
                        <w:sz w:val="20"/>
                      </w:rPr>
                    </w:pPr>
                    <w:r>
                      <w:rPr>
                        <w:kern w:val="2"/>
                        <w:sz w:val="20"/>
                        <w14:ligatures w14:val="standardContextual"/>
                      </w:rPr>
                      <w:t xml:space="preserve"> </w:t>
                    </w:r>
                  </w:p>
                </w:tc>
                <w:tc>
                  <w:tcPr>
                    <w:tcW w:w="992" w:type="dxa"/>
                    <w:vMerge w:val="restart"/>
                    <w:tcBorders>
                      <w:top w:val="single" w:sz="2" w:space="0" w:color="auto"/>
                      <w:left w:val="single" w:sz="2" w:space="0" w:color="auto"/>
                      <w:right w:val="single" w:sz="2" w:space="0" w:color="auto"/>
                    </w:tcBorders>
                    <w:hideMark/>
                  </w:tcPr>
                  <w:p>
                    <w:pPr>
                      <w:rPr>
                        <w:sz w:val="20"/>
                      </w:rPr>
                    </w:pPr>
                    <w:r>
                      <w:rPr>
                        <w:kern w:val="2"/>
                        <w:sz w:val="20"/>
                        <w14:ligatures w14:val="standardContextual"/>
                      </w:rPr>
                      <w:t>CPVA</w:t>
                    </w:r>
                  </w:p>
                </w:tc>
                <w:tc>
                  <w:tcPr>
                    <w:tcW w:w="1279" w:type="dxa"/>
                    <w:vMerge w:val="restart"/>
                    <w:tcBorders>
                      <w:top w:val="single" w:sz="2" w:space="0" w:color="auto"/>
                      <w:left w:val="single" w:sz="2" w:space="0" w:color="auto"/>
                      <w:right w:val="single" w:sz="2" w:space="0" w:color="auto"/>
                    </w:tcBorders>
                    <w:hideMark/>
                  </w:tcPr>
                  <w:p>
                    <w:pPr>
                      <w:jc w:val="center"/>
                      <w:rPr>
                        <w:color w:val="000000"/>
                        <w:sz w:val="20"/>
                      </w:rPr>
                    </w:pPr>
                    <w:r>
                      <w:rPr>
                        <w:color w:val="000000" w:themeColor="text1"/>
                        <w:kern w:val="2"/>
                        <w:sz w:val="20"/>
                        <w14:ligatures w14:val="standardContextual"/>
                      </w:rPr>
                      <w:t>SAM</w:t>
                    </w:r>
                  </w:p>
                </w:tc>
              </w:tr>
              <w:tr>
                <w:trPr>
                  <w:trHeight w:val="1237"/>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2" w:space="0" w:color="auto"/>
                      <w:right w:val="single" w:sz="2" w:space="0" w:color="auto"/>
                    </w:tcBorders>
                  </w:tcPr>
                  <w:p>
                    <w:pPr>
                      <w:rPr>
                        <w:sz w:val="20"/>
                      </w:rPr>
                    </w:pPr>
                  </w:p>
                </w:tc>
                <w:tc>
                  <w:tcPr>
                    <w:tcW w:w="1985" w:type="dxa"/>
                    <w:vMerge/>
                    <w:tcBorders>
                      <w:left w:val="single" w:sz="2" w:space="0" w:color="auto"/>
                      <w:right w:val="single" w:sz="2" w:space="0" w:color="auto"/>
                    </w:tcBorders>
                  </w:tcPr>
                  <w:p>
                    <w:pPr>
                      <w:rPr>
                        <w:sz w:val="20"/>
                      </w:rPr>
                    </w:pPr>
                  </w:p>
                </w:tc>
                <w:tc>
                  <w:tcPr>
                    <w:tcW w:w="829" w:type="dxa"/>
                    <w:gridSpan w:val="3"/>
                    <w:vMerge/>
                    <w:tcBorders>
                      <w:left w:val="single" w:sz="2" w:space="0" w:color="auto"/>
                      <w:right w:val="single" w:sz="2" w:space="0" w:color="auto"/>
                    </w:tcBorders>
                  </w:tcPr>
                  <w:p>
                    <w:pPr>
                      <w:spacing w:line="276" w:lineRule="auto"/>
                      <w:rPr>
                        <w:kern w:val="2"/>
                        <w:sz w:val="20"/>
                        <w14:ligatures w14:val="standardContextual"/>
                      </w:rPr>
                    </w:pPr>
                  </w:p>
                </w:tc>
                <w:tc>
                  <w:tcPr>
                    <w:tcW w:w="1014" w:type="dxa"/>
                    <w:gridSpan w:val="3"/>
                    <w:vMerge/>
                    <w:tcBorders>
                      <w:left w:val="single" w:sz="2" w:space="0" w:color="auto"/>
                      <w:right w:val="single" w:sz="2" w:space="0" w:color="auto"/>
                    </w:tcBorders>
                  </w:tcPr>
                  <w:p>
                    <w:pPr>
                      <w:rPr>
                        <w:kern w:val="2"/>
                        <w:sz w:val="20"/>
                        <w14:ligatures w14:val="standardContextual"/>
                      </w:rPr>
                    </w:pPr>
                  </w:p>
                </w:tc>
                <w:tc>
                  <w:tcPr>
                    <w:tcW w:w="681" w:type="dxa"/>
                    <w:gridSpan w:val="3"/>
                    <w:vMerge/>
                    <w:tcBorders>
                      <w:left w:val="single" w:sz="2" w:space="0" w:color="auto"/>
                      <w:right w:val="single" w:sz="2" w:space="0" w:color="auto"/>
                    </w:tcBorders>
                  </w:tcPr>
                  <w:p>
                    <w:pPr>
                      <w:rPr>
                        <w:kern w:val="2"/>
                        <w:sz w:val="20"/>
                        <w14:ligatures w14:val="standardContextual"/>
                      </w:rPr>
                    </w:pPr>
                  </w:p>
                </w:tc>
                <w:tc>
                  <w:tcPr>
                    <w:tcW w:w="1167" w:type="dxa"/>
                    <w:gridSpan w:val="2"/>
                    <w:vMerge/>
                    <w:tcBorders>
                      <w:left w:val="single" w:sz="2" w:space="0" w:color="auto"/>
                      <w:bottom w:val="single" w:sz="2" w:space="0" w:color="auto"/>
                      <w:right w:val="single" w:sz="2" w:space="0" w:color="auto"/>
                    </w:tcBorders>
                  </w:tcPr>
                  <w:p>
                    <w:pPr>
                      <w:spacing w:line="276" w:lineRule="auto"/>
                      <w:jc w:val="center"/>
                      <w:rPr>
                        <w:kern w:val="2"/>
                        <w:sz w:val="20"/>
                        <w14:ligatures w14:val="standardContextual"/>
                      </w:rPr>
                    </w:pPr>
                  </w:p>
                </w:tc>
                <w:tc>
                  <w:tcPr>
                    <w:tcW w:w="1118" w:type="dxa"/>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tc>
                <w:tc>
                  <w:tcPr>
                    <w:tcW w:w="2001" w:type="dxa"/>
                    <w:gridSpan w:val="2"/>
                    <w:vMerge/>
                    <w:tcBorders>
                      <w:left w:val="single" w:sz="2" w:space="0" w:color="auto"/>
                      <w:right w:val="single" w:sz="2" w:space="0" w:color="auto"/>
                    </w:tcBorders>
                  </w:tcPr>
                  <w:p>
                    <w:pPr>
                      <w:rPr>
                        <w:kern w:val="2"/>
                        <w:sz w:val="20"/>
                        <w14:ligatures w14:val="standardContextual"/>
                      </w:rPr>
                    </w:pPr>
                  </w:p>
                </w:tc>
                <w:tc>
                  <w:tcPr>
                    <w:tcW w:w="1134" w:type="dxa"/>
                    <w:gridSpan w:val="2"/>
                    <w:vMerge/>
                    <w:tcBorders>
                      <w:left w:val="single" w:sz="2" w:space="0" w:color="auto"/>
                      <w:right w:val="single" w:sz="2" w:space="0" w:color="auto"/>
                    </w:tcBorders>
                  </w:tcPr>
                  <w:p>
                    <w:pPr>
                      <w:spacing w:line="276" w:lineRule="auto"/>
                      <w:ind w:left="-57" w:right="-57"/>
                      <w:jc w:val="center"/>
                      <w:rPr>
                        <w:kern w:val="2"/>
                        <w:sz w:val="20"/>
                        <w14:ligatures w14:val="standardContextual"/>
                      </w:rPr>
                    </w:pPr>
                  </w:p>
                </w:tc>
                <w:tc>
                  <w:tcPr>
                    <w:tcW w:w="992" w:type="dxa"/>
                    <w:vMerge/>
                    <w:tcBorders>
                      <w:left w:val="single" w:sz="2" w:space="0" w:color="auto"/>
                      <w:right w:val="single" w:sz="2" w:space="0" w:color="auto"/>
                    </w:tcBorders>
                  </w:tcPr>
                  <w:p>
                    <w:pPr>
                      <w:rPr>
                        <w:kern w:val="2"/>
                        <w:sz w:val="20"/>
                        <w14:ligatures w14:val="standardContextual"/>
                      </w:rPr>
                    </w:pPr>
                  </w:p>
                </w:tc>
                <w:tc>
                  <w:tcPr>
                    <w:tcW w:w="1279" w:type="dxa"/>
                    <w:vMerge/>
                    <w:tcBorders>
                      <w:left w:val="single" w:sz="2" w:space="0" w:color="auto"/>
                      <w:right w:val="single" w:sz="2" w:space="0" w:color="auto"/>
                    </w:tcBorders>
                  </w:tcPr>
                  <w:p>
                    <w:pPr>
                      <w:jc w:val="center"/>
                      <w:rPr>
                        <w:color w:val="000000" w:themeColor="text1"/>
                        <w:kern w:val="2"/>
                        <w:sz w:val="20"/>
                        <w14:ligatures w14:val="standardContextual"/>
                      </w:rPr>
                    </w:pPr>
                  </w:p>
                </w:tc>
              </w:tr>
              <w:tr>
                <w:trPr>
                  <w:trHeight w:val="276"/>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jc w:val="center"/>
                      <w:rPr>
                        <w:kern w:val="2"/>
                        <w:sz w:val="20"/>
                        <w14:ligatures w14:val="standardContextual"/>
                      </w:rPr>
                    </w:pPr>
                  </w:p>
                  <w:p>
                    <w:pPr>
                      <w:spacing w:line="276" w:lineRule="auto"/>
                      <w:jc w:val="center"/>
                      <w:rPr>
                        <w:kern w:val="2"/>
                        <w14:ligatures w14:val="standardContextual"/>
                      </w:rPr>
                    </w:pPr>
                    <w:r>
                      <w:rPr>
                        <w:kern w:val="2"/>
                        <w:sz w:val="20"/>
                        <w14:ligatures w14:val="standardContextual"/>
                      </w:rPr>
                      <w:t>170,240</w:t>
                    </w:r>
                  </w:p>
                  <w:p>
                    <w:pPr>
                      <w:jc w:val="center"/>
                      <w:rPr>
                        <w:sz w:val="20"/>
                        <w:highlight w:val="yellow"/>
                      </w:rPr>
                    </w:pPr>
                    <w:r>
                      <w:rPr>
                        <w:color w:val="EE0000"/>
                        <w:kern w:val="2"/>
                        <w:sz w:val="20"/>
                        <w14:ligatures w14:val="standardContextual"/>
                      </w:rPr>
                      <w:t xml:space="preserve"> </w:t>
                    </w:r>
                  </w:p>
                </w:tc>
                <w:tc>
                  <w:tcPr>
                    <w:tcW w:w="1118" w:type="dxa"/>
                    <w:vMerge w:val="restart"/>
                    <w:tcBorders>
                      <w:top w:val="single" w:sz="2" w:space="0" w:color="auto"/>
                      <w:left w:val="single" w:sz="2" w:space="0" w:color="auto"/>
                      <w:bottom w:val="single" w:sz="2" w:space="0" w:color="auto"/>
                      <w:right w:val="single" w:sz="2" w:space="0" w:color="auto"/>
                    </w:tcBorders>
                  </w:tcPr>
                  <w:p>
                    <w:pPr>
                      <w:rPr>
                        <w:kern w:val="2"/>
                        <w:sz w:val="20"/>
                        <w14:ligatures w14:val="standardContextual"/>
                      </w:rPr>
                    </w:pPr>
                  </w:p>
                  <w:p>
                    <w:pPr>
                      <w:rPr>
                        <w:sz w:val="20"/>
                      </w:rPr>
                    </w:pPr>
                    <w:r>
                      <w:rPr>
                        <w:kern w:val="2"/>
                        <w:sz w:val="20"/>
                        <w14:ligatures w14:val="standardContextual"/>
                      </w:rPr>
                      <w:t>PVM iš VB</w:t>
                    </w:r>
                  </w:p>
                </w:tc>
                <w:tc>
                  <w:tcPr>
                    <w:tcW w:w="2001" w:type="dxa"/>
                    <w:gridSpan w:val="2"/>
                    <w:vMerge/>
                    <w:tcBorders>
                      <w:left w:val="single" w:sz="2" w:space="0" w:color="auto"/>
                      <w:bottom w:val="single" w:sz="4" w:space="0" w:color="auto"/>
                      <w:right w:val="single" w:sz="2" w:space="0" w:color="auto"/>
                    </w:tcBorders>
                    <w:vAlign w:val="center"/>
                    <w:hideMark/>
                  </w:tcPr>
                  <w:p>
                    <w:pPr>
                      <w:rPr>
                        <w:sz w:val="20"/>
                      </w:rPr>
                    </w:pPr>
                  </w:p>
                </w:tc>
                <w:tc>
                  <w:tcPr>
                    <w:tcW w:w="1134" w:type="dxa"/>
                    <w:gridSpan w:val="2"/>
                    <w:vMerge/>
                    <w:tcBorders>
                      <w:left w:val="single" w:sz="2" w:space="0" w:color="auto"/>
                      <w:bottom w:val="single" w:sz="4" w:space="0" w:color="auto"/>
                      <w:right w:val="single" w:sz="2" w:space="0" w:color="auto"/>
                    </w:tcBorders>
                    <w:vAlign w:val="center"/>
                    <w:hideMark/>
                  </w:tcPr>
                  <w:p>
                    <w:pPr>
                      <w:rPr>
                        <w:sz w:val="20"/>
                      </w:rPr>
                    </w:pP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Sveikatos priežiūros specialistų kompetencijų platformos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IV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414"/>
                </w:trPr>
                <w:tc>
                  <w:tcPr>
                    <w:tcW w:w="2130" w:type="dxa"/>
                    <w:gridSpan w:val="2"/>
                    <w:vMerge/>
                    <w:tcBorders>
                      <w:left w:val="single" w:sz="4" w:space="0" w:color="auto"/>
                      <w:right w:val="single" w:sz="2" w:space="0" w:color="auto"/>
                    </w:tcBorders>
                    <w:vAlign w:val="center"/>
                    <w:hideMark/>
                  </w:tcPr>
                  <w:p>
                    <w:pPr>
                      <w:rPr>
                        <w:sz w:val="20"/>
                      </w:rPr>
                    </w:pPr>
                  </w:p>
                </w:tc>
                <w:tc>
                  <w:tcPr>
                    <w:tcW w:w="699" w:type="dxa"/>
                    <w:vMerge/>
                    <w:tcBorders>
                      <w:left w:val="single" w:sz="2" w:space="0" w:color="auto"/>
                      <w:right w:val="single" w:sz="2" w:space="0" w:color="auto"/>
                    </w:tcBorders>
                    <w:vAlign w:val="center"/>
                    <w:hideMark/>
                  </w:tcPr>
                  <w:p>
                    <w:pPr>
                      <w:rPr>
                        <w:sz w:val="20"/>
                      </w:rPr>
                    </w:pPr>
                  </w:p>
                </w:tc>
                <w:tc>
                  <w:tcPr>
                    <w:tcW w:w="1985" w:type="dxa"/>
                    <w:vMerge/>
                    <w:tcBorders>
                      <w:left w:val="single" w:sz="2" w:space="0" w:color="auto"/>
                      <w:right w:val="single" w:sz="2" w:space="0" w:color="auto"/>
                    </w:tcBorders>
                    <w:vAlign w:val="center"/>
                    <w:hideMark/>
                  </w:tcPr>
                  <w:p>
                    <w:pPr>
                      <w:rPr>
                        <w:sz w:val="20"/>
                      </w:rPr>
                    </w:pPr>
                  </w:p>
                </w:tc>
                <w:tc>
                  <w:tcPr>
                    <w:tcW w:w="829" w:type="dxa"/>
                    <w:gridSpan w:val="3"/>
                    <w:vMerge/>
                    <w:tcBorders>
                      <w:left w:val="single" w:sz="2" w:space="0" w:color="auto"/>
                      <w:right w:val="single" w:sz="2" w:space="0" w:color="auto"/>
                    </w:tcBorders>
                    <w:vAlign w:val="center"/>
                    <w:hideMark/>
                  </w:tcPr>
                  <w:p>
                    <w:pPr>
                      <w:rPr>
                        <w:sz w:val="20"/>
                      </w:rPr>
                    </w:pPr>
                  </w:p>
                </w:tc>
                <w:tc>
                  <w:tcPr>
                    <w:tcW w:w="1014" w:type="dxa"/>
                    <w:gridSpan w:val="3"/>
                    <w:vMerge/>
                    <w:tcBorders>
                      <w:left w:val="single" w:sz="2" w:space="0" w:color="auto"/>
                      <w:right w:val="single" w:sz="2" w:space="0" w:color="auto"/>
                    </w:tcBorders>
                    <w:vAlign w:val="center"/>
                    <w:hideMark/>
                  </w:tcPr>
                  <w:p>
                    <w:pPr>
                      <w:rPr>
                        <w:sz w:val="20"/>
                      </w:rPr>
                    </w:pPr>
                  </w:p>
                </w:tc>
                <w:tc>
                  <w:tcPr>
                    <w:tcW w:w="681" w:type="dxa"/>
                    <w:gridSpan w:val="3"/>
                    <w:vMerge/>
                    <w:tcBorders>
                      <w:left w:val="single" w:sz="2" w:space="0" w:color="auto"/>
                      <w:right w:val="single" w:sz="2" w:space="0" w:color="auto"/>
                    </w:tcBorders>
                    <w:vAlign w:val="center"/>
                    <w:hideMark/>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Informacinės sistemos (platformos), skirtos sveikatos priežiūros specialistų licencijoms registruoti ir skaitmeninei stebėsenai vykdyti, sukūrimas, vnt.</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w:t>
                    </w:r>
                  </w:p>
                  <w:p>
                    <w:pPr>
                      <w:ind w:left="-57" w:right="-57"/>
                      <w:jc w:val="center"/>
                      <w:rPr>
                        <w:sz w:val="20"/>
                      </w:rPr>
                    </w:pPr>
                    <w:r>
                      <w:rPr>
                        <w:kern w:val="2"/>
                        <w:sz w:val="20"/>
                        <w14:ligatures w14:val="standardContextual"/>
                      </w:rPr>
                      <w:t>(2024 m. I ketv.)</w:t>
                    </w:r>
                  </w:p>
                </w:tc>
                <w:tc>
                  <w:tcPr>
                    <w:tcW w:w="992" w:type="dxa"/>
                    <w:vMerge/>
                    <w:tcBorders>
                      <w:left w:val="single" w:sz="2" w:space="0" w:color="auto"/>
                      <w:right w:val="single" w:sz="2" w:space="0" w:color="auto"/>
                    </w:tcBorders>
                    <w:vAlign w:val="center"/>
                    <w:hideMark/>
                  </w:tcPr>
                  <w:p>
                    <w:pPr>
                      <w:rPr>
                        <w:sz w:val="20"/>
                      </w:rPr>
                    </w:pPr>
                  </w:p>
                </w:tc>
                <w:tc>
                  <w:tcPr>
                    <w:tcW w:w="1279" w:type="dxa"/>
                    <w:vMerge/>
                    <w:tcBorders>
                      <w:left w:val="single" w:sz="2" w:space="0" w:color="auto"/>
                      <w:right w:val="single" w:sz="2" w:space="0" w:color="auto"/>
                    </w:tcBorders>
                    <w:vAlign w:val="center"/>
                    <w:hideMark/>
                  </w:tcPr>
                  <w:p>
                    <w:pPr>
                      <w:rPr>
                        <w:color w:val="000000"/>
                        <w:sz w:val="20"/>
                      </w:rPr>
                    </w:pPr>
                  </w:p>
                </w:tc>
              </w:tr>
              <w:tr>
                <w:trPr>
                  <w:trHeight w:val="1557"/>
                </w:trPr>
                <w:tc>
                  <w:tcPr>
                    <w:tcW w:w="2130" w:type="dxa"/>
                    <w:gridSpan w:val="2"/>
                    <w:vMerge/>
                    <w:tcBorders>
                      <w:left w:val="single" w:sz="4" w:space="0" w:color="auto"/>
                      <w:bottom w:val="single" w:sz="4" w:space="0" w:color="auto"/>
                      <w:right w:val="single" w:sz="2" w:space="0" w:color="auto"/>
                    </w:tcBorders>
                    <w:vAlign w:val="center"/>
                    <w:hideMark/>
                  </w:tcPr>
                  <w:p>
                    <w:pPr>
                      <w:rPr>
                        <w:sz w:val="20"/>
                      </w:rPr>
                    </w:pPr>
                  </w:p>
                </w:tc>
                <w:tc>
                  <w:tcPr>
                    <w:tcW w:w="699" w:type="dxa"/>
                    <w:vMerge/>
                    <w:tcBorders>
                      <w:left w:val="single" w:sz="2" w:space="0" w:color="auto"/>
                      <w:bottom w:val="single" w:sz="4" w:space="0" w:color="auto"/>
                      <w:right w:val="single" w:sz="2" w:space="0" w:color="auto"/>
                    </w:tcBorders>
                    <w:vAlign w:val="center"/>
                    <w:hideMark/>
                  </w:tcPr>
                  <w:p>
                    <w:pPr>
                      <w:rPr>
                        <w:sz w:val="20"/>
                      </w:rPr>
                    </w:pPr>
                  </w:p>
                </w:tc>
                <w:tc>
                  <w:tcPr>
                    <w:tcW w:w="1985" w:type="dxa"/>
                    <w:vMerge/>
                    <w:tcBorders>
                      <w:left w:val="single" w:sz="2" w:space="0" w:color="auto"/>
                      <w:bottom w:val="single" w:sz="4" w:space="0" w:color="auto"/>
                      <w:right w:val="single" w:sz="2" w:space="0" w:color="auto"/>
                    </w:tcBorders>
                    <w:vAlign w:val="center"/>
                    <w:hideMark/>
                  </w:tcPr>
                  <w:p>
                    <w:pPr>
                      <w:rPr>
                        <w:sz w:val="20"/>
                      </w:rPr>
                    </w:pPr>
                  </w:p>
                </w:tc>
                <w:tc>
                  <w:tcPr>
                    <w:tcW w:w="829" w:type="dxa"/>
                    <w:gridSpan w:val="3"/>
                    <w:vMerge/>
                    <w:tcBorders>
                      <w:left w:val="single" w:sz="2" w:space="0" w:color="auto"/>
                      <w:bottom w:val="single" w:sz="4" w:space="0" w:color="auto"/>
                      <w:right w:val="single" w:sz="2" w:space="0" w:color="auto"/>
                    </w:tcBorders>
                    <w:vAlign w:val="center"/>
                    <w:hideMark/>
                  </w:tcPr>
                  <w:p>
                    <w:pPr>
                      <w:rPr>
                        <w:sz w:val="20"/>
                      </w:rPr>
                    </w:pPr>
                  </w:p>
                </w:tc>
                <w:tc>
                  <w:tcPr>
                    <w:tcW w:w="1014" w:type="dxa"/>
                    <w:gridSpan w:val="3"/>
                    <w:vMerge/>
                    <w:tcBorders>
                      <w:left w:val="single" w:sz="2" w:space="0" w:color="auto"/>
                      <w:bottom w:val="single" w:sz="4" w:space="0" w:color="auto"/>
                      <w:right w:val="single" w:sz="2" w:space="0" w:color="auto"/>
                    </w:tcBorders>
                    <w:vAlign w:val="center"/>
                    <w:hideMark/>
                  </w:tcPr>
                  <w:p>
                    <w:pPr>
                      <w:rPr>
                        <w:sz w:val="20"/>
                      </w:rPr>
                    </w:pPr>
                  </w:p>
                </w:tc>
                <w:tc>
                  <w:tcPr>
                    <w:tcW w:w="681" w:type="dxa"/>
                    <w:gridSpan w:val="3"/>
                    <w:vMerge/>
                    <w:tcBorders>
                      <w:left w:val="single" w:sz="2" w:space="0" w:color="auto"/>
                      <w:bottom w:val="single" w:sz="4" w:space="0" w:color="auto"/>
                      <w:right w:val="single" w:sz="2" w:space="0" w:color="auto"/>
                    </w:tcBorders>
                    <w:vAlign w:val="center"/>
                    <w:hideMark/>
                  </w:tcPr>
                  <w:p>
                    <w:pPr>
                      <w:rPr>
                        <w:sz w:val="20"/>
                      </w:rPr>
                    </w:pPr>
                  </w:p>
                </w:tc>
                <w:tc>
                  <w:tcPr>
                    <w:tcW w:w="1167" w:type="dxa"/>
                    <w:gridSpan w:val="2"/>
                    <w:vMerge/>
                    <w:tcBorders>
                      <w:top w:val="single" w:sz="4" w:space="0" w:color="auto"/>
                      <w:left w:val="single" w:sz="2" w:space="0" w:color="auto"/>
                      <w:bottom w:val="single" w:sz="4" w:space="0" w:color="auto"/>
                      <w:right w:val="single" w:sz="4" w:space="0" w:color="auto"/>
                    </w:tcBorders>
                    <w:vAlign w:val="center"/>
                  </w:tcPr>
                  <w:p>
                    <w:pPr>
                      <w:rPr>
                        <w:sz w:val="20"/>
                        <w:highlight w:val="yellow"/>
                      </w:rPr>
                    </w:pPr>
                  </w:p>
                </w:tc>
                <w:tc>
                  <w:tcPr>
                    <w:tcW w:w="111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tcBorders>
                      <w:left w:val="single" w:sz="2" w:space="0" w:color="auto"/>
                      <w:bottom w:val="single" w:sz="4" w:space="0" w:color="auto"/>
                      <w:right w:val="single" w:sz="2" w:space="0" w:color="auto"/>
                    </w:tcBorders>
                    <w:vAlign w:val="center"/>
                    <w:hideMark/>
                  </w:tcPr>
                  <w:p>
                    <w:pPr>
                      <w:rPr>
                        <w:sz w:val="20"/>
                      </w:rPr>
                    </w:pPr>
                  </w:p>
                </w:tc>
                <w:tc>
                  <w:tcPr>
                    <w:tcW w:w="1279" w:type="dxa"/>
                    <w:vMerge/>
                    <w:tcBorders>
                      <w:left w:val="single" w:sz="2" w:space="0" w:color="auto"/>
                      <w:bottom w:val="single" w:sz="4" w:space="0" w:color="auto"/>
                      <w:right w:val="single" w:sz="2" w:space="0" w:color="auto"/>
                    </w:tcBorders>
                    <w:vAlign w:val="center"/>
                    <w:hideMark/>
                  </w:tcPr>
                  <w:p>
                    <w:pPr>
                      <w:rPr>
                        <w:color w:val="000000"/>
                        <w:sz w:val="20"/>
                      </w:rPr>
                    </w:pPr>
                  </w:p>
                </w:tc>
              </w:tr>
              <w:tr>
                <w:trPr>
                  <w:trHeight w:val="804"/>
                </w:trPr>
                <w:tc>
                  <w:tcPr>
                    <w:tcW w:w="2130" w:type="dxa"/>
                    <w:gridSpan w:val="2"/>
                    <w:vMerge w:val="restart"/>
                    <w:tcBorders>
                      <w:top w:val="single" w:sz="4" w:space="0" w:color="auto"/>
                      <w:left w:val="single" w:sz="4" w:space="0" w:color="auto"/>
                      <w:right w:val="single" w:sz="4" w:space="0" w:color="auto"/>
                    </w:tcBorders>
                    <w:hideMark/>
                  </w:tcPr>
                  <w:p>
                    <w:pPr>
                      <w:rPr>
                        <w:sz w:val="20"/>
                      </w:rPr>
                    </w:pPr>
                    <w:r>
                      <w:rPr>
                        <w:sz w:val="20"/>
                      </w:rPr>
                      <w:t>4.3. Sveikatos priežiūros paslaugų kokybės vertinimo modelio (rodiklių švieslentės) sukūrimas</w:t>
                    </w:r>
                  </w:p>
                  <w:p>
                    <w:pPr>
                      <w:rPr>
                        <w:color w:val="EE0000"/>
                        <w:sz w:val="20"/>
                      </w:rPr>
                    </w:pPr>
                  </w:p>
                </w:tc>
                <w:tc>
                  <w:tcPr>
                    <w:tcW w:w="699" w:type="dxa"/>
                    <w:vMerge w:val="restart"/>
                    <w:tcBorders>
                      <w:top w:val="single" w:sz="2" w:space="0" w:color="auto"/>
                      <w:left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right w:val="single" w:sz="2" w:space="0" w:color="auto"/>
                    </w:tcBorders>
                  </w:tcPr>
                  <w:p>
                    <w:pPr>
                      <w:rPr>
                        <w:sz w:val="20"/>
                      </w:rPr>
                    </w:pPr>
                    <w:r>
                      <w:rPr>
                        <w:sz w:val="20"/>
                      </w:rPr>
                      <w:t>Valstybinė ligonių kasa prie Sveikatos apsaugos ministerijo</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396,529</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vMerge w:val="restart"/>
                    <w:tcBorders>
                      <w:top w:val="single" w:sz="2" w:space="0" w:color="auto"/>
                      <w:left w:val="single" w:sz="2" w:space="0" w:color="auto"/>
                      <w:bottom w:val="single" w:sz="2" w:space="0" w:color="auto"/>
                      <w:right w:val="single" w:sz="2" w:space="0" w:color="auto"/>
                    </w:tcBorders>
                  </w:tcPr>
                  <w:p>
                    <w:pPr>
                      <w:ind w:left="-57" w:right="-57"/>
                      <w:jc w:val="both"/>
                      <w:rPr>
                        <w:sz w:val="20"/>
                      </w:rPr>
                    </w:pPr>
                    <w:r>
                      <w:rPr>
                        <w:kern w:val="2"/>
                        <w:sz w:val="20"/>
                        <w14:ligatures w14:val="standardContextual"/>
                      </w:rPr>
                      <w:t>R – Sveikatos priežiūros įstaigų, įtrauktų į veiklos rezultatų rodiklių rinkiniu grindžiamą Lietuvos nacionalinės sveikatos sistemos švieslentę, dalis, proc. (tarpinis)</w:t>
                    </w:r>
                  </w:p>
                </w:tc>
                <w:tc>
                  <w:tcPr>
                    <w:tcW w:w="1134" w:type="dxa"/>
                    <w:gridSpan w:val="2"/>
                    <w:vMerge w:val="restart"/>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70</w:t>
                    </w:r>
                  </w:p>
                  <w:p>
                    <w:pPr>
                      <w:spacing w:line="276" w:lineRule="auto"/>
                      <w:ind w:left="-57" w:right="-57"/>
                      <w:jc w:val="center"/>
                      <w:rPr>
                        <w:kern w:val="2"/>
                        <w14:ligatures w14:val="standardContextual"/>
                      </w:rPr>
                    </w:pPr>
                    <w:r>
                      <w:rPr>
                        <w:kern w:val="2"/>
                        <w:sz w:val="20"/>
                        <w14:ligatures w14:val="standardContextual"/>
                      </w:rPr>
                      <w:t>(2023 m. II ketv.)</w:t>
                    </w:r>
                  </w:p>
                  <w:p>
                    <w:pPr>
                      <w:ind w:right="-57"/>
                      <w:rPr>
                        <w:sz w:val="20"/>
                      </w:rPr>
                    </w:pPr>
                    <w:r>
                      <w:rPr>
                        <w:kern w:val="2"/>
                        <w:sz w:val="20"/>
                        <w14:ligatures w14:val="standardContextual"/>
                      </w:rPr>
                      <w:t xml:space="preserve"> </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color w:val="000000"/>
                        <w:sz w:val="20"/>
                      </w:rPr>
                    </w:pPr>
                    <w:r>
                      <w:rPr>
                        <w:color w:val="000000" w:themeColor="text1"/>
                        <w:kern w:val="2"/>
                        <w:sz w:val="20"/>
                        <w14:ligatures w14:val="standardContextual"/>
                      </w:rPr>
                      <w:t>SAM</w:t>
                    </w:r>
                  </w:p>
                </w:tc>
              </w:tr>
              <w:tr>
                <w:trPr>
                  <w:trHeight w:val="693"/>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val="restart"/>
                    <w:tcBorders>
                      <w:top w:val="single" w:sz="2" w:space="0" w:color="auto"/>
                      <w:left w:val="single" w:sz="2" w:space="0" w:color="auto"/>
                      <w:bottom w:val="single" w:sz="2" w:space="0" w:color="auto"/>
                      <w:right w:val="single" w:sz="2" w:space="0" w:color="auto"/>
                    </w:tcBorders>
                  </w:tcPr>
                  <w:p>
                    <w:pPr>
                      <w:jc w:val="center"/>
                      <w:rPr>
                        <w:sz w:val="20"/>
                        <w:highlight w:val="yellow"/>
                      </w:rPr>
                    </w:pPr>
                    <w:r>
                      <w:rPr>
                        <w:kern w:val="2"/>
                        <w:sz w:val="20"/>
                        <w14:ligatures w14:val="standardContextual"/>
                      </w:rPr>
                      <w:t>3,933</w:t>
                    </w:r>
                  </w:p>
                </w:tc>
                <w:tc>
                  <w:tcPr>
                    <w:tcW w:w="1118"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Sveikatos priežiūros įstaigų, įtrauktų į veiklos rezultatų rodiklių rinkiniu grindžiamą Lietuvos nacionalinės sveikatos sistemos švieslentę, dalis, proc.</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vAlign w:val="center"/>
                    <w:hideMark/>
                  </w:tcPr>
                  <w:p>
                    <w:pPr>
                      <w:rPr>
                        <w:sz w:val="20"/>
                      </w:rPr>
                    </w:pPr>
                  </w:p>
                </w:tc>
                <w:tc>
                  <w:tcPr>
                    <w:tcW w:w="699" w:type="dxa"/>
                    <w:vMerge/>
                    <w:tcBorders>
                      <w:left w:val="single" w:sz="2" w:space="0" w:color="auto"/>
                      <w:right w:val="single" w:sz="2" w:space="0" w:color="auto"/>
                    </w:tcBorders>
                    <w:vAlign w:val="center"/>
                  </w:tcPr>
                  <w:p>
                    <w:pPr>
                      <w:rPr>
                        <w:sz w:val="20"/>
                      </w:rPr>
                    </w:pPr>
                  </w:p>
                </w:tc>
                <w:tc>
                  <w:tcPr>
                    <w:tcW w:w="1985" w:type="dxa"/>
                    <w:vMerge/>
                    <w:tcBorders>
                      <w:left w:val="single" w:sz="2" w:space="0" w:color="auto"/>
                      <w:right w:val="single" w:sz="2" w:space="0" w:color="auto"/>
                    </w:tcBorders>
                    <w:vAlign w:val="center"/>
                  </w:tcPr>
                  <w:p>
                    <w:pPr>
                      <w:rPr>
                        <w:sz w:val="20"/>
                      </w:rPr>
                    </w:pPr>
                  </w:p>
                </w:tc>
                <w:tc>
                  <w:tcPr>
                    <w:tcW w:w="829" w:type="dxa"/>
                    <w:gridSpan w:val="3"/>
                    <w:vMerge/>
                    <w:tcBorders>
                      <w:left w:val="single" w:sz="2" w:space="0" w:color="auto"/>
                      <w:right w:val="single" w:sz="2" w:space="0" w:color="auto"/>
                    </w:tcBorders>
                    <w:vAlign w:val="center"/>
                  </w:tcPr>
                  <w:p>
                    <w:pPr>
                      <w:rPr>
                        <w:sz w:val="20"/>
                      </w:rPr>
                    </w:pPr>
                  </w:p>
                </w:tc>
                <w:tc>
                  <w:tcPr>
                    <w:tcW w:w="1014" w:type="dxa"/>
                    <w:gridSpan w:val="3"/>
                    <w:vMerge/>
                    <w:tcBorders>
                      <w:left w:val="single" w:sz="2" w:space="0" w:color="auto"/>
                      <w:right w:val="single" w:sz="2" w:space="0" w:color="auto"/>
                    </w:tcBorders>
                    <w:vAlign w:val="center"/>
                  </w:tcPr>
                  <w:p>
                    <w:pPr>
                      <w:rPr>
                        <w:sz w:val="20"/>
                      </w:rPr>
                    </w:pPr>
                  </w:p>
                </w:tc>
                <w:tc>
                  <w:tcPr>
                    <w:tcW w:w="681" w:type="dxa"/>
                    <w:gridSpan w:val="3"/>
                    <w:vMerge/>
                    <w:tcBorders>
                      <w:left w:val="single" w:sz="2" w:space="0" w:color="auto"/>
                      <w:right w:val="single" w:sz="2" w:space="0" w:color="auto"/>
                    </w:tcBorders>
                    <w:vAlign w:val="center"/>
                  </w:tcPr>
                  <w:p>
                    <w:pPr>
                      <w:rPr>
                        <w:sz w:val="20"/>
                      </w:rPr>
                    </w:pPr>
                  </w:p>
                </w:tc>
                <w:tc>
                  <w:tcPr>
                    <w:tcW w:w="1167" w:type="dxa"/>
                    <w:gridSpan w:val="2"/>
                    <w:vMerge/>
                    <w:tcBorders>
                      <w:top w:val="single" w:sz="2" w:space="0" w:color="auto"/>
                      <w:left w:val="single" w:sz="2" w:space="0" w:color="auto"/>
                      <w:bottom w:val="single" w:sz="2" w:space="0" w:color="auto"/>
                      <w:right w:val="single" w:sz="2" w:space="0" w:color="auto"/>
                    </w:tcBorders>
                    <w:vAlign w:val="center"/>
                  </w:tcPr>
                  <w:p>
                    <w:pPr>
                      <w:rPr>
                        <w:sz w:val="20"/>
                        <w:highlight w:val="yellow"/>
                      </w:rPr>
                    </w:pPr>
                  </w:p>
                </w:tc>
                <w:tc>
                  <w:tcPr>
                    <w:tcW w:w="1118" w:type="dxa"/>
                    <w:vMerge/>
                    <w:tcBorders>
                      <w:top w:val="single" w:sz="2" w:space="0" w:color="auto"/>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sz w:val="20"/>
                      </w:rPr>
                      <w:t>n/a</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bottom w:val="single" w:sz="4" w:space="0" w:color="auto"/>
                      <w:right w:val="single" w:sz="4" w:space="0" w:color="auto"/>
                    </w:tcBorders>
                    <w:vAlign w:val="center"/>
                  </w:tcPr>
                  <w:p>
                    <w:pPr>
                      <w:rPr>
                        <w:sz w:val="20"/>
                      </w:rPr>
                    </w:pPr>
                  </w:p>
                </w:tc>
                <w:tc>
                  <w:tcPr>
                    <w:tcW w:w="699" w:type="dxa"/>
                    <w:vMerge/>
                    <w:tcBorders>
                      <w:left w:val="single" w:sz="2" w:space="0" w:color="auto"/>
                      <w:bottom w:val="single" w:sz="2" w:space="0" w:color="auto"/>
                      <w:right w:val="single" w:sz="2" w:space="0" w:color="auto"/>
                    </w:tcBorders>
                    <w:vAlign w:val="center"/>
                  </w:tcPr>
                  <w:p>
                    <w:pPr>
                      <w:rPr>
                        <w:sz w:val="20"/>
                      </w:rPr>
                    </w:pPr>
                  </w:p>
                </w:tc>
                <w:tc>
                  <w:tcPr>
                    <w:tcW w:w="1985" w:type="dxa"/>
                    <w:vMerge/>
                    <w:tcBorders>
                      <w:left w:val="single" w:sz="2" w:space="0" w:color="auto"/>
                      <w:bottom w:val="single" w:sz="2" w:space="0" w:color="auto"/>
                      <w:right w:val="single" w:sz="2" w:space="0" w:color="auto"/>
                    </w:tcBorders>
                    <w:vAlign w:val="center"/>
                  </w:tcPr>
                  <w:p>
                    <w:pPr>
                      <w:rPr>
                        <w:sz w:val="20"/>
                      </w:rPr>
                    </w:pPr>
                  </w:p>
                </w:tc>
                <w:tc>
                  <w:tcPr>
                    <w:tcW w:w="829" w:type="dxa"/>
                    <w:gridSpan w:val="3"/>
                    <w:vMerge/>
                    <w:tcBorders>
                      <w:left w:val="single" w:sz="2" w:space="0" w:color="auto"/>
                      <w:bottom w:val="single" w:sz="2" w:space="0" w:color="auto"/>
                      <w:right w:val="single" w:sz="2" w:space="0" w:color="auto"/>
                    </w:tcBorders>
                    <w:vAlign w:val="center"/>
                  </w:tcPr>
                  <w:p>
                    <w:pPr>
                      <w:rPr>
                        <w:sz w:val="20"/>
                      </w:rPr>
                    </w:pPr>
                  </w:p>
                </w:tc>
                <w:tc>
                  <w:tcPr>
                    <w:tcW w:w="1014" w:type="dxa"/>
                    <w:gridSpan w:val="3"/>
                    <w:vMerge/>
                    <w:tcBorders>
                      <w:left w:val="single" w:sz="2" w:space="0" w:color="auto"/>
                      <w:bottom w:val="single" w:sz="2" w:space="0" w:color="auto"/>
                      <w:right w:val="single" w:sz="2" w:space="0" w:color="auto"/>
                    </w:tcBorders>
                    <w:vAlign w:val="center"/>
                  </w:tcPr>
                  <w:p>
                    <w:pPr>
                      <w:rPr>
                        <w:sz w:val="20"/>
                      </w:rPr>
                    </w:pPr>
                  </w:p>
                </w:tc>
                <w:tc>
                  <w:tcPr>
                    <w:tcW w:w="681" w:type="dxa"/>
                    <w:gridSpan w:val="3"/>
                    <w:vMerge/>
                    <w:tcBorders>
                      <w:left w:val="single" w:sz="2" w:space="0" w:color="auto"/>
                      <w:bottom w:val="single" w:sz="2" w:space="0" w:color="auto"/>
                      <w:right w:val="single" w:sz="2" w:space="0" w:color="auto"/>
                    </w:tcBorders>
                    <w:vAlign w:val="center"/>
                  </w:tcPr>
                  <w:p>
                    <w:pPr>
                      <w:rPr>
                        <w:sz w:val="20"/>
                      </w:rPr>
                    </w:pPr>
                  </w:p>
                </w:tc>
                <w:tc>
                  <w:tcPr>
                    <w:tcW w:w="1167" w:type="dxa"/>
                    <w:gridSpan w:val="2"/>
                    <w:vMerge/>
                    <w:tcBorders>
                      <w:left w:val="single" w:sz="2" w:space="0" w:color="auto"/>
                      <w:bottom w:val="single" w:sz="2" w:space="0" w:color="auto"/>
                      <w:right w:val="single" w:sz="2" w:space="0" w:color="auto"/>
                    </w:tcBorders>
                    <w:vAlign w:val="center"/>
                  </w:tcPr>
                  <w:p>
                    <w:pPr>
                      <w:rPr>
                        <w:sz w:val="20"/>
                        <w:highlight w:val="yellow"/>
                      </w:rPr>
                    </w:pPr>
                  </w:p>
                </w:tc>
                <w:tc>
                  <w:tcPr>
                    <w:tcW w:w="1118" w:type="dxa"/>
                    <w:vMerge/>
                    <w:tcBorders>
                      <w:left w:val="single" w:sz="2" w:space="0" w:color="auto"/>
                      <w:bottom w:val="single" w:sz="2" w:space="0" w:color="auto"/>
                      <w:right w:val="single" w:sz="2" w:space="0" w:color="auto"/>
                    </w:tcBorders>
                    <w:vAlign w:val="center"/>
                  </w:tcPr>
                  <w:p>
                    <w:pPr>
                      <w:rPr>
                        <w:sz w:val="20"/>
                      </w:rPr>
                    </w:pP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kern w:val="2"/>
                        <w:sz w:val="20"/>
                        <w14:ligatures w14:val="standardContextual"/>
                      </w:rPr>
                    </w:pPr>
                    <w:r>
                      <w:rPr>
                        <w:kern w:val="2"/>
                        <w:sz w:val="20"/>
                        <w14:ligatures w14:val="standardContextual"/>
                      </w:rPr>
                      <w:t>P -Pateikta sveikatos priežiūros paslaugų kokybės rodiklių suvestinė internete</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sz w:val="20"/>
                        <w14:ligatures w14:val="standardContextual"/>
                      </w:rPr>
                    </w:pPr>
                    <w:r>
                      <w:rPr>
                        <w:kern w:val="2"/>
                        <w:sz w:val="20"/>
                        <w14:ligatures w14:val="standardContextual"/>
                      </w:rPr>
                      <w:t>1</w:t>
                    </w:r>
                  </w:p>
                  <w:p>
                    <w:pPr>
                      <w:spacing w:line="276" w:lineRule="auto"/>
                      <w:ind w:left="-57" w:right="-57"/>
                      <w:jc w:val="center"/>
                      <w:rPr>
                        <w:kern w:val="2"/>
                        <w:sz w:val="20"/>
                        <w14:ligatures w14:val="standardContextual"/>
                      </w:rPr>
                    </w:pPr>
                    <w:r>
                      <w:rPr>
                        <w:kern w:val="2"/>
                        <w:sz w:val="20"/>
                        <w14:ligatures w14:val="standardContextual"/>
                      </w:rPr>
                      <w:t>(2025 m. II ketv.)</w:t>
                    </w:r>
                  </w:p>
                  <w:p>
                    <w:pPr>
                      <w:spacing w:line="276" w:lineRule="auto"/>
                      <w:ind w:left="-57" w:right="-57"/>
                      <w:jc w:val="center"/>
                      <w:rPr>
                        <w:kern w:val="2"/>
                        <w:sz w:val="20"/>
                        <w14:ligatures w14:val="standardContextual"/>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1279" w:type="dxa"/>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846"/>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iCs/>
                        <w:sz w:val="20"/>
                      </w:rPr>
                    </w:pPr>
                    <w:r>
                      <w:rPr>
                        <w:iCs/>
                        <w:sz w:val="20"/>
                      </w:rPr>
                      <w:t>4.4. Sveikatos sektoriaus skaitmeninimo projektai</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 SAM pavaldžios įstaigos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trike/>
                        <w:sz w:val="20"/>
                        <w:highlight w:val="yellow"/>
                      </w:rPr>
                    </w:pPr>
                    <w:r>
                      <w:rPr>
                        <w:kern w:val="2"/>
                        <w:sz w:val="20"/>
                        <w14:ligatures w14:val="standardContextual"/>
                      </w:rPr>
                      <w:t>35 149,234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EGADP</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R – Naujų ir patobulintų viešųjų skaitmeninių paslaugų, produktų ir procesų naudotojai, naudotojų skaičius per metus</w:t>
                    </w:r>
                  </w:p>
                </w:tc>
                <w:tc>
                  <w:tcPr>
                    <w:tcW w:w="1134" w:type="dxa"/>
                    <w:gridSpan w:val="2"/>
                    <w:tcBorders>
                      <w:top w:val="single" w:sz="2" w:space="0" w:color="auto"/>
                      <w:left w:val="single" w:sz="2" w:space="0" w:color="auto"/>
                      <w:bottom w:val="single" w:sz="2" w:space="0" w:color="auto"/>
                      <w:right w:val="single" w:sz="2" w:space="0" w:color="auto"/>
                    </w:tcBorders>
                  </w:tcPr>
                  <w:p>
                    <w:pPr>
                      <w:ind w:left="-57" w:right="-57"/>
                      <w:jc w:val="center"/>
                      <w:rPr>
                        <w:sz w:val="20"/>
                      </w:rPr>
                    </w:pPr>
                    <w:r>
                      <w:rPr>
                        <w:kern w:val="2"/>
                        <w:sz w:val="20"/>
                        <w14:ligatures w14:val="standardContextual"/>
                      </w:rPr>
                      <w:t>n/a</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CPVA</w:t>
                    </w:r>
                  </w:p>
                </w:tc>
                <w:tc>
                  <w:tcPr>
                    <w:tcW w:w="127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SAM </w:t>
                    </w:r>
                  </w:p>
                </w:tc>
              </w:tr>
              <w:tr>
                <w:trPr>
                  <w:trHeight w:val="115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iCs/>
                        <w:color w:val="EE0000"/>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trike/>
                        <w:sz w:val="20"/>
                        <w:highlight w:val="yellow"/>
                      </w:rPr>
                    </w:pPr>
                    <w:r>
                      <w:rPr>
                        <w:kern w:val="2"/>
                        <w:sz w:val="20"/>
                        <w14:ligatures w14:val="standardContextual"/>
                      </w:rPr>
                      <w:t>7 587,044</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color w:val="EE0000"/>
                        <w:sz w:val="20"/>
                      </w:rPr>
                    </w:pPr>
                    <w:r>
                      <w:rPr>
                        <w:sz w:val="20"/>
                      </w:rPr>
                      <w:t>4.5. E. sveikatos sistemos tobulinimas, Sostinės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 xml:space="preserve">CPVA </w:t>
                    </w:r>
                  </w:p>
                </w:tc>
                <w:tc>
                  <w:tcPr>
                    <w:tcW w:w="1279" w:type="dxa"/>
                    <w:vMerge w:val="restart"/>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3 753,473</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Naujų arba modernizuotų e. sveikatos priežiūros 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400 000</w:t>
                    </w:r>
                  </w:p>
                  <w:p>
                    <w:pPr>
                      <w:ind w:left="-57" w:right="-57"/>
                      <w:jc w:val="center"/>
                      <w:rPr>
                        <w:sz w:val="20"/>
                      </w:rPr>
                    </w:pPr>
                    <w:r>
                      <w:rPr>
                        <w:kern w:val="2"/>
                        <w:sz w:val="20"/>
                        <w14:ligatures w14:val="standardContextual"/>
                      </w:rPr>
                      <w:t>(2029 m.)</w:t>
                    </w:r>
                  </w:p>
                </w:tc>
                <w:tc>
                  <w:tcPr>
                    <w:tcW w:w="992" w:type="dxa"/>
                    <w:vMerge/>
                    <w:tcBorders>
                      <w:right w:val="single" w:sz="4" w:space="0" w:color="auto"/>
                    </w:tcBorders>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4.6 E. sveikatos sistemos tobulinimas, Vidurio ir vakarų Lietuvos regionas</w:t>
                    </w:r>
                  </w:p>
                </w:tc>
                <w:tc>
                  <w:tcPr>
                    <w:tcW w:w="699"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I</w:t>
                    </w:r>
                  </w:p>
                </w:tc>
                <w:tc>
                  <w:tcPr>
                    <w:tcW w:w="1985" w:type="dxa"/>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VĮ Registrų centras</w:t>
                    </w:r>
                  </w:p>
                </w:tc>
                <w:tc>
                  <w:tcPr>
                    <w:tcW w:w="829"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P</w:t>
                    </w:r>
                  </w:p>
                </w:tc>
                <w:tc>
                  <w:tcPr>
                    <w:tcW w:w="1014"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Taip</w:t>
                    </w:r>
                  </w:p>
                </w:tc>
                <w:tc>
                  <w:tcPr>
                    <w:tcW w:w="681" w:type="dxa"/>
                    <w:gridSpan w:val="3"/>
                    <w:vMerge w:val="restart"/>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D</w:t>
                    </w: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14 888,775</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(ERPF)</w:t>
                    </w:r>
                  </w:p>
                </w:tc>
                <w:tc>
                  <w:tcPr>
                    <w:tcW w:w="2001" w:type="dxa"/>
                    <w:gridSpan w:val="2"/>
                    <w:tcBorders>
                      <w:top w:val="single" w:sz="2" w:space="0" w:color="auto"/>
                      <w:left w:val="single" w:sz="2" w:space="0" w:color="auto"/>
                      <w:bottom w:val="single" w:sz="2" w:space="0" w:color="auto"/>
                      <w:right w:val="single" w:sz="2" w:space="0" w:color="auto"/>
                    </w:tcBorders>
                  </w:tcPr>
                  <w:p>
                    <w:pPr>
                      <w:ind w:left="-57" w:right="-57"/>
                      <w:rPr>
                        <w:sz w:val="20"/>
                      </w:rPr>
                    </w:pPr>
                    <w:r>
                      <w:rPr>
                        <w:kern w:val="2"/>
                        <w:sz w:val="20"/>
                        <w14:ligatures w14:val="standardContextual"/>
                      </w:rPr>
                      <w:t>P – Naujos arba modernizuotos sveikatos priežiūros infrastruktūros talpumas, asmenys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2" w:space="0" w:color="auto"/>
                      <w:left w:val="single" w:sz="2" w:space="0" w:color="auto"/>
                      <w:bottom w:val="single" w:sz="2" w:space="0" w:color="auto"/>
                      <w:right w:val="single" w:sz="2" w:space="0" w:color="auto"/>
                    </w:tcBorders>
                  </w:tcPr>
                  <w:p>
                    <w:pPr>
                      <w:jc w:val="center"/>
                      <w:rPr>
                        <w:sz w:val="20"/>
                      </w:rPr>
                    </w:pPr>
                    <w:r>
                      <w:rPr>
                        <w:kern w:val="2"/>
                        <w:sz w:val="20"/>
                        <w14:ligatures w14:val="standardContextual"/>
                      </w:rPr>
                      <w:t>2 627,431</w:t>
                    </w:r>
                  </w:p>
                </w:tc>
                <w:tc>
                  <w:tcPr>
                    <w:tcW w:w="1118" w:type="dxa"/>
                    <w:tcBorders>
                      <w:top w:val="single" w:sz="2" w:space="0" w:color="auto"/>
                      <w:left w:val="single" w:sz="2" w:space="0" w:color="auto"/>
                      <w:bottom w:val="single" w:sz="2" w:space="0" w:color="auto"/>
                      <w:right w:val="single" w:sz="2" w:space="0" w:color="auto"/>
                    </w:tcBorders>
                  </w:tcPr>
                  <w:p>
                    <w:pPr>
                      <w:rPr>
                        <w:sz w:val="20"/>
                      </w:rPr>
                    </w:pPr>
                    <w:r>
                      <w:rPr>
                        <w:kern w:val="2"/>
                        <w:sz w:val="20"/>
                        <w14:ligatures w14:val="standardContextual"/>
                      </w:rPr>
                      <w:t>2021–2027 m. IP (BF)</w:t>
                    </w:r>
                  </w:p>
                </w:tc>
                <w:tc>
                  <w:tcPr>
                    <w:tcW w:w="2001"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rPr>
                        <w:kern w:val="2"/>
                        <w14:ligatures w14:val="standardContextual"/>
                      </w:rPr>
                    </w:pPr>
                    <w:r>
                      <w:rPr>
                        <w:kern w:val="2"/>
                        <w:sz w:val="20"/>
                        <w14:ligatures w14:val="standardContextual"/>
                      </w:rPr>
                      <w:t>Naujų arba modernizuotų e. sveikatos priežiūros</w:t>
                    </w:r>
                  </w:p>
                  <w:p>
                    <w:pPr>
                      <w:ind w:left="-57" w:right="-57"/>
                      <w:rPr>
                        <w:sz w:val="20"/>
                      </w:rPr>
                    </w:pPr>
                    <w:r>
                      <w:rPr>
                        <w:kern w:val="2"/>
                        <w:sz w:val="20"/>
                        <w14:ligatures w14:val="standardContextual"/>
                      </w:rPr>
                      <w:t>paslaugų naudotojų skaičius per metus, naudotojai per metus</w:t>
                    </w:r>
                  </w:p>
                </w:tc>
                <w:tc>
                  <w:tcPr>
                    <w:tcW w:w="1134" w:type="dxa"/>
                    <w:gridSpan w:val="2"/>
                    <w:tcBorders>
                      <w:top w:val="single" w:sz="2" w:space="0" w:color="auto"/>
                      <w:left w:val="single" w:sz="2" w:space="0" w:color="auto"/>
                      <w:bottom w:val="single" w:sz="2" w:space="0" w:color="auto"/>
                      <w:right w:val="single" w:sz="2" w:space="0" w:color="auto"/>
                    </w:tcBorders>
                  </w:tcPr>
                  <w:p>
                    <w:pPr>
                      <w:spacing w:line="276" w:lineRule="auto"/>
                      <w:ind w:left="-57" w:right="-57"/>
                      <w:jc w:val="center"/>
                      <w:rPr>
                        <w:kern w:val="2"/>
                        <w14:ligatures w14:val="standardContextual"/>
                      </w:rPr>
                    </w:pPr>
                    <w:r>
                      <w:rPr>
                        <w:kern w:val="2"/>
                        <w:sz w:val="20"/>
                        <w14:ligatures w14:val="standardContextual"/>
                      </w:rPr>
                      <w:t>1 000 000</w:t>
                    </w:r>
                  </w:p>
                  <w:p>
                    <w:pPr>
                      <w:ind w:left="-57" w:right="-57"/>
                      <w:jc w:val="center"/>
                      <w:rPr>
                        <w:sz w:val="20"/>
                      </w:rPr>
                    </w:pPr>
                    <w:r>
                      <w:rPr>
                        <w:kern w:val="2"/>
                        <w:sz w:val="20"/>
                        <w14:ligatures w14:val="standardContextual"/>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699" w:type="dxa"/>
                    <w:shd w:val="clear" w:color="auto" w:fill="F2F2F2" w:themeFill="background1" w:themeFillShade="F2"/>
                  </w:tcPr>
                  <w:p>
                    <w:pPr>
                      <w:rPr>
                        <w:sz w:val="20"/>
                      </w:rPr>
                    </w:pPr>
                    <w:r>
                      <w:rPr>
                        <w:sz w:val="20"/>
                      </w:rPr>
                      <w:t>A</w:t>
                    </w:r>
                  </w:p>
                </w:tc>
                <w:tc>
                  <w:tcPr>
                    <w:tcW w:w="1985" w:type="dxa"/>
                    <w:shd w:val="clear" w:color="auto" w:fill="F2F2F2" w:themeFill="background1" w:themeFillShade="F2"/>
                  </w:tcPr>
                  <w:p>
                    <w:pPr>
                      <w:rPr>
                        <w:sz w:val="20"/>
                      </w:rPr>
                    </w:pPr>
                    <w:r>
                      <w:rPr>
                        <w:sz w:val="20"/>
                      </w:rPr>
                      <w:t>SAM</w:t>
                    </w:r>
                  </w:p>
                </w:tc>
                <w:tc>
                  <w:tcPr>
                    <w:tcW w:w="829" w:type="dxa"/>
                    <w:gridSpan w:val="3"/>
                    <w:shd w:val="clear" w:color="auto" w:fill="F2F2F2" w:themeFill="background1" w:themeFillShade="F2"/>
                  </w:tcPr>
                  <w:p>
                    <w:pPr>
                      <w:rPr>
                        <w:sz w:val="20"/>
                      </w:rPr>
                    </w:pPr>
                    <w:r>
                      <w:rPr>
                        <w:sz w:val="20"/>
                      </w:rPr>
                      <w:t>P</w:t>
                    </w:r>
                  </w:p>
                </w:tc>
                <w:tc>
                  <w:tcPr>
                    <w:tcW w:w="1014" w:type="dxa"/>
                    <w:gridSpan w:val="3"/>
                    <w:shd w:val="clear" w:color="auto" w:fill="F2F2F2" w:themeFill="background1" w:themeFillShade="F2"/>
                  </w:tcPr>
                  <w:p>
                    <w:pPr>
                      <w:rPr>
                        <w:sz w:val="20"/>
                      </w:rPr>
                    </w:pPr>
                    <w:r>
                      <w:rPr>
                        <w:sz w:val="20"/>
                      </w:rPr>
                      <w:t>Ne</w:t>
                    </w:r>
                  </w:p>
                </w:tc>
                <w:tc>
                  <w:tcPr>
                    <w:tcW w:w="681" w:type="dxa"/>
                    <w:gridSpan w:val="3"/>
                    <w:shd w:val="clear" w:color="auto" w:fill="F2F2F2" w:themeFill="background1" w:themeFillShade="F2"/>
                  </w:tcPr>
                  <w:p>
                    <w:pPr>
                      <w:rPr>
                        <w:sz w:val="20"/>
                      </w:rPr>
                    </w:pPr>
                    <w:r>
                      <w:rPr>
                        <w:sz w:val="20"/>
                      </w:rPr>
                      <w:t>D</w:t>
                    </w:r>
                  </w:p>
                </w:tc>
                <w:tc>
                  <w:tcPr>
                    <w:tcW w:w="1167" w:type="dxa"/>
                    <w:gridSpan w:val="2"/>
                    <w:shd w:val="clear" w:color="auto" w:fill="F2F2F2" w:themeFill="background1" w:themeFillShade="F2"/>
                  </w:tcPr>
                  <w:p>
                    <w:pPr>
                      <w:rPr>
                        <w:b/>
                        <w:bCs/>
                        <w:sz w:val="20"/>
                      </w:rPr>
                    </w:pPr>
                    <w:r>
                      <w:rPr>
                        <w:b/>
                        <w:bCs/>
                        <w:sz w:val="20"/>
                        <w:lang w:val="en-US"/>
                      </w:rPr>
                      <w:t>169,719</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1134" w:type="dxa"/>
                    <w:gridSpan w:val="2"/>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130" w:type="dxa"/>
                    <w:gridSpan w:val="2"/>
                    <w:vMerge w:val="restart"/>
                    <w:hideMark/>
                  </w:tcPr>
                  <w:p>
                    <w:pPr>
                      <w:rPr>
                        <w:iCs/>
                        <w:sz w:val="20"/>
                      </w:rPr>
                    </w:pPr>
                    <w:r>
                      <w:rPr>
                        <w:iCs/>
                        <w:sz w:val="20"/>
                      </w:rPr>
                      <w:t>6. Bazinių sveikatos priežiūros paslaugų užtikrinimas:</w:t>
                    </w:r>
                  </w:p>
                </w:tc>
                <w:tc>
                  <w:tcPr>
                    <w:tcW w:w="699" w:type="dxa"/>
                    <w:vMerge w:val="restart"/>
                    <w:hideMark/>
                  </w:tcPr>
                  <w:p>
                    <w:pPr>
                      <w:rPr>
                        <w:sz w:val="20"/>
                      </w:rPr>
                    </w:pPr>
                    <w:r>
                      <w:rPr>
                        <w:sz w:val="20"/>
                      </w:rPr>
                      <w:t>-</w:t>
                    </w:r>
                  </w:p>
                </w:tc>
                <w:tc>
                  <w:tcPr>
                    <w:tcW w:w="1985" w:type="dxa"/>
                    <w:vMerge w:val="restart"/>
                    <w:hideMark/>
                  </w:tcPr>
                  <w:p>
                    <w:pPr>
                      <w:rPr>
                        <w:sz w:val="20"/>
                      </w:rPr>
                    </w:pPr>
                    <w:r>
                      <w:rPr>
                        <w:sz w:val="20"/>
                      </w:rPr>
                      <w:t>-</w:t>
                    </w:r>
                  </w:p>
                </w:tc>
                <w:tc>
                  <w:tcPr>
                    <w:tcW w:w="829" w:type="dxa"/>
                    <w:gridSpan w:val="3"/>
                    <w:vMerge w:val="restart"/>
                    <w:hideMark/>
                  </w:tcPr>
                  <w:p>
                    <w:pPr>
                      <w:rPr>
                        <w:sz w:val="20"/>
                      </w:rPr>
                    </w:pPr>
                    <w:r>
                      <w:rPr>
                        <w:sz w:val="20"/>
                      </w:rPr>
                      <w:t>-</w:t>
                    </w:r>
                  </w:p>
                </w:tc>
                <w:tc>
                  <w:tcPr>
                    <w:tcW w:w="1014" w:type="dxa"/>
                    <w:gridSpan w:val="3"/>
                    <w:vMerge w:val="restart"/>
                    <w:hideMark/>
                  </w:tcPr>
                  <w:p>
                    <w:pPr>
                      <w:rPr>
                        <w:sz w:val="20"/>
                      </w:rPr>
                    </w:pPr>
                    <w:r>
                      <w:rPr>
                        <w:sz w:val="20"/>
                      </w:rPr>
                      <w:t>-</w:t>
                    </w:r>
                  </w:p>
                </w:tc>
                <w:tc>
                  <w:tcPr>
                    <w:tcW w:w="681" w:type="dxa"/>
                    <w:gridSpan w:val="3"/>
                    <w:vMerge w:val="restart"/>
                    <w:hideMark/>
                  </w:tcPr>
                  <w:p>
                    <w:pPr>
                      <w:rPr>
                        <w:sz w:val="20"/>
                      </w:rPr>
                    </w:pPr>
                    <w:r>
                      <w:rPr>
                        <w:sz w:val="20"/>
                      </w:rPr>
                      <w:t>-</w:t>
                    </w:r>
                  </w:p>
                </w:tc>
                <w:tc>
                  <w:tcPr>
                    <w:tcW w:w="1167" w:type="dxa"/>
                    <w:gridSpan w:val="2"/>
                    <w:hideMark/>
                  </w:tcPr>
                  <w:p>
                    <w:pPr>
                      <w:jc w:val="center"/>
                      <w:rPr>
                        <w:sz w:val="20"/>
                      </w:rPr>
                    </w:pPr>
                    <w:r>
                      <w:rPr>
                        <w:sz w:val="20"/>
                      </w:rPr>
                      <w:t>159 658,803</w:t>
                    </w:r>
                  </w:p>
                </w:tc>
                <w:tc>
                  <w:tcPr>
                    <w:tcW w:w="1118" w:type="dxa"/>
                    <w:hideMark/>
                  </w:tcPr>
                  <w:p>
                    <w:pPr>
                      <w:rPr>
                        <w:sz w:val="20"/>
                      </w:rPr>
                    </w:pPr>
                    <w:r>
                      <w:rPr>
                        <w:sz w:val="20"/>
                      </w:rPr>
                      <w:t>-</w:t>
                    </w:r>
                  </w:p>
                </w:tc>
                <w:tc>
                  <w:tcPr>
                    <w:tcW w:w="2001" w:type="dxa"/>
                    <w:gridSpan w:val="2"/>
                    <w:hideMark/>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1134" w:type="dxa"/>
                    <w:gridSpan w:val="2"/>
                    <w:hideMark/>
                  </w:tcPr>
                  <w:p>
                    <w:pPr>
                      <w:ind w:left="-57" w:right="-57"/>
                      <w:jc w:val="center"/>
                      <w:rPr>
                        <w:sz w:val="20"/>
                      </w:rPr>
                    </w:pPr>
                    <w:r>
                      <w:rPr>
                        <w:sz w:val="20"/>
                      </w:rPr>
                      <w:t>40/60</w:t>
                    </w:r>
                  </w:p>
                  <w:p>
                    <w:pPr>
                      <w:ind w:left="-57" w:right="-57"/>
                      <w:jc w:val="center"/>
                      <w:rPr>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13 303,764</w:t>
                    </w:r>
                  </w:p>
                </w:tc>
                <w:tc>
                  <w:tcPr>
                    <w:tcW w:w="1118" w:type="dxa"/>
                    <w:hideMark/>
                  </w:tcPr>
                  <w:p>
                    <w:pPr>
                      <w:rPr>
                        <w:sz w:val="20"/>
                      </w:rPr>
                    </w:pPr>
                    <w:r>
                      <w:rPr>
                        <w:sz w:val="20"/>
                      </w:rPr>
                      <w:t>2021–2027 m. IP (ERPF,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1134" w:type="dxa"/>
                    <w:gridSpan w:val="2"/>
                    <w:hideMark/>
                  </w:tcPr>
                  <w:p>
                    <w:pPr>
                      <w:ind w:left="-57" w:right="-57"/>
                      <w:jc w:val="center"/>
                      <w:rPr>
                        <w:sz w:val="20"/>
                      </w:rPr>
                    </w:pPr>
                    <w:r>
                      <w:rPr>
                        <w:sz w:val="20"/>
                      </w:rPr>
                      <w:t>60,0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tcPr>
                  <w:p>
                    <w:pPr>
                      <w:jc w:val="center"/>
                      <w:rPr>
                        <w:sz w:val="20"/>
                      </w:rPr>
                    </w:pPr>
                    <w:r>
                      <w:rPr>
                        <w:sz w:val="20"/>
                      </w:rPr>
                      <w:t>13 303,764</w:t>
                    </w:r>
                  </w:p>
                  <w:p>
                    <w:pPr>
                      <w:jc w:val="center"/>
                      <w:rPr>
                        <w:sz w:val="20"/>
                      </w:rPr>
                    </w:pPr>
                  </w:p>
                </w:tc>
                <w:tc>
                  <w:tcPr>
                    <w:tcW w:w="1118" w:type="dxa"/>
                    <w:hideMark/>
                  </w:tcPr>
                  <w:p>
                    <w:pPr>
                      <w:rPr>
                        <w:sz w:val="20"/>
                      </w:rPr>
                    </w:pPr>
                    <w:r>
                      <w:rPr>
                        <w:sz w:val="20"/>
                      </w:rPr>
                      <w:t>2021–2027 m. IP (BF, Sostinės regionas)</w:t>
                    </w:r>
                  </w:p>
                </w:tc>
                <w:tc>
                  <w:tcPr>
                    <w:tcW w:w="2001" w:type="dxa"/>
                    <w:gridSpan w:val="2"/>
                    <w:hideMark/>
                  </w:tcPr>
                  <w:p>
                    <w:pPr>
                      <w:ind w:left="-57" w:right="-57"/>
                      <w:rPr>
                        <w:sz w:val="20"/>
                      </w:rPr>
                    </w:pPr>
                    <w:r>
                      <w:rPr>
                        <w:sz w:val="20"/>
                      </w:rPr>
                      <w:t xml:space="preserve">R </w:t>
                    </w:r>
                    <w:r>
                      <w:rPr>
                        <w:szCs w:val="24"/>
                      </w:rPr>
                      <w:t>–</w:t>
                    </w:r>
                    <w:r>
                      <w:rPr>
                        <w:sz w:val="20"/>
                      </w:rPr>
                      <w:t xml:space="preserve"> Gyventojų, dėl laukimo laiko (ilgų eilių) atidėjusių kreipimąsi dėl sveikatos priežiūros paslaugų, dalis,  proc.</w:t>
                    </w:r>
                  </w:p>
                </w:tc>
                <w:tc>
                  <w:tcPr>
                    <w:tcW w:w="1134" w:type="dxa"/>
                    <w:gridSpan w:val="2"/>
                    <w:hideMark/>
                  </w:tcPr>
                  <w:p>
                    <w:pPr>
                      <w:ind w:left="-57" w:right="-57"/>
                      <w:jc w:val="center"/>
                      <w:rPr>
                        <w:sz w:val="20"/>
                      </w:rPr>
                    </w:pPr>
                    <w:r>
                      <w:rPr>
                        <w:sz w:val="20"/>
                      </w:rPr>
                      <w:t>6</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74 860,004</w:t>
                    </w:r>
                  </w:p>
                </w:tc>
                <w:tc>
                  <w:tcPr>
                    <w:tcW w:w="1118" w:type="dxa"/>
                    <w:hideMark/>
                  </w:tcPr>
                  <w:p>
                    <w:pPr>
                      <w:rPr>
                        <w:sz w:val="20"/>
                      </w:rPr>
                    </w:pPr>
                    <w:r>
                      <w:rPr>
                        <w:sz w:val="20"/>
                      </w:rPr>
                      <w:t>2021–2027 m. IP (ERPF, VVL regionas)</w:t>
                    </w:r>
                  </w:p>
                </w:tc>
                <w:tc>
                  <w:tcPr>
                    <w:tcW w:w="2001" w:type="dxa"/>
                    <w:gridSpan w:val="2"/>
                    <w:hideMark/>
                  </w:tcPr>
                  <w:p>
                    <w:pPr>
                      <w:ind w:left="-57" w:right="-57"/>
                      <w:rPr>
                        <w:sz w:val="20"/>
                      </w:rPr>
                    </w:pPr>
                    <w:r>
                      <w:rPr>
                        <w:sz w:val="20"/>
                      </w:rPr>
                      <w:t xml:space="preserve">R </w:t>
                    </w:r>
                    <w:r>
                      <w:rPr>
                        <w:szCs w:val="24"/>
                      </w:rPr>
                      <w:t>–</w:t>
                    </w:r>
                    <w:r>
                      <w:rPr>
                        <w:sz w:val="20"/>
                      </w:rPr>
                      <w:t xml:space="preserve"> Stacionarinio aktyviojo gydymo atvejų skaičiaus sumažėjimas lyginant su 2019 m., atvejų skaičius</w:t>
                    </w:r>
                  </w:p>
                </w:tc>
                <w:tc>
                  <w:tcPr>
                    <w:tcW w:w="1134" w:type="dxa"/>
                    <w:gridSpan w:val="2"/>
                  </w:tcPr>
                  <w:p>
                    <w:pPr>
                      <w:ind w:left="-57" w:right="-57"/>
                      <w:jc w:val="center"/>
                      <w:rPr>
                        <w:sz w:val="20"/>
                      </w:rPr>
                    </w:pPr>
                    <w:r>
                      <w:rPr>
                        <w:sz w:val="20"/>
                      </w:rPr>
                      <w:t>431 714</w:t>
                    </w:r>
                  </w:p>
                  <w:p>
                    <w:pPr>
                      <w:ind w:left="-57" w:right="-57"/>
                      <w:jc w:val="center"/>
                      <w:rPr>
                        <w:sz w:val="20"/>
                      </w:rPr>
                    </w:pPr>
                    <w:r>
                      <w:rPr>
                        <w:sz w:val="20"/>
                      </w:rPr>
                      <w:t>(2030 m.)</w:t>
                    </w:r>
                  </w:p>
                  <w:p>
                    <w:pPr>
                      <w:ind w:right="-57"/>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trike/>
                        <w:sz w:val="20"/>
                      </w:rPr>
                    </w:pPr>
                    <w:r>
                      <w:rPr>
                        <w:sz w:val="20"/>
                      </w:rPr>
                      <w:t>31 433,580</w:t>
                    </w:r>
                  </w:p>
                </w:tc>
                <w:tc>
                  <w:tcPr>
                    <w:tcW w:w="1118" w:type="dxa"/>
                    <w:hideMark/>
                  </w:tcPr>
                  <w:p>
                    <w:pPr>
                      <w:rPr>
                        <w:sz w:val="20"/>
                      </w:rPr>
                    </w:pPr>
                    <w:r>
                      <w:rPr>
                        <w:sz w:val="20"/>
                      </w:rPr>
                      <w:t>2021–2027 m. IP (ESF+, VVL regionas)</w:t>
                    </w:r>
                  </w:p>
                </w:tc>
                <w:tc>
                  <w:tcPr>
                    <w:tcW w:w="2001" w:type="dxa"/>
                    <w:gridSpan w:val="2"/>
                  </w:tcPr>
                  <w:p>
                    <w:pPr>
                      <w:ind w:left="-57" w:right="-57"/>
                      <w:rPr>
                        <w:sz w:val="20"/>
                      </w:rPr>
                    </w:pPr>
                    <w:r>
                      <w:rPr>
                        <w:sz w:val="20"/>
                      </w:rPr>
                      <w:t>R – Dienos stacionaro atvejų skaičiaus padidėjimas lyginant su 2019 m., atvejų skaičius</w:t>
                    </w:r>
                  </w:p>
                  <w:p>
                    <w:pPr>
                      <w:ind w:right="-57"/>
                      <w:rPr>
                        <w:sz w:val="20"/>
                      </w:rPr>
                    </w:pPr>
                  </w:p>
                </w:tc>
                <w:tc>
                  <w:tcPr>
                    <w:tcW w:w="1134" w:type="dxa"/>
                    <w:gridSpan w:val="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rPr>
                        <w:sz w:val="20"/>
                      </w:rPr>
                    </w:pPr>
                    <w:r>
                      <w:rPr>
                        <w:sz w:val="20"/>
                        <w:lang w:val="en-US"/>
                      </w:rPr>
                      <w:t>18 757,691</w:t>
                    </w:r>
                  </w:p>
                </w:tc>
                <w:tc>
                  <w:tcPr>
                    <w:tcW w:w="1118" w:type="dxa"/>
                    <w:hideMark/>
                  </w:tcPr>
                  <w:p>
                    <w:pPr>
                      <w:rPr>
                        <w:sz w:val="20"/>
                      </w:rPr>
                    </w:pPr>
                    <w:r>
                      <w:rPr>
                        <w:sz w:val="20"/>
                      </w:rPr>
                      <w:t>2021–2027 m. IP (BF, VVL regionas)</w:t>
                    </w:r>
                  </w:p>
                </w:tc>
                <w:tc>
                  <w:tcPr>
                    <w:tcW w:w="2001" w:type="dxa"/>
                    <w:gridSpan w:val="2"/>
                    <w:hideMark/>
                  </w:tcPr>
                  <w:p>
                    <w:pPr>
                      <w:ind w:left="-57" w:right="-57"/>
                      <w:rPr>
                        <w:sz w:val="20"/>
                      </w:rPr>
                    </w:pPr>
                    <w:r>
                      <w:rPr>
                        <w:sz w:val="20"/>
                      </w:rPr>
                      <w:t xml:space="preserve">R </w:t>
                    </w:r>
                    <w:r>
                      <w:rPr>
                        <w:szCs w:val="24"/>
                      </w:rPr>
                      <w:t>–</w:t>
                    </w:r>
                    <w:r>
                      <w:rPr>
                        <w:sz w:val="20"/>
                      </w:rPr>
                      <w:t xml:space="preserve"> Dienos chirurgijos atvejų skaičiaus padidėjimas lyginant su 2019 m., atvejų skaičius</w:t>
                    </w:r>
                  </w:p>
                </w:tc>
                <w:tc>
                  <w:tcPr>
                    <w:tcW w:w="1134" w:type="dxa"/>
                    <w:gridSpan w:val="2"/>
                    <w:hideMark/>
                  </w:tcPr>
                  <w:p>
                    <w:pPr>
                      <w:ind w:left="-57" w:right="-57"/>
                      <w:jc w:val="center"/>
                      <w:rPr>
                        <w:sz w:val="20"/>
                      </w:rPr>
                    </w:pPr>
                    <w:r>
                      <w:rPr>
                        <w:sz w:val="20"/>
                      </w:rPr>
                      <w:t>73 020</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17"/>
                </w:trPr>
                <w:tc>
                  <w:tcPr>
                    <w:tcW w:w="2130" w:type="dxa"/>
                    <w:gridSpan w:val="2"/>
                    <w:vMerge/>
                    <w:vAlign w:val="center"/>
                    <w:hideMark/>
                  </w:tcPr>
                  <w:p>
                    <w:pPr>
                      <w:rPr>
                        <w:b/>
                        <w:bCs/>
                        <w:iCs/>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hideMark/>
                  </w:tcPr>
                  <w:p>
                    <w:pPr>
                      <w:jc w:val="center"/>
                      <w:rPr>
                        <w:sz w:val="20"/>
                      </w:rPr>
                    </w:pPr>
                    <w:r>
                      <w:rPr>
                        <w:sz w:val="20"/>
                      </w:rPr>
                      <w:t>8 000</w:t>
                    </w:r>
                  </w:p>
                </w:tc>
                <w:tc>
                  <w:tcPr>
                    <w:tcW w:w="1118" w:type="dxa"/>
                    <w:hideMark/>
                  </w:tcPr>
                  <w:p>
                    <w:pPr>
                      <w:rPr>
                        <w:sz w:val="20"/>
                      </w:rPr>
                    </w:pPr>
                    <w:r>
                      <w:rPr>
                        <w:sz w:val="20"/>
                      </w:rPr>
                      <w:t>VB</w:t>
                    </w:r>
                  </w:p>
                </w:tc>
                <w:tc>
                  <w:tcPr>
                    <w:tcW w:w="2001" w:type="dxa"/>
                    <w:gridSpan w:val="2"/>
                    <w:hideMark/>
                  </w:tcPr>
                  <w:p>
                    <w:pPr>
                      <w:ind w:left="-57" w:right="-57"/>
                      <w:rPr>
                        <w:sz w:val="20"/>
                      </w:rPr>
                    </w:pPr>
                    <w:r>
                      <w:rPr>
                        <w:sz w:val="20"/>
                      </w:rPr>
                      <w:t xml:space="preserve">R </w:t>
                    </w:r>
                    <w:r>
                      <w:rPr>
                        <w:szCs w:val="24"/>
                      </w:rPr>
                      <w:t>–</w:t>
                    </w:r>
                    <w:r>
                      <w:rPr>
                        <w:sz w:val="20"/>
                      </w:rPr>
                      <w:t xml:space="preserve"> Aktyviojo gydymo lovų užimtumas, proc.</w:t>
                    </w:r>
                  </w:p>
                </w:tc>
                <w:tc>
                  <w:tcPr>
                    <w:tcW w:w="1134" w:type="dxa"/>
                    <w:gridSpan w:val="2"/>
                    <w:hideMark/>
                  </w:tcPr>
                  <w:p>
                    <w:pPr>
                      <w:ind w:left="-57" w:right="-57"/>
                      <w:jc w:val="center"/>
                      <w:rPr>
                        <w:sz w:val="20"/>
                      </w:rPr>
                    </w:pPr>
                    <w:r>
                      <w:rPr>
                        <w:sz w:val="20"/>
                      </w:rPr>
                      <w:t>82</w:t>
                    </w:r>
                  </w:p>
                  <w:p>
                    <w:pPr>
                      <w:ind w:right="-57"/>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699" w:type="dxa"/>
                    <w:vMerge w:val="restart"/>
                  </w:tcPr>
                  <w:p>
                    <w:pPr>
                      <w:rPr>
                        <w:sz w:val="20"/>
                      </w:rPr>
                    </w:pPr>
                    <w:r>
                      <w:rPr>
                        <w:sz w:val="20"/>
                      </w:rPr>
                      <w:t>R</w:t>
                    </w:r>
                  </w:p>
                </w:tc>
                <w:tc>
                  <w:tcPr>
                    <w:tcW w:w="1985" w:type="dxa"/>
                    <w:vMerge w:val="restart"/>
                  </w:tcPr>
                  <w:p>
                    <w:pPr>
                      <w:rPr>
                        <w:sz w:val="20"/>
                      </w:rPr>
                    </w:pPr>
                    <w:r>
                      <w:rPr>
                        <w:sz w:val="20"/>
                      </w:rPr>
                      <w:t>-</w:t>
                    </w:r>
                  </w:p>
                </w:tc>
                <w:tc>
                  <w:tcPr>
                    <w:tcW w:w="829" w:type="dxa"/>
                    <w:gridSpan w:val="3"/>
                    <w:vMerge w:val="restart"/>
                  </w:tcPr>
                  <w:p>
                    <w:pPr>
                      <w:rPr>
                        <w:sz w:val="20"/>
                      </w:rPr>
                    </w:pPr>
                    <w:r>
                      <w:rPr>
                        <w:sz w:val="20"/>
                      </w:rPr>
                      <w:t>-</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w:t>
                    </w:r>
                  </w:p>
                </w:tc>
                <w:tc>
                  <w:tcPr>
                    <w:tcW w:w="1167" w:type="dxa"/>
                    <w:gridSpan w:val="2"/>
                    <w:vMerge w:val="restart"/>
                  </w:tcPr>
                  <w:p>
                    <w:pPr>
                      <w:rPr>
                        <w:sz w:val="20"/>
                      </w:rPr>
                    </w:pPr>
                    <w:r>
                      <w:rPr>
                        <w:sz w:val="20"/>
                      </w:rPr>
                      <w:t>-</w:t>
                    </w:r>
                  </w:p>
                </w:tc>
                <w:tc>
                  <w:tcPr>
                    <w:tcW w:w="1118" w:type="dxa"/>
                    <w:vMerge w:val="restart"/>
                  </w:tcPr>
                  <w:p>
                    <w:pPr>
                      <w:rPr>
                        <w:sz w:val="20"/>
                      </w:rPr>
                    </w:pPr>
                    <w:r>
                      <w:rPr>
                        <w:sz w:val="20"/>
                      </w:rPr>
                      <w:t>-</w:t>
                    </w:r>
                  </w:p>
                </w:tc>
                <w:tc>
                  <w:tcPr>
                    <w:tcW w:w="2001" w:type="dxa"/>
                    <w:gridSpan w:val="2"/>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1134" w:type="dxa"/>
                    <w:gridSpan w:val="2"/>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9"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Sprendimo dėl reguliavimo, investavimo ir komunikacijos veiksmų, siekiant sukurti tvarų sveikatos priežiūros įstaigų tinklą, priėmimas</w:t>
                    </w:r>
                  </w:p>
                </w:tc>
                <w:tc>
                  <w:tcPr>
                    <w:tcW w:w="1134" w:type="dxa"/>
                    <w:gridSpan w:val="2"/>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jc w:val="both"/>
                      <w:rPr>
                        <w:sz w:val="20"/>
                      </w:rPr>
                    </w:pPr>
                    <w:r>
                      <w:rPr>
                        <w:sz w:val="20"/>
                      </w:rPr>
                      <w:t>P – Patvirtintas atnaujintas Šeimos medicinos plėtros 2016–2025 m. veiksmų planas</w:t>
                    </w:r>
                  </w:p>
                </w:tc>
                <w:tc>
                  <w:tcPr>
                    <w:tcW w:w="1134" w:type="dxa"/>
                    <w:gridSpan w:val="2"/>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9" w:type="dxa"/>
                    <w:vMerge/>
                    <w:tcBorders>
                      <w:left w:val="single" w:sz="4" w:space="0" w:color="auto"/>
                      <w:right w:val="single" w:sz="4" w:space="0" w:color="auto"/>
                    </w:tcBorders>
                  </w:tcPr>
                  <w:p>
                    <w:pPr>
                      <w:jc w:val="center"/>
                      <w:rPr>
                        <w:sz w:val="20"/>
                      </w:rPr>
                    </w:pPr>
                  </w:p>
                </w:tc>
              </w:tr>
              <w:tr>
                <w:trPr>
                  <w:trHeight w:val="920"/>
                </w:trPr>
                <w:tc>
                  <w:tcPr>
                    <w:tcW w:w="2130" w:type="dxa"/>
                    <w:gridSpan w:val="2"/>
                    <w:vMerge w:val="restart"/>
                  </w:tcPr>
                  <w:p>
                    <w:pPr>
                      <w:rPr>
                        <w:sz w:val="20"/>
                      </w:rPr>
                    </w:pPr>
                    <w:r>
                      <w:rPr>
                        <w:sz w:val="20"/>
                      </w:rPr>
                      <w:t>6.2. Sveikatos centro pirminės ambulatorinės asmens sveikatos priežiūros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5 700,000</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5 700,000</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86"/>
                </w:trPr>
                <w:tc>
                  <w:tcPr>
                    <w:tcW w:w="2130" w:type="dxa"/>
                    <w:gridSpan w:val="2"/>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7 603,764</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7 603,764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920"/>
                </w:trPr>
                <w:tc>
                  <w:tcPr>
                    <w:tcW w:w="2130" w:type="dxa"/>
                    <w:gridSpan w:val="2"/>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rPr>
                    </w:pPr>
                    <w:r>
                      <w:rPr>
                        <w:sz w:val="20"/>
                      </w:rPr>
                      <w:t>26 963,273</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jc w:val="center"/>
                      <w:rPr>
                        <w:sz w:val="20"/>
                      </w:rPr>
                    </w:pPr>
                    <w:r>
                      <w:rPr>
                        <w:sz w:val="20"/>
                      </w:rPr>
                      <w:t>4 758,224</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R – Naujos arba modernizuotos sveikatos priežiūros infrastruktūros naudotojų skaičius per metus</w:t>
                    </w:r>
                  </w:p>
                </w:tc>
                <w:tc>
                  <w:tcPr>
                    <w:tcW w:w="1134" w:type="dxa"/>
                    <w:gridSpan w:val="2"/>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6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 xml:space="preserve">(2029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1120"/>
                </w:trPr>
                <w:tc>
                  <w:tcPr>
                    <w:tcW w:w="2130" w:type="dxa"/>
                    <w:gridSpan w:val="2"/>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699" w:type="dxa"/>
                    <w:vMerge w:val="restart"/>
                  </w:tcPr>
                  <w:p>
                    <w:pPr>
                      <w:rPr>
                        <w:sz w:val="20"/>
                      </w:rPr>
                    </w:pPr>
                    <w:r>
                      <w:rPr>
                        <w:sz w:val="20"/>
                      </w:rPr>
                      <w:t>I</w:t>
                    </w:r>
                  </w:p>
                </w:tc>
                <w:tc>
                  <w:tcPr>
                    <w:tcW w:w="1985" w:type="dxa"/>
                    <w:vMerge w:val="restart"/>
                  </w:tcPr>
                  <w:p>
                    <w:pPr>
                      <w:rPr>
                        <w:sz w:val="20"/>
                      </w:rPr>
                    </w:pPr>
                    <w:r>
                      <w:rPr>
                        <w:sz w:val="20"/>
                      </w:rPr>
                      <w:t>Savivaldybių administracijos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jc w:val="center"/>
                      <w:rPr>
                        <w:sz w:val="20"/>
                        <w:lang w:val="en-US"/>
                      </w:rPr>
                    </w:pPr>
                    <w:r>
                      <w:rPr>
                        <w:sz w:val="20"/>
                        <w:lang w:val="en-US"/>
                      </w:rPr>
                      <w:t>47 896,731</w:t>
                    </w:r>
                  </w:p>
                </w:tc>
                <w:tc>
                  <w:tcPr>
                    <w:tcW w:w="1118" w:type="dxa"/>
                  </w:tcPr>
                  <w:p>
                    <w:pPr>
                      <w:rPr>
                        <w:sz w:val="20"/>
                      </w:rPr>
                    </w:pPr>
                    <w:r>
                      <w:rPr>
                        <w:sz w:val="20"/>
                      </w:rPr>
                      <w:t>2021–2027 m. IP (ERPF)</w:t>
                    </w:r>
                  </w:p>
                </w:tc>
                <w:tc>
                  <w:tcPr>
                    <w:tcW w:w="2001" w:type="dxa"/>
                    <w:gridSpan w:val="2"/>
                  </w:tcPr>
                  <w:p>
                    <w:pPr>
                      <w:ind w:left="-57" w:right="-57"/>
                      <w:rPr>
                        <w:sz w:val="20"/>
                      </w:rPr>
                    </w:pPr>
                    <w:r>
                      <w:rPr>
                        <w:sz w:val="20"/>
                      </w:rPr>
                      <w:t xml:space="preserve">P </w:t>
                    </w:r>
                    <w:r>
                      <w:rPr>
                        <w:color w:val="000000"/>
                        <w:sz w:val="20"/>
                      </w:rPr>
                      <w:t>–</w:t>
                    </w:r>
                    <w:r>
                      <w:rPr>
                        <w:sz w:val="20"/>
                      </w:rPr>
                      <w:t xml:space="preserve"> Naujos arba modernizuotos sveikatos priežiūros infrastruktūros talpumas, asmenys per metus </w:t>
                    </w:r>
                  </w:p>
                </w:tc>
                <w:tc>
                  <w:tcPr>
                    <w:tcW w:w="1134" w:type="dxa"/>
                    <w:gridSpan w:val="2"/>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val="restart"/>
                  </w:tcPr>
                  <w:p>
                    <w:pPr>
                      <w:rPr>
                        <w:sz w:val="20"/>
                        <w:lang w:val="en-US"/>
                      </w:rPr>
                    </w:pPr>
                    <w:r>
                      <w:rPr>
                        <w:sz w:val="20"/>
                        <w:lang w:val="en-US"/>
                      </w:rPr>
                      <w:t>8 452,365</w:t>
                    </w:r>
                  </w:p>
                </w:tc>
                <w:tc>
                  <w:tcPr>
                    <w:tcW w:w="1118" w:type="dxa"/>
                    <w:vMerge w:val="restart"/>
                  </w:tcPr>
                  <w:p>
                    <w:pPr>
                      <w:rPr>
                        <w:sz w:val="20"/>
                      </w:rPr>
                    </w:pPr>
                    <w:r>
                      <w:rPr>
                        <w:sz w:val="20"/>
                      </w:rPr>
                      <w:t>2021–2027 m. IP (BF)</w:t>
                    </w:r>
                  </w:p>
                </w:tc>
                <w:tc>
                  <w:tcPr>
                    <w:tcW w:w="2001" w:type="dxa"/>
                    <w:gridSpan w:val="2"/>
                  </w:tcPr>
                  <w:p>
                    <w:pPr>
                      <w:ind w:left="-57" w:right="-57"/>
                      <w:rPr>
                        <w:sz w:val="20"/>
                      </w:rPr>
                    </w:pPr>
                    <w:r>
                      <w:rPr>
                        <w:sz w:val="20"/>
                      </w:rPr>
                      <w:t xml:space="preserve">R </w:t>
                    </w:r>
                    <w:r>
                      <w:rPr>
                        <w:color w:val="000000"/>
                        <w:sz w:val="20"/>
                      </w:rPr>
                      <w:t>–</w:t>
                    </w:r>
                    <w:r>
                      <w:rPr>
                        <w:sz w:val="20"/>
                      </w:rPr>
                      <w:t xml:space="preserve"> Naujos arba modernizuotos sveikatos priežiūros infrastruktūros naudotojų skaičius per metus</w:t>
                    </w:r>
                  </w:p>
                </w:tc>
                <w:tc>
                  <w:tcPr>
                    <w:tcW w:w="1134" w:type="dxa"/>
                    <w:gridSpan w:val="2"/>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690"/>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Borders>
                      <w:bottom w:val="single" w:sz="4" w:space="0" w:color="auto"/>
                    </w:tcBorders>
                  </w:tcPr>
                  <w:p>
                    <w:pPr>
                      <w:rPr>
                        <w:sz w:val="20"/>
                        <w:lang w:val="en-US"/>
                      </w:rPr>
                    </w:pPr>
                  </w:p>
                </w:tc>
                <w:tc>
                  <w:tcPr>
                    <w:tcW w:w="1118" w:type="dxa"/>
                    <w:vMerge/>
                    <w:tcBorders>
                      <w:bottom w:val="single" w:sz="4" w:space="0" w:color="auto"/>
                    </w:tcBorders>
                  </w:tcPr>
                  <w:p>
                    <w:pPr>
                      <w:rPr>
                        <w:sz w:val="20"/>
                      </w:rPr>
                    </w:pPr>
                  </w:p>
                </w:tc>
                <w:tc>
                  <w:tcPr>
                    <w:tcW w:w="2001" w:type="dxa"/>
                    <w:gridSpan w:val="2"/>
                  </w:tcPr>
                  <w:p>
                    <w:pPr>
                      <w:ind w:left="-57" w:right="-57"/>
                      <w:rPr>
                        <w:sz w:val="20"/>
                      </w:rPr>
                    </w:pPr>
                    <w:r>
                      <w:rPr>
                        <w:sz w:val="20"/>
                      </w:rPr>
                      <w:t xml:space="preserve">R </w:t>
                    </w:r>
                    <w:r>
                      <w:rPr>
                        <w:color w:val="000000"/>
                        <w:sz w:val="20"/>
                      </w:rPr>
                      <w:t xml:space="preserve">– </w:t>
                    </w:r>
                    <w:r>
                      <w:rPr>
                        <w:sz w:val="20"/>
                      </w:rPr>
                      <w:t>Išvengiamų hospitalizacijų skaičius 1000 gyventojų</w:t>
                    </w:r>
                  </w:p>
                </w:tc>
                <w:tc>
                  <w:tcPr>
                    <w:tcW w:w="1134" w:type="dxa"/>
                    <w:gridSpan w:val="2"/>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rPr>
                        <w:color w:val="000000"/>
                        <w:sz w:val="20"/>
                      </w:rPr>
                    </w:pPr>
                  </w:p>
                </w:tc>
              </w:tr>
              <w:tr>
                <w:trPr>
                  <w:trHeight w:val="403"/>
                </w:trPr>
                <w:tc>
                  <w:tcPr>
                    <w:tcW w:w="12758" w:type="dxa"/>
                    <w:gridSpan w:val="20"/>
                  </w:tcPr>
                  <w:p>
                    <w:pPr>
                      <w:ind w:right="-57"/>
                      <w:rPr>
                        <w:sz w:val="20"/>
                      </w:rPr>
                    </w:pPr>
                    <w:r>
                      <w:rPr>
                        <w:sz w:val="20"/>
                      </w:rPr>
                      <w:t xml:space="preserve">6.6. </w:t>
                    </w:r>
                    <w:r>
                      <w:rPr>
                        <w:i/>
                        <w:sz w:val="20"/>
                      </w:rPr>
                      <w:t>Neteko galios nuo 2025-10-04</w:t>
                    </w:r>
                  </w:p>
                </w:tc>
                <w:tc>
                  <w:tcPr>
                    <w:tcW w:w="992" w:type="dxa"/>
                    <w:vMerge w:val="restart"/>
                  </w:tcPr>
                  <w:p>
                    <w:pPr>
                      <w:rPr>
                        <w:sz w:val="20"/>
                      </w:rPr>
                    </w:pPr>
                  </w:p>
                </w:tc>
                <w:tc>
                  <w:tcPr>
                    <w:tcW w:w="1279" w:type="dxa"/>
                    <w:vMerge w:val="restart"/>
                    <w:tcBorders>
                      <w:left w:val="single" w:sz="4" w:space="0" w:color="auto"/>
                      <w:right w:val="single" w:sz="4" w:space="0" w:color="auto"/>
                    </w:tcBorders>
                  </w:tcPr>
                  <w:p>
                    <w:pPr>
                      <w:rPr>
                        <w:color w:val="000000"/>
                        <w:sz w:val="20"/>
                      </w:rPr>
                    </w:pPr>
                  </w:p>
                </w:tc>
              </w:tr>
              <w:tr>
                <w:trPr>
                  <w:trHeight w:val="557"/>
                </w:trPr>
                <w:tc>
                  <w:tcPr>
                    <w:tcW w:w="12758" w:type="dxa"/>
                    <w:gridSpan w:val="20"/>
                  </w:tcPr>
                  <w:p>
                    <w:pPr>
                      <w:ind w:left="-57" w:right="-57"/>
                      <w:rPr>
                        <w:sz w:val="20"/>
                      </w:rPr>
                    </w:pPr>
                    <w:r>
                      <w:rPr>
                        <w:sz w:val="20"/>
                      </w:rPr>
                      <w:t xml:space="preserve">6.7. </w:t>
                    </w:r>
                    <w:r>
                      <w:rPr>
                        <w:i/>
                        <w:sz w:val="20"/>
                      </w:rPr>
                      <w:t>Neteko galios nuo 2025-10-04</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857"/>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6.8. Inovatyvių pirminės sveikatos priežiūros paslaugų teikimo ir organizavimo modelių kūrimas ir išbandymas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Savivaldybių administracijos,ASPĮ, SAM</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hideMark/>
                  </w:tcPr>
                  <w:p>
                    <w:pPr>
                      <w:rPr>
                        <w:sz w:val="20"/>
                        <w:highlight w:val="green"/>
                      </w:rPr>
                    </w:pPr>
                    <w:r>
                      <w:rPr>
                        <w:sz w:val="20"/>
                      </w:rPr>
                      <w:t>31 433,580</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3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5 547,102</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2021–2027m.  IP (BF)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sz w:val="20"/>
                      </w:rPr>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690"/>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b/>
                        <w:bCs/>
                        <w:color w:val="FF0000"/>
                        <w:sz w:val="20"/>
                      </w:rPr>
                    </w:pPr>
                    <w:r>
                      <w:rPr>
                        <w:color w:val="000000"/>
                        <w:sz w:val="20"/>
                      </w:rPr>
                      <w:t xml:space="preserve">R – Pacientų pasitenkinimas gautomis paslaugomis, proc.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6.9. ASPĮ išlaidų, patirtų įgyvendinant pertvarką, kompensavimas</w:t>
                    </w:r>
                  </w:p>
                </w:tc>
                <w:tc>
                  <w:tcPr>
                    <w:tcW w:w="699" w:type="dxa"/>
                  </w:tcPr>
                  <w:p>
                    <w:pPr>
                      <w:rPr>
                        <w:sz w:val="20"/>
                      </w:rPr>
                    </w:pPr>
                    <w:r>
                      <w:rPr>
                        <w:sz w:val="20"/>
                      </w:rPr>
                      <w:t>I</w:t>
                    </w:r>
                  </w:p>
                </w:tc>
                <w:tc>
                  <w:tcPr>
                    <w:tcW w:w="1985" w:type="dxa"/>
                  </w:tcPr>
                  <w:p>
                    <w:pPr>
                      <w:rPr>
                        <w:sz w:val="20"/>
                      </w:rPr>
                    </w:pPr>
                    <w:r>
                      <w:rPr>
                        <w:sz w:val="20"/>
                      </w:rPr>
                      <w:t>ASPĮ</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rPr>
                    </w:pPr>
                    <w:r>
                      <w:rPr>
                        <w:sz w:val="20"/>
                        <w:lang w:val="en-US"/>
                      </w:rPr>
                      <w:t>8 000</w:t>
                    </w:r>
                  </w:p>
                </w:tc>
                <w:tc>
                  <w:tcPr>
                    <w:tcW w:w="1118" w:type="dxa"/>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1134" w:type="dxa"/>
                    <w:gridSpan w:val="2"/>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7. Ambulatorinių psichikos sveikatos priežiūros paslaugų plėtra ir kokybės gerinimas: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 xml:space="preserve">37 355,406 </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i/>
                        <w:iCs/>
                        <w:sz w:val="20"/>
                      </w:rPr>
                    </w:pPr>
                    <w:r>
                      <w:rPr>
                        <w:sz w:val="20"/>
                      </w:rPr>
                      <w:t>-</w:t>
                      <w:br w:type="column"/>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Sostinės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2 523,178</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Sostinės regionas</w:t>
                    </w:r>
                  </w:p>
                </w:tc>
                <w:tc>
                  <w:tcPr>
                    <w:tcW w:w="2001"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113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431714</w:t>
                    </w:r>
                  </w:p>
                  <w:p>
                    <w:pPr>
                      <w:ind w:left="-57" w:right="-57"/>
                      <w:jc w:val="center"/>
                      <w:rPr>
                        <w:sz w:val="20"/>
                      </w:rPr>
                    </w:pPr>
                    <w:r>
                      <w:rPr>
                        <w:sz w:val="20"/>
                      </w:rPr>
                      <w:t>(2030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12 710,597</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(ERPF, VVL regionas)</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575"/>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9 652,095</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227"/>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3 946,358</w:t>
                    </w:r>
                  </w:p>
                  <w:p>
                    <w:pPr>
                      <w:rPr>
                        <w:sz w:val="20"/>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6 000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i/>
                        <w:iCs/>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382"/>
                </w:trPr>
                <w:tc>
                  <w:tcPr>
                    <w:tcW w:w="2130" w:type="dxa"/>
                    <w:gridSpan w:val="2"/>
                    <w:vMerge w:val="restart"/>
                  </w:tcPr>
                  <w:p>
                    <w:pPr>
                      <w:rPr>
                        <w:sz w:val="20"/>
                      </w:rPr>
                    </w:pPr>
                    <w:r>
                      <w:rPr>
                        <w:sz w:val="20"/>
                      </w:rPr>
                      <w:t>7.1. Ambulatorinių psichikos sveikatos paslaugų ir psichosocialinės reabilitacijos plėtrai reikalingos infrastruktūros įrengimas, Sostinės regionas</w:t>
                    </w:r>
                  </w:p>
                </w:tc>
                <w:tc>
                  <w:tcPr>
                    <w:tcW w:w="699" w:type="dxa"/>
                    <w:vMerge w:val="restart"/>
                  </w:tcPr>
                  <w:p>
                    <w:pPr>
                      <w:rPr>
                        <w:sz w:val="20"/>
                      </w:rPr>
                    </w:pPr>
                    <w:r>
                      <w:rPr>
                        <w:sz w:val="20"/>
                      </w:rPr>
                      <w:t>I</w:t>
                    </w:r>
                  </w:p>
                </w:tc>
                <w:tc>
                  <w:tcPr>
                    <w:tcW w:w="1985" w:type="dxa"/>
                    <w:vMerge w:val="restart"/>
                  </w:tcPr>
                  <w:p>
                    <w:pPr>
                      <w:rPr>
                        <w:sz w:val="20"/>
                      </w:rPr>
                    </w:pPr>
                    <w:r>
                      <w:rPr>
                        <w:sz w:val="20"/>
                      </w:rPr>
                      <w:t>ASPĮ</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tcPr>
                  <w:p>
                    <w:pPr>
                      <w:rPr>
                        <w:sz w:val="20"/>
                        <w:lang w:val="en-US"/>
                      </w:rPr>
                    </w:pPr>
                    <w:r>
                      <w:rPr>
                        <w:sz w:val="20"/>
                        <w:lang w:val="en-US"/>
                      </w:rPr>
                      <w:t>2 523,178</w:t>
                    </w:r>
                  </w:p>
                  <w:p>
                    <w:pPr>
                      <w:rPr>
                        <w:sz w:val="20"/>
                        <w:lang w:val="en-US"/>
                      </w:rPr>
                    </w:pPr>
                  </w:p>
                </w:tc>
                <w:tc>
                  <w:tcPr>
                    <w:tcW w:w="1118" w:type="dxa"/>
                  </w:tcPr>
                  <w:p>
                    <w:pPr>
                      <w:rPr>
                        <w:sz w:val="20"/>
                      </w:rPr>
                    </w:pPr>
                    <w:r>
                      <w:rPr>
                        <w:sz w:val="20"/>
                      </w:rPr>
                      <w:t>2021–2027 m. IP (ERPF)</w:t>
                    </w: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2 523,178</w:t>
                    </w:r>
                  </w:p>
                </w:tc>
                <w:tc>
                  <w:tcPr>
                    <w:tcW w:w="1118" w:type="dxa"/>
                  </w:tcPr>
                  <w:p>
                    <w:pPr>
                      <w:rPr>
                        <w:sz w:val="20"/>
                      </w:rPr>
                    </w:pPr>
                    <w:r>
                      <w:rPr>
                        <w:sz w:val="20"/>
                      </w:rPr>
                      <w:t>2021–2027 m. IP (BF)</w:t>
                    </w: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1025"/>
                </w:trPr>
                <w:tc>
                  <w:tcPr>
                    <w:tcW w:w="2130" w:type="dxa"/>
                    <w:gridSpan w:val="2"/>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699" w:type="dxa"/>
                    <w:vMerge w:val="restart"/>
                  </w:tcPr>
                  <w:p>
                    <w:pPr>
                      <w:rPr>
                        <w:sz w:val="20"/>
                      </w:rPr>
                    </w:pPr>
                    <w:r>
                      <w:rPr>
                        <w:sz w:val="20"/>
                      </w:rPr>
                      <w:t>I</w:t>
                    </w:r>
                  </w:p>
                  <w:p>
                    <w:pPr>
                      <w:rPr>
                        <w:sz w:val="20"/>
                      </w:rPr>
                    </w:pPr>
                  </w:p>
                </w:tc>
                <w:tc>
                  <w:tcPr>
                    <w:tcW w:w="1985" w:type="dxa"/>
                    <w:vMerge w:val="restart"/>
                  </w:tcPr>
                  <w:p>
                    <w:pPr>
                      <w:rPr>
                        <w:sz w:val="20"/>
                      </w:rPr>
                    </w:pPr>
                    <w:r>
                      <w:rPr>
                        <w:sz w:val="20"/>
                      </w:rPr>
                      <w:t>ASPĮ</w:t>
                    </w:r>
                  </w:p>
                  <w:p>
                    <w:pPr>
                      <w:rPr>
                        <w:sz w:val="20"/>
                      </w:rPr>
                    </w:pPr>
                  </w:p>
                </w:tc>
                <w:tc>
                  <w:tcPr>
                    <w:tcW w:w="829" w:type="dxa"/>
                    <w:gridSpan w:val="3"/>
                    <w:vMerge w:val="restart"/>
                  </w:tcPr>
                  <w:p>
                    <w:pPr>
                      <w:rPr>
                        <w:sz w:val="20"/>
                      </w:rPr>
                    </w:pPr>
                    <w:r>
                      <w:rPr>
                        <w:sz w:val="20"/>
                      </w:rPr>
                      <w:t>P</w:t>
                    </w:r>
                  </w:p>
                  <w:p>
                    <w:pPr>
                      <w:rPr>
                        <w:sz w:val="20"/>
                      </w:rPr>
                    </w:pPr>
                  </w:p>
                </w:tc>
                <w:tc>
                  <w:tcPr>
                    <w:tcW w:w="1014" w:type="dxa"/>
                    <w:gridSpan w:val="3"/>
                    <w:vMerge w:val="restart"/>
                  </w:tcPr>
                  <w:p>
                    <w:pPr>
                      <w:rPr>
                        <w:sz w:val="20"/>
                      </w:rPr>
                    </w:pPr>
                    <w:r>
                      <w:rPr>
                        <w:sz w:val="20"/>
                      </w:rPr>
                      <w:t>Taip</w:t>
                    </w:r>
                  </w:p>
                  <w:p>
                    <w:pPr>
                      <w:rPr>
                        <w:sz w:val="20"/>
                      </w:rPr>
                    </w:pPr>
                  </w:p>
                </w:tc>
                <w:tc>
                  <w:tcPr>
                    <w:tcW w:w="681" w:type="dxa"/>
                    <w:gridSpan w:val="3"/>
                    <w:vMerge w:val="restart"/>
                  </w:tcPr>
                  <w:p>
                    <w:pPr>
                      <w:rPr>
                        <w:sz w:val="20"/>
                      </w:rPr>
                    </w:pPr>
                    <w:r>
                      <w:rPr>
                        <w:sz w:val="20"/>
                      </w:rPr>
                      <w:t>D</w:t>
                    </w:r>
                  </w:p>
                  <w:p>
                    <w:pPr>
                      <w:rPr>
                        <w:sz w:val="20"/>
                      </w:rPr>
                    </w:pPr>
                  </w:p>
                </w:tc>
                <w:tc>
                  <w:tcPr>
                    <w:tcW w:w="1167" w:type="dxa"/>
                    <w:gridSpan w:val="2"/>
                  </w:tcPr>
                  <w:p>
                    <w:pPr>
                      <w:rPr>
                        <w:sz w:val="20"/>
                        <w:lang w:val="en-US"/>
                      </w:rPr>
                    </w:pPr>
                    <w:r>
                      <w:rPr>
                        <w:sz w:val="20"/>
                        <w:lang w:val="en-US"/>
                      </w:rPr>
                      <w:t>12 710,597</w:t>
                    </w:r>
                  </w:p>
                </w:tc>
                <w:tc>
                  <w:tcPr>
                    <w:tcW w:w="1118" w:type="dxa"/>
                  </w:tcPr>
                  <w:p>
                    <w:pPr>
                      <w:rPr>
                        <w:sz w:val="20"/>
                      </w:rPr>
                    </w:pPr>
                    <w:r>
                      <w:rPr>
                        <w:sz w:val="20"/>
                      </w:rPr>
                      <w:t>2021–2027 m. IP (ERPF)</w:t>
                    </w:r>
                  </w:p>
                  <w:p>
                    <w:pPr>
                      <w:rPr>
                        <w:sz w:val="20"/>
                      </w:rPr>
                    </w:pPr>
                  </w:p>
                </w:tc>
                <w:tc>
                  <w:tcPr>
                    <w:tcW w:w="2001" w:type="dxa"/>
                    <w:gridSpan w:val="2"/>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1134" w:type="dxa"/>
                    <w:gridSpan w:val="2"/>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97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Pr>
                  <w:p>
                    <w:pPr>
                      <w:rPr>
                        <w:sz w:val="20"/>
                        <w:lang w:val="en-US"/>
                      </w:rPr>
                    </w:pPr>
                    <w:r>
                      <w:rPr>
                        <w:sz w:val="20"/>
                        <w:lang w:val="en-US"/>
                      </w:rPr>
                      <w:t>2 243,047</w:t>
                    </w:r>
                  </w:p>
                  <w:p>
                    <w:pPr>
                      <w:rPr>
                        <w:sz w:val="20"/>
                      </w:rPr>
                    </w:pPr>
                  </w:p>
                </w:tc>
                <w:tc>
                  <w:tcPr>
                    <w:tcW w:w="1118" w:type="dxa"/>
                  </w:tcPr>
                  <w:p>
                    <w:pPr>
                      <w:rPr>
                        <w:sz w:val="20"/>
                      </w:rPr>
                    </w:pPr>
                    <w:r>
                      <w:rPr>
                        <w:sz w:val="20"/>
                      </w:rPr>
                      <w:t>2021–2027 m. IP (BF)</w:t>
                    </w:r>
                  </w:p>
                  <w:p>
                    <w:pPr>
                      <w:rPr>
                        <w:sz w:val="20"/>
                      </w:rPr>
                    </w:pPr>
                  </w:p>
                </w:tc>
                <w:tc>
                  <w:tcPr>
                    <w:tcW w:w="2001" w:type="dxa"/>
                    <w:gridSpan w:val="2"/>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1134" w:type="dxa"/>
                    <w:gridSpan w:val="2"/>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9" w:type="dxa"/>
                    <w:vMerge/>
                    <w:tcBorders>
                      <w:left w:val="single" w:sz="4" w:space="0" w:color="auto"/>
                      <w:right w:val="single" w:sz="4" w:space="0" w:color="auto"/>
                    </w:tcBorders>
                  </w:tcPr>
                  <w:p>
                    <w:pPr>
                      <w:jc w:val="center"/>
                      <w:rPr>
                        <w:color w:val="000000"/>
                        <w:sz w:val="20"/>
                      </w:rPr>
                    </w:pPr>
                  </w:p>
                </w:tc>
              </w:tr>
              <w:tr>
                <w:trPr>
                  <w:trHeight w:val="414"/>
                </w:trPr>
                <w:tc>
                  <w:tcPr>
                    <w:tcW w:w="2130" w:type="dxa"/>
                    <w:gridSpan w:val="2"/>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699" w:type="dxa"/>
                  </w:tcPr>
                  <w:p>
                    <w:pPr>
                      <w:rPr>
                        <w:sz w:val="22"/>
                        <w:szCs w:val="22"/>
                      </w:rPr>
                    </w:pPr>
                    <w:r>
                      <w:rPr>
                        <w:sz w:val="20"/>
                      </w:rPr>
                      <w:t>I</w:t>
                    </w:r>
                  </w:p>
                </w:tc>
                <w:tc>
                  <w:tcPr>
                    <w:tcW w:w="1985" w:type="dxa"/>
                  </w:tcPr>
                  <w:p>
                    <w:pPr>
                      <w:rPr>
                        <w:sz w:val="22"/>
                        <w:szCs w:val="22"/>
                      </w:rPr>
                    </w:pPr>
                    <w:r>
                      <w:rPr>
                        <w:sz w:val="20"/>
                      </w:rPr>
                      <w:t>ASPĮ</w:t>
                    </w:r>
                  </w:p>
                </w:tc>
                <w:tc>
                  <w:tcPr>
                    <w:tcW w:w="829" w:type="dxa"/>
                    <w:gridSpan w:val="3"/>
                  </w:tcPr>
                  <w:p>
                    <w:pPr>
                      <w:rPr>
                        <w:sz w:val="22"/>
                        <w:szCs w:val="22"/>
                      </w:rPr>
                    </w:pPr>
                    <w:r>
                      <w:rPr>
                        <w:sz w:val="20"/>
                      </w:rPr>
                      <w:t>P</w:t>
                    </w:r>
                  </w:p>
                </w:tc>
                <w:tc>
                  <w:tcPr>
                    <w:tcW w:w="1014" w:type="dxa"/>
                    <w:gridSpan w:val="3"/>
                  </w:tcPr>
                  <w:p>
                    <w:pPr>
                      <w:rPr>
                        <w:sz w:val="22"/>
                        <w:szCs w:val="22"/>
                      </w:rPr>
                    </w:pPr>
                    <w:r>
                      <w:rPr>
                        <w:sz w:val="20"/>
                      </w:rPr>
                      <w:t>Taip</w:t>
                    </w:r>
                  </w:p>
                </w:tc>
                <w:tc>
                  <w:tcPr>
                    <w:tcW w:w="681" w:type="dxa"/>
                    <w:gridSpan w:val="3"/>
                  </w:tcPr>
                  <w:p>
                    <w:pPr>
                      <w:rPr>
                        <w:sz w:val="22"/>
                        <w:szCs w:val="22"/>
                      </w:rPr>
                    </w:pPr>
                    <w:r>
                      <w:rPr>
                        <w:sz w:val="20"/>
                      </w:rPr>
                      <w:t>D</w:t>
                    </w:r>
                  </w:p>
                </w:tc>
                <w:tc>
                  <w:tcPr>
                    <w:tcW w:w="1167" w:type="dxa"/>
                    <w:gridSpan w:val="2"/>
                  </w:tcPr>
                  <w:p>
                    <w:pPr>
                      <w:rPr>
                        <w:sz w:val="22"/>
                        <w:szCs w:val="22"/>
                        <w:lang w:val="en-US"/>
                      </w:rPr>
                    </w:pPr>
                    <w:r>
                      <w:rPr>
                        <w:sz w:val="20"/>
                      </w:rPr>
                      <w:t>6 000</w:t>
                    </w:r>
                  </w:p>
                </w:tc>
                <w:tc>
                  <w:tcPr>
                    <w:tcW w:w="1118" w:type="dxa"/>
                  </w:tcPr>
                  <w:p>
                    <w:pPr>
                      <w:rPr>
                        <w:sz w:val="22"/>
                        <w:szCs w:val="22"/>
                      </w:rPr>
                    </w:pPr>
                    <w:r>
                      <w:rPr>
                        <w:sz w:val="20"/>
                      </w:rPr>
                      <w:t>VB</w:t>
                    </w:r>
                  </w:p>
                </w:tc>
                <w:tc>
                  <w:tcPr>
                    <w:tcW w:w="2001" w:type="dxa"/>
                    <w:gridSpan w:val="2"/>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1134" w:type="dxa"/>
                    <w:gridSpan w:val="2"/>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9"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130" w:type="dxa"/>
                    <w:gridSpan w:val="2"/>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7.4. Integruotų psichikos sveikatos paslaugų bei modelių išbandymas ir diegimas,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P</w:t>
                    </w:r>
                  </w:p>
                </w:tc>
                <w:tc>
                  <w:tcPr>
                    <w:tcW w:w="1014"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D</w:t>
                    </w:r>
                  </w:p>
                </w:tc>
                <w:tc>
                  <w:tcPr>
                    <w:tcW w:w="1167" w:type="dxa"/>
                    <w:gridSpan w:val="2"/>
                    <w:tcBorders>
                      <w:top w:val="single" w:sz="4" w:space="0" w:color="auto"/>
                      <w:left w:val="single" w:sz="4" w:space="0" w:color="auto"/>
                      <w:bottom w:val="single" w:sz="4" w:space="0" w:color="auto"/>
                      <w:right w:val="single" w:sz="4" w:space="0" w:color="auto"/>
                    </w:tcBorders>
                  </w:tcPr>
                  <w:p>
                    <w:pPr>
                      <w:rPr>
                        <w:sz w:val="20"/>
                        <w:highlight w:val="green"/>
                      </w:rPr>
                    </w:pPr>
                  </w:p>
                  <w:p>
                    <w:pPr>
                      <w:rPr>
                        <w:sz w:val="20"/>
                      </w:rPr>
                    </w:pPr>
                    <w:r>
                      <w:rPr>
                        <w:sz w:val="20"/>
                      </w:rPr>
                      <w:t>6 107,250</w:t>
                    </w:r>
                  </w:p>
                  <w:p>
                    <w:pPr>
                      <w:rPr>
                        <w:sz w:val="20"/>
                        <w:highlight w:val="green"/>
                      </w:rPr>
                    </w:pPr>
                    <w:r>
                      <w:rPr>
                        <w:sz w:val="20"/>
                      </w:rPr>
                      <w:t> </w:t>
                    </w:r>
                  </w:p>
                </w:tc>
                <w:tc>
                  <w:tcPr>
                    <w:tcW w:w="1118" w:type="dxa"/>
                    <w:tcBorders>
                      <w:top w:val="single" w:sz="4" w:space="0" w:color="auto"/>
                      <w:left w:val="single" w:sz="4" w:space="0" w:color="auto"/>
                      <w:bottom w:val="single" w:sz="4" w:space="0" w:color="auto"/>
                      <w:right w:val="single" w:sz="4" w:space="0" w:color="auto"/>
                    </w:tcBorders>
                    <w:hideMark/>
                  </w:tcPr>
                  <w:p>
                    <w:pPr>
                      <w:rPr>
                        <w:sz w:val="20"/>
                      </w:rPr>
                    </w:pPr>
                    <w:r>
                      <w:rPr>
                        <w:sz w:val="20"/>
                      </w:rPr>
                      <w:t xml:space="preserve">2021–2027 m. IP (ESF+) </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vAlign w:val="center"/>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val="restart"/>
                    <w:tcBorders>
                      <w:top w:val="single" w:sz="4" w:space="0" w:color="auto"/>
                      <w:left w:val="single" w:sz="4" w:space="0" w:color="auto"/>
                      <w:bottom w:val="single" w:sz="4" w:space="0" w:color="auto"/>
                      <w:right w:val="single" w:sz="4" w:space="0" w:color="auto"/>
                    </w:tcBorders>
                  </w:tcPr>
                  <w:p>
                    <w:pPr>
                      <w:rPr>
                        <w:sz w:val="20"/>
                        <w:highlight w:val="green"/>
                      </w:rPr>
                    </w:pPr>
                  </w:p>
                  <w:p>
                    <w:pPr>
                      <w:rPr>
                        <w:sz w:val="20"/>
                        <w:highlight w:val="green"/>
                      </w:rPr>
                    </w:pPr>
                    <w:r>
                      <w:rPr>
                        <w:sz w:val="20"/>
                      </w:rPr>
                      <w:t>1 077,750</w:t>
                    </w:r>
                  </w:p>
                </w:tc>
                <w:tc>
                  <w:tcPr>
                    <w:tcW w:w="1118"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hideMark/>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753"/>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vMerge/>
                    <w:tcBorders>
                      <w:top w:val="single" w:sz="4" w:space="0" w:color="auto"/>
                      <w:left w:val="single" w:sz="4" w:space="0" w:color="auto"/>
                      <w:bottom w:val="single" w:sz="4" w:space="0" w:color="auto"/>
                      <w:right w:val="single" w:sz="4" w:space="0" w:color="auto"/>
                    </w:tcBorders>
                    <w:vAlign w:val="center"/>
                    <w:hideMark/>
                  </w:tcPr>
                  <w:p>
                    <w:pPr>
                      <w:rPr>
                        <w:sz w:val="20"/>
                        <w:highlight w:val="green"/>
                      </w:rPr>
                    </w:pPr>
                  </w:p>
                </w:tc>
                <w:tc>
                  <w:tcPr>
                    <w:tcW w:w="1118"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2001" w:type="dxa"/>
                    <w:gridSpan w:val="2"/>
                    <w:tcBorders>
                      <w:top w:val="single" w:sz="4" w:space="0" w:color="auto"/>
                      <w:left w:val="single" w:sz="4" w:space="0" w:color="auto"/>
                      <w:bottom w:val="single" w:sz="4" w:space="0" w:color="auto"/>
                      <w:right w:val="single" w:sz="4" w:space="0" w:color="auto"/>
                    </w:tcBorders>
                    <w:shd w:val="clear" w:color="auto" w:fill="FFFFFF" w:themeFill="background1"/>
                    <w:hideMark/>
                  </w:tcPr>
                  <w:p>
                    <w:pPr>
                      <w:ind w:left="-57" w:right="-57"/>
                      <w:rPr>
                        <w:color w:val="000000"/>
                        <w:sz w:val="20"/>
                      </w:rPr>
                    </w:pPr>
                    <w:r>
                      <w:rPr>
                        <w:sz w:val="20"/>
                      </w:rPr>
                      <w:t>R – Pacientų pasitenkinimas gautomis paslaugomis, proc.</w:t>
                    </w:r>
                  </w:p>
                </w:tc>
                <w:tc>
                  <w:tcPr>
                    <w:tcW w:w="1134" w:type="dxa"/>
                    <w:gridSpan w:val="2"/>
                    <w:tcBorders>
                      <w:top w:val="single" w:sz="4" w:space="0" w:color="auto"/>
                      <w:left w:val="single" w:sz="4" w:space="0" w:color="auto"/>
                      <w:bottom w:val="single" w:sz="4" w:space="0" w:color="auto"/>
                      <w:right w:val="single" w:sz="4" w:space="0" w:color="auto"/>
                    </w:tcBorders>
                    <w:hideMark/>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920"/>
                </w:trPr>
                <w:tc>
                  <w:tcPr>
                    <w:tcW w:w="2130" w:type="dxa"/>
                    <w:gridSpan w:val="2"/>
                    <w:vMerge w:val="restart"/>
                    <w:tcBorders>
                      <w:top w:val="single" w:sz="4" w:space="0" w:color="auto"/>
                      <w:left w:val="single" w:sz="4" w:space="0" w:color="auto"/>
                      <w:right w:val="single" w:sz="4" w:space="0" w:color="auto"/>
                    </w:tcBorders>
                  </w:tcPr>
                  <w:p>
                    <w:pPr>
                      <w:rPr>
                        <w:sz w:val="20"/>
                      </w:rPr>
                    </w:pPr>
                    <w:r>
                      <w:rPr>
                        <w:sz w:val="20"/>
                      </w:rPr>
                      <w:t>7.5. Integruotų psichikos sveikatos paslaugų bei modelių išbandymas ir diegimas, Vidurio ir vakarų Lietuvos regionas</w:t>
                    </w:r>
                  </w:p>
                </w:tc>
                <w:tc>
                  <w:tcPr>
                    <w:tcW w:w="699" w:type="dxa"/>
                    <w:vMerge w:val="restart"/>
                    <w:tcBorders>
                      <w:top w:val="single" w:sz="4" w:space="0" w:color="auto"/>
                      <w:left w:val="single" w:sz="4" w:space="0" w:color="auto"/>
                      <w:right w:val="single" w:sz="4" w:space="0" w:color="auto"/>
                    </w:tcBorders>
                  </w:tcPr>
                  <w:p>
                    <w:pPr>
                      <w:rPr>
                        <w:sz w:val="20"/>
                      </w:rPr>
                    </w:pPr>
                    <w:r>
                      <w:rPr>
                        <w:sz w:val="20"/>
                      </w:rPr>
                      <w:t>I</w:t>
                    </w:r>
                  </w:p>
                </w:tc>
                <w:tc>
                  <w:tcPr>
                    <w:tcW w:w="1985" w:type="dxa"/>
                    <w:vMerge w:val="restart"/>
                    <w:tcBorders>
                      <w:top w:val="single" w:sz="4" w:space="0" w:color="auto"/>
                      <w:left w:val="single" w:sz="4" w:space="0" w:color="auto"/>
                      <w:right w:val="single" w:sz="4" w:space="0" w:color="auto"/>
                    </w:tcBorders>
                  </w:tcPr>
                  <w:p>
                    <w:pPr>
                      <w:rPr>
                        <w:sz w:val="20"/>
                      </w:rPr>
                    </w:pPr>
                    <w:r>
                      <w:rPr>
                        <w:sz w:val="20"/>
                      </w:rPr>
                      <w:t>LMB</w:t>
                    </w:r>
                  </w:p>
                </w:tc>
                <w:tc>
                  <w:tcPr>
                    <w:tcW w:w="829" w:type="dxa"/>
                    <w:gridSpan w:val="3"/>
                    <w:vMerge w:val="restart"/>
                    <w:tcBorders>
                      <w:top w:val="single" w:sz="4" w:space="0" w:color="auto"/>
                      <w:left w:val="single" w:sz="4" w:space="0" w:color="auto"/>
                      <w:right w:val="single" w:sz="4" w:space="0" w:color="auto"/>
                    </w:tcBorders>
                  </w:tcPr>
                  <w:p>
                    <w:pPr>
                      <w:rPr>
                        <w:sz w:val="20"/>
                      </w:rPr>
                    </w:pPr>
                    <w:r>
                      <w:rPr>
                        <w:sz w:val="20"/>
                      </w:rPr>
                      <w:t>P</w:t>
                    </w:r>
                  </w:p>
                </w:tc>
                <w:tc>
                  <w:tcPr>
                    <w:tcW w:w="1014" w:type="dxa"/>
                    <w:gridSpan w:val="3"/>
                    <w:vMerge w:val="restart"/>
                    <w:tcBorders>
                      <w:top w:val="single" w:sz="4" w:space="0" w:color="auto"/>
                      <w:left w:val="single" w:sz="4" w:space="0" w:color="auto"/>
                      <w:right w:val="single" w:sz="4" w:space="0" w:color="auto"/>
                    </w:tcBorders>
                  </w:tcPr>
                  <w:p>
                    <w:pPr>
                      <w:rPr>
                        <w:sz w:val="20"/>
                      </w:rPr>
                    </w:pPr>
                    <w:r>
                      <w:rPr>
                        <w:sz w:val="20"/>
                      </w:rPr>
                      <w:t>Taip</w:t>
                    </w:r>
                  </w:p>
                </w:tc>
                <w:tc>
                  <w:tcPr>
                    <w:tcW w:w="681" w:type="dxa"/>
                    <w:gridSpan w:val="3"/>
                    <w:vMerge w:val="restart"/>
                    <w:tcBorders>
                      <w:top w:val="single" w:sz="4" w:space="0" w:color="auto"/>
                      <w:left w:val="single" w:sz="4" w:space="0" w:color="auto"/>
                      <w:right w:val="single" w:sz="4" w:space="0" w:color="auto"/>
                    </w:tcBorders>
                  </w:tcPr>
                  <w:p>
                    <w:pPr>
                      <w:rPr>
                        <w:sz w:val="20"/>
                      </w:rPr>
                    </w:pPr>
                    <w:r>
                      <w:rPr>
                        <w:sz w:val="20"/>
                      </w:rPr>
                      <w:t>D</w:t>
                    </w: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3 544,845</w:t>
                    </w:r>
                  </w:p>
                </w:tc>
                <w:tc>
                  <w:tcPr>
                    <w:tcW w:w="1118"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001" w:type="dxa"/>
                    <w:gridSpan w:val="2"/>
                    <w:tcBorders>
                      <w:top w:val="single" w:sz="4" w:space="0" w:color="auto"/>
                      <w:left w:val="single" w:sz="4" w:space="0" w:color="auto"/>
                      <w:right w:val="single" w:sz="4" w:space="0" w:color="auto"/>
                    </w:tcBorders>
                  </w:tcPr>
                  <w:p>
                    <w:pPr>
                      <w:ind w:left="-57" w:right="-57"/>
                      <w:rPr>
                        <w:color w:val="000000"/>
                        <w:sz w:val="20"/>
                      </w:rPr>
                    </w:pPr>
                    <w:r>
                      <w:rPr>
                        <w:sz w:val="20"/>
                      </w:rPr>
                      <w:t>P – Paramą gavusių nacionalinio, regionų ar vietos lygmens viešojo administravimo ar viešąsias paslaugas teikiančių įstaigų skaičius, subjektų skaičius</w:t>
                    </w:r>
                  </w:p>
                </w:tc>
                <w:tc>
                  <w:tcPr>
                    <w:tcW w:w="1134" w:type="dxa"/>
                    <w:gridSpan w:val="2"/>
                    <w:tcBorders>
                      <w:top w:val="single" w:sz="4" w:space="0" w:color="auto"/>
                      <w:left w:val="single" w:sz="4" w:space="0" w:color="auto"/>
                      <w:right w:val="single" w:sz="4" w:space="0" w:color="auto"/>
                    </w:tcBorders>
                  </w:tcPr>
                  <w:p>
                    <w:pPr>
                      <w:ind w:left="-57" w:right="-57"/>
                      <w:jc w:val="center"/>
                      <w:rPr>
                        <w:sz w:val="20"/>
                      </w:rPr>
                    </w:pPr>
                    <w:r>
                      <w:rPr>
                        <w:sz w:val="20"/>
                      </w:rPr>
                      <w:t>11</w:t>
                    </w:r>
                  </w:p>
                  <w:p>
                    <w:pPr>
                      <w:ind w:left="-57" w:right="-57"/>
                      <w:jc w:val="center"/>
                      <w:rPr>
                        <w:sz w:val="20"/>
                      </w:rPr>
                    </w:pPr>
                    <w:r>
                      <w:rPr>
                        <w:sz w:val="20"/>
                      </w:rPr>
                      <w:t>(2029 m.)</w:t>
                    </w: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9" w:type="dxa"/>
                    <w:vMerge w:val="restart"/>
                    <w:tcBorders>
                      <w:top w:val="single" w:sz="4" w:space="0" w:color="auto"/>
                      <w:left w:val="single" w:sz="4" w:space="0" w:color="auto"/>
                      <w:right w:val="single" w:sz="4" w:space="0" w:color="auto"/>
                    </w:tcBorders>
                  </w:tcPr>
                  <w:p>
                    <w:pPr>
                      <w:jc w:val="center"/>
                      <w:rPr>
                        <w:color w:val="000000"/>
                        <w:sz w:val="20"/>
                      </w:rPr>
                    </w:pPr>
                    <w:r>
                      <w:rPr>
                        <w:sz w:val="20"/>
                      </w:rPr>
                      <w:t>SAM</w:t>
                    </w:r>
                  </w:p>
                </w:tc>
              </w:tr>
              <w:tr>
                <w:trPr>
                  <w:trHeight w:val="920"/>
                </w:trPr>
                <w:tc>
                  <w:tcPr>
                    <w:tcW w:w="2130" w:type="dxa"/>
                    <w:gridSpan w:val="2"/>
                    <w:vMerge/>
                    <w:tcBorders>
                      <w:left w:val="single" w:sz="4" w:space="0" w:color="auto"/>
                      <w:right w:val="single" w:sz="4" w:space="0" w:color="auto"/>
                    </w:tcBorders>
                  </w:tcPr>
                  <w:p>
                    <w:pPr>
                      <w:rPr>
                        <w:sz w:val="20"/>
                      </w:rPr>
                    </w:pPr>
                  </w:p>
                </w:tc>
                <w:tc>
                  <w:tcPr>
                    <w:tcW w:w="699" w:type="dxa"/>
                    <w:vMerge/>
                    <w:tcBorders>
                      <w:left w:val="single" w:sz="4" w:space="0" w:color="auto"/>
                      <w:right w:val="single" w:sz="4" w:space="0" w:color="auto"/>
                    </w:tcBorders>
                  </w:tcPr>
                  <w:p>
                    <w:pPr>
                      <w:rPr>
                        <w:sz w:val="20"/>
                      </w:rPr>
                    </w:pPr>
                  </w:p>
                </w:tc>
                <w:tc>
                  <w:tcPr>
                    <w:tcW w:w="1985" w:type="dxa"/>
                    <w:vMerge/>
                    <w:tcBorders>
                      <w:left w:val="single" w:sz="4" w:space="0" w:color="auto"/>
                      <w:right w:val="single" w:sz="4" w:space="0" w:color="auto"/>
                    </w:tcBorders>
                  </w:tcPr>
                  <w:p>
                    <w:pPr>
                      <w:rPr>
                        <w:sz w:val="20"/>
                      </w:rPr>
                    </w:pPr>
                  </w:p>
                </w:tc>
                <w:tc>
                  <w:tcPr>
                    <w:tcW w:w="829" w:type="dxa"/>
                    <w:gridSpan w:val="3"/>
                    <w:vMerge/>
                    <w:tcBorders>
                      <w:left w:val="single" w:sz="4" w:space="0" w:color="auto"/>
                      <w:right w:val="single" w:sz="4" w:space="0" w:color="auto"/>
                    </w:tcBorders>
                  </w:tcPr>
                  <w:p>
                    <w:pPr>
                      <w:rPr>
                        <w:sz w:val="20"/>
                      </w:rPr>
                    </w:pPr>
                  </w:p>
                </w:tc>
                <w:tc>
                  <w:tcPr>
                    <w:tcW w:w="1014" w:type="dxa"/>
                    <w:gridSpan w:val="3"/>
                    <w:vMerge/>
                    <w:tcBorders>
                      <w:left w:val="single" w:sz="4" w:space="0" w:color="auto"/>
                      <w:right w:val="single" w:sz="4" w:space="0" w:color="auto"/>
                    </w:tcBorders>
                  </w:tcPr>
                  <w:p>
                    <w:pPr>
                      <w:rPr>
                        <w:sz w:val="20"/>
                      </w:rPr>
                    </w:pPr>
                  </w:p>
                </w:tc>
                <w:tc>
                  <w:tcPr>
                    <w:tcW w:w="681" w:type="dxa"/>
                    <w:gridSpan w:val="3"/>
                    <w:vMerge/>
                    <w:tcBorders>
                      <w:left w:val="single" w:sz="4" w:space="0" w:color="auto"/>
                      <w:right w:val="single" w:sz="4" w:space="0" w:color="auto"/>
                    </w:tcBorders>
                  </w:tcPr>
                  <w:p>
                    <w:pPr>
                      <w:rPr>
                        <w:sz w:val="20"/>
                      </w:rPr>
                    </w:pPr>
                  </w:p>
                </w:tc>
                <w:tc>
                  <w:tcPr>
                    <w:tcW w:w="1167" w:type="dxa"/>
                    <w:gridSpan w:val="2"/>
                    <w:tcBorders>
                      <w:top w:val="single" w:sz="4" w:space="0" w:color="auto"/>
                      <w:left w:val="single" w:sz="4" w:space="0" w:color="auto"/>
                      <w:right w:val="single" w:sz="4" w:space="0" w:color="auto"/>
                    </w:tcBorders>
                  </w:tcPr>
                  <w:p>
                    <w:pPr>
                      <w:rPr>
                        <w:sz w:val="20"/>
                        <w:lang w:val="en-US"/>
                      </w:rPr>
                    </w:pPr>
                    <w:r>
                      <w:rPr>
                        <w:sz w:val="20"/>
                      </w:rPr>
                      <w:t>625, 561</w:t>
                    </w:r>
                  </w:p>
                </w:tc>
                <w:tc>
                  <w:tcPr>
                    <w:tcW w:w="1118" w:type="dxa"/>
                    <w:tcBorders>
                      <w:left w:val="single" w:sz="4" w:space="0" w:color="auto"/>
                      <w:right w:val="single" w:sz="4" w:space="0" w:color="auto"/>
                    </w:tcBorders>
                  </w:tcPr>
                  <w:p>
                    <w:pPr>
                      <w:rPr>
                        <w:sz w:val="20"/>
                      </w:rPr>
                    </w:pPr>
                    <w:r>
                      <w:rPr>
                        <w:sz w:val="20"/>
                      </w:rPr>
                      <w:t>2021–2027 m. IP (BF)</w:t>
                    </w:r>
                  </w:p>
                </w:tc>
                <w:tc>
                  <w:tcPr>
                    <w:tcW w:w="2001" w:type="dxa"/>
                    <w:gridSpan w:val="2"/>
                    <w:tcBorders>
                      <w:left w:val="single" w:sz="4" w:space="0" w:color="auto"/>
                      <w:right w:val="single" w:sz="4" w:space="0" w:color="auto"/>
                    </w:tcBorders>
                  </w:tcPr>
                  <w:p>
                    <w:pPr>
                      <w:ind w:left="-57" w:right="-57"/>
                      <w:rPr>
                        <w:color w:val="000000"/>
                        <w:sz w:val="20"/>
                      </w:rPr>
                    </w:pPr>
                    <w:r>
                      <w:rPr>
                        <w:sz w:val="20"/>
                      </w:rPr>
                      <w:t>R – Pacientų pasitenkinimas gautomis paslaugomis, proc.</w:t>
                    </w:r>
                  </w:p>
                </w:tc>
                <w:tc>
                  <w:tcPr>
                    <w:tcW w:w="1134" w:type="dxa"/>
                    <w:gridSpan w:val="2"/>
                    <w:tcBorders>
                      <w:left w:val="single" w:sz="4" w:space="0" w:color="auto"/>
                      <w:righ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P – Specialistai, dalyvavę kvalifikacijos tobulinimo ar perkvalifikavimo veiklose, asmenys</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550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vMerge/>
                    <w:tcBorders>
                      <w:left w:val="single" w:sz="4" w:space="0" w:color="auto"/>
                      <w:right w:val="single" w:sz="4" w:space="0" w:color="auto"/>
                    </w:tcBorders>
                    <w:shd w:val="clear" w:color="auto" w:fill="F2F2F2" w:themeFill="background1" w:themeFillShade="F2"/>
                  </w:tcPr>
                  <w:p>
                    <w:pPr>
                      <w:rPr>
                        <w:b/>
                        <w:bCs/>
                        <w:sz w:val="20"/>
                      </w:rPr>
                    </w:pPr>
                  </w:p>
                </w:tc>
                <w:tc>
                  <w:tcPr>
                    <w:tcW w:w="699" w:type="dxa"/>
                    <w:vMerge/>
                    <w:tcBorders>
                      <w:left w:val="single" w:sz="4" w:space="0" w:color="auto"/>
                      <w:right w:val="single" w:sz="4" w:space="0" w:color="auto"/>
                    </w:tcBorders>
                    <w:shd w:val="clear" w:color="auto" w:fill="F2F2F2" w:themeFill="background1" w:themeFillShade="F2"/>
                  </w:tcPr>
                  <w:p>
                    <w:pPr>
                      <w:rPr>
                        <w:sz w:val="20"/>
                      </w:rPr>
                    </w:pPr>
                  </w:p>
                </w:tc>
                <w:tc>
                  <w:tcPr>
                    <w:tcW w:w="1985" w:type="dxa"/>
                    <w:vMerge/>
                    <w:tcBorders>
                      <w:left w:val="single" w:sz="4" w:space="0" w:color="auto"/>
                      <w:right w:val="single" w:sz="4" w:space="0" w:color="auto"/>
                    </w:tcBorders>
                    <w:shd w:val="clear" w:color="auto" w:fill="F2F2F2" w:themeFill="background1" w:themeFillShade="F2"/>
                  </w:tcPr>
                  <w:p>
                    <w:pPr>
                      <w:rPr>
                        <w:sz w:val="20"/>
                      </w:rPr>
                    </w:pPr>
                  </w:p>
                </w:tc>
                <w:tc>
                  <w:tcPr>
                    <w:tcW w:w="829"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014"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681" w:type="dxa"/>
                    <w:gridSpan w:val="3"/>
                    <w:vMerge/>
                    <w:tcBorders>
                      <w:left w:val="single" w:sz="4" w:space="0" w:color="auto"/>
                      <w:right w:val="single" w:sz="4" w:space="0" w:color="auto"/>
                    </w:tcBorders>
                    <w:shd w:val="clear" w:color="auto" w:fill="F2F2F2" w:themeFill="background1" w:themeFillShade="F2"/>
                  </w:tcPr>
                  <w:p>
                    <w:pPr>
                      <w:rPr>
                        <w:sz w:val="20"/>
                      </w:rPr>
                    </w:pPr>
                  </w:p>
                </w:tc>
                <w:tc>
                  <w:tcPr>
                    <w:tcW w:w="1167" w:type="dxa"/>
                    <w:gridSpan w:val="2"/>
                    <w:tcBorders>
                      <w:left w:val="single" w:sz="4" w:space="0" w:color="auto"/>
                    </w:tcBorders>
                    <w:shd w:val="clear" w:color="auto" w:fill="F2F2F2" w:themeFill="background1" w:themeFillShade="F2"/>
                  </w:tcPr>
                  <w:p>
                    <w:pPr>
                      <w:rPr>
                        <w:b/>
                        <w:bCs/>
                        <w:sz w:val="20"/>
                      </w:rPr>
                    </w:pPr>
                  </w:p>
                </w:tc>
                <w:tc>
                  <w:tcPr>
                    <w:tcW w:w="1118" w:type="dxa"/>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rPr>
                      <w:t>R – Specialistų, kurie po dalyvavimo veiklose įgijo ar patobulino kvalifikaciją, dalis proc.</w:t>
                    </w:r>
                  </w:p>
                </w:tc>
                <w:tc>
                  <w:tcPr>
                    <w:tcW w:w="1134" w:type="dxa"/>
                    <w:gridSpan w:val="2"/>
                    <w:tcBorders>
                      <w:right w:val="single" w:sz="4" w:space="0" w:color="auto"/>
                    </w:tcBorders>
                    <w:shd w:val="clear" w:color="auto" w:fill="F2F2F2" w:themeFill="background1" w:themeFillShade="F2"/>
                  </w:tcPr>
                  <w:p>
                    <w:pPr>
                      <w:ind w:left="-57" w:right="-57"/>
                      <w:jc w:val="center"/>
                      <w:rPr>
                        <w:sz w:val="20"/>
                      </w:rPr>
                    </w:pPr>
                    <w:r>
                      <w:rPr>
                        <w:sz w:val="20"/>
                      </w:rPr>
                      <w:t>90</w:t>
                    </w:r>
                  </w:p>
                  <w:p>
                    <w:pPr>
                      <w:ind w:left="-57" w:right="-57"/>
                      <w:jc w:val="center"/>
                      <w:rPr>
                        <w:sz w:val="20"/>
                      </w:rPr>
                    </w:pPr>
                    <w:r>
                      <w:rPr>
                        <w:sz w:val="20"/>
                      </w:rPr>
                      <w:t>(2029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9"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shd w:val="clear" w:color="auto" w:fill="F2F2F2" w:themeFill="background1" w:themeFillShade="F2"/>
                  </w:tcPr>
                  <w:p>
                    <w:pPr>
                      <w:rPr>
                        <w:i/>
                        <w:iCs/>
                        <w:sz w:val="20"/>
                      </w:rPr>
                    </w:pPr>
                    <w:r>
                      <w:rPr>
                        <w:b/>
                        <w:bCs/>
                        <w:sz w:val="20"/>
                      </w:rPr>
                      <w:t>8. Pacientų pavėžėjimo paslaugos modelio sukūrimas ir išbandymas</w:t>
                    </w:r>
                  </w:p>
                </w:tc>
                <w:tc>
                  <w:tcPr>
                    <w:tcW w:w="699" w:type="dxa"/>
                    <w:shd w:val="clear" w:color="auto" w:fill="F2F2F2" w:themeFill="background1" w:themeFillShade="F2"/>
                  </w:tcPr>
                  <w:p>
                    <w:pPr>
                      <w:rPr>
                        <w:sz w:val="20"/>
                      </w:rPr>
                    </w:pPr>
                    <w:r>
                      <w:rPr>
                        <w:sz w:val="20"/>
                      </w:rPr>
                      <w:t>-</w:t>
                    </w:r>
                  </w:p>
                </w:tc>
                <w:tc>
                  <w:tcPr>
                    <w:tcW w:w="1985" w:type="dxa"/>
                    <w:shd w:val="clear" w:color="auto" w:fill="F2F2F2" w:themeFill="background1" w:themeFillShade="F2"/>
                  </w:tcPr>
                  <w:p>
                    <w:pPr>
                      <w:rPr>
                        <w:sz w:val="20"/>
                      </w:rPr>
                    </w:pPr>
                    <w:r>
                      <w:rPr>
                        <w:sz w:val="20"/>
                      </w:rPr>
                      <w:t>-</w:t>
                    </w:r>
                  </w:p>
                </w:tc>
                <w:tc>
                  <w:tcPr>
                    <w:tcW w:w="829" w:type="dxa"/>
                    <w:gridSpan w:val="3"/>
                    <w:shd w:val="clear" w:color="auto" w:fill="F2F2F2" w:themeFill="background1" w:themeFillShade="F2"/>
                  </w:tcPr>
                  <w:p>
                    <w:pPr>
                      <w:rPr>
                        <w:sz w:val="20"/>
                      </w:rPr>
                    </w:pPr>
                    <w:r>
                      <w:rPr>
                        <w:sz w:val="20"/>
                      </w:rPr>
                      <w:t>-</w:t>
                    </w:r>
                  </w:p>
                </w:tc>
                <w:tc>
                  <w:tcPr>
                    <w:tcW w:w="1014" w:type="dxa"/>
                    <w:gridSpan w:val="3"/>
                    <w:shd w:val="clear" w:color="auto" w:fill="F2F2F2" w:themeFill="background1" w:themeFillShade="F2"/>
                  </w:tcPr>
                  <w:p>
                    <w:pPr>
                      <w:rPr>
                        <w:sz w:val="20"/>
                      </w:rPr>
                    </w:pPr>
                    <w:r>
                      <w:rPr>
                        <w:sz w:val="20"/>
                      </w:rPr>
                      <w:t>-</w:t>
                    </w:r>
                  </w:p>
                </w:tc>
                <w:tc>
                  <w:tcPr>
                    <w:tcW w:w="681" w:type="dxa"/>
                    <w:gridSpan w:val="3"/>
                    <w:shd w:val="clear" w:color="auto" w:fill="F2F2F2" w:themeFill="background1" w:themeFillShade="F2"/>
                  </w:tcPr>
                  <w:p>
                    <w:pPr>
                      <w:rPr>
                        <w:sz w:val="20"/>
                      </w:rPr>
                    </w:pPr>
                    <w:r>
                      <w:rPr>
                        <w:sz w:val="20"/>
                      </w:rPr>
                      <w:t>-</w:t>
                    </w:r>
                  </w:p>
                </w:tc>
                <w:tc>
                  <w:tcPr>
                    <w:tcW w:w="1167" w:type="dxa"/>
                    <w:gridSpan w:val="2"/>
                    <w:shd w:val="clear" w:color="auto" w:fill="F2F2F2" w:themeFill="background1" w:themeFillShade="F2"/>
                  </w:tcPr>
                  <w:p>
                    <w:pPr>
                      <w:rPr>
                        <w:sz w:val="20"/>
                        <w:lang w:val="en-US"/>
                      </w:rPr>
                    </w:pPr>
                    <w:r>
                      <w:rPr>
                        <w:b/>
                        <w:bCs/>
                        <w:sz w:val="20"/>
                      </w:rPr>
                      <w:t>7 000</w:t>
                    </w:r>
                  </w:p>
                </w:tc>
                <w:tc>
                  <w:tcPr>
                    <w:tcW w:w="1118" w:type="dxa"/>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w:t>
                    </w:r>
                  </w:p>
                </w:tc>
                <w:tc>
                  <w:tcPr>
                    <w:tcW w:w="1134" w:type="dxa"/>
                    <w:gridSpan w:val="2"/>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130" w:type="dxa"/>
                    <w:gridSpan w:val="2"/>
                  </w:tcPr>
                  <w:p>
                    <w:pPr>
                      <w:rPr>
                        <w:sz w:val="20"/>
                      </w:rPr>
                    </w:pPr>
                    <w:r>
                      <w:rPr>
                        <w:sz w:val="20"/>
                      </w:rPr>
                      <w:t>8.1. Pavėžėjimo paslaugų organizavimą ir teikimą reglamentuojančių teisės aktų parengimas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1134" w:type="dxa"/>
                    <w:gridSpan w:val="2"/>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9"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130" w:type="dxa"/>
                    <w:gridSpan w:val="2"/>
                    <w:vMerge w:val="restart"/>
                  </w:tcPr>
                  <w:p>
                    <w:pPr>
                      <w:rPr>
                        <w:sz w:val="20"/>
                      </w:rPr>
                    </w:pPr>
                    <w:r>
                      <w:rPr>
                        <w:sz w:val="20"/>
                      </w:rPr>
                      <w:t>8.2. Bandomojo pavėžėjimo paslaugų teikimo projekto įgyvendinimas</w:t>
                    </w:r>
                  </w:p>
                </w:tc>
                <w:tc>
                  <w:tcPr>
                    <w:tcW w:w="699" w:type="dxa"/>
                    <w:vMerge w:val="restart"/>
                  </w:tcPr>
                  <w:p>
                    <w:pPr>
                      <w:rPr>
                        <w:sz w:val="20"/>
                      </w:rPr>
                    </w:pPr>
                    <w:r>
                      <w:rPr>
                        <w:sz w:val="20"/>
                      </w:rPr>
                      <w:t>M</w:t>
                    </w:r>
                  </w:p>
                </w:tc>
                <w:tc>
                  <w:tcPr>
                    <w:tcW w:w="1985" w:type="dxa"/>
                    <w:vMerge w:val="restart"/>
                  </w:tcPr>
                  <w:p>
                    <w:pPr>
                      <w:rPr>
                        <w:sz w:val="20"/>
                      </w:rPr>
                    </w:pPr>
                    <w:r>
                      <w:rPr>
                        <w:sz w:val="20"/>
                      </w:rPr>
                      <w:t>V</w:t>
                    </w:r>
                    <w:r>
                      <w:rPr>
                        <w:sz w:val="18"/>
                        <w:szCs w:val="18"/>
                      </w:rPr>
                      <w:t>šĮ Kauno miesto greitosios medicinos pagalbos stotis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Taip</w:t>
                    </w:r>
                  </w:p>
                </w:tc>
                <w:tc>
                  <w:tcPr>
                    <w:tcW w:w="681" w:type="dxa"/>
                    <w:gridSpan w:val="3"/>
                    <w:vMerge w:val="restart"/>
                  </w:tcPr>
                  <w:p>
                    <w:pPr>
                      <w:rPr>
                        <w:sz w:val="20"/>
                      </w:rPr>
                    </w:pPr>
                    <w:r>
                      <w:rPr>
                        <w:sz w:val="20"/>
                      </w:rPr>
                      <w:t>D</w:t>
                    </w:r>
                  </w:p>
                </w:tc>
                <w:tc>
                  <w:tcPr>
                    <w:tcW w:w="1167" w:type="dxa"/>
                    <w:gridSpan w:val="2"/>
                    <w:vMerge w:val="restart"/>
                  </w:tcPr>
                  <w:p>
                    <w:pPr>
                      <w:rPr>
                        <w:sz w:val="20"/>
                        <w:lang w:val="en-US"/>
                      </w:rPr>
                    </w:pPr>
                    <w:r>
                      <w:rPr>
                        <w:sz w:val="20"/>
                        <w:lang w:val="en-US"/>
                      </w:rPr>
                      <w:t>7 000</w:t>
                    </w:r>
                  </w:p>
                </w:tc>
                <w:tc>
                  <w:tcPr>
                    <w:tcW w:w="1118" w:type="dxa"/>
                    <w:vMerge w:val="restart"/>
                  </w:tcPr>
                  <w:p>
                    <w:pPr>
                      <w:rPr>
                        <w:sz w:val="20"/>
                      </w:rPr>
                    </w:pPr>
                    <w:r>
                      <w:rPr>
                        <w:sz w:val="20"/>
                      </w:rPr>
                      <w:t>VB</w:t>
                    </w:r>
                  </w:p>
                </w:tc>
                <w:tc>
                  <w:tcPr>
                    <w:tcW w:w="2001" w:type="dxa"/>
                    <w:gridSpan w:val="2"/>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1134" w:type="dxa"/>
                    <w:gridSpan w:val="2"/>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vMerge/>
                  </w:tcPr>
                  <w:p>
                    <w:pPr>
                      <w:rPr>
                        <w:sz w:val="20"/>
                        <w:lang w:val="en-US"/>
                      </w:rPr>
                    </w:pPr>
                  </w:p>
                </w:tc>
                <w:tc>
                  <w:tcPr>
                    <w:tcW w:w="1118" w:type="dxa"/>
                    <w:vMerge/>
                  </w:tcPr>
                  <w:p>
                    <w:pPr>
                      <w:rPr>
                        <w:sz w:val="20"/>
                      </w:rPr>
                    </w:pPr>
                  </w:p>
                </w:tc>
                <w:tc>
                  <w:tcPr>
                    <w:tcW w:w="2001" w:type="dxa"/>
                    <w:gridSpan w:val="2"/>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1134" w:type="dxa"/>
                    <w:gridSpan w:val="2"/>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20"/>
                </w:trPr>
                <w:tc>
                  <w:tcPr>
                    <w:tcW w:w="2130" w:type="dxa"/>
                    <w:gridSpan w:val="2"/>
                    <w:vMerge w:val="restart"/>
                    <w:tcMar>
                      <w:left w:w="105" w:type="dxa"/>
                      <w:right w:w="105" w:type="dxa"/>
                    </w:tcMar>
                  </w:tcPr>
                  <w:p>
                    <w:pPr>
                      <w:rPr>
                        <w:color w:val="000000"/>
                        <w:sz w:val="20"/>
                      </w:rPr>
                    </w:pPr>
                    <w:r>
                      <w:rPr>
                        <w:b/>
                        <w:bCs/>
                        <w:color w:val="000000"/>
                        <w:sz w:val="20"/>
                      </w:rPr>
                      <w:t>9. Greitosios medicinos pagalbos tinklo veiklos efektyvumo didinimas:</w:t>
                    </w:r>
                  </w:p>
                </w:tc>
                <w:tc>
                  <w:tcPr>
                    <w:tcW w:w="699" w:type="dxa"/>
                    <w:vMerge w:val="restart"/>
                    <w:tcMar>
                      <w:left w:w="105" w:type="dxa"/>
                      <w:right w:w="105" w:type="dxa"/>
                    </w:tcMar>
                  </w:tcPr>
                  <w:p>
                    <w:pPr>
                      <w:rPr>
                        <w:color w:val="000000"/>
                        <w:sz w:val="20"/>
                      </w:rPr>
                    </w:pPr>
                    <w:r>
                      <w:rPr>
                        <w:color w:val="000000"/>
                        <w:sz w:val="20"/>
                      </w:rPr>
                      <w:t>-</w:t>
                    </w:r>
                  </w:p>
                </w:tc>
                <w:tc>
                  <w:tcPr>
                    <w:tcW w:w="2099" w:type="dxa"/>
                    <w:gridSpan w:val="2"/>
                    <w:vMerge w:val="restart"/>
                    <w:tcMar>
                      <w:left w:w="105" w:type="dxa"/>
                      <w:right w:w="105" w:type="dxa"/>
                    </w:tcMar>
                  </w:tcPr>
                  <w:p>
                    <w:pPr>
                      <w:rPr>
                        <w:color w:val="000000"/>
                        <w:sz w:val="20"/>
                      </w:rPr>
                    </w:pPr>
                    <w:r>
                      <w:rPr>
                        <w:color w:val="000000"/>
                        <w:sz w:val="20"/>
                      </w:rPr>
                      <w:t>-</w:t>
                    </w:r>
                  </w:p>
                </w:tc>
                <w:tc>
                  <w:tcPr>
                    <w:tcW w:w="680" w:type="dxa"/>
                    <w:vMerge w:val="restart"/>
                    <w:tcMar>
                      <w:left w:w="105" w:type="dxa"/>
                      <w:right w:w="105" w:type="dxa"/>
                    </w:tcMar>
                  </w:tcPr>
                  <w:p>
                    <w:pPr>
                      <w:rPr>
                        <w:color w:val="000000"/>
                        <w:sz w:val="20"/>
                      </w:rPr>
                    </w:pPr>
                    <w:r>
                      <w:rPr>
                        <w:color w:val="000000"/>
                        <w:sz w:val="20"/>
                      </w:rPr>
                      <w:t>-</w:t>
                    </w:r>
                  </w:p>
                </w:tc>
                <w:tc>
                  <w:tcPr>
                    <w:tcW w:w="1081" w:type="dxa"/>
                    <w:gridSpan w:val="5"/>
                    <w:vMerge w:val="restart"/>
                    <w:tcMar>
                      <w:left w:w="105" w:type="dxa"/>
                      <w:right w:w="105" w:type="dxa"/>
                    </w:tcMar>
                  </w:tcPr>
                  <w:p>
                    <w:pPr>
                      <w:rPr>
                        <w:color w:val="000000"/>
                        <w:sz w:val="20"/>
                      </w:rPr>
                    </w:pPr>
                    <w:r>
                      <w:rPr>
                        <w:color w:val="000000"/>
                        <w:sz w:val="20"/>
                      </w:rPr>
                      <w:t>-</w:t>
                    </w:r>
                  </w:p>
                </w:tc>
                <w:tc>
                  <w:tcPr>
                    <w:tcW w:w="625" w:type="dxa"/>
                    <w:vMerge w:val="restart"/>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sz w:val="4"/>
                        <w:szCs w:val="4"/>
                      </w:rPr>
                    </w:pPr>
                  </w:p>
                  <w:p>
                    <w:pPr>
                      <w:spacing w:afterLines="40" w:after="96"/>
                      <w:jc w:val="center"/>
                      <w:rPr>
                        <w:color w:val="000000"/>
                        <w:sz w:val="20"/>
                      </w:rPr>
                    </w:pPr>
                    <w:r>
                      <w:rPr>
                        <w:color w:val="000000"/>
                        <w:sz w:val="20"/>
                      </w:rPr>
                      <w:t>53 902,535</w:t>
                    </w:r>
                  </w:p>
                </w:tc>
                <w:tc>
                  <w:tcPr>
                    <w:tcW w:w="1118" w:type="dxa"/>
                    <w:tcMar>
                      <w:left w:w="105" w:type="dxa"/>
                      <w:right w:w="105" w:type="dxa"/>
                    </w:tcMar>
                  </w:tcPr>
                  <w:p>
                    <w:pPr>
                      <w:rPr>
                        <w:color w:val="000000"/>
                        <w:sz w:val="20"/>
                      </w:rPr>
                    </w:pPr>
                    <w:r>
                      <w:rPr>
                        <w:color w:val="000000"/>
                        <w:sz w:val="20"/>
                      </w:rPr>
                      <w:t xml:space="preserve">- </w:t>
                    </w:r>
                  </w:p>
                </w:tc>
                <w:tc>
                  <w:tcPr>
                    <w:tcW w:w="2001" w:type="dxa"/>
                    <w:gridSpan w:val="2"/>
                    <w:vMerge w:val="restart"/>
                    <w:tcMar>
                      <w:left w:w="105" w:type="dxa"/>
                      <w:right w:w="105" w:type="dxa"/>
                    </w:tcMar>
                  </w:tcPr>
                  <w:p>
                    <w:pPr>
                      <w:ind w:left="-57" w:right="-57"/>
                      <w:rPr>
                        <w:color w:val="000000"/>
                        <w:sz w:val="20"/>
                      </w:rPr>
                    </w:pPr>
                    <w:r>
                      <w:rPr>
                        <w:color w:val="000000"/>
                        <w:sz w:val="20"/>
                      </w:rPr>
                      <w:t>-</w:t>
                    </w:r>
                  </w:p>
                </w:tc>
                <w:tc>
                  <w:tcPr>
                    <w:tcW w:w="1001" w:type="dxa"/>
                    <w:vMerge w:val="restart"/>
                    <w:tcMar>
                      <w:left w:w="105" w:type="dxa"/>
                      <w:right w:w="105" w:type="dxa"/>
                    </w:tcMar>
                  </w:tcPr>
                  <w:p>
                    <w:pPr>
                      <w:ind w:left="-57" w:right="-57"/>
                      <w:jc w:val="center"/>
                      <w:rPr>
                        <w:color w:val="000000"/>
                        <w:sz w:val="20"/>
                      </w:rPr>
                    </w:pPr>
                    <w:r>
                      <w:rPr>
                        <w:color w:val="000000"/>
                        <w:sz w:val="20"/>
                      </w:rPr>
                      <w:t>-</w:t>
                    </w:r>
                  </w:p>
                </w:tc>
                <w:tc>
                  <w:tcPr>
                    <w:tcW w:w="1125" w:type="dxa"/>
                    <w:gridSpan w:val="2"/>
                    <w:vMerge w:val="restart"/>
                    <w:tcMar>
                      <w:left w:w="105" w:type="dxa"/>
                      <w:right w:w="105" w:type="dxa"/>
                    </w:tcMar>
                  </w:tcPr>
                  <w:p>
                    <w:pPr>
                      <w:rPr>
                        <w:color w:val="000000"/>
                        <w:sz w:val="20"/>
                      </w:rPr>
                    </w:pPr>
                    <w:r>
                      <w:rPr>
                        <w:color w:val="000000"/>
                        <w:sz w:val="20"/>
                      </w:rPr>
                      <w:t>-</w:t>
                    </w:r>
                  </w:p>
                </w:tc>
                <w:tc>
                  <w:tcPr>
                    <w:tcW w:w="1279" w:type="dxa"/>
                    <w:vMerge w:val="restart"/>
                    <w:tcMar>
                      <w:left w:w="105" w:type="dxa"/>
                      <w:right w:w="105" w:type="dxa"/>
                    </w:tcMar>
                    <w:vAlign w:val="center"/>
                  </w:tcPr>
                  <w:p>
                    <w:pPr>
                      <w:ind w:firstLine="53"/>
                      <w:rPr>
                        <w:color w:val="000000"/>
                        <w:sz w:val="20"/>
                      </w:rPr>
                    </w:pPr>
                  </w:p>
                </w:tc>
              </w:tr>
              <w:tr>
                <w:trPr>
                  <w:trHeight w:val="76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(BF, Sostinės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tcMar>
                      <w:left w:w="105" w:type="dxa"/>
                      <w:right w:w="105" w:type="dxa"/>
                    </w:tcMar>
                  </w:tcPr>
                  <w:p>
                    <w:pPr>
                      <w:rPr>
                        <w:sz w:val="4"/>
                        <w:szCs w:val="4"/>
                      </w:rPr>
                    </w:pPr>
                  </w:p>
                  <w:p>
                    <w:pPr>
                      <w:jc w:val="center"/>
                      <w:rPr>
                        <w:color w:val="000000"/>
                        <w:sz w:val="20"/>
                      </w:rPr>
                    </w:pPr>
                    <w:r>
                      <w:rPr>
                        <w:color w:val="000000"/>
                        <w:sz w:val="20"/>
                      </w:rPr>
                      <w:t>6 028,243</w:t>
                    </w:r>
                  </w:p>
                </w:tc>
                <w:tc>
                  <w:tcPr>
                    <w:tcW w:w="1118" w:type="dxa"/>
                    <w:tcMar>
                      <w:left w:w="105" w:type="dxa"/>
                      <w:right w:w="105" w:type="dxa"/>
                    </w:tcMar>
                  </w:tcPr>
                  <w:p>
                    <w:pPr>
                      <w:rPr>
                        <w:color w:val="000000"/>
                        <w:sz w:val="20"/>
                      </w:rPr>
                    </w:pPr>
                    <w:r>
                      <w:rPr>
                        <w:color w:val="000000"/>
                        <w:sz w:val="20"/>
                      </w:rPr>
                      <w:t>2021–2027 m. IP (BF, VVL regionas)</w:t>
                    </w:r>
                  </w:p>
                </w:tc>
                <w:tc>
                  <w:tcPr>
                    <w:tcW w:w="2001" w:type="dxa"/>
                    <w:gridSpan w:val="2"/>
                    <w:vMerge/>
                    <w:vAlign w:val="center"/>
                  </w:tcPr>
                  <w:p/>
                </w:tc>
                <w:tc>
                  <w:tcPr>
                    <w:tcW w:w="1001" w:type="dxa"/>
                    <w:vMerge/>
                    <w:vAlign w:val="center"/>
                  </w:tcPr>
                  <w:p/>
                </w:tc>
                <w:tc>
                  <w:tcPr>
                    <w:tcW w:w="1125" w:type="dxa"/>
                    <w:gridSpan w:val="2"/>
                    <w:vMerge/>
                    <w:vAlign w:val="center"/>
                  </w:tcPr>
                  <w:p/>
                </w:tc>
                <w:tc>
                  <w:tcPr>
                    <w:tcW w:w="1279" w:type="dxa"/>
                    <w:vMerge/>
                    <w:vAlign w:val="center"/>
                  </w:tcPr>
                  <w:p/>
                </w:tc>
              </w:tr>
              <w:tr>
                <w:trPr>
                  <w:trHeight w:val="420"/>
                </w:trPr>
                <w:tc>
                  <w:tcPr>
                    <w:tcW w:w="2130" w:type="dxa"/>
                    <w:gridSpan w:val="2"/>
                    <w:tcMar>
                      <w:left w:w="105" w:type="dxa"/>
                      <w:right w:w="105" w:type="dxa"/>
                    </w:tcMar>
                  </w:tcPr>
                  <w:p>
                    <w:pPr>
                      <w:rPr>
                        <w:color w:val="000000"/>
                        <w:sz w:val="20"/>
                      </w:rPr>
                    </w:pPr>
                    <w:r>
                      <w:rPr>
                        <w:color w:val="000000"/>
                        <w:sz w:val="20"/>
                      </w:rPr>
                      <w:t>9.1. Centralizuotą greitosios medicinos pagalbos teikimą reglamentuojančių teisės aktų parengimas</w:t>
                    </w:r>
                  </w:p>
                </w:tc>
                <w:tc>
                  <w:tcPr>
                    <w:tcW w:w="699" w:type="dxa"/>
                    <w:tcMar>
                      <w:left w:w="105" w:type="dxa"/>
                      <w:right w:w="105" w:type="dxa"/>
                    </w:tcMar>
                  </w:tcPr>
                  <w:p>
                    <w:pPr>
                      <w:rPr>
                        <w:color w:val="000000"/>
                        <w:sz w:val="20"/>
                      </w:rPr>
                    </w:pPr>
                    <w:r>
                      <w:rPr>
                        <w:color w:val="000000"/>
                        <w:sz w:val="20"/>
                      </w:rPr>
                      <w:t>R</w:t>
                    </w:r>
                  </w:p>
                </w:tc>
                <w:tc>
                  <w:tcPr>
                    <w:tcW w:w="2099" w:type="dxa"/>
                    <w:gridSpan w:val="2"/>
                    <w:tcMar>
                      <w:left w:w="105" w:type="dxa"/>
                      <w:right w:w="105" w:type="dxa"/>
                    </w:tcMar>
                  </w:tcPr>
                  <w:p>
                    <w:pPr>
                      <w:rPr>
                        <w:color w:val="000000"/>
                        <w:sz w:val="20"/>
                      </w:rPr>
                    </w:pPr>
                    <w:r>
                      <w:rPr>
                        <w:color w:val="000000"/>
                        <w:sz w:val="20"/>
                      </w:rPr>
                      <w:t>-</w:t>
                    </w:r>
                  </w:p>
                </w:tc>
                <w:tc>
                  <w:tcPr>
                    <w:tcW w:w="680" w:type="dxa"/>
                    <w:tcMar>
                      <w:left w:w="105" w:type="dxa"/>
                      <w:right w:w="105" w:type="dxa"/>
                    </w:tcMar>
                  </w:tcPr>
                  <w:p>
                    <w:pPr>
                      <w:rPr>
                        <w:color w:val="000000"/>
                        <w:sz w:val="20"/>
                      </w:rPr>
                    </w:pPr>
                    <w:r>
                      <w:rPr>
                        <w:color w:val="000000"/>
                        <w:sz w:val="20"/>
                      </w:rPr>
                      <w:t>-</w:t>
                    </w:r>
                  </w:p>
                </w:tc>
                <w:tc>
                  <w:tcPr>
                    <w:tcW w:w="1081" w:type="dxa"/>
                    <w:gridSpan w:val="5"/>
                    <w:tcMar>
                      <w:left w:w="105" w:type="dxa"/>
                      <w:right w:w="105" w:type="dxa"/>
                    </w:tcMar>
                  </w:tcPr>
                  <w:p>
                    <w:pPr>
                      <w:rPr>
                        <w:color w:val="000000"/>
                        <w:sz w:val="20"/>
                      </w:rPr>
                    </w:pPr>
                    <w:r>
                      <w:rPr>
                        <w:color w:val="000000"/>
                        <w:sz w:val="20"/>
                      </w:rPr>
                      <w:t>Taip</w:t>
                    </w:r>
                  </w:p>
                </w:tc>
                <w:tc>
                  <w:tcPr>
                    <w:tcW w:w="625" w:type="dxa"/>
                    <w:tcMar>
                      <w:left w:w="105" w:type="dxa"/>
                      <w:right w:w="105" w:type="dxa"/>
                    </w:tcMar>
                  </w:tcPr>
                  <w:p>
                    <w:pPr>
                      <w:rPr>
                        <w:color w:val="000000"/>
                        <w:sz w:val="20"/>
                      </w:rPr>
                    </w:pPr>
                    <w:r>
                      <w:rPr>
                        <w:color w:val="000000"/>
                        <w:sz w:val="20"/>
                      </w:rPr>
                      <w:t>-</w:t>
                    </w:r>
                  </w:p>
                </w:tc>
                <w:tc>
                  <w:tcPr>
                    <w:tcW w:w="1191" w:type="dxa"/>
                    <w:gridSpan w:val="3"/>
                    <w:tcMar>
                      <w:left w:w="105" w:type="dxa"/>
                      <w:right w:w="105" w:type="dxa"/>
                    </w:tcMar>
                  </w:tcPr>
                  <w:p>
                    <w:pPr>
                      <w:rPr>
                        <w:color w:val="000000"/>
                        <w:sz w:val="20"/>
                      </w:rPr>
                    </w:pPr>
                    <w:r>
                      <w:rPr>
                        <w:color w:val="000000"/>
                        <w:sz w:val="20"/>
                        <w:lang w:val="en-US"/>
                      </w:rPr>
                      <w:t>-</w:t>
                    </w:r>
                  </w:p>
                </w:tc>
                <w:tc>
                  <w:tcPr>
                    <w:tcW w:w="1118" w:type="dxa"/>
                    <w:tcMar>
                      <w:left w:w="105" w:type="dxa"/>
                      <w:right w:w="105" w:type="dxa"/>
                    </w:tcMar>
                  </w:tcPr>
                  <w:p>
                    <w:pPr>
                      <w:rPr>
                        <w:color w:val="000000"/>
                        <w:sz w:val="20"/>
                      </w:rPr>
                    </w:pPr>
                    <w:r>
                      <w:rPr>
                        <w:color w:val="000000"/>
                        <w:sz w:val="20"/>
                      </w:rPr>
                      <w:t>-</w:t>
                    </w:r>
                  </w:p>
                </w:tc>
                <w:tc>
                  <w:tcPr>
                    <w:tcW w:w="2001" w:type="dxa"/>
                    <w:gridSpan w:val="2"/>
                    <w:tcMar>
                      <w:left w:w="105" w:type="dxa"/>
                      <w:right w:w="105" w:type="dxa"/>
                    </w:tcMar>
                  </w:tcPr>
                  <w:p>
                    <w:pPr>
                      <w:ind w:left="-57" w:right="-57"/>
                      <w:rPr>
                        <w:color w:val="000000"/>
                        <w:sz w:val="20"/>
                      </w:rPr>
                    </w:pPr>
                    <w:r>
                      <w:rPr>
                        <w:color w:val="000000"/>
                        <w:sz w:val="20"/>
                      </w:rPr>
                      <w:t xml:space="preserve">P – Lietuvos Respublikos sveikatos priežiūros įstaigų įstatymo, Lietuvos Respublikos sveikatos sistemos įstatymo ir susijusių teisės aktų pakeitimų įsigaliojimas, kompl. </w:t>
                    </w:r>
                  </w:p>
                </w:tc>
                <w:tc>
                  <w:tcPr>
                    <w:tcW w:w="1001" w:type="dxa"/>
                    <w:tcMar>
                      <w:left w:w="105" w:type="dxa"/>
                      <w:right w:w="105" w:type="dxa"/>
                    </w:tcMar>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IV ketv.)</w:t>
                    </w:r>
                  </w:p>
                </w:tc>
                <w:tc>
                  <w:tcPr>
                    <w:tcW w:w="1125" w:type="dxa"/>
                    <w:gridSpan w:val="2"/>
                    <w:tcMar>
                      <w:left w:w="105" w:type="dxa"/>
                      <w:right w:w="105" w:type="dxa"/>
                    </w:tcMar>
                  </w:tcPr>
                  <w:p>
                    <w:pPr>
                      <w:jc w:val="center"/>
                      <w:rPr>
                        <w:color w:val="000000"/>
                        <w:sz w:val="20"/>
                      </w:rPr>
                    </w:pPr>
                    <w:r>
                      <w:rPr>
                        <w:color w:val="000000"/>
                        <w:sz w:val="20"/>
                      </w:rPr>
                      <w:t>-</w:t>
                    </w:r>
                  </w:p>
                </w:tc>
                <w:tc>
                  <w:tcPr>
                    <w:tcW w:w="1279" w:type="dxa"/>
                    <w:tcMar>
                      <w:left w:w="105" w:type="dxa"/>
                      <w:right w:w="105" w:type="dxa"/>
                    </w:tcMar>
                  </w:tcPr>
                  <w:p>
                    <w:pPr>
                      <w:jc w:val="center"/>
                      <w:rPr>
                        <w:color w:val="000000"/>
                        <w:sz w:val="20"/>
                      </w:rPr>
                    </w:pPr>
                    <w:r>
                      <w:rPr>
                        <w:color w:val="000000"/>
                        <w:sz w:val="20"/>
                      </w:rPr>
                      <w:t>SAM</w:t>
                    </w:r>
                  </w:p>
                </w:tc>
              </w:tr>
              <w:tr>
                <w:trPr>
                  <w:trHeight w:val="1290"/>
                </w:trPr>
                <w:tc>
                  <w:tcPr>
                    <w:tcW w:w="2130" w:type="dxa"/>
                    <w:gridSpan w:val="2"/>
                    <w:vMerge w:val="restart"/>
                    <w:tcMar>
                      <w:left w:w="105" w:type="dxa"/>
                      <w:right w:w="105" w:type="dxa"/>
                    </w:tcMar>
                  </w:tcPr>
                  <w:p>
                    <w:pPr>
                      <w:rPr>
                        <w:color w:val="000000"/>
                        <w:sz w:val="20"/>
                      </w:rPr>
                    </w:pPr>
                    <w:r>
                      <w:rPr>
                        <w:color w:val="000000"/>
                        <w:sz w:val="20"/>
                      </w:rPr>
                      <w:t>9.2. Greitosios medicinos pagalbos automobilių, įrangos įsigijimas</w:t>
                    </w:r>
                    <w:r>
                      <w:rPr>
                        <w:color w:val="0070C0"/>
                        <w:sz w:val="20"/>
                      </w:rPr>
                      <w:t xml:space="preserve">, </w:t>
                    </w:r>
                    <w:r>
                      <w:rPr>
                        <w:color w:val="000000"/>
                        <w:sz w:val="20"/>
                      </w:rPr>
                      <w:t>greitosios medicinos pagalbos stočių infrastruktūros pritaikymas, Sostinės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Greitosios medicinos pagalbos tarnyba (toliau –GMP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6 857,123</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790 000</w:t>
                    </w:r>
                  </w:p>
                  <w:p>
                    <w:pPr>
                      <w:ind w:left="-57" w:right="-57"/>
                      <w:jc w:val="center"/>
                      <w:rPr>
                        <w:color w:val="000000"/>
                        <w:sz w:val="20"/>
                      </w:rPr>
                    </w:pPr>
                    <w:r>
                      <w:rPr>
                        <w:color w:val="000000"/>
                        <w:sz w:val="20"/>
                      </w:rPr>
                      <w:t>(2029 m.)</w:t>
                    </w:r>
                  </w:p>
                </w:tc>
                <w:tc>
                  <w:tcPr>
                    <w:tcW w:w="1125" w:type="dxa"/>
                    <w:gridSpan w:val="2"/>
                    <w:vMerge w:val="restart"/>
                    <w:tcMar>
                      <w:left w:w="105" w:type="dxa"/>
                      <w:right w:w="105" w:type="dxa"/>
                    </w:tcMar>
                  </w:tcPr>
                  <w:p>
                    <w:pPr>
                      <w:rPr>
                        <w:color w:val="000000"/>
                        <w:sz w:val="20"/>
                      </w:rPr>
                    </w:pPr>
                    <w:r>
                      <w:rPr>
                        <w:color w:val="000000"/>
                        <w:sz w:val="20"/>
                      </w:rPr>
                      <w:t>CPVA</w:t>
                    </w:r>
                  </w:p>
                </w:tc>
                <w:tc>
                  <w:tcPr>
                    <w:tcW w:w="1279" w:type="dxa"/>
                    <w:vMerge w:val="restart"/>
                    <w:tcMar>
                      <w:left w:w="105" w:type="dxa"/>
                      <w:right w:w="105" w:type="dxa"/>
                    </w:tcMar>
                  </w:tcPr>
                  <w:p>
                    <w:pPr>
                      <w:jc w:val="center"/>
                      <w:rPr>
                        <w:color w:val="000000"/>
                        <w:sz w:val="20"/>
                      </w:rPr>
                    </w:pPr>
                    <w:r>
                      <w:rPr>
                        <w:color w:val="000000"/>
                        <w:sz w:val="20"/>
                      </w:rPr>
                      <w:t>SAM</w:t>
                    </w: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6 857,123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93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restart"/>
                    <w:tcMar>
                      <w:left w:w="105" w:type="dxa"/>
                      <w:right w:w="105" w:type="dxa"/>
                    </w:tcMar>
                  </w:tcPr>
                  <w:p>
                    <w:pPr>
                      <w:rPr>
                        <w:color w:val="000000"/>
                        <w:sz w:val="20"/>
                      </w:rPr>
                    </w:pPr>
                    <w:r>
                      <w:rPr>
                        <w:color w:val="000000"/>
                        <w:sz w:val="20"/>
                      </w:rPr>
                      <w:t>9.3. Greitosios medicinos pagalbos automobilių, įrangos įsigijimas</w:t>
                    </w:r>
                    <w:r>
                      <w:rPr>
                        <w:color w:val="0070C0"/>
                        <w:sz w:val="20"/>
                      </w:rPr>
                      <w:t xml:space="preserve">,  </w:t>
                    </w:r>
                    <w:r>
                      <w:rPr>
                        <w:color w:val="000000"/>
                        <w:sz w:val="20"/>
                      </w:rPr>
                      <w:t>greitosios medicinos pagalbos stočių infrastruktūros pritaikymas, Vidurio ir vakarų Lietuvos regionas</w:t>
                    </w:r>
                  </w:p>
                </w:tc>
                <w:tc>
                  <w:tcPr>
                    <w:tcW w:w="699" w:type="dxa"/>
                    <w:vMerge w:val="restart"/>
                    <w:tcMar>
                      <w:left w:w="105" w:type="dxa"/>
                      <w:right w:w="105" w:type="dxa"/>
                    </w:tcMar>
                  </w:tcPr>
                  <w:p>
                    <w:pPr>
                      <w:rPr>
                        <w:color w:val="000000"/>
                        <w:sz w:val="20"/>
                      </w:rPr>
                    </w:pPr>
                    <w:r>
                      <w:rPr>
                        <w:color w:val="000000"/>
                        <w:sz w:val="20"/>
                      </w:rPr>
                      <w:t>I</w:t>
                    </w:r>
                  </w:p>
                </w:tc>
                <w:tc>
                  <w:tcPr>
                    <w:tcW w:w="2099" w:type="dxa"/>
                    <w:gridSpan w:val="2"/>
                    <w:vMerge w:val="restart"/>
                    <w:tcMar>
                      <w:left w:w="105" w:type="dxa"/>
                      <w:right w:w="105" w:type="dxa"/>
                    </w:tcMar>
                  </w:tcPr>
                  <w:p>
                    <w:pPr>
                      <w:rPr>
                        <w:color w:val="000000"/>
                        <w:sz w:val="20"/>
                      </w:rPr>
                    </w:pPr>
                    <w:r>
                      <w:rPr>
                        <w:color w:val="000000"/>
                        <w:sz w:val="20"/>
                      </w:rPr>
                      <w:t>GMP tarnyba</w:t>
                    </w:r>
                  </w:p>
                </w:tc>
                <w:tc>
                  <w:tcPr>
                    <w:tcW w:w="680" w:type="dxa"/>
                    <w:vMerge w:val="restart"/>
                    <w:tcMar>
                      <w:left w:w="105" w:type="dxa"/>
                      <w:right w:w="105" w:type="dxa"/>
                    </w:tcMar>
                  </w:tcPr>
                  <w:p>
                    <w:pPr>
                      <w:rPr>
                        <w:color w:val="000000"/>
                        <w:sz w:val="20"/>
                      </w:rPr>
                    </w:pPr>
                    <w:r>
                      <w:rPr>
                        <w:color w:val="000000"/>
                        <w:sz w:val="20"/>
                      </w:rPr>
                      <w:t>P</w:t>
                    </w:r>
                  </w:p>
                </w:tc>
                <w:tc>
                  <w:tcPr>
                    <w:tcW w:w="1081" w:type="dxa"/>
                    <w:gridSpan w:val="5"/>
                    <w:vMerge w:val="restart"/>
                    <w:tcMar>
                      <w:left w:w="105" w:type="dxa"/>
                      <w:right w:w="105" w:type="dxa"/>
                    </w:tcMar>
                  </w:tcPr>
                  <w:p>
                    <w:pPr>
                      <w:rPr>
                        <w:color w:val="000000"/>
                        <w:sz w:val="20"/>
                      </w:rPr>
                    </w:pPr>
                    <w:r>
                      <w:rPr>
                        <w:color w:val="000000"/>
                        <w:sz w:val="20"/>
                      </w:rPr>
                      <w:t>Taip</w:t>
                    </w:r>
                  </w:p>
                </w:tc>
                <w:tc>
                  <w:tcPr>
                    <w:tcW w:w="625" w:type="dxa"/>
                    <w:vMerge w:val="restart"/>
                    <w:tcMar>
                      <w:left w:w="105" w:type="dxa"/>
                      <w:right w:w="105" w:type="dxa"/>
                    </w:tcMar>
                  </w:tcPr>
                  <w:p>
                    <w:pPr>
                      <w:rPr>
                        <w:color w:val="000000"/>
                        <w:sz w:val="20"/>
                      </w:rPr>
                    </w:pPr>
                    <w:r>
                      <w:rPr>
                        <w:color w:val="000000"/>
                        <w:sz w:val="20"/>
                      </w:rPr>
                      <w:t>D</w:t>
                    </w:r>
                  </w:p>
                </w:tc>
                <w:tc>
                  <w:tcPr>
                    <w:tcW w:w="1191" w:type="dxa"/>
                    <w:gridSpan w:val="3"/>
                    <w:tcMar>
                      <w:left w:w="105" w:type="dxa"/>
                      <w:right w:w="105" w:type="dxa"/>
                    </w:tcMar>
                  </w:tcPr>
                  <w:p>
                    <w:pPr>
                      <w:jc w:val="center"/>
                      <w:rPr>
                        <w:color w:val="000000"/>
                        <w:sz w:val="20"/>
                      </w:rPr>
                    </w:pPr>
                    <w:r>
                      <w:rPr>
                        <w:color w:val="000000"/>
                        <w:sz w:val="20"/>
                      </w:rPr>
                      <w:t>34 160,046</w:t>
                    </w:r>
                  </w:p>
                </w:tc>
                <w:tc>
                  <w:tcPr>
                    <w:tcW w:w="1118" w:type="dxa"/>
                    <w:tcMar>
                      <w:left w:w="105" w:type="dxa"/>
                      <w:right w:w="105" w:type="dxa"/>
                    </w:tcMar>
                  </w:tcPr>
                  <w:p>
                    <w:pPr>
                      <w:rPr>
                        <w:color w:val="000000"/>
                        <w:sz w:val="20"/>
                      </w:rPr>
                    </w:pPr>
                    <w:r>
                      <w:rPr>
                        <w:color w:val="000000"/>
                        <w:sz w:val="20"/>
                      </w:rPr>
                      <w:t>2021–2027 m. IP (ERPF)</w:t>
                    </w:r>
                  </w:p>
                </w:tc>
                <w:tc>
                  <w:tcPr>
                    <w:tcW w:w="2001" w:type="dxa"/>
                    <w:gridSpan w:val="2"/>
                    <w:tcMar>
                      <w:left w:w="105" w:type="dxa"/>
                      <w:right w:w="105" w:type="dxa"/>
                    </w:tcMar>
                  </w:tcPr>
                  <w:p>
                    <w:pPr>
                      <w:ind w:left="-57" w:right="-57"/>
                      <w:rPr>
                        <w:color w:val="000000"/>
                        <w:sz w:val="20"/>
                      </w:rPr>
                    </w:pPr>
                    <w:r>
                      <w:rPr>
                        <w:color w:val="000000"/>
                        <w:sz w:val="20"/>
                      </w:rPr>
                      <w:t xml:space="preserve">P – Greitosios medicinos pagalbos paslaugų infrastruktūros, kuriai skirta parama, pajėgumas, asmenys per metus </w:t>
                    </w:r>
                  </w:p>
                </w:tc>
                <w:tc>
                  <w:tcPr>
                    <w:tcW w:w="1001" w:type="dxa"/>
                    <w:tcMar>
                      <w:left w:w="105" w:type="dxa"/>
                      <w:right w:w="105" w:type="dxa"/>
                    </w:tcMar>
                  </w:tcPr>
                  <w:p>
                    <w:pPr>
                      <w:ind w:left="-57" w:right="-57"/>
                      <w:jc w:val="center"/>
                      <w:rPr>
                        <w:color w:val="000000"/>
                        <w:sz w:val="20"/>
                      </w:rPr>
                    </w:pPr>
                    <w:r>
                      <w:rPr>
                        <w:color w:val="000000"/>
                        <w:sz w:val="20"/>
                      </w:rPr>
                      <w:t xml:space="preserve">2 000 000 </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645"/>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restart"/>
                    <w:tcMar>
                      <w:left w:w="105" w:type="dxa"/>
                      <w:right w:w="105" w:type="dxa"/>
                    </w:tcMar>
                  </w:tcPr>
                  <w:p>
                    <w:pPr>
                      <w:jc w:val="center"/>
                      <w:rPr>
                        <w:color w:val="000000"/>
                        <w:sz w:val="20"/>
                      </w:rPr>
                    </w:pPr>
                    <w:r>
                      <w:rPr>
                        <w:color w:val="000000"/>
                        <w:sz w:val="20"/>
                      </w:rPr>
                      <w:t>6 028, 243</w:t>
                    </w:r>
                  </w:p>
                </w:tc>
                <w:tc>
                  <w:tcPr>
                    <w:tcW w:w="1118" w:type="dxa"/>
                    <w:vMerge w:val="restart"/>
                    <w:tcMar>
                      <w:left w:w="105" w:type="dxa"/>
                      <w:right w:w="105" w:type="dxa"/>
                    </w:tcMar>
                  </w:tcPr>
                  <w:p>
                    <w:pPr>
                      <w:rPr>
                        <w:color w:val="000000"/>
                        <w:sz w:val="20"/>
                      </w:rPr>
                    </w:pPr>
                    <w:r>
                      <w:rPr>
                        <w:color w:val="000000"/>
                        <w:sz w:val="20"/>
                      </w:rPr>
                      <w:t>2021–2027 m. IP (BF)</w:t>
                    </w:r>
                  </w:p>
                </w:tc>
                <w:tc>
                  <w:tcPr>
                    <w:tcW w:w="2001" w:type="dxa"/>
                    <w:gridSpan w:val="2"/>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15 min. (mieste), dalis, proc. </w:t>
                    </w:r>
                  </w:p>
                </w:tc>
                <w:tc>
                  <w:tcPr>
                    <w:tcW w:w="1001" w:type="dxa"/>
                    <w:tcMar>
                      <w:left w:w="105" w:type="dxa"/>
                      <w:right w:w="105" w:type="dxa"/>
                    </w:tcMar>
                  </w:tcPr>
                  <w:p>
                    <w:pPr>
                      <w:ind w:left="-57" w:right="-57"/>
                      <w:jc w:val="center"/>
                      <w:rPr>
                        <w:color w:val="000000"/>
                        <w:sz w:val="20"/>
                      </w:rPr>
                    </w:pPr>
                    <w:r>
                      <w:rPr>
                        <w:color w:val="000000"/>
                        <w:sz w:val="20"/>
                      </w:rPr>
                      <w:t>98</w:t>
                    </w:r>
                  </w:p>
                  <w:p>
                    <w:pPr>
                      <w:ind w:left="-57" w:right="-57"/>
                      <w:jc w:val="center"/>
                      <w:rPr>
                        <w:color w:val="000000"/>
                        <w:sz w:val="20"/>
                      </w:rPr>
                    </w:pPr>
                    <w:r>
                      <w:rPr>
                        <w:color w:val="000000"/>
                        <w:sz w:val="20"/>
                      </w:rPr>
                      <w:t>(2029 m.)</w:t>
                    </w:r>
                  </w:p>
                </w:tc>
                <w:tc>
                  <w:tcPr>
                    <w:tcW w:w="1125" w:type="dxa"/>
                    <w:gridSpan w:val="2"/>
                    <w:vMerge/>
                    <w:vAlign w:val="center"/>
                  </w:tcPr>
                  <w:p/>
                </w:tc>
                <w:tc>
                  <w:tcPr>
                    <w:tcW w:w="1279" w:type="dxa"/>
                    <w:vMerge/>
                    <w:vAlign w:val="center"/>
                  </w:tcPr>
                  <w:p/>
                </w:tc>
              </w:tr>
              <w:tr>
                <w:trPr>
                  <w:trHeight w:val="420"/>
                </w:trPr>
                <w:tc>
                  <w:tcPr>
                    <w:tcW w:w="2130" w:type="dxa"/>
                    <w:gridSpan w:val="2"/>
                    <w:vMerge/>
                    <w:vAlign w:val="center"/>
                  </w:tcPr>
                  <w:p/>
                </w:tc>
                <w:tc>
                  <w:tcPr>
                    <w:tcW w:w="699" w:type="dxa"/>
                    <w:vMerge/>
                    <w:vAlign w:val="center"/>
                  </w:tcPr>
                  <w:p/>
                </w:tc>
                <w:tc>
                  <w:tcPr>
                    <w:tcW w:w="2099" w:type="dxa"/>
                    <w:gridSpan w:val="2"/>
                    <w:vMerge/>
                    <w:vAlign w:val="center"/>
                  </w:tcPr>
                  <w:p/>
                </w:tc>
                <w:tc>
                  <w:tcPr>
                    <w:tcW w:w="680" w:type="dxa"/>
                    <w:vMerge/>
                    <w:vAlign w:val="center"/>
                  </w:tcPr>
                  <w:p/>
                </w:tc>
                <w:tc>
                  <w:tcPr>
                    <w:tcW w:w="1081" w:type="dxa"/>
                    <w:gridSpan w:val="5"/>
                    <w:vMerge/>
                    <w:vAlign w:val="center"/>
                  </w:tcPr>
                  <w:p/>
                </w:tc>
                <w:tc>
                  <w:tcPr>
                    <w:tcW w:w="625" w:type="dxa"/>
                    <w:vMerge/>
                    <w:vAlign w:val="center"/>
                  </w:tcPr>
                  <w:p/>
                </w:tc>
                <w:tc>
                  <w:tcPr>
                    <w:tcW w:w="1191" w:type="dxa"/>
                    <w:gridSpan w:val="3"/>
                    <w:vMerge/>
                    <w:vAlign w:val="center"/>
                  </w:tcPr>
                  <w:p/>
                </w:tc>
                <w:tc>
                  <w:tcPr>
                    <w:tcW w:w="1118" w:type="dxa"/>
                    <w:vMerge/>
                    <w:vAlign w:val="center"/>
                  </w:tcPr>
                  <w:p/>
                </w:tc>
                <w:tc>
                  <w:tcPr>
                    <w:tcW w:w="2001" w:type="dxa"/>
                    <w:gridSpan w:val="2"/>
                    <w:shd w:val="clear" w:color="auto" w:fill="FFFFFF" w:themeFill="background1"/>
                    <w:tcMar>
                      <w:left w:w="105" w:type="dxa"/>
                      <w:right w:w="105" w:type="dxa"/>
                    </w:tcMar>
                  </w:tcPr>
                  <w:p>
                    <w:pPr>
                      <w:ind w:left="-57" w:right="-57"/>
                      <w:rPr>
                        <w:color w:val="000000"/>
                        <w:sz w:val="20"/>
                      </w:rPr>
                    </w:pPr>
                    <w:r>
                      <w:rPr>
                        <w:color w:val="000000"/>
                        <w:sz w:val="20"/>
                      </w:rPr>
                      <w:t xml:space="preserve">R </w:t>
                    </w:r>
                    <w:r>
                      <w:rPr>
                        <w:color w:val="000000"/>
                        <w:szCs w:val="24"/>
                      </w:rPr>
                      <w:t>–</w:t>
                    </w:r>
                    <w:r>
                      <w:rPr>
                        <w:color w:val="000000"/>
                        <w:sz w:val="20"/>
                      </w:rPr>
                      <w:t xml:space="preserve"> Greitosios medicinos pagalbos skubių įvykdytų iškvietimų paslaugų, suteiktų per 25 min. (kaime), dalis, proc. </w:t>
                    </w:r>
                  </w:p>
                </w:tc>
                <w:tc>
                  <w:tcPr>
                    <w:tcW w:w="1001" w:type="dxa"/>
                    <w:shd w:val="clear" w:color="auto" w:fill="FFFFFF" w:themeFill="background1"/>
                    <w:tcMar>
                      <w:left w:w="105" w:type="dxa"/>
                      <w:right w:w="105" w:type="dxa"/>
                    </w:tcMar>
                  </w:tcPr>
                  <w:p>
                    <w:pPr>
                      <w:ind w:left="-57" w:right="-57"/>
                      <w:jc w:val="center"/>
                      <w:rPr>
                        <w:color w:val="000000"/>
                        <w:sz w:val="20"/>
                      </w:rPr>
                    </w:pPr>
                    <w:r>
                      <w:rPr>
                        <w:color w:val="000000"/>
                        <w:sz w:val="20"/>
                      </w:rPr>
                      <w:t>98</w:t>
                    </w:r>
                  </w:p>
                  <w:p>
                    <w:pPr>
                      <w:ind w:left="-57" w:right="-57"/>
                      <w:jc w:val="center"/>
                      <w:rPr>
                        <w:b/>
                        <w:bCs/>
                        <w:color w:val="000000"/>
                        <w:sz w:val="20"/>
                      </w:rPr>
                    </w:pPr>
                    <w:r>
                      <w:rPr>
                        <w:color w:val="000000"/>
                        <w:sz w:val="20"/>
                      </w:rPr>
                      <w:t>(2029 m.)</w:t>
                    </w:r>
                  </w:p>
                </w:tc>
                <w:tc>
                  <w:tcPr>
                    <w:tcW w:w="1125" w:type="dxa"/>
                    <w:gridSpan w:val="2"/>
                    <w:vMerge/>
                    <w:vAlign w:val="center"/>
                  </w:tcPr>
                  <w:p/>
                </w:tc>
                <w:tc>
                  <w:tcPr>
                    <w:tcW w:w="1279" w:type="dxa"/>
                    <w:vMerge/>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860"/>
                      </w:tabs>
                    </w:pPr>
                    <w:r>
                      <w:rPr>
                        <w:b/>
                        <w:bCs/>
                        <w:color w:val="000000"/>
                        <w:sz w:val="20"/>
                      </w:rPr>
                      <w:t>10. Sveikatos priežiūros specialistų pasiūlos užtikrinimas: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24 906,182</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color w:val="000000"/>
                        <w:sz w:val="20"/>
                      </w:rPr>
                      <w:t xml:space="preserve">R </w:t>
                    </w:r>
                    <w:r>
                      <w:rPr>
                        <w:color w:val="000000"/>
                        <w:szCs w:val="24"/>
                      </w:rPr>
                      <w:t>–</w:t>
                    </w:r>
                    <w:r>
                      <w:rPr>
                        <w:color w:val="000000"/>
                        <w:sz w:val="20"/>
                      </w:rPr>
                      <w:t xml:space="preserve"> Gyventojų, dėl laukimo laiko (ilgų eilių) atidėjusių kreipimąsi dėl sveikatos priežiūros paslaugų, dalis, proc.</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color w:val="000000"/>
                        <w:sz w:val="20"/>
                      </w:rPr>
                      <w:t>6</w:t>
                    </w:r>
                  </w:p>
                  <w:p>
                    <w:pPr>
                      <w:ind w:left="-57" w:right="-57"/>
                      <w:jc w:val="center"/>
                    </w:pPr>
                    <w:r>
                      <w:rPr>
                        <w:color w:val="000000"/>
                        <w:sz w:val="20"/>
                      </w:rPr>
                      <w:t>(2030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vAlign w:val="center"/>
                  </w:tcPr>
                  <w:p>
                    <w:pPr>
                      <w:ind w:firstLine="53"/>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21 170,255</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3 735,927</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60"/>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10.1. Sveikatos žmogiškųjų išteklių valdymo efektyvumo didinimas,</w:t>
                    </w:r>
                    <w:r>
                      <w:rPr>
                        <w:szCs w:val="24"/>
                      </w:rPr>
                      <w:t xml:space="preserve"> </w:t>
                    </w:r>
                    <w:r>
                      <w:rPr>
                        <w:sz w:val="20"/>
                      </w:rPr>
                      <w:t>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M</w:t>
                    </w:r>
                  </w:p>
                  <w:p>
                    <w:pPr>
                      <w:ind w:firstLine="53"/>
                    </w:pP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SAM</w:t>
                    </w:r>
                  </w:p>
                  <w:p>
                    <w:pPr>
                      <w:ind w:firstLine="53"/>
                    </w:pP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p>
                    <w:pPr>
                      <w:ind w:firstLine="53"/>
                    </w:pP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275,385</w:t>
                    </w:r>
                  </w:p>
                  <w:p>
                    <w:pPr>
                      <w:ind w:firstLine="53"/>
                    </w:pPr>
                  </w:p>
                  <w:p>
                    <w:pPr>
                      <w:ind w:firstLine="53"/>
                    </w:pPr>
                  </w:p>
                  <w:p>
                    <w:pPr>
                      <w:ind w:firstLine="53"/>
                    </w:pPr>
                  </w:p>
                  <w:p>
                    <w:pPr>
                      <w:ind w:firstLine="53"/>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2021–2027 m. IP (ESF+)</w:t>
                    </w:r>
                  </w:p>
                  <w:p>
                    <w:pPr>
                      <w:ind w:firstLine="53"/>
                    </w:pPr>
                  </w:p>
                </w:tc>
                <w:tc>
                  <w:tcPr>
                    <w:tcW w:w="2001"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tc>
                <w:tc>
                  <w:tcPr>
                    <w:tcW w:w="1134"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1</w:t>
                    </w:r>
                  </w:p>
                  <w:p>
                    <w:pPr>
                      <w:ind w:left="-57" w:right="-57"/>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3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48,597</w:t>
                    </w:r>
                  </w:p>
                </w:tc>
                <w:tc>
                  <w:tcPr>
                    <w:tcW w:w="1118"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 xml:space="preserve">2021–2027 m.  IP (BF)</w:t>
                    </w:r>
                  </w:p>
                  <w:p>
                    <w:pPr>
                      <w:ind w:firstLine="53"/>
                    </w:pPr>
                  </w:p>
                </w:tc>
                <w:tc>
                  <w:tcPr>
                    <w:tcW w:w="2001" w:type="dxa"/>
                    <w:gridSpan w:val="2"/>
                    <w:vMerge/>
                    <w:tcBorders>
                      <w:top w:val="single" w:sz="4" w:space="0" w:color="auto"/>
                      <w:left w:val="single" w:sz="4" w:space="0" w:color="auto"/>
                      <w:bottom w:val="single" w:sz="4" w:space="0" w:color="auto"/>
                      <w:right w:val="single" w:sz="4" w:space="0" w:color="auto"/>
                    </w:tcBorders>
                    <w:vAlign w:val="center"/>
                  </w:tcP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9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Parengta ir patvirtinta ilgalaikė sveikatos žmogiškųjų išteklių valdymo strategija, vnt.</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w:t>
                    </w:r>
                  </w:p>
                  <w:p>
                    <w:pPr>
                      <w:ind w:left="-57" w:right="-57" w:firstLine="53"/>
                      <w:jc w:val="center"/>
                    </w:pPr>
                    <w:r>
                      <w:rPr>
                        <w:sz w:val="20"/>
                      </w:rPr>
                      <w:t>(2026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615"/>
                </w:trPr>
                <w:tc>
                  <w:tcPr>
                    <w:tcW w:w="2130" w:type="dxa"/>
                    <w:gridSpan w:val="2"/>
                    <w:vMerge w:val="restart"/>
                    <w:tcBorders>
                      <w:top w:val="single" w:sz="4" w:space="0" w:color="auto"/>
                      <w:left w:val="single" w:sz="4" w:space="0" w:color="auto"/>
                      <w:bottom w:val="single" w:sz="4" w:space="0" w:color="auto"/>
                      <w:right w:val="single" w:sz="4" w:space="0" w:color="auto"/>
                    </w:tcBorders>
                  </w:tcPr>
                  <w:p>
                    <w:pPr>
                      <w:rPr>
                        <w:sz w:val="20"/>
                      </w:rPr>
                    </w:pPr>
                    <w:r>
                      <w:rPr>
                        <w:sz w:val="20"/>
                      </w:rPr>
                      <w:t>10.2. Sveikatos priežiūros specialistų įgalinimo, pritraukimo ir išlaikymo sveikatos priežiūros įstaigoje modelio kūrimas ir diegimas, Vidurio ir vakarų Lietuvos regionas</w:t>
                    </w:r>
                  </w:p>
                  <w:p/>
                </w:tc>
                <w:tc>
                  <w:tcPr>
                    <w:tcW w:w="699" w:type="dxa"/>
                    <w:vMerge w:val="restart"/>
                    <w:tcBorders>
                      <w:top w:val="single" w:sz="4" w:space="0" w:color="auto"/>
                      <w:left w:val="single" w:sz="4" w:space="0" w:color="auto"/>
                      <w:right w:val="single" w:sz="4" w:space="0" w:color="auto"/>
                    </w:tcBorders>
                  </w:tcPr>
                  <w:p>
                    <w:r>
                      <w:rPr>
                        <w:sz w:val="20"/>
                      </w:rPr>
                      <w:t>I</w:t>
                    </w:r>
                  </w:p>
                  <w:p>
                    <w:pPr>
                      <w:ind w:firstLine="53"/>
                      <w:rPr>
                        <w:sz w:val="20"/>
                      </w:rPr>
                    </w:pPr>
                  </w:p>
                </w:tc>
                <w:tc>
                  <w:tcPr>
                    <w:tcW w:w="1985" w:type="dxa"/>
                    <w:vMerge w:val="restart"/>
                    <w:tcBorders>
                      <w:top w:val="single" w:sz="4" w:space="0" w:color="auto"/>
                      <w:left w:val="single" w:sz="4" w:space="0" w:color="auto"/>
                      <w:right w:val="single" w:sz="4" w:space="0" w:color="auto"/>
                    </w:tcBorders>
                  </w:tcPr>
                  <w:p>
                    <w:r>
                      <w:rPr>
                        <w:sz w:val="20"/>
                      </w:rPr>
                      <w:t>SAM</w:t>
                    </w:r>
                  </w:p>
                  <w:p>
                    <w:pPr>
                      <w:ind w:firstLine="53"/>
                      <w:rPr>
                        <w:sz w:val="20"/>
                      </w:rPr>
                    </w:pPr>
                  </w:p>
                </w:tc>
                <w:tc>
                  <w:tcPr>
                    <w:tcW w:w="829" w:type="dxa"/>
                    <w:gridSpan w:val="3"/>
                    <w:vMerge w:val="restart"/>
                    <w:tcBorders>
                      <w:top w:val="single" w:sz="4" w:space="0" w:color="auto"/>
                      <w:left w:val="single" w:sz="4" w:space="0" w:color="auto"/>
                      <w:right w:val="single" w:sz="4" w:space="0" w:color="auto"/>
                    </w:tcBorders>
                  </w:tcPr>
                  <w:p>
                    <w:r>
                      <w:rPr>
                        <w:sz w:val="20"/>
                      </w:rPr>
                      <w:t>P</w:t>
                    </w:r>
                  </w:p>
                  <w:p>
                    <w:pPr>
                      <w:ind w:firstLine="53"/>
                      <w:rPr>
                        <w:sz w:val="20"/>
                      </w:rPr>
                    </w:pPr>
                  </w:p>
                </w:tc>
                <w:tc>
                  <w:tcPr>
                    <w:tcW w:w="1006" w:type="dxa"/>
                    <w:gridSpan w:val="2"/>
                    <w:vMerge w:val="restart"/>
                    <w:tcBorders>
                      <w:top w:val="single" w:sz="4" w:space="0" w:color="auto"/>
                      <w:left w:val="single" w:sz="4" w:space="0" w:color="auto"/>
                      <w:right w:val="single" w:sz="4" w:space="0" w:color="auto"/>
                    </w:tcBorders>
                  </w:tcPr>
                  <w:p>
                    <w:r>
                      <w:rPr>
                        <w:sz w:val="20"/>
                      </w:rPr>
                      <w:t>Taip</w:t>
                    </w:r>
                  </w:p>
                  <w:p>
                    <w:pPr>
                      <w:ind w:firstLine="53"/>
                      <w:rPr>
                        <w:sz w:val="20"/>
                      </w:rPr>
                    </w:pPr>
                  </w:p>
                </w:tc>
                <w:tc>
                  <w:tcPr>
                    <w:tcW w:w="689" w:type="dxa"/>
                    <w:gridSpan w:val="4"/>
                    <w:vMerge w:val="restart"/>
                    <w:tcBorders>
                      <w:top w:val="single" w:sz="4" w:space="0" w:color="auto"/>
                      <w:left w:val="single" w:sz="4" w:space="0" w:color="auto"/>
                      <w:right w:val="single" w:sz="4" w:space="0" w:color="auto"/>
                    </w:tcBorders>
                  </w:tcPr>
                  <w:p>
                    <w:r>
                      <w:rPr>
                        <w:sz w:val="20"/>
                      </w:rPr>
                      <w:t>D</w:t>
                    </w:r>
                  </w:p>
                  <w:p>
                    <w:pPr>
                      <w:ind w:firstLine="53"/>
                      <w:rPr>
                        <w:sz w:val="20"/>
                      </w:rPr>
                    </w:pPr>
                  </w:p>
                </w:tc>
                <w:tc>
                  <w:tcPr>
                    <w:tcW w:w="1167" w:type="dxa"/>
                    <w:gridSpan w:val="2"/>
                    <w:tcBorders>
                      <w:top w:val="single" w:sz="4" w:space="0" w:color="auto"/>
                      <w:left w:val="single" w:sz="4" w:space="0" w:color="auto"/>
                      <w:bottom w:val="single" w:sz="4" w:space="0" w:color="auto"/>
                      <w:right w:val="single" w:sz="4" w:space="0" w:color="auto"/>
                    </w:tcBorders>
                  </w:tcPr>
                  <w:p>
                    <w:r>
                      <w:rPr>
                        <w:sz w:val="20"/>
                      </w:rPr>
                      <w:t>3 113,920</w:t>
                    </w:r>
                  </w:p>
                  <w:p>
                    <w:pPr>
                      <w:ind w:firstLine="53"/>
                    </w:pPr>
                  </w:p>
                  <w:p>
                    <w:pPr>
                      <w:ind w:firstLine="53"/>
                    </w:pPr>
                  </w:p>
                  <w:p>
                    <w:pPr>
                      <w:ind w:firstLine="53"/>
                      <w:rPr>
                        <w:sz w:val="20"/>
                        <w:lang w:val="en-US"/>
                      </w:rPr>
                    </w:pPr>
                  </w:p>
                  <w:p>
                    <w:pPr>
                      <w:rPr>
                        <w:sz w:val="20"/>
                        <w:lang w:val="en-US"/>
                      </w:rPr>
                    </w:pPr>
                  </w:p>
                  <w:p>
                    <w:pPr>
                      <w:rPr>
                        <w:sz w:val="20"/>
                        <w:lang w:val="en-US"/>
                      </w:rPr>
                    </w:pPr>
                  </w:p>
                  <w:p>
                    <w:pPr>
                      <w:rPr>
                        <w:sz w:val="20"/>
                        <w:lang w:val="en-US"/>
                      </w:rPr>
                    </w:pPr>
                  </w:p>
                  <w:p/>
                </w:tc>
                <w:tc>
                  <w:tcPr>
                    <w:tcW w:w="1118" w:type="dxa"/>
                    <w:tcBorders>
                      <w:top w:val="single" w:sz="4" w:space="0" w:color="auto"/>
                      <w:left w:val="single" w:sz="4" w:space="0" w:color="auto"/>
                      <w:bottom w:val="single" w:sz="4" w:space="0" w:color="auto"/>
                      <w:right w:val="single" w:sz="4" w:space="0" w:color="auto"/>
                    </w:tcBorders>
                  </w:tcPr>
                  <w:p>
                    <w:r>
                      <w:rPr>
                        <w:sz w:val="20"/>
                      </w:rPr>
                      <w:t xml:space="preserve">2021–2027 m. IP (ESF+) </w:t>
                    </w:r>
                  </w:p>
                  <w:p>
                    <w:pPr>
                      <w:ind w:firstLine="53"/>
                      <w:rPr>
                        <w:sz w:val="20"/>
                      </w:rPr>
                    </w:pPr>
                  </w:p>
                  <w:p>
                    <w:pPr>
                      <w:rPr>
                        <w:sz w:val="20"/>
                      </w:rPr>
                    </w:pPr>
                  </w:p>
                  <w:p>
                    <w:pPr>
                      <w:rPr>
                        <w:sz w:val="20"/>
                      </w:rPr>
                    </w:pP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Paramą gavusių nacionalinio, regionų ar vietos lygmens viešojo administravimo ar viešąsias paslaugas teikiančių įstaigų skaičius, subjektų skaičius</w:t>
                    </w:r>
                  </w:p>
                  <w:p>
                    <w:pPr>
                      <w:ind w:right="-57"/>
                    </w:pP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tabs>
                        <w:tab w:val="left" w:pos="184"/>
                        <w:tab w:val="center" w:pos="317"/>
                      </w:tabs>
                      <w:ind w:left="-57" w:right="-57"/>
                      <w:jc w:val="center"/>
                    </w:pPr>
                    <w:r>
                      <w:rPr>
                        <w:sz w:val="20"/>
                      </w:rPr>
                      <w:t>1</w:t>
                    </w:r>
                  </w:p>
                  <w:p>
                    <w:pPr>
                      <w:tabs>
                        <w:tab w:val="left" w:pos="184"/>
                        <w:tab w:val="center" w:pos="317"/>
                      </w:tabs>
                      <w:ind w:left="-57" w:right="-57"/>
                      <w:jc w:val="center"/>
                    </w:pPr>
                    <w:r>
                      <w:rPr>
                        <w:sz w:val="20"/>
                      </w:rPr>
                      <w:t>(2029 m.)</w:t>
                    </w: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p>
                    <w:pPr>
                      <w:tabs>
                        <w:tab w:val="left" w:pos="184"/>
                        <w:tab w:val="center" w:pos="317"/>
                      </w:tabs>
                      <w:ind w:left="-57" w:right="-57" w:firstLine="53"/>
                      <w:jc w:val="center"/>
                    </w:pPr>
                  </w:p>
                </w:tc>
                <w:tc>
                  <w:tcPr>
                    <w:tcW w:w="992" w:type="dxa"/>
                    <w:vMerge w:val="restart"/>
                    <w:tcBorders>
                      <w:top w:val="single" w:sz="4" w:space="0" w:color="auto"/>
                      <w:left w:val="single" w:sz="4" w:space="0" w:color="auto"/>
                      <w:right w:val="single" w:sz="4" w:space="0" w:color="auto"/>
                    </w:tcBorders>
                    <w:tcMar>
                      <w:left w:w="108" w:type="dxa"/>
                      <w:right w:w="108" w:type="dxa"/>
                    </w:tcMar>
                  </w:tcPr>
                  <w:p>
                    <w:r>
                      <w:rPr>
                        <w:sz w:val="20"/>
                      </w:rPr>
                      <w:t>CPVA</w:t>
                    </w:r>
                  </w:p>
                  <w:p>
                    <w:pPr>
                      <w:ind w:firstLine="53"/>
                    </w:pPr>
                  </w:p>
                  <w:p>
                    <w:pPr>
                      <w:ind w:firstLine="53"/>
                    </w:pPr>
                  </w:p>
                  <w:p>
                    <w:pPr>
                      <w:ind w:firstLine="53"/>
                    </w:pPr>
                  </w:p>
                </w:tc>
                <w:tc>
                  <w:tcPr>
                    <w:tcW w:w="1279" w:type="dxa"/>
                    <w:vMerge w:val="restart"/>
                    <w:tcBorders>
                      <w:top w:val="single" w:sz="4" w:space="0" w:color="auto"/>
                      <w:left w:val="single" w:sz="4" w:space="0" w:color="auto"/>
                      <w:right w:val="single" w:sz="4" w:space="0" w:color="auto"/>
                    </w:tcBorders>
                    <w:tcMar>
                      <w:left w:w="108" w:type="dxa"/>
                      <w:right w:w="108" w:type="dxa"/>
                    </w:tcMar>
                  </w:tcPr>
                  <w:p>
                    <w:pPr>
                      <w:jc w:val="center"/>
                    </w:pPr>
                    <w:r>
                      <w:rPr>
                        <w:sz w:val="20"/>
                      </w:rPr>
                      <w:t>SAM</w:t>
                    </w:r>
                  </w:p>
                  <w:p>
                    <w:pPr>
                      <w:ind w:firstLine="53"/>
                      <w:jc w:val="center"/>
                    </w:pPr>
                  </w:p>
                  <w:p>
                    <w:pPr>
                      <w:ind w:firstLine="53"/>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48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vAlign w:val="center"/>
                  </w:tcPr>
                  <w:p>
                    <w:pPr>
                      <w:rPr>
                        <w:sz w:val="20"/>
                      </w:rPr>
                    </w:pPr>
                    <w:r>
                      <w:rPr>
                        <w:sz w:val="20"/>
                      </w:rPr>
                      <w:t>549,515</w:t>
                    </w:r>
                  </w:p>
                  <w:p/>
                </w:tc>
                <w:tc>
                  <w:tcPr>
                    <w:tcW w:w="1118"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2021–2027 m. IP (BF)</w:t>
                    </w:r>
                  </w:p>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6</w:t>
                    </w:r>
                  </w:p>
                  <w:p>
                    <w:pPr>
                      <w:ind w:left="-57" w:right="-57"/>
                      <w:jc w:val="center"/>
                      <w:rPr>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30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bottom w:val="single" w:sz="4" w:space="0" w:color="auto"/>
                      <w:right w:val="single" w:sz="4" w:space="0" w:color="auto"/>
                    </w:tcBorders>
                    <w:vAlign w:val="center"/>
                  </w:tcPr>
                  <w:p/>
                </w:tc>
                <w:tc>
                  <w:tcPr>
                    <w:tcW w:w="1118" w:type="dxa"/>
                    <w:vMerge w:val="restart"/>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80</w:t>
                    </w:r>
                  </w:p>
                  <w:p>
                    <w:pPr>
                      <w:ind w:left="-57" w:right="-57"/>
                      <w:jc w:val="cente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right w:val="single" w:sz="4" w:space="0" w:color="auto"/>
                    </w:tcBorders>
                    <w:vAlign w:val="cente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699" w:type="dxa"/>
                    <w:vMerge/>
                    <w:tcBorders>
                      <w:left w:val="single" w:sz="4" w:space="0" w:color="auto"/>
                      <w:right w:val="single" w:sz="4" w:space="0" w:color="auto"/>
                    </w:tcBorders>
                    <w:tcMar>
                      <w:left w:w="108" w:type="dxa"/>
                      <w:right w:w="108" w:type="dxa"/>
                    </w:tcMar>
                  </w:tcPr>
                  <w:p/>
                </w:tc>
                <w:tc>
                  <w:tcPr>
                    <w:tcW w:w="1985" w:type="dxa"/>
                    <w:vMerge/>
                    <w:tcBorders>
                      <w:left w:val="single" w:sz="4" w:space="0" w:color="auto"/>
                      <w:right w:val="single" w:sz="4" w:space="0" w:color="auto"/>
                    </w:tcBorders>
                    <w:tcMar>
                      <w:left w:w="108" w:type="dxa"/>
                      <w:right w:w="108" w:type="dxa"/>
                    </w:tcMar>
                  </w:tcPr>
                  <w:p/>
                </w:tc>
                <w:tc>
                  <w:tcPr>
                    <w:tcW w:w="829" w:type="dxa"/>
                    <w:gridSpan w:val="3"/>
                    <w:vMerge/>
                    <w:tcBorders>
                      <w:left w:val="single" w:sz="4" w:space="0" w:color="auto"/>
                      <w:right w:val="single" w:sz="4" w:space="0" w:color="auto"/>
                    </w:tcBorders>
                    <w:tcMar>
                      <w:left w:w="108" w:type="dxa"/>
                      <w:right w:w="108" w:type="dxa"/>
                    </w:tcMar>
                  </w:tcPr>
                  <w:p/>
                </w:tc>
                <w:tc>
                  <w:tcPr>
                    <w:tcW w:w="1006" w:type="dxa"/>
                    <w:gridSpan w:val="2"/>
                    <w:vMerge/>
                    <w:tcBorders>
                      <w:left w:val="single" w:sz="4" w:space="0" w:color="auto"/>
                      <w:right w:val="single" w:sz="4" w:space="0" w:color="auto"/>
                    </w:tcBorders>
                    <w:tcMar>
                      <w:left w:w="108" w:type="dxa"/>
                      <w:right w:w="108" w:type="dxa"/>
                    </w:tcMar>
                  </w:tcPr>
                  <w:p/>
                </w:tc>
                <w:tc>
                  <w:tcPr>
                    <w:tcW w:w="689" w:type="dxa"/>
                    <w:gridSpan w:val="4"/>
                    <w:vMerge/>
                    <w:tcBorders>
                      <w:left w:val="single" w:sz="4" w:space="0" w:color="auto"/>
                      <w:right w:val="single" w:sz="4" w:space="0" w:color="auto"/>
                    </w:tcBorders>
                    <w:tcMar>
                      <w:left w:w="108" w:type="dxa"/>
                      <w:right w:w="108" w:type="dxa"/>
                    </w:tcMar>
                  </w:tcPr>
                  <w:p/>
                </w:tc>
                <w:tc>
                  <w:tcPr>
                    <w:tcW w:w="1167" w:type="dxa"/>
                    <w:gridSpan w:val="2"/>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1118" w:type="dxa"/>
                    <w:vMerge/>
                    <w:tcBorders>
                      <w:top w:val="single" w:sz="4" w:space="0" w:color="auto"/>
                      <w:left w:val="single" w:sz="4" w:space="0" w:color="auto"/>
                      <w:bottom w:val="single" w:sz="4" w:space="0" w:color="auto"/>
                      <w:right w:val="single" w:sz="4" w:space="0" w:color="auto"/>
                    </w:tcBorders>
                    <w:tcMar>
                      <w:left w:w="108" w:type="dxa"/>
                      <w:right w:w="108" w:type="dxa"/>
                    </w:tcMa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P – Specialistai, dalyvavę kvalifikacijos tobulinimo ar perkvalifikavimo veiklose, asmenys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490</w:t>
                    </w:r>
                  </w:p>
                  <w:p>
                    <w:pPr>
                      <w:ind w:left="-57" w:right="-57"/>
                      <w:jc w:val="center"/>
                    </w:pPr>
                    <w:r>
                      <w:rPr>
                        <w:sz w:val="20"/>
                      </w:rPr>
                      <w:t>(2029 m.)</w:t>
                    </w:r>
                  </w:p>
                  <w:p>
                    <w:pPr>
                      <w:ind w:left="-57" w:right="-57" w:firstLine="53"/>
                      <w:jc w:val="center"/>
                    </w:pPr>
                  </w:p>
                </w:tc>
                <w:tc>
                  <w:tcPr>
                    <w:tcW w:w="992" w:type="dxa"/>
                    <w:vMerge/>
                    <w:tcBorders>
                      <w:left w:val="single" w:sz="4" w:space="0" w:color="auto"/>
                      <w:right w:val="single" w:sz="4" w:space="0" w:color="auto"/>
                    </w:tcBorders>
                    <w:tcMar>
                      <w:left w:w="108" w:type="dxa"/>
                      <w:right w:w="108" w:type="dxa"/>
                    </w:tcMar>
                  </w:tcPr>
                  <w:p/>
                </w:tc>
                <w:tc>
                  <w:tcPr>
                    <w:tcW w:w="1279" w:type="dxa"/>
                    <w:vMerge/>
                    <w:tcBorders>
                      <w:left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08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top w:val="single" w:sz="4" w:space="0" w:color="auto"/>
                      <w:left w:val="single" w:sz="4" w:space="0" w:color="auto"/>
                      <w:bottom w:val="single" w:sz="4" w:space="0" w:color="auto"/>
                      <w:right w:val="single" w:sz="4" w:space="0" w:color="auto"/>
                    </w:tcBorders>
                    <w:vAlign w:val="center"/>
                  </w:tcPr>
                  <w:p/>
                </w:tc>
                <w:tc>
                  <w:tcPr>
                    <w:tcW w:w="1118" w:type="dxa"/>
                    <w:vMerge/>
                    <w:tcBorders>
                      <w:top w:val="single" w:sz="4" w:space="0" w:color="auto"/>
                      <w:left w:val="single" w:sz="4" w:space="0" w:color="auto"/>
                      <w:bottom w:val="single" w:sz="4" w:space="0" w:color="auto"/>
                      <w:right w:val="single" w:sz="4" w:space="0" w:color="auto"/>
                    </w:tcBorders>
                    <w:vAlign w:val="center"/>
                  </w:tc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pPr>
                    <w:r>
                      <w:rPr>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ind w:left="-57" w:right="-57"/>
                      <w:jc w:val="center"/>
                    </w:pPr>
                    <w:r>
                      <w:rPr>
                        <w:sz w:val="20"/>
                      </w:rPr>
                      <w:t>90</w:t>
                    </w:r>
                  </w:p>
                  <w:p>
                    <w:pPr>
                      <w:ind w:left="-57" w:right="-57"/>
                      <w:jc w:val="center"/>
                    </w:pPr>
                    <w:r>
                      <w:rPr>
                        <w:sz w:val="20"/>
                      </w:rPr>
                      <w:t>(2029 m.)</w:t>
                    </w:r>
                  </w:p>
                </w:tc>
                <w:tc>
                  <w:tcPr>
                    <w:tcW w:w="992" w:type="dxa"/>
                    <w:vMerge/>
                    <w:tcBorders>
                      <w:left w:val="single" w:sz="4" w:space="0" w:color="auto"/>
                      <w:bottom w:val="single" w:sz="4" w:space="0" w:color="auto"/>
                      <w:right w:val="single" w:sz="4" w:space="0" w:color="auto"/>
                    </w:tcBorders>
                    <w:tcMar>
                      <w:left w:w="108" w:type="dxa"/>
                      <w:right w:w="108" w:type="dxa"/>
                    </w:tcMar>
                  </w:tcPr>
                  <w:p/>
                </w:tc>
                <w:tc>
                  <w:tcPr>
                    <w:tcW w:w="1279" w:type="dxa"/>
                    <w:vMerge/>
                    <w:tcBorders>
                      <w:left w:val="single" w:sz="4" w:space="0" w:color="auto"/>
                      <w:bottom w:val="single" w:sz="4" w:space="0" w:color="auto"/>
                      <w:right w:val="single" w:sz="4" w:space="0" w:color="auto"/>
                    </w:tcBorders>
                    <w:tcMar>
                      <w:left w:w="108" w:type="dxa"/>
                      <w:right w:w="108" w:type="dxa"/>
                    </w:tcMar>
                  </w:tcPr>
                  <w:p>
                    <w:pPr>
                      <w:jc w:val="cente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94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10.3.</w:t>
                    </w:r>
                    <w:r>
                      <w:rPr>
                        <w:sz w:val="20"/>
                      </w:rPr>
                      <w:t xml:space="preserve"> .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Savivaldybių administracijos</w:t>
                    </w:r>
                    <w:r>
                      <w:rPr>
                        <w:strike/>
                        <w:color w:val="000000"/>
                        <w:sz w:val="20"/>
                      </w:rPr>
                      <w:t xml:space="preserve"> </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D</w:t>
                    </w:r>
                  </w:p>
                </w:tc>
                <w:tc>
                  <w:tcPr>
                    <w:tcW w:w="1167" w:type="dxa"/>
                    <w:gridSpan w:val="2"/>
                    <w:tcMar>
                      <w:left w:w="108" w:type="dxa"/>
                      <w:right w:w="108" w:type="dxa"/>
                    </w:tcMar>
                  </w:tcPr>
                  <w:p>
                    <w:pPr>
                      <w:jc w:val="center"/>
                      <w:rPr>
                        <w:sz w:val="20"/>
                      </w:rPr>
                    </w:pPr>
                    <w:r>
                      <w:rPr>
                        <w:sz w:val="20"/>
                      </w:rPr>
                      <w:t>14 807,119</w:t>
                    </w:r>
                  </w:p>
                  <w:p>
                    <w:pPr>
                      <w:ind w:firstLine="62"/>
                    </w:pPr>
                  </w:p>
                </w:tc>
                <w:tc>
                  <w:tcPr>
                    <w:tcW w:w="1118" w:type="dxa"/>
                    <w:tcMar>
                      <w:left w:w="108" w:type="dxa"/>
                      <w:right w:w="108" w:type="dxa"/>
                    </w:tcMar>
                  </w:tcPr>
                  <w:p>
                    <w:pPr>
                      <w:ind w:firstLine="53"/>
                    </w:pPr>
                    <w:r>
                      <w:rPr>
                        <w:sz w:val="20"/>
                      </w:rPr>
                      <w:t>2021–2027 m. IP (ESF+)</w:t>
                    </w:r>
                  </w:p>
                </w:tc>
                <w:tc>
                  <w:tcPr>
                    <w:tcW w:w="2001" w:type="dxa"/>
                    <w:gridSpan w:val="2"/>
                    <w:tcMar>
                      <w:left w:w="108" w:type="dxa"/>
                      <w:right w:w="108" w:type="dxa"/>
                    </w:tcMar>
                  </w:tcPr>
                  <w:p>
                    <w:r>
                      <w:rPr>
                        <w:sz w:val="20"/>
                      </w:rPr>
                      <w:t xml:space="preserve">P – Asmenys, dalyvavę kvalifikacijos įgijimo veiklose, asmenys </w:t>
                    </w:r>
                  </w:p>
                </w:tc>
                <w:tc>
                  <w:tcPr>
                    <w:tcW w:w="1134" w:type="dxa"/>
                    <w:gridSpan w:val="2"/>
                    <w:tcMar>
                      <w:left w:w="108" w:type="dxa"/>
                      <w:right w:w="108" w:type="dxa"/>
                    </w:tcMar>
                  </w:tcPr>
                  <w:p>
                    <w:pPr>
                      <w:jc w:val="center"/>
                      <w:rPr>
                        <w:sz w:val="20"/>
                      </w:rPr>
                    </w:pPr>
                    <w:r>
                      <w:rPr>
                        <w:sz w:val="20"/>
                      </w:rPr>
                      <w:t>240</w:t>
                    </w:r>
                  </w:p>
                  <w:p>
                    <w:pPr>
                      <w:jc w:val="center"/>
                    </w:pPr>
                    <w:r>
                      <w:rPr>
                        <w:sz w:val="20"/>
                      </w:rPr>
                      <w:t>(2029 m.)</w:t>
                    </w: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restart"/>
                    <w:tcMar>
                      <w:left w:w="108" w:type="dxa"/>
                      <w:right w:w="108" w:type="dxa"/>
                    </w:tcMar>
                  </w:tcPr>
                  <w:p>
                    <w:pPr>
                      <w:ind w:firstLine="62"/>
                    </w:pPr>
                    <w:r>
                      <w:rPr>
                        <w:sz w:val="20"/>
                      </w:rPr>
                      <w:t>2 613,021</w:t>
                    </w:r>
                  </w:p>
                </w:tc>
                <w:tc>
                  <w:tcPr>
                    <w:tcW w:w="1118" w:type="dxa"/>
                    <w:vMerge w:val="restart"/>
                    <w:tcMar>
                      <w:left w:w="108" w:type="dxa"/>
                      <w:right w:w="108" w:type="dxa"/>
                    </w:tcMar>
                  </w:tcPr>
                  <w:p>
                    <w:pPr>
                      <w:rPr>
                        <w:sz w:val="20"/>
                      </w:rPr>
                    </w:pPr>
                    <w:r>
                      <w:rPr>
                        <w:sz w:val="20"/>
                      </w:rPr>
                      <w:t>2021–2027 m. IP (BF)</w:t>
                    </w:r>
                  </w:p>
                  <w:p>
                    <w:pPr>
                      <w:ind w:firstLine="53"/>
                    </w:pPr>
                  </w:p>
                </w:tc>
                <w:tc>
                  <w:tcPr>
                    <w:tcW w:w="2001" w:type="dxa"/>
                    <w:gridSpan w:val="2"/>
                    <w:tcMar>
                      <w:left w:w="108" w:type="dxa"/>
                      <w:right w:w="108" w:type="dxa"/>
                    </w:tcMar>
                  </w:tcPr>
                  <w:p>
                    <w:r>
                      <w:rPr>
                        <w:sz w:val="20"/>
                      </w:rPr>
                      <w:t xml:space="preserve">R – Asmenų, kurie po dalyvavimo veiklose įgijo  kvalifikaciją, dalis, proc.</w:t>
                    </w:r>
                  </w:p>
                </w:tc>
                <w:tc>
                  <w:tcPr>
                    <w:tcW w:w="1134" w:type="dxa"/>
                    <w:gridSpan w:val="2"/>
                    <w:tcMar>
                      <w:left w:w="108" w:type="dxa"/>
                      <w:right w:w="108" w:type="dxa"/>
                    </w:tcMar>
                  </w:tcPr>
                  <w:p>
                    <w:pPr>
                      <w:jc w:val="center"/>
                      <w:rPr>
                        <w:sz w:val="20"/>
                      </w:rPr>
                    </w:pPr>
                    <w:r>
                      <w:rPr>
                        <w:sz w:val="20"/>
                      </w:rPr>
                      <w:t>80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P – Specialistai, dalyvavę kvalifikacijos tobulinimo ar perkvalifikavimo veiklose, asmenys</w:t>
                    </w:r>
                  </w:p>
                </w:tc>
                <w:tc>
                  <w:tcPr>
                    <w:tcW w:w="1134" w:type="dxa"/>
                    <w:gridSpan w:val="2"/>
                    <w:tcMar>
                      <w:left w:w="108" w:type="dxa"/>
                      <w:right w:w="108" w:type="dxa"/>
                    </w:tcMar>
                  </w:tcPr>
                  <w:p>
                    <w:pPr>
                      <w:jc w:val="center"/>
                      <w:rPr>
                        <w:sz w:val="20"/>
                      </w:rPr>
                    </w:pPr>
                    <w:r>
                      <w:rPr>
                        <w:sz w:val="20"/>
                      </w:rPr>
                      <w:t>10</w:t>
                    </w:r>
                  </w:p>
                  <w:p>
                    <w:pPr>
                      <w:jc w:val="center"/>
                      <w:rPr>
                        <w:sz w:val="20"/>
                      </w:rPr>
                    </w:pPr>
                    <w:r>
                      <w:rPr>
                        <w:sz w:val="20"/>
                      </w:rPr>
                      <w:t>(2029 m.)</w:t>
                    </w:r>
                  </w:p>
                  <w:p>
                    <w:pPr>
                      <w:ind w:firstLine="53"/>
                      <w:jc w:val="center"/>
                    </w:pP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34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R – Specialistų, kurie po dalyvavimo veiklose įgijo ar patobulino kvalifikaciją, dalis, proc.</w:t>
                    </w:r>
                  </w:p>
                </w:tc>
                <w:tc>
                  <w:tcPr>
                    <w:tcW w:w="1134" w:type="dxa"/>
                    <w:gridSpan w:val="2"/>
                    <w:tcMar>
                      <w:left w:w="108" w:type="dxa"/>
                      <w:right w:w="108" w:type="dxa"/>
                    </w:tcMar>
                  </w:tcPr>
                  <w:p>
                    <w:pPr>
                      <w:jc w:val="center"/>
                      <w:rPr>
                        <w:sz w:val="20"/>
                      </w:rPr>
                    </w:pPr>
                    <w:r>
                      <w:rPr>
                        <w:sz w:val="20"/>
                      </w:rPr>
                      <w:t>90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P – Sveikatos priežiūros įstaigos, įgyvendinusios sveikatos priežiūros specialistų įgalinimo, pritraukimo ir išlaikymo projektus, skaičius</w:t>
                    </w:r>
                  </w:p>
                </w:tc>
                <w:tc>
                  <w:tcPr>
                    <w:tcW w:w="1134" w:type="dxa"/>
                    <w:gridSpan w:val="2"/>
                    <w:tcMar>
                      <w:left w:w="108" w:type="dxa"/>
                      <w:right w:w="108" w:type="dxa"/>
                    </w:tcMar>
                  </w:tcPr>
                  <w:p>
                    <w:pPr>
                      <w:jc w:val="center"/>
                      <w:rPr>
                        <w:sz w:val="20"/>
                      </w:rPr>
                    </w:pPr>
                    <w:r>
                      <w:rPr>
                        <w:sz w:val="20"/>
                      </w:rPr>
                      <w:t>98</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420"/>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vMerge/>
                    <w:vAlign w:val="center"/>
                  </w:tcPr>
                  <w:p/>
                </w:tc>
                <w:tc>
                  <w:tcPr>
                    <w:tcW w:w="1118" w:type="dxa"/>
                    <w:vMerge/>
                    <w:vAlign w:val="center"/>
                  </w:tcPr>
                  <w:p/>
                </w:tc>
                <w:tc>
                  <w:tcPr>
                    <w:tcW w:w="2001" w:type="dxa"/>
                    <w:gridSpan w:val="2"/>
                    <w:tcMar>
                      <w:left w:w="108" w:type="dxa"/>
                      <w:right w:w="108" w:type="dxa"/>
                    </w:tcMar>
                  </w:tcPr>
                  <w:p>
                    <w:r>
                      <w:rPr>
                        <w:sz w:val="20"/>
                      </w:rPr>
                      <w:t>R – Sveikatos priežiūros specialistų, kurie po dalyvavimo veiklose mažiausiai 2 metus dirbo sveikatos priežiūros įstaigose, dalis, proc.</w:t>
                    </w:r>
                  </w:p>
                </w:tc>
                <w:tc>
                  <w:tcPr>
                    <w:tcW w:w="1134" w:type="dxa"/>
                    <w:gridSpan w:val="2"/>
                    <w:tcMar>
                      <w:left w:w="108" w:type="dxa"/>
                      <w:right w:w="108" w:type="dxa"/>
                    </w:tcMar>
                  </w:tcPr>
                  <w:p>
                    <w:pPr>
                      <w:jc w:val="center"/>
                      <w:rPr>
                        <w:sz w:val="20"/>
                      </w:rPr>
                    </w:pPr>
                    <w:r>
                      <w:rPr>
                        <w:sz w:val="20"/>
                      </w:rPr>
                      <w:t>80</w:t>
                    </w:r>
                  </w:p>
                  <w:p>
                    <w:pPr>
                      <w:jc w:val="center"/>
                    </w:pPr>
                    <w:r>
                      <w:rPr>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825"/>
                </w:trPr>
                <w:tc>
                  <w:tcPr>
                    <w:tcW w:w="2130"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10.4. Sveikatos priežiūros specialistų rengimas, pritraukimas, Vidurio ir vakarų Lietuvos regionas</w:t>
                    </w:r>
                  </w:p>
                </w:tc>
                <w:tc>
                  <w:tcPr>
                    <w:tcW w:w="69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I</w:t>
                    </w:r>
                  </w:p>
                </w:tc>
                <w:tc>
                  <w:tcPr>
                    <w:tcW w:w="1985"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 VASPVT</w:t>
                    </w:r>
                  </w:p>
                </w:tc>
                <w:tc>
                  <w:tcPr>
                    <w:tcW w:w="829" w:type="dxa"/>
                    <w:gridSpan w:val="3"/>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P</w:t>
                    </w:r>
                  </w:p>
                </w:tc>
                <w:tc>
                  <w:tcPr>
                    <w:tcW w:w="1006" w:type="dxa"/>
                    <w:gridSpan w:val="2"/>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Taip</w:t>
                    </w:r>
                  </w:p>
                </w:tc>
                <w:tc>
                  <w:tcPr>
                    <w:tcW w:w="689" w:type="dxa"/>
                    <w:gridSpan w:val="4"/>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2 550,00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(ESF+)</w:t>
                    </w: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 xml:space="preserve">P – Specialistai, dalyvavę kvalifikacijos tobulinimo ar perkvalifikavimo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sz w:val="20"/>
                      </w:rPr>
                      <w:t>10</w:t>
                    </w:r>
                  </w:p>
                  <w:p>
                    <w:pPr>
                      <w:jc w:val="center"/>
                    </w:pPr>
                    <w:r>
                      <w:rPr>
                        <w:sz w:val="20"/>
                      </w:rPr>
                      <w:t>(2029 m.)</w:t>
                    </w:r>
                  </w:p>
                  <w:p>
                    <w:pPr>
                      <w:ind w:firstLine="53"/>
                      <w:jc w:val="center"/>
                    </w:pPr>
                  </w:p>
                </w:tc>
                <w:tc>
                  <w:tcPr>
                    <w:tcW w:w="992"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CPVA</w:t>
                    </w:r>
                  </w:p>
                </w:tc>
                <w:tc>
                  <w:tcPr>
                    <w:tcW w:w="1279" w:type="dxa"/>
                    <w:vMerge w:val="restart"/>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top w:val="single" w:sz="4" w:space="0" w:color="auto"/>
                      <w:left w:val="single" w:sz="4" w:space="0" w:color="auto"/>
                      <w:bottom w:val="single" w:sz="4" w:space="0" w:color="auto"/>
                      <w:right w:val="single" w:sz="4" w:space="0" w:color="auto"/>
                    </w:tcBorders>
                    <w:vAlign w:val="center"/>
                  </w:tcPr>
                  <w:p/>
                </w:tc>
                <w:tc>
                  <w:tcPr>
                    <w:tcW w:w="699" w:type="dxa"/>
                    <w:vMerge/>
                    <w:tcBorders>
                      <w:top w:val="single" w:sz="4" w:space="0" w:color="auto"/>
                      <w:left w:val="single" w:sz="4" w:space="0" w:color="auto"/>
                      <w:bottom w:val="single" w:sz="4" w:space="0" w:color="auto"/>
                      <w:right w:val="single" w:sz="4" w:space="0" w:color="auto"/>
                    </w:tcBorders>
                    <w:vAlign w:val="center"/>
                  </w:tcPr>
                  <w:p/>
                </w:tc>
                <w:tc>
                  <w:tcPr>
                    <w:tcW w:w="1985" w:type="dxa"/>
                    <w:vMerge/>
                    <w:tcBorders>
                      <w:top w:val="single" w:sz="4" w:space="0" w:color="auto"/>
                      <w:left w:val="single" w:sz="4" w:space="0" w:color="auto"/>
                      <w:bottom w:val="single" w:sz="4" w:space="0" w:color="auto"/>
                      <w:right w:val="single" w:sz="4" w:space="0" w:color="auto"/>
                    </w:tcBorders>
                    <w:vAlign w:val="center"/>
                  </w:tcPr>
                  <w:p/>
                </w:tc>
                <w:tc>
                  <w:tcPr>
                    <w:tcW w:w="829" w:type="dxa"/>
                    <w:gridSpan w:val="3"/>
                    <w:vMerge/>
                    <w:tcBorders>
                      <w:top w:val="single" w:sz="4" w:space="0" w:color="auto"/>
                      <w:left w:val="single" w:sz="4" w:space="0" w:color="auto"/>
                      <w:bottom w:val="single" w:sz="4" w:space="0" w:color="auto"/>
                      <w:right w:val="single" w:sz="4" w:space="0" w:color="auto"/>
                    </w:tcBorders>
                    <w:vAlign w:val="center"/>
                  </w:tcPr>
                  <w:p/>
                </w:tc>
                <w:tc>
                  <w:tcPr>
                    <w:tcW w:w="1006" w:type="dxa"/>
                    <w:gridSpan w:val="2"/>
                    <w:vMerge/>
                    <w:tcBorders>
                      <w:top w:val="single" w:sz="4" w:space="0" w:color="auto"/>
                      <w:left w:val="single" w:sz="4" w:space="0" w:color="auto"/>
                      <w:bottom w:val="single" w:sz="4" w:space="0" w:color="auto"/>
                      <w:right w:val="single" w:sz="4" w:space="0" w:color="auto"/>
                    </w:tcBorders>
                    <w:vAlign w:val="center"/>
                  </w:tcPr>
                  <w:p/>
                </w:tc>
                <w:tc>
                  <w:tcPr>
                    <w:tcW w:w="689" w:type="dxa"/>
                    <w:gridSpan w:val="4"/>
                    <w:vMerge/>
                    <w:tcBorders>
                      <w:top w:val="single" w:sz="4" w:space="0" w:color="auto"/>
                      <w:left w:val="single" w:sz="4" w:space="0" w:color="auto"/>
                      <w:bottom w:val="single" w:sz="4" w:space="0" w:color="auto"/>
                      <w:right w:val="single" w:sz="4" w:space="0" w:color="auto"/>
                    </w:tcBorders>
                    <w:vAlign w:val="center"/>
                  </w:tcP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sz w:val="20"/>
                      </w:rPr>
                      <w:t>450,00</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2021–2027 m. IP (BF)</w:t>
                    </w:r>
                  </w:p>
                  <w:p>
                    <w:pPr>
                      <w:ind w:firstLine="53"/>
                    </w:pPr>
                  </w:p>
                  <w:p>
                    <w:pPr>
                      <w:ind w:firstLine="53"/>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r>
                      <w:rPr>
                        <w:color w:val="000000"/>
                        <w:sz w:val="20"/>
                      </w:rPr>
                      <w:t>R – Specialistų, kurie po dalyvavimo veiklose įgijo ar patobulino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pPr>
                    <w:r>
                      <w:rPr>
                        <w:color w:val="000000"/>
                        <w:sz w:val="20"/>
                      </w:rPr>
                      <w:t>90</w:t>
                    </w:r>
                  </w:p>
                  <w:p>
                    <w:pPr>
                      <w:jc w:val="center"/>
                    </w:pPr>
                    <w:r>
                      <w:rPr>
                        <w:color w:val="000000"/>
                        <w:sz w:val="20"/>
                      </w:rPr>
                      <w:t>(2029 m.)</w:t>
                    </w:r>
                  </w:p>
                </w:tc>
                <w:tc>
                  <w:tcPr>
                    <w:tcW w:w="992" w:type="dxa"/>
                    <w:vMerge/>
                    <w:tcBorders>
                      <w:top w:val="single" w:sz="4" w:space="0" w:color="auto"/>
                      <w:left w:val="single" w:sz="4" w:space="0" w:color="auto"/>
                      <w:bottom w:val="single" w:sz="4" w:space="0" w:color="auto"/>
                      <w:right w:val="single" w:sz="4" w:space="0" w:color="auto"/>
                    </w:tcBorders>
                    <w:vAlign w:val="center"/>
                  </w:tcPr>
                  <w:p/>
                </w:tc>
                <w:tc>
                  <w:tcPr>
                    <w:tcW w:w="1279" w:type="dxa"/>
                    <w:vMerge/>
                    <w:tcBorders>
                      <w:top w:val="single" w:sz="4" w:space="0" w:color="auto"/>
                      <w:left w:val="single" w:sz="4" w:space="0" w:color="auto"/>
                      <w:bottom w:val="single" w:sz="4" w:space="0" w:color="auto"/>
                      <w:righ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val="restart"/>
                    <w:tcBorders>
                      <w:top w:val="single" w:sz="4" w:space="0" w:color="auto"/>
                      <w:left w:val="single" w:sz="4" w:space="0" w:color="auto"/>
                      <w:right w:val="single" w:sz="4" w:space="0" w:color="auto"/>
                    </w:tcBorders>
                    <w:vAlign w:val="center"/>
                  </w:tcPr>
                  <w:p>
                    <w:r>
                      <w:rPr>
                        <w:sz w:val="20"/>
                      </w:rPr>
                      <w:t>10.5. Sveikatos priežiūros specialistų rengimas, pritraukimas, Vidurio ir vakarų Lietuvos regionas</w:t>
                    </w:r>
                  </w:p>
                </w:tc>
                <w:tc>
                  <w:tcPr>
                    <w:tcW w:w="699" w:type="dxa"/>
                    <w:vMerge w:val="restart"/>
                    <w:tcBorders>
                      <w:top w:val="single" w:sz="4" w:space="0" w:color="auto"/>
                      <w:left w:val="single" w:sz="4" w:space="0" w:color="auto"/>
                      <w:right w:val="single" w:sz="4" w:space="0" w:color="auto"/>
                    </w:tcBorders>
                    <w:vAlign w:val="center"/>
                  </w:tcPr>
                  <w:p>
                    <w:r>
                      <w:rPr>
                        <w:sz w:val="20"/>
                      </w:rPr>
                      <w:t>I</w:t>
                    </w:r>
                  </w:p>
                </w:tc>
                <w:tc>
                  <w:tcPr>
                    <w:tcW w:w="1985" w:type="dxa"/>
                    <w:vMerge w:val="restart"/>
                    <w:tcBorders>
                      <w:top w:val="single" w:sz="4" w:space="0" w:color="auto"/>
                      <w:left w:val="single" w:sz="4" w:space="0" w:color="auto"/>
                      <w:right w:val="single" w:sz="4" w:space="0" w:color="auto"/>
                    </w:tcBorders>
                    <w:vAlign w:val="center"/>
                  </w:tcPr>
                  <w:p>
                    <w:r>
                      <w:rPr>
                        <w:sz w:val="20"/>
                      </w:rPr>
                      <w:t xml:space="preserve">GMP tarnyba </w:t>
                    </w:r>
                  </w:p>
                </w:tc>
                <w:tc>
                  <w:tcPr>
                    <w:tcW w:w="829" w:type="dxa"/>
                    <w:gridSpan w:val="3"/>
                    <w:vMerge w:val="restart"/>
                    <w:tcBorders>
                      <w:top w:val="single" w:sz="4" w:space="0" w:color="auto"/>
                      <w:left w:val="single" w:sz="4" w:space="0" w:color="auto"/>
                      <w:right w:val="single" w:sz="4" w:space="0" w:color="auto"/>
                    </w:tcBorders>
                    <w:vAlign w:val="center"/>
                  </w:tcPr>
                  <w:p>
                    <w:r>
                      <w:rPr>
                        <w:sz w:val="20"/>
                      </w:rPr>
                      <w:t>P</w:t>
                    </w:r>
                  </w:p>
                </w:tc>
                <w:tc>
                  <w:tcPr>
                    <w:tcW w:w="1006" w:type="dxa"/>
                    <w:gridSpan w:val="2"/>
                    <w:vMerge w:val="restart"/>
                    <w:tcBorders>
                      <w:top w:val="single" w:sz="4" w:space="0" w:color="auto"/>
                      <w:left w:val="single" w:sz="4" w:space="0" w:color="auto"/>
                      <w:right w:val="single" w:sz="4" w:space="0" w:color="auto"/>
                    </w:tcBorders>
                    <w:vAlign w:val="center"/>
                  </w:tcPr>
                  <w:p>
                    <w:r>
                      <w:rPr>
                        <w:sz w:val="20"/>
                      </w:rPr>
                      <w:t>Taip</w:t>
                    </w:r>
                  </w:p>
                </w:tc>
                <w:tc>
                  <w:tcPr>
                    <w:tcW w:w="689" w:type="dxa"/>
                    <w:gridSpan w:val="4"/>
                    <w:vMerge w:val="restart"/>
                    <w:tcBorders>
                      <w:top w:val="single" w:sz="4" w:space="0" w:color="auto"/>
                      <w:left w:val="single" w:sz="4" w:space="0" w:color="auto"/>
                      <w:right w:val="single" w:sz="4" w:space="0" w:color="auto"/>
                    </w:tcBorders>
                    <w:vAlign w:val="center"/>
                  </w:tcPr>
                  <w:p>
                    <w:r>
                      <w:rPr>
                        <w:sz w:val="20"/>
                      </w:rPr>
                      <w:t>D</w:t>
                    </w:r>
                  </w:p>
                </w:tc>
                <w:tc>
                  <w:tcPr>
                    <w:tcW w:w="1167"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sz w:val="20"/>
                      </w:rPr>
                    </w:pPr>
                    <w:r>
                      <w:rPr>
                        <w:sz w:val="20"/>
                      </w:rPr>
                      <w:t>423,831</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(ESF+)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P – Asmenys, dalyvavę kvalifikacijos įgijimo veiklose, asmenys </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84</w:t>
                    </w:r>
                  </w:p>
                  <w:p>
                    <w:pPr>
                      <w:jc w:val="center"/>
                      <w:rPr>
                        <w:color w:val="000000"/>
                        <w:sz w:val="20"/>
                      </w:rPr>
                    </w:pPr>
                    <w:r>
                      <w:rPr>
                        <w:sz w:val="20"/>
                      </w:rPr>
                      <w:t>(2029 m.)</w:t>
                    </w:r>
                  </w:p>
                </w:tc>
                <w:tc>
                  <w:tcPr>
                    <w:tcW w:w="992" w:type="dxa"/>
                    <w:vMerge w:val="restart"/>
                    <w:tcBorders>
                      <w:top w:val="single" w:sz="4" w:space="0" w:color="auto"/>
                      <w:left w:val="single" w:sz="4" w:space="0" w:color="auto"/>
                      <w:right w:val="single" w:sz="4" w:space="0" w:color="auto"/>
                    </w:tcBorders>
                    <w:vAlign w:val="center"/>
                  </w:tcPr>
                  <w:p>
                    <w:r>
                      <w:rPr>
                        <w:sz w:val="20"/>
                      </w:rPr>
                      <w:t>CPVA</w:t>
                    </w:r>
                  </w:p>
                </w:tc>
                <w:tc>
                  <w:tcPr>
                    <w:tcW w:w="1279" w:type="dxa"/>
                    <w:vMerge w:val="restart"/>
                    <w:tcBorders>
                      <w:top w:val="single" w:sz="4" w:space="0" w:color="auto"/>
                      <w:left w:val="single" w:sz="4" w:space="0" w:color="auto"/>
                    </w:tcBorders>
                    <w:vAlign w:val="center"/>
                  </w:tcPr>
                  <w:p>
                    <w:r>
                      <w:rPr>
                        <w:sz w:val="20"/>
                      </w:rPr>
                      <w:t>SAM</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val="restart"/>
                    <w:tcBorders>
                      <w:top w:val="single" w:sz="4" w:space="0" w:color="auto"/>
                      <w:left w:val="single" w:sz="4" w:space="0" w:color="auto"/>
                      <w:right w:val="single" w:sz="4" w:space="0" w:color="auto"/>
                    </w:tcBorders>
                    <w:tcMar>
                      <w:left w:w="108" w:type="dxa"/>
                      <w:right w:w="108" w:type="dxa"/>
                    </w:tcMar>
                  </w:tcPr>
                  <w:p>
                    <w:pPr>
                      <w:rPr>
                        <w:sz w:val="20"/>
                      </w:rPr>
                    </w:pPr>
                    <w:r>
                      <w:rPr>
                        <w:sz w:val="20"/>
                      </w:rPr>
                      <w:t>74,794</w:t>
                    </w: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2021–2027 m. IP (BF)</w:t>
                    </w: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 xml:space="preserve">R – Asmenų, kurie po dalyvavimo veiklose įgijo  kvalifikaciją,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right w:val="single" w:sz="4" w:space="0" w:color="auto"/>
                    </w:tcBorders>
                    <w:vAlign w:val="center"/>
                  </w:tcPr>
                  <w:p/>
                </w:tc>
                <w:tc>
                  <w:tcPr>
                    <w:tcW w:w="699" w:type="dxa"/>
                    <w:vMerge/>
                    <w:tcBorders>
                      <w:left w:val="single" w:sz="4" w:space="0" w:color="auto"/>
                      <w:right w:val="single" w:sz="4" w:space="0" w:color="auto"/>
                    </w:tcBorders>
                    <w:vAlign w:val="center"/>
                  </w:tcPr>
                  <w:p/>
                </w:tc>
                <w:tc>
                  <w:tcPr>
                    <w:tcW w:w="1985" w:type="dxa"/>
                    <w:vMerge/>
                    <w:tcBorders>
                      <w:left w:val="single" w:sz="4" w:space="0" w:color="auto"/>
                      <w:right w:val="single" w:sz="4" w:space="0" w:color="auto"/>
                    </w:tcBorders>
                    <w:vAlign w:val="center"/>
                  </w:tcPr>
                  <w:p/>
                </w:tc>
                <w:tc>
                  <w:tcPr>
                    <w:tcW w:w="829" w:type="dxa"/>
                    <w:gridSpan w:val="3"/>
                    <w:vMerge/>
                    <w:tcBorders>
                      <w:left w:val="single" w:sz="4" w:space="0" w:color="auto"/>
                      <w:right w:val="single" w:sz="4" w:space="0" w:color="auto"/>
                    </w:tcBorders>
                    <w:vAlign w:val="center"/>
                  </w:tcPr>
                  <w:p/>
                </w:tc>
                <w:tc>
                  <w:tcPr>
                    <w:tcW w:w="1006" w:type="dxa"/>
                    <w:gridSpan w:val="2"/>
                    <w:vMerge/>
                    <w:tcBorders>
                      <w:left w:val="single" w:sz="4" w:space="0" w:color="auto"/>
                      <w:right w:val="single" w:sz="4" w:space="0" w:color="auto"/>
                    </w:tcBorders>
                    <w:vAlign w:val="center"/>
                  </w:tcPr>
                  <w:p/>
                </w:tc>
                <w:tc>
                  <w:tcPr>
                    <w:tcW w:w="689" w:type="dxa"/>
                    <w:gridSpan w:val="4"/>
                    <w:vMerge/>
                    <w:tcBorders>
                      <w:left w:val="single" w:sz="4" w:space="0" w:color="auto"/>
                      <w:right w:val="single" w:sz="4" w:space="0" w:color="auto"/>
                    </w:tcBorders>
                    <w:vAlign w:val="center"/>
                  </w:tcPr>
                  <w:p/>
                </w:tc>
                <w:tc>
                  <w:tcPr>
                    <w:tcW w:w="1167" w:type="dxa"/>
                    <w:gridSpan w:val="2"/>
                    <w:vMerge/>
                    <w:tcBorders>
                      <w:left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P – Sveikatos priežiūros įstaigos, įgyvendinusios sveikatos priežiūros specialistų įgalinimo, pritraukimo ir išlaikymo projektus, skaičius</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1</w:t>
                    </w:r>
                  </w:p>
                  <w:p>
                    <w:pPr>
                      <w:jc w:val="center"/>
                      <w:rPr>
                        <w:color w:val="000000"/>
                        <w:sz w:val="20"/>
                      </w:rPr>
                    </w:pPr>
                    <w:r>
                      <w:rPr>
                        <w:sz w:val="20"/>
                      </w:rPr>
                      <w:t>(2029 m.)</w:t>
                    </w:r>
                  </w:p>
                </w:tc>
                <w:tc>
                  <w:tcPr>
                    <w:tcW w:w="992" w:type="dxa"/>
                    <w:vMerge/>
                    <w:tcBorders>
                      <w:left w:val="single" w:sz="4" w:space="0" w:color="auto"/>
                      <w:right w:val="single" w:sz="4" w:space="0" w:color="auto"/>
                    </w:tcBorders>
                    <w:vAlign w:val="center"/>
                  </w:tcPr>
                  <w:p/>
                </w:tc>
                <w:tc>
                  <w:tcPr>
                    <w:tcW w:w="1279" w:type="dxa"/>
                    <w:vMerge/>
                    <w:tcBorders>
                      <w:left w:val="single" w:sz="4" w:space="0" w:color="auto"/>
                    </w:tcBorders>
                    <w:vAlign w:val="center"/>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A0" w:firstRow="1" w:lastRow="0" w:firstColumn="1" w:lastColumn="0" w:noHBand="1" w:noVBand="1"/>
                </w:tblPrEx>
                <w:trPr>
                  <w:trHeight w:val="1125"/>
                </w:trPr>
                <w:tc>
                  <w:tcPr>
                    <w:tcW w:w="2130" w:type="dxa"/>
                    <w:gridSpan w:val="2"/>
                    <w:vMerge/>
                    <w:tcBorders>
                      <w:left w:val="single" w:sz="4" w:space="0" w:color="auto"/>
                      <w:bottom w:val="single" w:sz="4" w:space="0" w:color="auto"/>
                      <w:right w:val="single" w:sz="4" w:space="0" w:color="auto"/>
                    </w:tcBorders>
                    <w:vAlign w:val="center"/>
                  </w:tcPr>
                  <w:p/>
                </w:tc>
                <w:tc>
                  <w:tcPr>
                    <w:tcW w:w="699" w:type="dxa"/>
                    <w:vMerge/>
                    <w:tcBorders>
                      <w:left w:val="single" w:sz="4" w:space="0" w:color="auto"/>
                      <w:bottom w:val="single" w:sz="4" w:space="0" w:color="auto"/>
                      <w:right w:val="single" w:sz="4" w:space="0" w:color="auto"/>
                    </w:tcBorders>
                    <w:vAlign w:val="center"/>
                  </w:tcPr>
                  <w:p/>
                </w:tc>
                <w:tc>
                  <w:tcPr>
                    <w:tcW w:w="1985" w:type="dxa"/>
                    <w:vMerge/>
                    <w:tcBorders>
                      <w:left w:val="single" w:sz="4" w:space="0" w:color="auto"/>
                      <w:bottom w:val="single" w:sz="4" w:space="0" w:color="auto"/>
                      <w:right w:val="single" w:sz="4" w:space="0" w:color="auto"/>
                    </w:tcBorders>
                    <w:vAlign w:val="center"/>
                  </w:tcPr>
                  <w:p/>
                </w:tc>
                <w:tc>
                  <w:tcPr>
                    <w:tcW w:w="829" w:type="dxa"/>
                    <w:gridSpan w:val="3"/>
                    <w:vMerge/>
                    <w:tcBorders>
                      <w:left w:val="single" w:sz="4" w:space="0" w:color="auto"/>
                      <w:bottom w:val="single" w:sz="4" w:space="0" w:color="auto"/>
                      <w:right w:val="single" w:sz="4" w:space="0" w:color="auto"/>
                    </w:tcBorders>
                    <w:vAlign w:val="center"/>
                  </w:tcPr>
                  <w:p/>
                </w:tc>
                <w:tc>
                  <w:tcPr>
                    <w:tcW w:w="1006" w:type="dxa"/>
                    <w:gridSpan w:val="2"/>
                    <w:vMerge/>
                    <w:tcBorders>
                      <w:left w:val="single" w:sz="4" w:space="0" w:color="auto"/>
                      <w:bottom w:val="single" w:sz="4" w:space="0" w:color="auto"/>
                      <w:right w:val="single" w:sz="4" w:space="0" w:color="auto"/>
                    </w:tcBorders>
                    <w:vAlign w:val="center"/>
                  </w:tcPr>
                  <w:p/>
                </w:tc>
                <w:tc>
                  <w:tcPr>
                    <w:tcW w:w="689" w:type="dxa"/>
                    <w:gridSpan w:val="4"/>
                    <w:vMerge/>
                    <w:tcBorders>
                      <w:left w:val="single" w:sz="4" w:space="0" w:color="auto"/>
                      <w:bottom w:val="single" w:sz="4" w:space="0" w:color="auto"/>
                      <w:right w:val="single" w:sz="4" w:space="0" w:color="auto"/>
                    </w:tcBorders>
                    <w:vAlign w:val="center"/>
                  </w:tcPr>
                  <w:p/>
                </w:tc>
                <w:tc>
                  <w:tcPr>
                    <w:tcW w:w="1167" w:type="dxa"/>
                    <w:gridSpan w:val="2"/>
                    <w:vMerge/>
                    <w:tcBorders>
                      <w:left w:val="single" w:sz="4" w:space="0" w:color="auto"/>
                      <w:bottom w:val="single" w:sz="4" w:space="0" w:color="auto"/>
                      <w:right w:val="single" w:sz="4" w:space="0" w:color="auto"/>
                    </w:tcBorders>
                    <w:tcMar>
                      <w:left w:w="108" w:type="dxa"/>
                      <w:right w:w="108" w:type="dxa"/>
                    </w:tcMar>
                  </w:tcPr>
                  <w:p>
                    <w:pPr>
                      <w:rPr>
                        <w:sz w:val="20"/>
                      </w:rPr>
                    </w:pPr>
                  </w:p>
                </w:tc>
                <w:tc>
                  <w:tcPr>
                    <w:tcW w:w="1118" w:type="dxa"/>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p>
                </w:tc>
                <w:tc>
                  <w:tcPr>
                    <w:tcW w:w="2001"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rPr>
                        <w:color w:val="000000"/>
                        <w:sz w:val="20"/>
                      </w:rPr>
                    </w:pPr>
                    <w:r>
                      <w:rPr>
                        <w:sz w:val="20"/>
                      </w:rPr>
                      <w:t>R – Sveikatos priežiūros specialistų, kurie po dalyvavimo veiklose mažiausiai 2 metus dirbo sveikatos priežiūros įstaigose, dalis, proc.</w:t>
                    </w:r>
                  </w:p>
                </w:tc>
                <w:tc>
                  <w:tcPr>
                    <w:tcW w:w="1134" w:type="dxa"/>
                    <w:gridSpan w:val="2"/>
                    <w:tcBorders>
                      <w:top w:val="single" w:sz="4" w:space="0" w:color="auto"/>
                      <w:left w:val="single" w:sz="4" w:space="0" w:color="auto"/>
                      <w:bottom w:val="single" w:sz="4" w:space="0" w:color="auto"/>
                      <w:right w:val="single" w:sz="4" w:space="0" w:color="auto"/>
                    </w:tcBorders>
                    <w:tcMar>
                      <w:left w:w="108" w:type="dxa"/>
                      <w:right w:w="108" w:type="dxa"/>
                    </w:tcMar>
                  </w:tcPr>
                  <w:p>
                    <w:pPr>
                      <w:jc w:val="center"/>
                      <w:rPr>
                        <w:sz w:val="20"/>
                      </w:rPr>
                    </w:pPr>
                    <w:r>
                      <w:rPr>
                        <w:sz w:val="20"/>
                      </w:rPr>
                      <w:t>80</w:t>
                    </w:r>
                  </w:p>
                  <w:p>
                    <w:pPr>
                      <w:jc w:val="center"/>
                      <w:rPr>
                        <w:color w:val="000000"/>
                        <w:sz w:val="20"/>
                      </w:rPr>
                    </w:pPr>
                    <w:r>
                      <w:rPr>
                        <w:sz w:val="20"/>
                      </w:rPr>
                      <w:t>(2029 m.)</w:t>
                    </w:r>
                  </w:p>
                </w:tc>
                <w:tc>
                  <w:tcPr>
                    <w:tcW w:w="992" w:type="dxa"/>
                    <w:vMerge/>
                    <w:tcBorders>
                      <w:left w:val="single" w:sz="4" w:space="0" w:color="auto"/>
                      <w:bottom w:val="single" w:sz="4" w:space="0" w:color="auto"/>
                      <w:right w:val="single" w:sz="4" w:space="0" w:color="auto"/>
                    </w:tcBorders>
                    <w:vAlign w:val="center"/>
                  </w:tcPr>
                  <w:p/>
                </w:tc>
                <w:tc>
                  <w:tcPr>
                    <w:tcW w:w="1279" w:type="dxa"/>
                    <w:vMerge/>
                    <w:tcBorders>
                      <w:left w:val="single" w:sz="4" w:space="0" w:color="auto"/>
                      <w:bottom w:val="single" w:sz="4" w:space="0" w:color="auto"/>
                    </w:tcBorders>
                    <w:vAlign w:val="center"/>
                  </w:tcPr>
                  <w:p/>
                </w:tc>
              </w:tr>
              <w:tr>
                <w:trPr>
                  <w:trHeight w:val="414"/>
                </w:trPr>
                <w:tc>
                  <w:tcPr>
                    <w:tcW w:w="2130"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b/>
                        <w:bCs/>
                        <w:sz w:val="20"/>
                      </w:rPr>
                    </w:pPr>
                    <w:r>
                      <w:rPr>
                        <w:b/>
                        <w:bCs/>
                        <w:sz w:val="20"/>
                      </w:rPr>
                      <w:t>11. Specialistų kvalifikacijos tobulinimas ir perkvalifikavimas:</w:t>
                    </w:r>
                  </w:p>
                </w:tc>
                <w:tc>
                  <w:tcPr>
                    <w:tcW w:w="69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829"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014"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681" w:type="dxa"/>
                    <w:gridSpan w:val="3"/>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17 690,542</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2001"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w:t>
                    </w:r>
                  </w:p>
                </w:tc>
                <w:tc>
                  <w:tcPr>
                    <w:tcW w:w="1279"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jc w:val="center"/>
                      <w:rPr>
                        <w:color w:val="000000"/>
                        <w:sz w:val="20"/>
                      </w:rPr>
                    </w:pPr>
                    <w:r>
                      <w:rPr>
                        <w:color w:val="000000"/>
                        <w:sz w:val="20"/>
                      </w:rPr>
                      <w:t>-</w:t>
                    </w: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8 627,961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 xml:space="preserve">2021–2027 m. IP (ESF+, VVL regionas) </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lang w:val="en-US"/>
                      </w:rPr>
                    </w:pPr>
                    <w:r>
                      <w:rPr>
                        <w:sz w:val="20"/>
                        <w:lang w:val="en-US"/>
                      </w:rPr>
                      <w:t>1 522,581</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it-IT"/>
                      </w:rPr>
                    </w:pPr>
                    <w:r>
                      <w:rPr>
                        <w:sz w:val="20"/>
                      </w:rPr>
                      <w:t>2021–2027 m. IP (BF, VVL regionas)</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2 100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EGADP</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440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PVM iš 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vMerge/>
                    <w:tcBorders>
                      <w:top w:val="single" w:sz="4" w:space="0" w:color="auto"/>
                      <w:left w:val="single" w:sz="4" w:space="0" w:color="auto"/>
                      <w:bottom w:val="single" w:sz="4" w:space="0" w:color="auto"/>
                      <w:right w:val="single" w:sz="4" w:space="0" w:color="auto"/>
                    </w:tcBorders>
                    <w:vAlign w:val="center"/>
                    <w:hideMark/>
                  </w:tcPr>
                  <w:p>
                    <w:pPr>
                      <w:rPr>
                        <w:b/>
                        <w:bCs/>
                        <w:sz w:val="20"/>
                      </w:rPr>
                    </w:pPr>
                  </w:p>
                </w:tc>
                <w:tc>
                  <w:tcPr>
                    <w:tcW w:w="699"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829"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014"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681" w:type="dxa"/>
                    <w:gridSpan w:val="3"/>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lang w:val="en-US"/>
                      </w:rPr>
                    </w:pPr>
                    <w:r>
                      <w:rPr>
                        <w:sz w:val="20"/>
                        <w:lang w:val="en-US"/>
                      </w:rPr>
                      <w:t>5 000</w:t>
                    </w:r>
                  </w:p>
                </w:tc>
                <w:tc>
                  <w:tcPr>
                    <w:tcW w:w="1118"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pPr>
                      <w:rPr>
                        <w:sz w:val="20"/>
                      </w:rPr>
                    </w:pPr>
                    <w:r>
                      <w:rPr>
                        <w:sz w:val="20"/>
                      </w:rPr>
                      <w:t>VB</w:t>
                    </w:r>
                  </w:p>
                </w:tc>
                <w:tc>
                  <w:tcPr>
                    <w:tcW w:w="2001"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1134" w:type="dxa"/>
                    <w:gridSpan w:val="2"/>
                    <w:vMerge/>
                    <w:tcBorders>
                      <w:top w:val="single" w:sz="4" w:space="0" w:color="auto"/>
                      <w:left w:val="single" w:sz="4" w:space="0" w:color="auto"/>
                      <w:bottom w:val="single" w:sz="4" w:space="0" w:color="auto"/>
                      <w:right w:val="single" w:sz="4" w:space="0" w:color="auto"/>
                    </w:tcBorders>
                    <w:vAlign w:val="center"/>
                    <w:hideMark/>
                  </w:tcPr>
                  <w:p>
                    <w:pPr>
                      <w:rPr>
                        <w:color w:val="FF0000"/>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1198"/>
                </w:trPr>
                <w:tc>
                  <w:tcPr>
                    <w:tcW w:w="2130" w:type="dxa"/>
                    <w:gridSpan w:val="2"/>
                  </w:tcPr>
                  <w:p>
                    <w:pPr>
                      <w:rPr>
                        <w:sz w:val="20"/>
                      </w:rPr>
                    </w:pPr>
                    <w:r>
                      <w:rPr>
                        <w:sz w:val="20"/>
                      </w:rPr>
                      <w:t xml:space="preserve">11.1. Sveikatos priežiūros  specialistų kvalifikaciją ir darbo sąlygas tobulinančių teisės aktų rengimas</w:t>
                    </w:r>
                  </w:p>
                </w:tc>
                <w:tc>
                  <w:tcPr>
                    <w:tcW w:w="699" w:type="dxa"/>
                  </w:tcPr>
                  <w:p>
                    <w:pPr>
                      <w:rPr>
                        <w:sz w:val="20"/>
                      </w:rPr>
                    </w:pPr>
                    <w:r>
                      <w:rPr>
                        <w:sz w:val="20"/>
                      </w:rPr>
                      <w:t>R</w:t>
                    </w:r>
                  </w:p>
                </w:tc>
                <w:tc>
                  <w:tcPr>
                    <w:tcW w:w="1985" w:type="dxa"/>
                  </w:tcPr>
                  <w:p>
                    <w:pPr>
                      <w:rPr>
                        <w:sz w:val="20"/>
                      </w:rPr>
                    </w:pPr>
                    <w:r>
                      <w:rPr>
                        <w:sz w:val="20"/>
                      </w:rPr>
                      <w:t>-</w:t>
                    </w:r>
                  </w:p>
                </w:tc>
                <w:tc>
                  <w:tcPr>
                    <w:tcW w:w="829" w:type="dxa"/>
                    <w:gridSpan w:val="3"/>
                  </w:tcPr>
                  <w:p>
                    <w:pPr>
                      <w:rPr>
                        <w:sz w:val="20"/>
                      </w:rPr>
                    </w:pPr>
                    <w:r>
                      <w:rPr>
                        <w:sz w:val="20"/>
                      </w:rPr>
                      <w:t>-</w:t>
                    </w:r>
                  </w:p>
                </w:tc>
                <w:tc>
                  <w:tcPr>
                    <w:tcW w:w="1014" w:type="dxa"/>
                    <w:gridSpan w:val="3"/>
                  </w:tcPr>
                  <w:p>
                    <w:pPr>
                      <w:rPr>
                        <w:sz w:val="20"/>
                      </w:rPr>
                    </w:pPr>
                    <w:r>
                      <w:rPr>
                        <w:sz w:val="20"/>
                      </w:rPr>
                      <w:t>Taip</w:t>
                    </w:r>
                  </w:p>
                </w:tc>
                <w:tc>
                  <w:tcPr>
                    <w:tcW w:w="681" w:type="dxa"/>
                    <w:gridSpan w:val="3"/>
                  </w:tcPr>
                  <w:p>
                    <w:pPr>
                      <w:rPr>
                        <w:sz w:val="20"/>
                      </w:rPr>
                    </w:pPr>
                    <w:r>
                      <w:rPr>
                        <w:sz w:val="20"/>
                      </w:rPr>
                      <w:t>-</w:t>
                    </w:r>
                  </w:p>
                </w:tc>
                <w:tc>
                  <w:tcPr>
                    <w:tcW w:w="1167" w:type="dxa"/>
                    <w:gridSpan w:val="2"/>
                  </w:tcPr>
                  <w:p>
                    <w:pPr>
                      <w:rPr>
                        <w:sz w:val="20"/>
                        <w:lang w:val="en-US"/>
                      </w:rPr>
                    </w:pPr>
                    <w:r>
                      <w:rPr>
                        <w:sz w:val="20"/>
                        <w:lang w:val="en-US"/>
                      </w:rPr>
                      <w:t>-</w:t>
                    </w:r>
                  </w:p>
                </w:tc>
                <w:tc>
                  <w:tcPr>
                    <w:tcW w:w="1118" w:type="dxa"/>
                  </w:tcPr>
                  <w:p>
                    <w:pPr>
                      <w:rPr>
                        <w:sz w:val="20"/>
                      </w:rPr>
                    </w:pPr>
                    <w:r>
                      <w:rPr>
                        <w:sz w:val="20"/>
                      </w:rPr>
                      <w:t>-</w:t>
                    </w:r>
                  </w:p>
                </w:tc>
                <w:tc>
                  <w:tcPr>
                    <w:tcW w:w="2001" w:type="dxa"/>
                    <w:gridSpan w:val="2"/>
                  </w:tcPr>
                  <w:p>
                    <w:pPr>
                      <w:ind w:right="-57"/>
                      <w:rPr>
                        <w:sz w:val="20"/>
                      </w:rPr>
                    </w:pPr>
                    <w:r>
                      <w:rPr>
                        <w:sz w:val="20"/>
                      </w:rPr>
                      <w:t>P – Įsigalioję teisės aktai dėl sveikatos priežiūros specialistų darbo sąlygų gerinimo ir profesinės kvalifikacijos tobulinimo, kompl.</w:t>
                    </w:r>
                  </w:p>
                </w:tc>
                <w:tc>
                  <w:tcPr>
                    <w:tcW w:w="1134" w:type="dxa"/>
                    <w:gridSpan w:val="2"/>
                  </w:tcPr>
                  <w:p>
                    <w:pPr>
                      <w:ind w:left="-57" w:right="-57"/>
                      <w:jc w:val="center"/>
                      <w:rPr>
                        <w:sz w:val="20"/>
                      </w:rPr>
                    </w:pPr>
                    <w:r>
                      <w:rPr>
                        <w:sz w:val="20"/>
                      </w:rPr>
                      <w:t>1</w:t>
                    </w:r>
                  </w:p>
                  <w:p>
                    <w:pPr>
                      <w:ind w:left="-57" w:right="-57"/>
                      <w:jc w:val="center"/>
                      <w:rPr>
                        <w:sz w:val="20"/>
                      </w:rPr>
                    </w:pPr>
                    <w:r>
                      <w:rPr>
                        <w:sz w:val="20"/>
                      </w:rPr>
                      <w:t>(2023 m. II ketv.)</w:t>
                    </w:r>
                  </w:p>
                </w:tc>
                <w:tc>
                  <w:tcPr>
                    <w:tcW w:w="992" w:type="dxa"/>
                  </w:tcPr>
                  <w:p>
                    <w:pPr>
                      <w:rPr>
                        <w:sz w:val="20"/>
                      </w:rPr>
                    </w:pPr>
                    <w:r>
                      <w:rPr>
                        <w:sz w:val="20"/>
                      </w:rPr>
                      <w:t>-</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943"/>
                </w:trPr>
                <w:tc>
                  <w:tcPr>
                    <w:tcW w:w="2130" w:type="dxa"/>
                    <w:gridSpan w:val="2"/>
                    <w:vMerge w:val="restart"/>
                    <w:hideMark/>
                  </w:tcPr>
                  <w:p>
                    <w:pPr>
                      <w:rPr>
                        <w:sz w:val="20"/>
                      </w:rPr>
                    </w:pPr>
                    <w:r>
                      <w:rPr>
                        <w:sz w:val="20"/>
                      </w:rPr>
                      <w:t>11.2. Sveikatos priežiūros  specialistų kvalifikacijos tobulinimas, Vidurio ir vakarų Lietuvos regionas</w:t>
                    </w:r>
                  </w:p>
                </w:tc>
                <w:tc>
                  <w:tcPr>
                    <w:tcW w:w="699" w:type="dxa"/>
                    <w:vMerge w:val="restart"/>
                    <w:hideMark/>
                  </w:tcPr>
                  <w:p>
                    <w:pPr>
                      <w:rPr>
                        <w:sz w:val="20"/>
                      </w:rPr>
                    </w:pPr>
                    <w:r>
                      <w:rPr>
                        <w:sz w:val="20"/>
                      </w:rPr>
                      <w:t>I</w:t>
                    </w:r>
                  </w:p>
                </w:tc>
                <w:tc>
                  <w:tcPr>
                    <w:tcW w:w="1985" w:type="dxa"/>
                    <w:vMerge w:val="restart"/>
                    <w:hideMark/>
                  </w:tcPr>
                  <w:p>
                    <w:pPr>
                      <w:rPr>
                        <w:sz w:val="20"/>
                      </w:rPr>
                    </w:pPr>
                    <w:r>
                      <w:rPr>
                        <w:sz w:val="20"/>
                      </w:rPr>
                      <w:t>SAM</w:t>
                    </w:r>
                  </w:p>
                </w:tc>
                <w:tc>
                  <w:tcPr>
                    <w:tcW w:w="829" w:type="dxa"/>
                    <w:gridSpan w:val="3"/>
                    <w:vMerge w:val="restart"/>
                    <w:hideMark/>
                  </w:tcPr>
                  <w:p>
                    <w:pPr>
                      <w:rPr>
                        <w:sz w:val="20"/>
                      </w:rPr>
                    </w:pPr>
                    <w:r>
                      <w:rPr>
                        <w:sz w:val="20"/>
                      </w:rPr>
                      <w:t>P</w:t>
                    </w:r>
                  </w:p>
                </w:tc>
                <w:tc>
                  <w:tcPr>
                    <w:tcW w:w="1014" w:type="dxa"/>
                    <w:gridSpan w:val="3"/>
                    <w:vMerge w:val="restart"/>
                    <w:hideMark/>
                  </w:tcPr>
                  <w:p>
                    <w:pPr>
                      <w:rPr>
                        <w:sz w:val="20"/>
                      </w:rPr>
                    </w:pPr>
                    <w:r>
                      <w:rPr>
                        <w:sz w:val="20"/>
                      </w:rPr>
                      <w:t>Taip</w:t>
                    </w:r>
                  </w:p>
                </w:tc>
                <w:tc>
                  <w:tcPr>
                    <w:tcW w:w="681" w:type="dxa"/>
                    <w:gridSpan w:val="3"/>
                    <w:vMerge w:val="restart"/>
                    <w:hideMark/>
                  </w:tcPr>
                  <w:p>
                    <w:pPr>
                      <w:rPr>
                        <w:sz w:val="20"/>
                      </w:rPr>
                    </w:pPr>
                    <w:r>
                      <w:rPr>
                        <w:sz w:val="20"/>
                      </w:rPr>
                      <w:t>D</w:t>
                    </w:r>
                  </w:p>
                </w:tc>
                <w:tc>
                  <w:tcPr>
                    <w:tcW w:w="1167" w:type="dxa"/>
                    <w:gridSpan w:val="2"/>
                  </w:tcPr>
                  <w:p>
                    <w:pPr>
                      <w:ind w:firstLine="62"/>
                      <w:rPr>
                        <w:sz w:val="20"/>
                      </w:rPr>
                    </w:pPr>
                  </w:p>
                  <w:p>
                    <w:pPr>
                      <w:rPr>
                        <w:sz w:val="20"/>
                      </w:rPr>
                    </w:pPr>
                    <w:r>
                      <w:rPr>
                        <w:sz w:val="20"/>
                      </w:rPr>
                      <w:t>716,118</w:t>
                    </w:r>
                  </w:p>
                  <w:p>
                    <w:pPr>
                      <w:rPr>
                        <w:sz w:val="20"/>
                      </w:rPr>
                    </w:pPr>
                  </w:p>
                </w:tc>
                <w:tc>
                  <w:tcPr>
                    <w:tcW w:w="1118" w:type="dxa"/>
                    <w:hideMark/>
                  </w:tcPr>
                  <w:p>
                    <w:pPr>
                      <w:rPr>
                        <w:sz w:val="20"/>
                      </w:rPr>
                    </w:pPr>
                    <w:r>
                      <w:rPr>
                        <w:sz w:val="20"/>
                      </w:rPr>
                      <w:t>2021–2027 m. IP (ESF+)</w:t>
                    </w:r>
                  </w:p>
                </w:tc>
                <w:tc>
                  <w:tcPr>
                    <w:tcW w:w="2001" w:type="dxa"/>
                    <w:gridSpan w:val="2"/>
                    <w:vMerge w:val="restart"/>
                    <w:hideMark/>
                  </w:tcPr>
                  <w:p>
                    <w:pPr>
                      <w:rPr>
                        <w:sz w:val="20"/>
                      </w:rPr>
                    </w:pPr>
                    <w:r>
                      <w:rPr>
                        <w:sz w:val="20"/>
                      </w:rPr>
                      <w:t>P – Specialistai, dalyvavę kvalifikacijos tobulinimo ar perkvalifikavimo veiklose, asmenys</w:t>
                    </w:r>
                  </w:p>
                </w:tc>
                <w:tc>
                  <w:tcPr>
                    <w:tcW w:w="1134" w:type="dxa"/>
                    <w:gridSpan w:val="2"/>
                    <w:vMerge w:val="restart"/>
                  </w:tcPr>
                  <w:p>
                    <w:pPr>
                      <w:rPr>
                        <w:sz w:val="20"/>
                      </w:rPr>
                    </w:pPr>
                  </w:p>
                  <w:p>
                    <w:pPr>
                      <w:rPr>
                        <w:sz w:val="20"/>
                      </w:rPr>
                    </w:pPr>
                    <w:r>
                      <w:rPr>
                        <w:sz w:val="20"/>
                      </w:rPr>
                      <w:t>3 200</w:t>
                    </w:r>
                  </w:p>
                  <w:p>
                    <w:pPr>
                      <w:rPr>
                        <w:sz w:val="20"/>
                      </w:rPr>
                    </w:pPr>
                    <w:r>
                      <w:rPr>
                        <w:sz w:val="20"/>
                      </w:rPr>
                      <w:t>(2029 m.)</w:t>
                    </w:r>
                  </w:p>
                  <w:p>
                    <w:pPr>
                      <w:ind w:firstLine="62"/>
                      <w:rPr>
                        <w:sz w:val="20"/>
                      </w:rPr>
                    </w:pPr>
                  </w:p>
                </w:tc>
                <w:tc>
                  <w:tcPr>
                    <w:tcW w:w="992" w:type="dxa"/>
                    <w:vMerge w:val="restart"/>
                    <w:tcBorders>
                      <w:top w:val="single" w:sz="4" w:space="0" w:color="auto"/>
                      <w:left w:val="single" w:sz="4" w:space="0" w:color="auto"/>
                      <w:bottom w:val="single" w:sz="4" w:space="0" w:color="auto"/>
                      <w:right w:val="single" w:sz="4" w:space="0" w:color="auto"/>
                    </w:tcBorders>
                    <w:hideMark/>
                  </w:tcPr>
                  <w:p>
                    <w:pPr>
                      <w:rPr>
                        <w:sz w:val="20"/>
                      </w:rPr>
                    </w:pPr>
                    <w:r>
                      <w:rPr>
                        <w:sz w:val="20"/>
                      </w:rPr>
                      <w:t>CPVA</w:t>
                    </w:r>
                  </w:p>
                </w:tc>
                <w:tc>
                  <w:tcPr>
                    <w:tcW w:w="1279" w:type="dxa"/>
                    <w:vMerge w:val="restart"/>
                    <w:tcBorders>
                      <w:top w:val="single" w:sz="4" w:space="0" w:color="auto"/>
                      <w:left w:val="single" w:sz="4" w:space="0" w:color="auto"/>
                      <w:bottom w:val="single" w:sz="4" w:space="0" w:color="auto"/>
                      <w:right w:val="single" w:sz="4" w:space="0" w:color="auto"/>
                    </w:tcBorders>
                    <w:hideMark/>
                  </w:tcPr>
                  <w:p>
                    <w:pPr>
                      <w:jc w:val="center"/>
                      <w:rPr>
                        <w:color w:val="000000"/>
                        <w:sz w:val="20"/>
                      </w:rPr>
                    </w:pPr>
                    <w:r>
                      <w:rPr>
                        <w:color w:val="000000"/>
                        <w:sz w:val="20"/>
                      </w:rPr>
                      <w:t>SAM</w:t>
                    </w:r>
                  </w:p>
                </w:tc>
              </w:tr>
              <w:tr>
                <w:trPr>
                  <w:trHeight w:val="276"/>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restart"/>
                  </w:tcPr>
                  <w:p>
                    <w:pPr>
                      <w:ind w:firstLine="62"/>
                      <w:rPr>
                        <w:sz w:val="20"/>
                      </w:rPr>
                    </w:pPr>
                  </w:p>
                  <w:p>
                    <w:pPr>
                      <w:rPr>
                        <w:sz w:val="20"/>
                      </w:rPr>
                    </w:pPr>
                    <w:r>
                      <w:rPr>
                        <w:sz w:val="20"/>
                      </w:rPr>
                      <w:t>126,374</w:t>
                    </w:r>
                  </w:p>
                  <w:p>
                    <w:pPr>
                      <w:rPr>
                        <w:sz w:val="20"/>
                        <w:highlight w:val="green"/>
                      </w:rPr>
                    </w:pPr>
                  </w:p>
                </w:tc>
                <w:tc>
                  <w:tcPr>
                    <w:tcW w:w="1118" w:type="dxa"/>
                    <w:vMerge w:val="restart"/>
                  </w:tcPr>
                  <w:p>
                    <w:pPr>
                      <w:rPr>
                        <w:sz w:val="20"/>
                      </w:rPr>
                    </w:pPr>
                    <w:r>
                      <w:rPr>
                        <w:sz w:val="20"/>
                      </w:rPr>
                      <w:t>2021–2027 m. IP (BF)</w:t>
                    </w:r>
                  </w:p>
                  <w:p>
                    <w:pPr>
                      <w:rPr>
                        <w:sz w:val="20"/>
                      </w:rPr>
                    </w:pPr>
                  </w:p>
                </w:tc>
                <w:tc>
                  <w:tcPr>
                    <w:tcW w:w="2001" w:type="dxa"/>
                    <w:gridSpan w:val="2"/>
                    <w:vMerge/>
                    <w:vAlign w:val="center"/>
                    <w:hideMark/>
                  </w:tcPr>
                  <w:p>
                    <w:pPr>
                      <w:rPr>
                        <w:sz w:val="20"/>
                      </w:rPr>
                    </w:pPr>
                  </w:p>
                </w:tc>
                <w:tc>
                  <w:tcPr>
                    <w:tcW w:w="1134" w:type="dxa"/>
                    <w:gridSpan w:val="2"/>
                    <w:vMerge/>
                    <w:vAlign w:val="center"/>
                    <w:hideMark/>
                  </w:tcPr>
                  <w:p>
                    <w:pPr>
                      <w:rPr>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833"/>
                </w:trPr>
                <w:tc>
                  <w:tcPr>
                    <w:tcW w:w="2130" w:type="dxa"/>
                    <w:gridSpan w:val="2"/>
                    <w:vMerge/>
                    <w:vAlign w:val="center"/>
                    <w:hideMark/>
                  </w:tcPr>
                  <w:p>
                    <w:pPr>
                      <w:rPr>
                        <w:sz w:val="20"/>
                      </w:rPr>
                    </w:pPr>
                  </w:p>
                </w:tc>
                <w:tc>
                  <w:tcPr>
                    <w:tcW w:w="699" w:type="dxa"/>
                    <w:vMerge/>
                    <w:vAlign w:val="center"/>
                    <w:hideMark/>
                  </w:tcPr>
                  <w:p>
                    <w:pPr>
                      <w:rPr>
                        <w:sz w:val="20"/>
                      </w:rPr>
                    </w:pPr>
                  </w:p>
                </w:tc>
                <w:tc>
                  <w:tcPr>
                    <w:tcW w:w="1985" w:type="dxa"/>
                    <w:vMerge/>
                    <w:vAlign w:val="center"/>
                    <w:hideMark/>
                  </w:tcPr>
                  <w:p>
                    <w:pPr>
                      <w:rPr>
                        <w:sz w:val="20"/>
                      </w:rPr>
                    </w:pPr>
                  </w:p>
                </w:tc>
                <w:tc>
                  <w:tcPr>
                    <w:tcW w:w="829" w:type="dxa"/>
                    <w:gridSpan w:val="3"/>
                    <w:vMerge/>
                    <w:vAlign w:val="center"/>
                    <w:hideMark/>
                  </w:tcPr>
                  <w:p>
                    <w:pPr>
                      <w:rPr>
                        <w:sz w:val="20"/>
                      </w:rPr>
                    </w:pPr>
                  </w:p>
                </w:tc>
                <w:tc>
                  <w:tcPr>
                    <w:tcW w:w="1014" w:type="dxa"/>
                    <w:gridSpan w:val="3"/>
                    <w:vMerge/>
                    <w:vAlign w:val="center"/>
                    <w:hideMark/>
                  </w:tcPr>
                  <w:p>
                    <w:pPr>
                      <w:rPr>
                        <w:sz w:val="20"/>
                      </w:rPr>
                    </w:pPr>
                  </w:p>
                </w:tc>
                <w:tc>
                  <w:tcPr>
                    <w:tcW w:w="681" w:type="dxa"/>
                    <w:gridSpan w:val="3"/>
                    <w:vMerge/>
                    <w:vAlign w:val="center"/>
                    <w:hideMark/>
                  </w:tcPr>
                  <w:p>
                    <w:pPr>
                      <w:rPr>
                        <w:sz w:val="20"/>
                      </w:rPr>
                    </w:pPr>
                  </w:p>
                </w:tc>
                <w:tc>
                  <w:tcPr>
                    <w:tcW w:w="1167" w:type="dxa"/>
                    <w:gridSpan w:val="2"/>
                    <w:vMerge/>
                    <w:vAlign w:val="center"/>
                    <w:hideMark/>
                  </w:tcPr>
                  <w:p>
                    <w:pPr>
                      <w:rPr>
                        <w:sz w:val="20"/>
                        <w:highlight w:val="green"/>
                      </w:rPr>
                    </w:pPr>
                  </w:p>
                </w:tc>
                <w:tc>
                  <w:tcPr>
                    <w:tcW w:w="1118" w:type="dxa"/>
                    <w:vMerge/>
                    <w:vAlign w:val="center"/>
                    <w:hideMark/>
                  </w:tcPr>
                  <w:p>
                    <w:pPr>
                      <w:rPr>
                        <w:sz w:val="20"/>
                      </w:rPr>
                    </w:pPr>
                  </w:p>
                </w:tc>
                <w:tc>
                  <w:tcPr>
                    <w:tcW w:w="2001" w:type="dxa"/>
                    <w:gridSpan w:val="2"/>
                    <w:hideMark/>
                  </w:tcPr>
                  <w:p>
                    <w:pPr>
                      <w:ind w:left="-57" w:right="-57"/>
                      <w:rPr>
                        <w:sz w:val="20"/>
                      </w:rPr>
                    </w:pPr>
                    <w:r>
                      <w:rPr>
                        <w:sz w:val="20"/>
                      </w:rPr>
                      <w:t>R – Specialistų, kurie po dalyvavimo veiklose įgijo ar patobulino kvalifikaciją, dalis proc.</w:t>
                    </w:r>
                  </w:p>
                </w:tc>
                <w:tc>
                  <w:tcPr>
                    <w:tcW w:w="1134" w:type="dxa"/>
                    <w:gridSpan w:val="2"/>
                  </w:tcPr>
                  <w:p>
                    <w:pPr>
                      <w:rPr>
                        <w:sz w:val="20"/>
                      </w:rPr>
                    </w:pPr>
                    <w:r>
                      <w:rPr>
                        <w:sz w:val="20"/>
                      </w:rPr>
                      <w:t>90</w:t>
                    </w:r>
                  </w:p>
                  <w:p>
                    <w:pPr>
                      <w:rPr>
                        <w:sz w:val="20"/>
                      </w:rPr>
                    </w:pPr>
                    <w:r>
                      <w:rPr>
                        <w:sz w:val="20"/>
                      </w:rPr>
                      <w:t>(2029 m.)</w:t>
                    </w:r>
                  </w:p>
                  <w:p>
                    <w:pPr>
                      <w:jc w:val="center"/>
                      <w:rPr>
                        <w:b/>
                        <w:bCs/>
                        <w:sz w:val="20"/>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pPr>
                      <w:rPr>
                        <w:sz w:val="20"/>
                      </w:rPr>
                    </w:pPr>
                  </w:p>
                </w:tc>
                <w:tc>
                  <w:tcPr>
                    <w:tcW w:w="1279"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0"/>
                      </w:rPr>
                    </w:pPr>
                  </w:p>
                </w:tc>
              </w:tr>
              <w:tr>
                <w:trPr>
                  <w:trHeight w:val="414"/>
                </w:trPr>
                <w:tc>
                  <w:tcPr>
                    <w:tcW w:w="2130" w:type="dxa"/>
                    <w:gridSpan w:val="2"/>
                  </w:tcPr>
                  <w:p>
                    <w:pPr>
                      <w:rPr>
                        <w:sz w:val="20"/>
                      </w:rPr>
                    </w:pPr>
                    <w:r>
                      <w:rPr>
                        <w:sz w:val="20"/>
                      </w:rPr>
                      <w:t>11.3. Sveikatos priežiūros specialistų kvalifikacijos tobulinimas</w:t>
                    </w:r>
                  </w:p>
                </w:tc>
                <w:tc>
                  <w:tcPr>
                    <w:tcW w:w="699" w:type="dxa"/>
                  </w:tcPr>
                  <w:p>
                    <w:pPr>
                      <w:rPr>
                        <w:sz w:val="20"/>
                      </w:rPr>
                    </w:pPr>
                    <w:r>
                      <w:rPr>
                        <w:sz w:val="20"/>
                      </w:rPr>
                      <w:t>I</w:t>
                    </w:r>
                  </w:p>
                </w:tc>
                <w:tc>
                  <w:tcPr>
                    <w:tcW w:w="1985" w:type="dxa"/>
                  </w:tcPr>
                  <w:p>
                    <w:pPr>
                      <w:rPr>
                        <w:sz w:val="20"/>
                      </w:rPr>
                    </w:pPr>
                    <w:r>
                      <w:rPr>
                        <w:sz w:val="20"/>
                      </w:rPr>
                      <w:t>SAM</w:t>
                    </w:r>
                  </w:p>
                </w:tc>
                <w:tc>
                  <w:tcPr>
                    <w:tcW w:w="829" w:type="dxa"/>
                    <w:gridSpan w:val="3"/>
                  </w:tcPr>
                  <w:p>
                    <w:pPr>
                      <w:rPr>
                        <w:sz w:val="20"/>
                      </w:rPr>
                    </w:pPr>
                    <w:r>
                      <w:rPr>
                        <w:sz w:val="20"/>
                      </w:rPr>
                      <w:t>P</w:t>
                    </w:r>
                  </w:p>
                </w:tc>
                <w:tc>
                  <w:tcPr>
                    <w:tcW w:w="1014" w:type="dxa"/>
                    <w:gridSpan w:val="3"/>
                  </w:tcPr>
                  <w:p>
                    <w:pPr>
                      <w:rPr>
                        <w:sz w:val="20"/>
                      </w:rPr>
                    </w:pPr>
                    <w:r>
                      <w:rPr>
                        <w:sz w:val="20"/>
                      </w:rPr>
                      <w:t>Taip</w:t>
                    </w:r>
                  </w:p>
                </w:tc>
                <w:tc>
                  <w:tcPr>
                    <w:tcW w:w="681" w:type="dxa"/>
                    <w:gridSpan w:val="3"/>
                  </w:tcPr>
                  <w:p>
                    <w:pPr>
                      <w:rPr>
                        <w:sz w:val="20"/>
                      </w:rPr>
                    </w:pPr>
                    <w:r>
                      <w:rPr>
                        <w:sz w:val="20"/>
                      </w:rPr>
                      <w:t>D</w:t>
                    </w:r>
                  </w:p>
                </w:tc>
                <w:tc>
                  <w:tcPr>
                    <w:tcW w:w="1167" w:type="dxa"/>
                    <w:gridSpan w:val="2"/>
                  </w:tcPr>
                  <w:p>
                    <w:pPr>
                      <w:rPr>
                        <w:sz w:val="20"/>
                        <w:lang w:val="en-US"/>
                      </w:rPr>
                    </w:pPr>
                    <w:r>
                      <w:rPr>
                        <w:sz w:val="20"/>
                        <w:lang w:val="en-US"/>
                      </w:rPr>
                      <w:t>5 000</w:t>
                    </w:r>
                  </w:p>
                  <w:p>
                    <w:pPr>
                      <w:rPr>
                        <w:sz w:val="20"/>
                        <w:lang w:val="en-US"/>
                      </w:rPr>
                    </w:pPr>
                  </w:p>
                </w:tc>
                <w:tc>
                  <w:tcPr>
                    <w:tcW w:w="1118" w:type="dxa"/>
                  </w:tcPr>
                  <w:p>
                    <w:pPr>
                      <w:ind w:left="-57" w:right="-57"/>
                      <w:rPr>
                        <w:sz w:val="20"/>
                      </w:rPr>
                    </w:pPr>
                    <w:r>
                      <w:rPr>
                        <w:sz w:val="20"/>
                      </w:rPr>
                      <w:t>VB</w:t>
                    </w:r>
                  </w:p>
                </w:tc>
                <w:tc>
                  <w:tcPr>
                    <w:tcW w:w="2001" w:type="dxa"/>
                    <w:gridSpan w:val="2"/>
                  </w:tcPr>
                  <w:p>
                    <w:pPr>
                      <w:ind w:left="-57" w:right="-57"/>
                      <w:rPr>
                        <w:sz w:val="20"/>
                      </w:rPr>
                    </w:pPr>
                    <w:r>
                      <w:rPr>
                        <w:sz w:val="20"/>
                      </w:rPr>
                      <w:t>P – Specialistai, dalyvavę kvalifikacijos tobulinimo veiklose, asmenys</w:t>
                    </w:r>
                  </w:p>
                </w:tc>
                <w:tc>
                  <w:tcPr>
                    <w:tcW w:w="1134" w:type="dxa"/>
                    <w:gridSpan w:val="2"/>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tcPr>
                  <w:p>
                    <w:pPr>
                      <w:rPr>
                        <w:sz w:val="20"/>
                      </w:rPr>
                    </w:pPr>
                    <w:r>
                      <w:rPr>
                        <w:sz w:val="20"/>
                      </w:rPr>
                      <w:t>SAM</w:t>
                    </w:r>
                  </w:p>
                </w:tc>
                <w:tc>
                  <w:tcPr>
                    <w:tcW w:w="1279" w:type="dxa"/>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restart"/>
                  </w:tcPr>
                  <w:p>
                    <w:pPr>
                      <w:rPr>
                        <w:sz w:val="20"/>
                      </w:rPr>
                    </w:pPr>
                    <w:r>
                      <w:rPr>
                        <w:sz w:val="20"/>
                      </w:rPr>
                      <w:t>11.4. Ilgalaikės priežiūros paslaugas teikiančių specialistų parengimas</w:t>
                    </w:r>
                  </w:p>
                </w:tc>
                <w:tc>
                  <w:tcPr>
                    <w:tcW w:w="699"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I</w:t>
                    </w:r>
                  </w:p>
                </w:tc>
                <w:tc>
                  <w:tcPr>
                    <w:tcW w:w="1985"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Higienos institutas</w:t>
                    </w:r>
                  </w:p>
                </w:tc>
                <w:tc>
                  <w:tcPr>
                    <w:tcW w:w="829"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w:t>
                    </w:r>
                  </w:p>
                </w:tc>
                <w:tc>
                  <w:tcPr>
                    <w:tcW w:w="1014"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Taip</w:t>
                    </w:r>
                  </w:p>
                </w:tc>
                <w:tc>
                  <w:tcPr>
                    <w:tcW w:w="681" w:type="dxa"/>
                    <w:gridSpan w:val="3"/>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D</w:t>
                    </w:r>
                  </w:p>
                </w:tc>
                <w:tc>
                  <w:tcPr>
                    <w:tcW w:w="1167"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lang w:val="en-US"/>
                        <w14:ligatures w14:val="standardContextual"/>
                      </w:rPr>
                    </w:pPr>
                    <w:r>
                      <w:rPr>
                        <w:kern w:val="2"/>
                        <w:sz w:val="20"/>
                        <w:lang w:val="en-US"/>
                        <w14:ligatures w14:val="standardContextual"/>
                      </w:rPr>
                      <w:t>2 100</w:t>
                    </w:r>
                  </w:p>
                  <w:p>
                    <w:pPr>
                      <w:rPr>
                        <w:sz w:val="20"/>
                        <w:lang w:val="en-US"/>
                      </w:rPr>
                    </w:pPr>
                  </w:p>
                </w:tc>
                <w:tc>
                  <w:tcPr>
                    <w:tcW w:w="1118" w:type="dxa"/>
                    <w:tcBorders>
                      <w:top w:val="single" w:sz="4" w:space="0" w:color="auto"/>
                      <w:left w:val="single" w:sz="4" w:space="0" w:color="auto"/>
                      <w:bottom w:val="single" w:sz="4" w:space="0" w:color="auto"/>
                      <w:right w:val="single" w:sz="4" w:space="0" w:color="auto"/>
                    </w:tcBorders>
                  </w:tcPr>
                  <w:p>
                    <w:pPr>
                      <w:spacing w:line="276" w:lineRule="auto"/>
                      <w:ind w:left="-57" w:right="-57"/>
                      <w:rPr>
                        <w:kern w:val="2"/>
                        <w:sz w:val="20"/>
                        <w14:ligatures w14:val="standardContextual"/>
                      </w:rPr>
                    </w:pPr>
                    <w:r>
                      <w:rPr>
                        <w:kern w:val="2"/>
                        <w:sz w:val="20"/>
                        <w14:ligatures w14:val="standardContextual"/>
                      </w:rPr>
                      <w:t>EGADP</w:t>
                    </w:r>
                  </w:p>
                  <w:p>
                    <w:pPr>
                      <w:ind w:left="-57" w:right="-57"/>
                      <w:rPr>
                        <w:sz w:val="20"/>
                      </w:rPr>
                    </w:pP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 xml:space="preserve">P – </w:t>
                    </w:r>
                    <w:r>
                      <w:rPr>
                        <w:kern w:val="2"/>
                        <w:sz w:val="20"/>
                        <w:lang w:eastAsia="lt-LT"/>
                        <w14:ligatures w14:val="standardContextual"/>
                      </w:rPr>
                      <w:t xml:space="preserve">Baigtas mažiausiai 1 000 ilgalaikės priežiūros specialistų mokymas, vnt. </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ind w:left="-57" w:right="-57"/>
                      <w:jc w:val="center"/>
                      <w:rPr>
                        <w:kern w:val="2"/>
                        <w:sz w:val="20"/>
                        <w14:ligatures w14:val="standardContextual"/>
                      </w:rPr>
                    </w:pPr>
                    <w:r>
                      <w:rPr>
                        <w:kern w:val="2"/>
                        <w:sz w:val="20"/>
                        <w14:ligatures w14:val="standardContextual"/>
                      </w:rPr>
                      <w:t>1 000</w:t>
                    </w:r>
                  </w:p>
                  <w:p>
                    <w:pPr>
                      <w:ind w:left="-57" w:right="-57"/>
                      <w:jc w:val="center"/>
                      <w:rPr>
                        <w:sz w:val="20"/>
                      </w:rPr>
                    </w:pPr>
                    <w:r>
                      <w:rPr>
                        <w:kern w:val="2"/>
                        <w:sz w:val="20"/>
                        <w14:ligatures w14:val="standardContextual"/>
                      </w:rPr>
                      <w:t>(2024 m. IV ketv.)</w:t>
                    </w:r>
                  </w:p>
                </w:tc>
                <w:tc>
                  <w:tcPr>
                    <w:tcW w:w="992" w:type="dxa"/>
                    <w:vMerge w:val="restart"/>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CPVA</w:t>
                    </w:r>
                  </w:p>
                </w:tc>
                <w:tc>
                  <w:tcPr>
                    <w:tcW w:w="1279" w:type="dxa"/>
                    <w:vMerge w:val="restart"/>
                    <w:tcBorders>
                      <w:top w:val="single" w:sz="4" w:space="0" w:color="auto"/>
                      <w:left w:val="single" w:sz="4" w:space="0" w:color="auto"/>
                      <w:bottom w:val="single" w:sz="4" w:space="0" w:color="auto"/>
                      <w:right w:val="single" w:sz="4" w:space="0" w:color="auto"/>
                    </w:tcBorders>
                  </w:tcPr>
                  <w:p>
                    <w:pPr>
                      <w:spacing w:line="276" w:lineRule="auto"/>
                      <w:rPr>
                        <w:color w:val="000000"/>
                        <w:kern w:val="2"/>
                        <w:sz w:val="20"/>
                        <w14:ligatures w14:val="standardContextual"/>
                      </w:rPr>
                    </w:pPr>
                    <w:r>
                      <w:rPr>
                        <w:color w:val="000000"/>
                        <w:kern w:val="2"/>
                        <w:sz w:val="20"/>
                        <w14:ligatures w14:val="standardContextual"/>
                      </w:rPr>
                      <w:t>SAM,</w:t>
                    </w:r>
                  </w:p>
                  <w:p>
                    <w:pPr>
                      <w:spacing w:line="276" w:lineRule="auto"/>
                      <w:rPr>
                        <w:kern w:val="2"/>
                        <w:sz w:val="20"/>
                        <w14:ligatures w14:val="standardContextual"/>
                      </w:rPr>
                    </w:pPr>
                    <w:r>
                      <w:rPr>
                        <w:kern w:val="2"/>
                        <w:sz w:val="20"/>
                        <w14:ligatures w14:val="standardContextual"/>
                      </w:rPr>
                      <w:t>SADM,</w:t>
                    </w:r>
                  </w:p>
                  <w:p>
                    <w:pPr>
                      <w:rPr>
                        <w:sz w:val="20"/>
                      </w:rPr>
                    </w:pPr>
                    <w:r>
                      <w:rPr>
                        <w:kern w:val="2"/>
                        <w:sz w:val="20"/>
                        <w14:ligatures w14:val="standardContextual"/>
                      </w:rPr>
                      <w:t>Švietimo, mokslo ir sporto ministerija</w:t>
                    </w:r>
                  </w:p>
                </w:tc>
              </w:tr>
              <w:tr>
                <w:trPr>
                  <w:trHeight w:val="414"/>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rPr>
                        <w:sz w:val="20"/>
                      </w:rPr>
                    </w:pPr>
                  </w:p>
                </w:tc>
                <w:tc>
                  <w:tcPr>
                    <w:tcW w:w="1167" w:type="dxa"/>
                    <w:gridSpan w:val="2"/>
                    <w:tcBorders>
                      <w:top w:val="single" w:sz="4" w:space="0" w:color="auto"/>
                      <w:left w:val="single" w:sz="4" w:space="0" w:color="auto"/>
                      <w:bottom w:val="single" w:sz="4" w:space="0" w:color="auto"/>
                      <w:right w:val="single" w:sz="4" w:space="0" w:color="auto"/>
                    </w:tcBorders>
                  </w:tcPr>
                  <w:p>
                    <w:pPr>
                      <w:rPr>
                        <w:sz w:val="20"/>
                        <w:lang w:val="en-US"/>
                      </w:rPr>
                    </w:pPr>
                    <w:r>
                      <w:rPr>
                        <w:kern w:val="2"/>
                        <w:sz w:val="20"/>
                        <w:lang w:val="en-US"/>
                        <w14:ligatures w14:val="standardContextual"/>
                      </w:rPr>
                      <w:t>440</w:t>
                    </w:r>
                  </w:p>
                </w:tc>
                <w:tc>
                  <w:tcPr>
                    <w:tcW w:w="1118" w:type="dxa"/>
                    <w:tcBorders>
                      <w:top w:val="single" w:sz="4" w:space="0" w:color="auto"/>
                      <w:left w:val="single" w:sz="4" w:space="0" w:color="auto"/>
                      <w:bottom w:val="single" w:sz="4" w:space="0" w:color="auto"/>
                      <w:right w:val="single" w:sz="4" w:space="0" w:color="auto"/>
                    </w:tcBorders>
                  </w:tcPr>
                  <w:p>
                    <w:pPr>
                      <w:rPr>
                        <w:sz w:val="20"/>
                      </w:rPr>
                    </w:pPr>
                    <w:r>
                      <w:rPr>
                        <w:kern w:val="2"/>
                        <w:sz w:val="20"/>
                        <w14:ligatures w14:val="standardContextual"/>
                      </w:rPr>
                      <w:t>PVM iš VB</w:t>
                    </w:r>
                  </w:p>
                </w:tc>
                <w:tc>
                  <w:tcPr>
                    <w:tcW w:w="2001" w:type="dxa"/>
                    <w:gridSpan w:val="2"/>
                    <w:tcBorders>
                      <w:top w:val="single" w:sz="4" w:space="0" w:color="auto"/>
                      <w:left w:val="single" w:sz="4" w:space="0" w:color="auto"/>
                      <w:bottom w:val="single" w:sz="4" w:space="0" w:color="auto"/>
                      <w:right w:val="single" w:sz="4" w:space="0" w:color="auto"/>
                    </w:tcBorders>
                  </w:tcPr>
                  <w:p>
                    <w:pPr>
                      <w:ind w:left="-57" w:right="-57"/>
                      <w:rPr>
                        <w:sz w:val="20"/>
                      </w:rPr>
                    </w:pPr>
                    <w:r>
                      <w:rPr>
                        <w:kern w:val="2"/>
                        <w:sz w:val="20"/>
                        <w14:ligatures w14:val="standardContextual"/>
                      </w:rPr>
                      <w:t>P – Žmogiškųjų išteklių ir infrastruktūros pajėgumų didinimas</w:t>
                    </w:r>
                  </w:p>
                </w:tc>
                <w:tc>
                  <w:tcPr>
                    <w:tcW w:w="1134" w:type="dxa"/>
                    <w:gridSpan w:val="2"/>
                    <w:tcBorders>
                      <w:top w:val="single" w:sz="4" w:space="0" w:color="auto"/>
                      <w:left w:val="single" w:sz="4" w:space="0" w:color="auto"/>
                      <w:bottom w:val="single" w:sz="4" w:space="0" w:color="auto"/>
                      <w:right w:val="single" w:sz="4" w:space="0" w:color="auto"/>
                    </w:tcBorders>
                  </w:tcPr>
                  <w:p>
                    <w:pPr>
                      <w:spacing w:line="276" w:lineRule="auto"/>
                      <w:jc w:val="center"/>
                      <w:rPr>
                        <w:kern w:val="2"/>
                        <w:sz w:val="20"/>
                        <w14:ligatures w14:val="standardContextual"/>
                      </w:rPr>
                    </w:pPr>
                    <w:r>
                      <w:rPr>
                        <w:kern w:val="2"/>
                        <w:sz w:val="20"/>
                        <w14:ligatures w14:val="standardContextual"/>
                      </w:rPr>
                      <w:t xml:space="preserve">1000 </w:t>
                    </w:r>
                  </w:p>
                  <w:p>
                    <w:pPr>
                      <w:ind w:left="-57" w:right="-57"/>
                      <w:jc w:val="center"/>
                      <w:rPr>
                        <w:sz w:val="20"/>
                      </w:rPr>
                    </w:pPr>
                    <w:r>
                      <w:rPr>
                        <w:kern w:val="2"/>
                        <w:sz w:val="20"/>
                        <w14:ligatures w14:val="standardContextual"/>
                      </w:rPr>
                      <w:t>(202</w:t>
                    </w:r>
                    <w:r>
                      <w:rPr>
                        <w:kern w:val="2"/>
                        <w:sz w:val="20"/>
                        <w:lang w:val="en-US"/>
                        <w14:ligatures w14:val="standardContextual"/>
                      </w:rPr>
                      <w:t>5</w:t>
                    </w:r>
                    <w:r>
                      <w:rPr>
                        <w:kern w:val="2"/>
                        <w:sz w:val="20"/>
                        <w14:ligatures w14:val="standardContextual"/>
                      </w:rPr>
                      <w:t xml:space="preserve"> m. II ketv.)</w:t>
                    </w: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rPr>
                        <w:sz w:val="20"/>
                      </w:rPr>
                    </w:pPr>
                    <w:r>
                      <w:rPr>
                        <w:iCs/>
                        <w:sz w:val="20"/>
                      </w:rPr>
                      <w:t>11.5. Sveikatos priežiūros srityje dirbančių specialistų kvalifikacijos tobulinimas (pirminė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rPr>
                        <w:sz w:val="20"/>
                      </w:rPr>
                    </w:pPr>
                    <w:r>
                      <w:rPr>
                        <w:sz w:val="20"/>
                      </w:rPr>
                      <w:t>SAM, VU, LSMU, GMP 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3 589,903</w:t>
                    </w:r>
                  </w:p>
                  <w:p>
                    <w:pPr>
                      <w:jc w:val="center"/>
                      <w:rPr>
                        <w:sz w:val="20"/>
                      </w:rPr>
                    </w:pPr>
                  </w:p>
                </w:tc>
                <w:tc>
                  <w:tcPr>
                    <w:tcW w:w="1118" w:type="dxa"/>
                  </w:tcPr>
                  <w:p>
                    <w:pPr>
                      <w:jc w:val="center"/>
                      <w:rPr>
                        <w:sz w:val="20"/>
                      </w:rPr>
                    </w:pPr>
                    <w:r>
                      <w:rPr>
                        <w:sz w:val="20"/>
                      </w:rPr>
                      <w:t>2021–2027 m. 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jc w:val="center"/>
                      <w:rPr>
                        <w:sz w:val="20"/>
                      </w:rPr>
                    </w:pPr>
                    <w:r>
                      <w:rPr>
                        <w:sz w:val="20"/>
                        <w:lang w:val="en-US"/>
                      </w:rPr>
                      <w:t>8 623</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 w:val="20"/>
                      </w:rPr>
                    </w:pPr>
                  </w:p>
                </w:tc>
                <w:tc>
                  <w:tcPr>
                    <w:tcW w:w="699" w:type="dxa"/>
                    <w:vMerge/>
                    <w:vAlign w:val="center"/>
                  </w:tcPr>
                  <w:p>
                    <w:pPr>
                      <w:rPr>
                        <w:sz w:val="20"/>
                      </w:rPr>
                    </w:pPr>
                  </w:p>
                </w:tc>
                <w:tc>
                  <w:tcPr>
                    <w:tcW w:w="1985" w:type="dxa"/>
                    <w:vMerge/>
                    <w:vAlign w:val="center"/>
                  </w:tcPr>
                  <w:p>
                    <w:pPr>
                      <w:rPr>
                        <w:sz w:val="20"/>
                      </w:rPr>
                    </w:pPr>
                  </w:p>
                </w:tc>
                <w:tc>
                  <w:tcPr>
                    <w:tcW w:w="829" w:type="dxa"/>
                    <w:gridSpan w:val="3"/>
                    <w:vMerge/>
                    <w:vAlign w:val="center"/>
                  </w:tcPr>
                  <w:p>
                    <w:pPr>
                      <w:jc w:val="center"/>
                      <w:rPr>
                        <w:sz w:val="20"/>
                      </w:rPr>
                    </w:pPr>
                  </w:p>
                </w:tc>
                <w:tc>
                  <w:tcPr>
                    <w:tcW w:w="1014" w:type="dxa"/>
                    <w:gridSpan w:val="3"/>
                    <w:vMerge/>
                    <w:vAlign w:val="center"/>
                  </w:tcPr>
                  <w:p>
                    <w:pPr>
                      <w:jc w:val="center"/>
                      <w:rPr>
                        <w:sz w:val="20"/>
                      </w:rPr>
                    </w:pPr>
                  </w:p>
                </w:tc>
                <w:tc>
                  <w:tcPr>
                    <w:tcW w:w="681" w:type="dxa"/>
                    <w:gridSpan w:val="3"/>
                    <w:vMerge/>
                    <w:vAlign w:val="center"/>
                  </w:tcPr>
                  <w:p>
                    <w:pPr>
                      <w:jc w:val="center"/>
                      <w:rPr>
                        <w:sz w:val="20"/>
                      </w:rPr>
                    </w:pPr>
                  </w:p>
                </w:tc>
                <w:tc>
                  <w:tcPr>
                    <w:tcW w:w="1167" w:type="dxa"/>
                    <w:gridSpan w:val="2"/>
                  </w:tcPr>
                  <w:p>
                    <w:pPr>
                      <w:jc w:val="center"/>
                      <w:rPr>
                        <w:sz w:val="20"/>
                      </w:rPr>
                    </w:pPr>
                  </w:p>
                  <w:p>
                    <w:pPr>
                      <w:jc w:val="center"/>
                      <w:rPr>
                        <w:sz w:val="20"/>
                      </w:rPr>
                    </w:pPr>
                  </w:p>
                  <w:p>
                    <w:pPr>
                      <w:jc w:val="center"/>
                      <w:rPr>
                        <w:sz w:val="20"/>
                      </w:rPr>
                    </w:pPr>
                    <w:r>
                      <w:rPr>
                        <w:sz w:val="20"/>
                      </w:rPr>
                      <w:t>633,512</w:t>
                    </w:r>
                  </w:p>
                  <w:p>
                    <w:pPr>
                      <w:jc w:val="center"/>
                      <w:rPr>
                        <w:sz w:val="20"/>
                      </w:rPr>
                    </w:pPr>
                  </w:p>
                </w:tc>
                <w:tc>
                  <w:tcPr>
                    <w:tcW w:w="1118" w:type="dxa"/>
                  </w:tcPr>
                  <w:p>
                    <w:pPr>
                      <w:jc w:val="center"/>
                      <w:rPr>
                        <w:sz w:val="20"/>
                      </w:rPr>
                    </w:pPr>
                    <w:r>
                      <w:rPr>
                        <w:sz w:val="20"/>
                      </w:rPr>
                      <w:t>2021–2027 m. IP (BF)</w:t>
                    </w:r>
                  </w:p>
                  <w:p>
                    <w:pPr>
                      <w:jc w:val="center"/>
                      <w:rPr>
                        <w:sz w:val="20"/>
                      </w:rPr>
                    </w:pPr>
                  </w:p>
                </w:tc>
                <w:tc>
                  <w:tcPr>
                    <w:tcW w:w="2001" w:type="dxa"/>
                    <w:gridSpan w:val="2"/>
                    <w:vAlign w:val="center"/>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tcPr>
                  <w:p>
                    <w:pPr>
                      <w:ind w:left="113" w:right="113"/>
                      <w:rPr>
                        <w:sz w:val="20"/>
                      </w:rPr>
                    </w:pPr>
                    <w:r>
                      <w:rPr>
                        <w:iCs/>
                        <w:sz w:val="20"/>
                      </w:rPr>
                      <w:t>11.6. Sveikatos priežiūros srityje dirbančių specialistų kvalifikacijos tobulinimas (specializuota sveikatos priežiūra), Vidurio ir vakarų Lietuvos regionas</w:t>
                    </w:r>
                  </w:p>
                </w:tc>
                <w:tc>
                  <w:tcPr>
                    <w:tcW w:w="699" w:type="dxa"/>
                    <w:vMerge w:val="restart"/>
                  </w:tcPr>
                  <w:p>
                    <w:pPr>
                      <w:jc w:val="center"/>
                      <w:rPr>
                        <w:sz w:val="20"/>
                      </w:rPr>
                    </w:pPr>
                    <w:r>
                      <w:rPr>
                        <w:sz w:val="20"/>
                      </w:rPr>
                      <w:t>I</w:t>
                    </w:r>
                  </w:p>
                </w:tc>
                <w:tc>
                  <w:tcPr>
                    <w:tcW w:w="1985" w:type="dxa"/>
                    <w:vMerge w:val="restart"/>
                  </w:tcPr>
                  <w:p>
                    <w:pPr>
                      <w:ind w:firstLine="124"/>
                      <w:rPr>
                        <w:sz w:val="20"/>
                      </w:rPr>
                    </w:pPr>
                    <w:r>
                      <w:rPr>
                        <w:sz w:val="20"/>
                      </w:rPr>
                      <w:t xml:space="preserve">SAM, VU, </w:t>
                    </w:r>
                  </w:p>
                  <w:p>
                    <w:pPr>
                      <w:ind w:firstLine="124"/>
                      <w:rPr>
                        <w:sz w:val="20"/>
                      </w:rPr>
                    </w:pPr>
                    <w:r>
                      <w:rPr>
                        <w:sz w:val="20"/>
                      </w:rPr>
                      <w:t xml:space="preserve">LSMU, </w:t>
                    </w:r>
                  </w:p>
                  <w:p>
                    <w:pPr>
                      <w:ind w:firstLine="124"/>
                      <w:rPr>
                        <w:sz w:val="20"/>
                      </w:rPr>
                    </w:pPr>
                    <w:r>
                      <w:rPr>
                        <w:sz w:val="20"/>
                      </w:rPr>
                      <w:t xml:space="preserve">GMP </w:t>
                    </w:r>
                  </w:p>
                  <w:p>
                    <w:pPr>
                      <w:ind w:firstLine="124"/>
                      <w:rPr>
                        <w:sz w:val="20"/>
                      </w:rPr>
                    </w:pPr>
                    <w:r>
                      <w:rPr>
                        <w:sz w:val="20"/>
                      </w:rPr>
                      <w:t>tarnyba</w:t>
                    </w:r>
                  </w:p>
                </w:tc>
                <w:tc>
                  <w:tcPr>
                    <w:tcW w:w="829" w:type="dxa"/>
                    <w:gridSpan w:val="3"/>
                    <w:vMerge w:val="restart"/>
                  </w:tcPr>
                  <w:p>
                    <w:pPr>
                      <w:jc w:val="center"/>
                      <w:rPr>
                        <w:sz w:val="20"/>
                      </w:rPr>
                    </w:pPr>
                    <w:r>
                      <w:rPr>
                        <w:sz w:val="20"/>
                      </w:rPr>
                      <w:t>P</w:t>
                    </w:r>
                  </w:p>
                </w:tc>
                <w:tc>
                  <w:tcPr>
                    <w:tcW w:w="1014" w:type="dxa"/>
                    <w:gridSpan w:val="3"/>
                    <w:vMerge w:val="restart"/>
                  </w:tcPr>
                  <w:p>
                    <w:pPr>
                      <w:jc w:val="center"/>
                      <w:rPr>
                        <w:sz w:val="20"/>
                      </w:rPr>
                    </w:pPr>
                    <w:r>
                      <w:rPr>
                        <w:sz w:val="20"/>
                      </w:rPr>
                      <w:t>Taip</w:t>
                    </w:r>
                  </w:p>
                </w:tc>
                <w:tc>
                  <w:tcPr>
                    <w:tcW w:w="681" w:type="dxa"/>
                    <w:gridSpan w:val="3"/>
                    <w:vMerge w:val="restart"/>
                  </w:tcPr>
                  <w:p>
                    <w:pPr>
                      <w:jc w:val="center"/>
                      <w:rPr>
                        <w:sz w:val="20"/>
                      </w:rPr>
                    </w:pPr>
                    <w:r>
                      <w:rPr>
                        <w:sz w:val="20"/>
                      </w:rPr>
                      <w:t>D</w:t>
                    </w:r>
                  </w:p>
                </w:tc>
                <w:tc>
                  <w:tcPr>
                    <w:tcW w:w="1167" w:type="dxa"/>
                    <w:gridSpan w:val="2"/>
                  </w:tcPr>
                  <w:p>
                    <w:pPr>
                      <w:jc w:val="center"/>
                      <w:rPr>
                        <w:sz w:val="20"/>
                      </w:rPr>
                    </w:pPr>
                  </w:p>
                  <w:p>
                    <w:pPr>
                      <w:jc w:val="center"/>
                      <w:rPr>
                        <w:sz w:val="20"/>
                      </w:rPr>
                    </w:pPr>
                  </w:p>
                  <w:p>
                    <w:pPr>
                      <w:jc w:val="center"/>
                      <w:rPr>
                        <w:sz w:val="20"/>
                      </w:rPr>
                    </w:pPr>
                    <w:r>
                      <w:rPr>
                        <w:sz w:val="20"/>
                      </w:rPr>
                      <w:t>4 321,940</w:t>
                    </w:r>
                  </w:p>
                </w:tc>
                <w:tc>
                  <w:tcPr>
                    <w:tcW w:w="1118" w:type="dxa"/>
                  </w:tcPr>
                  <w:p>
                    <w:pPr>
                      <w:jc w:val="center"/>
                      <w:rPr>
                        <w:sz w:val="20"/>
                      </w:rPr>
                    </w:pPr>
                    <w:r>
                      <w:rPr>
                        <w:sz w:val="20"/>
                      </w:rPr>
                      <w:t>2021–2027 m.</w:t>
                    </w:r>
                  </w:p>
                  <w:p>
                    <w:pPr>
                      <w:jc w:val="center"/>
                      <w:rPr>
                        <w:sz w:val="20"/>
                      </w:rPr>
                    </w:pPr>
                    <w:r>
                      <w:rPr>
                        <w:sz w:val="20"/>
                      </w:rPr>
                      <w:t>IP (ESF+)</w:t>
                    </w:r>
                  </w:p>
                </w:tc>
                <w:tc>
                  <w:tcPr>
                    <w:tcW w:w="2001" w:type="dxa"/>
                    <w:gridSpan w:val="2"/>
                  </w:tcPr>
                  <w:p>
                    <w:pPr>
                      <w:rPr>
                        <w:sz w:val="20"/>
                      </w:rPr>
                    </w:pPr>
                    <w:r>
                      <w:rPr>
                        <w:sz w:val="20"/>
                      </w:rPr>
                      <w:t>P – Specialistai, dalyvavę kvalifikacijos tobulinimo ar perkvalifikavimo veiklose, asmenys</w:t>
                    </w:r>
                  </w:p>
                </w:tc>
                <w:tc>
                  <w:tcPr>
                    <w:tcW w:w="1134" w:type="dxa"/>
                    <w:gridSpan w:val="2"/>
                  </w:tcPr>
                  <w:p>
                    <w:pPr>
                      <w:ind w:firstLine="62"/>
                      <w:jc w:val="center"/>
                      <w:rPr>
                        <w:sz w:val="20"/>
                      </w:rPr>
                    </w:pPr>
                  </w:p>
                  <w:p>
                    <w:pPr>
                      <w:jc w:val="center"/>
                      <w:rPr>
                        <w:sz w:val="20"/>
                      </w:rPr>
                    </w:pPr>
                    <w:r>
                      <w:rPr>
                        <w:sz w:val="20"/>
                      </w:rPr>
                      <w:t>10 307</w:t>
                    </w:r>
                  </w:p>
                  <w:p>
                    <w:pPr>
                      <w:jc w:val="center"/>
                      <w:rPr>
                        <w:sz w:val="20"/>
                      </w:rPr>
                    </w:pPr>
                    <w:r>
                      <w:rPr>
                        <w:sz w:val="20"/>
                      </w:rPr>
                      <w:t>(2029 m.)</w:t>
                    </w:r>
                  </w:p>
                  <w:p>
                    <w:pPr>
                      <w:jc w:val="center"/>
                      <w:rPr>
                        <w:sz w:val="20"/>
                      </w:rPr>
                    </w:pPr>
                  </w:p>
                </w:tc>
                <w:tc>
                  <w:tcPr>
                    <w:tcW w:w="992" w:type="dxa"/>
                    <w:vMerge w:val="restart"/>
                  </w:tcPr>
                  <w:p>
                    <w:pPr>
                      <w:rPr>
                        <w:sz w:val="20"/>
                      </w:rPr>
                    </w:pPr>
                    <w:r>
                      <w:rPr>
                        <w:sz w:val="20"/>
                      </w:rPr>
                      <w:t>CPVA</w:t>
                    </w:r>
                  </w:p>
                </w:tc>
                <w:tc>
                  <w:tcPr>
                    <w:tcW w:w="1279"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414"/>
                </w:trPr>
                <w:tc>
                  <w:tcPr>
                    <w:tcW w:w="2130" w:type="dxa"/>
                    <w:gridSpan w:val="2"/>
                    <w:vMerge/>
                    <w:vAlign w:val="center"/>
                  </w:tcPr>
                  <w:p>
                    <w:pPr>
                      <w:rPr>
                        <w:szCs w:val="24"/>
                      </w:rPr>
                    </w:pPr>
                  </w:p>
                </w:tc>
                <w:tc>
                  <w:tcPr>
                    <w:tcW w:w="699" w:type="dxa"/>
                    <w:vMerge/>
                    <w:vAlign w:val="center"/>
                  </w:tcPr>
                  <w:p>
                    <w:pPr>
                      <w:rPr>
                        <w:szCs w:val="24"/>
                      </w:rPr>
                    </w:pPr>
                  </w:p>
                </w:tc>
                <w:tc>
                  <w:tcPr>
                    <w:tcW w:w="1985" w:type="dxa"/>
                    <w:vMerge/>
                    <w:vAlign w:val="center"/>
                  </w:tcPr>
                  <w:p>
                    <w:pPr>
                      <w:rPr>
                        <w:szCs w:val="24"/>
                      </w:rPr>
                    </w:pPr>
                  </w:p>
                </w:tc>
                <w:tc>
                  <w:tcPr>
                    <w:tcW w:w="829" w:type="dxa"/>
                    <w:gridSpan w:val="3"/>
                    <w:vMerge/>
                    <w:vAlign w:val="center"/>
                  </w:tcPr>
                  <w:p>
                    <w:pPr>
                      <w:rPr>
                        <w:szCs w:val="24"/>
                      </w:rPr>
                    </w:pPr>
                  </w:p>
                </w:tc>
                <w:tc>
                  <w:tcPr>
                    <w:tcW w:w="1014" w:type="dxa"/>
                    <w:gridSpan w:val="3"/>
                    <w:vMerge/>
                    <w:vAlign w:val="center"/>
                  </w:tcPr>
                  <w:p>
                    <w:pPr>
                      <w:rPr>
                        <w:szCs w:val="24"/>
                      </w:rPr>
                    </w:pPr>
                  </w:p>
                </w:tc>
                <w:tc>
                  <w:tcPr>
                    <w:tcW w:w="681" w:type="dxa"/>
                    <w:gridSpan w:val="3"/>
                    <w:vMerge/>
                    <w:vAlign w:val="center"/>
                  </w:tcPr>
                  <w:p>
                    <w:pPr>
                      <w:rPr>
                        <w:szCs w:val="24"/>
                      </w:rPr>
                    </w:pPr>
                  </w:p>
                </w:tc>
                <w:tc>
                  <w:tcPr>
                    <w:tcW w:w="1167" w:type="dxa"/>
                    <w:gridSpan w:val="2"/>
                  </w:tcPr>
                  <w:p>
                    <w:pPr>
                      <w:jc w:val="center"/>
                      <w:rPr>
                        <w:sz w:val="20"/>
                      </w:rPr>
                    </w:pPr>
                  </w:p>
                  <w:p>
                    <w:pPr>
                      <w:jc w:val="center"/>
                      <w:rPr>
                        <w:sz w:val="20"/>
                      </w:rPr>
                    </w:pPr>
                  </w:p>
                  <w:p>
                    <w:pPr>
                      <w:jc w:val="center"/>
                      <w:rPr>
                        <w:sz w:val="20"/>
                      </w:rPr>
                    </w:pPr>
                    <w:r>
                      <w:rPr>
                        <w:sz w:val="20"/>
                      </w:rPr>
                      <w:t>762,695</w:t>
                    </w:r>
                  </w:p>
                </w:tc>
                <w:tc>
                  <w:tcPr>
                    <w:tcW w:w="1118" w:type="dxa"/>
                  </w:tcPr>
                  <w:p>
                    <w:pPr>
                      <w:jc w:val="center"/>
                      <w:rPr>
                        <w:sz w:val="20"/>
                      </w:rPr>
                    </w:pPr>
                    <w:r>
                      <w:rPr>
                        <w:sz w:val="20"/>
                      </w:rPr>
                      <w:t>2021–2027 m.</w:t>
                    </w:r>
                  </w:p>
                  <w:p>
                    <w:pPr>
                      <w:jc w:val="center"/>
                      <w:rPr>
                        <w:sz w:val="20"/>
                      </w:rPr>
                    </w:pPr>
                    <w:r>
                      <w:rPr>
                        <w:sz w:val="20"/>
                      </w:rPr>
                      <w:t>IP (BF)</w:t>
                    </w:r>
                  </w:p>
                  <w:p>
                    <w:pPr>
                      <w:jc w:val="center"/>
                      <w:rPr>
                        <w:sz w:val="20"/>
                      </w:rPr>
                    </w:pPr>
                  </w:p>
                </w:tc>
                <w:tc>
                  <w:tcPr>
                    <w:tcW w:w="2001" w:type="dxa"/>
                    <w:gridSpan w:val="2"/>
                  </w:tcPr>
                  <w:p>
                    <w:pPr>
                      <w:rPr>
                        <w:sz w:val="20"/>
                      </w:rPr>
                    </w:pPr>
                    <w:r>
                      <w:rPr>
                        <w:sz w:val="20"/>
                      </w:rPr>
                      <w:t>R – Specialistų, kurie po dalyvavimo veiklose įgijo ar patobulino kvalifikaciją, dalis proc.</w:t>
                    </w:r>
                  </w:p>
                </w:tc>
                <w:tc>
                  <w:tcPr>
                    <w:tcW w:w="1134" w:type="dxa"/>
                    <w:gridSpan w:val="2"/>
                  </w:tcPr>
                  <w:p>
                    <w:pPr>
                      <w:jc w:val="center"/>
                      <w:rPr>
                        <w:sz w:val="20"/>
                      </w:rPr>
                    </w:pPr>
                    <w:r>
                      <w:rPr>
                        <w:sz w:val="20"/>
                      </w:rPr>
                      <w:t>90</w:t>
                    </w:r>
                  </w:p>
                  <w:p>
                    <w:pPr>
                      <w:jc w:val="center"/>
                      <w:rPr>
                        <w:sz w:val="20"/>
                      </w:rPr>
                    </w:pPr>
                    <w:r>
                      <w:rPr>
                        <w:sz w:val="20"/>
                      </w:rPr>
                      <w:t>(2029 m.)</w:t>
                    </w:r>
                  </w:p>
                  <w:p>
                    <w:pPr>
                      <w:jc w:val="center"/>
                      <w:rPr>
                        <w:sz w:val="20"/>
                      </w:rPr>
                    </w:pPr>
                  </w:p>
                </w:tc>
                <w:tc>
                  <w:tcPr>
                    <w:tcW w:w="992" w:type="dxa"/>
                    <w:vMerge/>
                  </w:tcPr>
                  <w:p>
                    <w:pPr>
                      <w:rPr>
                        <w:sz w:val="20"/>
                      </w:rPr>
                    </w:pPr>
                  </w:p>
                </w:tc>
                <w:tc>
                  <w:tcPr>
                    <w:tcW w:w="1279" w:type="dxa"/>
                    <w:vMerge/>
                    <w:tcBorders>
                      <w:left w:val="single" w:sz="4" w:space="0" w:color="auto"/>
                      <w:right w:val="single" w:sz="4" w:space="0" w:color="auto"/>
                    </w:tcBorders>
                    <w:vAlign w:val="center"/>
                  </w:tcPr>
                  <w:p>
                    <w:pPr>
                      <w:rPr>
                        <w:color w:val="000000"/>
                        <w:sz w:val="20"/>
                      </w:rPr>
                    </w:pPr>
                  </w:p>
                </w:tc>
              </w:tr>
              <w:tr>
                <w:trPr>
                  <w:trHeight w:val="414"/>
                </w:trPr>
                <w:tc>
                  <w:tcPr>
                    <w:tcW w:w="2130" w:type="dxa"/>
                    <w:gridSpan w:val="2"/>
                    <w:vMerge w:val="restart"/>
                    <w:shd w:val="clear" w:color="auto" w:fill="F2F2F2" w:themeFill="background1" w:themeFillShade="F2"/>
                  </w:tcPr>
                  <w:p>
                    <w:pPr>
                      <w:rPr>
                        <w:b/>
                        <w:bCs/>
                        <w:sz w:val="20"/>
                      </w:rPr>
                    </w:pPr>
                    <w:r>
                      <w:rPr>
                        <w:b/>
                        <w:bCs/>
                        <w:sz w:val="20"/>
                      </w:rPr>
                      <w:t>12. ASPĮ tinklo optimizavimo reformos valdymas ir komunikacija</w:t>
                    </w:r>
                  </w:p>
                </w:tc>
                <w:tc>
                  <w:tcPr>
                    <w:tcW w:w="699" w:type="dxa"/>
                    <w:vMerge w:val="restart"/>
                    <w:shd w:val="clear" w:color="auto" w:fill="F2F2F2" w:themeFill="background1" w:themeFillShade="F2"/>
                  </w:tcPr>
                  <w:p>
                    <w:pPr>
                      <w:rPr>
                        <w:sz w:val="20"/>
                      </w:rPr>
                    </w:pPr>
                    <w:r>
                      <w:rPr>
                        <w:sz w:val="20"/>
                      </w:rPr>
                      <w:t>M</w:t>
                    </w:r>
                  </w:p>
                </w:tc>
                <w:tc>
                  <w:tcPr>
                    <w:tcW w:w="1985" w:type="dxa"/>
                    <w:vMerge w:val="restart"/>
                    <w:shd w:val="clear" w:color="auto" w:fill="F2F2F2" w:themeFill="background1" w:themeFillShade="F2"/>
                  </w:tcPr>
                  <w:p>
                    <w:pPr>
                      <w:rPr>
                        <w:sz w:val="20"/>
                      </w:rPr>
                    </w:pPr>
                    <w:r>
                      <w:rPr>
                        <w:sz w:val="20"/>
                      </w:rPr>
                      <w:t>SAM</w:t>
                    </w:r>
                  </w:p>
                </w:tc>
                <w:tc>
                  <w:tcPr>
                    <w:tcW w:w="829" w:type="dxa"/>
                    <w:gridSpan w:val="3"/>
                    <w:vMerge w:val="restart"/>
                    <w:shd w:val="clear" w:color="auto" w:fill="F2F2F2" w:themeFill="background1" w:themeFillShade="F2"/>
                  </w:tcPr>
                  <w:p>
                    <w:pPr>
                      <w:rPr>
                        <w:sz w:val="20"/>
                      </w:rPr>
                    </w:pPr>
                    <w:r>
                      <w:rPr>
                        <w:sz w:val="20"/>
                      </w:rPr>
                      <w:t>P</w:t>
                    </w:r>
                  </w:p>
                </w:tc>
                <w:tc>
                  <w:tcPr>
                    <w:tcW w:w="1014" w:type="dxa"/>
                    <w:gridSpan w:val="3"/>
                    <w:vMerge w:val="restart"/>
                    <w:shd w:val="clear" w:color="auto" w:fill="F2F2F2" w:themeFill="background1" w:themeFillShade="F2"/>
                  </w:tcPr>
                  <w:p>
                    <w:pPr>
                      <w:rPr>
                        <w:sz w:val="20"/>
                      </w:rPr>
                    </w:pPr>
                    <w:r>
                      <w:rPr>
                        <w:sz w:val="20"/>
                      </w:rPr>
                      <w:t>Taip</w:t>
                    </w:r>
                  </w:p>
                </w:tc>
                <w:tc>
                  <w:tcPr>
                    <w:tcW w:w="681" w:type="dxa"/>
                    <w:gridSpan w:val="3"/>
                    <w:vMerge w:val="restart"/>
                    <w:shd w:val="clear" w:color="auto" w:fill="F2F2F2" w:themeFill="background1" w:themeFillShade="F2"/>
                  </w:tcPr>
                  <w:p>
                    <w:pPr>
                      <w:rPr>
                        <w:sz w:val="20"/>
                      </w:rPr>
                    </w:pPr>
                    <w:r>
                      <w:rPr>
                        <w:sz w:val="20"/>
                      </w:rPr>
                      <w:t>D</w:t>
                    </w:r>
                  </w:p>
                </w:tc>
                <w:tc>
                  <w:tcPr>
                    <w:tcW w:w="1167" w:type="dxa"/>
                    <w:gridSpan w:val="2"/>
                    <w:vMerge w:val="restart"/>
                    <w:shd w:val="clear" w:color="auto" w:fill="F2F2F2" w:themeFill="background1" w:themeFillShade="F2"/>
                  </w:tcPr>
                  <w:p>
                    <w:pPr>
                      <w:rPr>
                        <w:b/>
                        <w:bCs/>
                        <w:sz w:val="20"/>
                        <w:lang w:val="en-US"/>
                      </w:rPr>
                    </w:pPr>
                    <w:r>
                      <w:rPr>
                        <w:b/>
                        <w:bCs/>
                        <w:sz w:val="20"/>
                        <w:lang w:val="en-US"/>
                      </w:rPr>
                      <w:t>1750</w:t>
                    </w:r>
                  </w:p>
                </w:tc>
                <w:tc>
                  <w:tcPr>
                    <w:tcW w:w="1118" w:type="dxa"/>
                    <w:vMerge w:val="restart"/>
                    <w:shd w:val="clear" w:color="auto" w:fill="F2F2F2" w:themeFill="background1" w:themeFillShade="F2"/>
                  </w:tcPr>
                  <w:p>
                    <w:pPr>
                      <w:rPr>
                        <w:sz w:val="20"/>
                      </w:rPr>
                    </w:pPr>
                    <w:r>
                      <w:rPr>
                        <w:sz w:val="20"/>
                      </w:rPr>
                      <w:t>VB</w:t>
                    </w:r>
                  </w:p>
                </w:tc>
                <w:tc>
                  <w:tcPr>
                    <w:tcW w:w="2001" w:type="dxa"/>
                    <w:gridSpan w:val="2"/>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1134" w:type="dxa"/>
                    <w:gridSpan w:val="2"/>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130" w:type="dxa"/>
                    <w:gridSpan w:val="2"/>
                    <w:vMerge/>
                    <w:shd w:val="clear" w:color="auto" w:fill="F2F2F2" w:themeFill="background1" w:themeFillShade="F2"/>
                  </w:tcPr>
                  <w:p>
                    <w:pPr>
                      <w:rPr>
                        <w:b/>
                        <w:bCs/>
                        <w:sz w:val="20"/>
                      </w:rPr>
                    </w:pPr>
                  </w:p>
                </w:tc>
                <w:tc>
                  <w:tcPr>
                    <w:tcW w:w="699" w:type="dxa"/>
                    <w:vMerge/>
                    <w:shd w:val="clear" w:color="auto" w:fill="F2F2F2" w:themeFill="background1" w:themeFillShade="F2"/>
                  </w:tcPr>
                  <w:p>
                    <w:pPr>
                      <w:rPr>
                        <w:sz w:val="20"/>
                      </w:rPr>
                    </w:pPr>
                  </w:p>
                </w:tc>
                <w:tc>
                  <w:tcPr>
                    <w:tcW w:w="1985" w:type="dxa"/>
                    <w:vMerge/>
                    <w:shd w:val="clear" w:color="auto" w:fill="F2F2F2" w:themeFill="background1" w:themeFillShade="F2"/>
                  </w:tcPr>
                  <w:p>
                    <w:pPr>
                      <w:rPr>
                        <w:sz w:val="20"/>
                      </w:rPr>
                    </w:pPr>
                  </w:p>
                </w:tc>
                <w:tc>
                  <w:tcPr>
                    <w:tcW w:w="829" w:type="dxa"/>
                    <w:gridSpan w:val="3"/>
                    <w:vMerge/>
                    <w:shd w:val="clear" w:color="auto" w:fill="F2F2F2" w:themeFill="background1" w:themeFillShade="F2"/>
                  </w:tcPr>
                  <w:p>
                    <w:pPr>
                      <w:rPr>
                        <w:sz w:val="20"/>
                      </w:rPr>
                    </w:pPr>
                  </w:p>
                </w:tc>
                <w:tc>
                  <w:tcPr>
                    <w:tcW w:w="1014" w:type="dxa"/>
                    <w:gridSpan w:val="3"/>
                    <w:vMerge/>
                    <w:shd w:val="clear" w:color="auto" w:fill="F2F2F2" w:themeFill="background1" w:themeFillShade="F2"/>
                  </w:tcPr>
                  <w:p>
                    <w:pPr>
                      <w:rPr>
                        <w:sz w:val="20"/>
                      </w:rPr>
                    </w:pPr>
                  </w:p>
                </w:tc>
                <w:tc>
                  <w:tcPr>
                    <w:tcW w:w="681" w:type="dxa"/>
                    <w:gridSpan w:val="3"/>
                    <w:vMerge/>
                    <w:shd w:val="clear" w:color="auto" w:fill="F2F2F2" w:themeFill="background1" w:themeFillShade="F2"/>
                  </w:tcPr>
                  <w:p>
                    <w:pPr>
                      <w:rPr>
                        <w:sz w:val="20"/>
                      </w:rPr>
                    </w:pPr>
                  </w:p>
                </w:tc>
                <w:tc>
                  <w:tcPr>
                    <w:tcW w:w="1167" w:type="dxa"/>
                    <w:gridSpan w:val="2"/>
                    <w:vMerge/>
                    <w:shd w:val="clear" w:color="auto" w:fill="F2F2F2" w:themeFill="background1" w:themeFillShade="F2"/>
                  </w:tcPr>
                  <w:p>
                    <w:pPr>
                      <w:rPr>
                        <w:b/>
                        <w:bCs/>
                        <w:sz w:val="20"/>
                        <w:lang w:val="en-US"/>
                      </w:rPr>
                    </w:pPr>
                  </w:p>
                </w:tc>
                <w:tc>
                  <w:tcPr>
                    <w:tcW w:w="1118" w:type="dxa"/>
                    <w:vMerge/>
                    <w:shd w:val="clear" w:color="auto" w:fill="F2F2F2" w:themeFill="background1" w:themeFillShade="F2"/>
                  </w:tcPr>
                  <w:p>
                    <w:pPr>
                      <w:rPr>
                        <w:sz w:val="20"/>
                      </w:rPr>
                    </w:pPr>
                  </w:p>
                </w:tc>
                <w:tc>
                  <w:tcPr>
                    <w:tcW w:w="2001" w:type="dxa"/>
                    <w:gridSpan w:val="2"/>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1134" w:type="dxa"/>
                    <w:gridSpan w:val="2"/>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9"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130" w:type="dxa"/>
                    <w:gridSpan w:val="2"/>
                    <w:vMerge w:val="restart"/>
                  </w:tcPr>
                  <w:p>
                    <w:pPr>
                      <w:rPr>
                        <w:sz w:val="20"/>
                      </w:rPr>
                    </w:pPr>
                    <w:r>
                      <w:rPr>
                        <w:b/>
                        <w:bCs/>
                        <w:sz w:val="20"/>
                      </w:rPr>
                      <w:t>13. Programos „Motinos ir vaiko sveikata bei gerovė“ įgyvendinimas</w:t>
                    </w:r>
                  </w:p>
                </w:tc>
                <w:tc>
                  <w:tcPr>
                    <w:tcW w:w="699" w:type="dxa"/>
                    <w:vMerge w:val="restart"/>
                  </w:tcPr>
                  <w:p>
                    <w:pPr>
                      <w:rPr>
                        <w:sz w:val="20"/>
                      </w:rPr>
                    </w:pPr>
                    <w:r>
                      <w:rPr>
                        <w:sz w:val="20"/>
                      </w:rPr>
                      <w:t>I</w:t>
                    </w:r>
                  </w:p>
                </w:tc>
                <w:tc>
                  <w:tcPr>
                    <w:tcW w:w="1985" w:type="dxa"/>
                    <w:vMerge w:val="restart"/>
                  </w:tcPr>
                  <w:p>
                    <w:pPr>
                      <w:rPr>
                        <w:sz w:val="20"/>
                      </w:rPr>
                    </w:pPr>
                    <w:r>
                      <w:rPr>
                        <w:sz w:val="20"/>
                      </w:rPr>
                      <w:t>Lietuvos sveikatos mokslų universiteto ligoninė Kauno klinikos</w:t>
                    </w:r>
                  </w:p>
                </w:tc>
                <w:tc>
                  <w:tcPr>
                    <w:tcW w:w="829" w:type="dxa"/>
                    <w:gridSpan w:val="3"/>
                    <w:vMerge w:val="restart"/>
                  </w:tcPr>
                  <w:p>
                    <w:pPr>
                      <w:rPr>
                        <w:sz w:val="20"/>
                      </w:rPr>
                    </w:pPr>
                    <w:r>
                      <w:rPr>
                        <w:sz w:val="20"/>
                      </w:rPr>
                      <w:t>P</w:t>
                    </w:r>
                  </w:p>
                </w:tc>
                <w:tc>
                  <w:tcPr>
                    <w:tcW w:w="1014" w:type="dxa"/>
                    <w:gridSpan w:val="3"/>
                    <w:vMerge w:val="restart"/>
                  </w:tcPr>
                  <w:p>
                    <w:pPr>
                      <w:rPr>
                        <w:sz w:val="20"/>
                      </w:rPr>
                    </w:pPr>
                    <w:r>
                      <w:rPr>
                        <w:sz w:val="20"/>
                      </w:rPr>
                      <w:t>Ne</w:t>
                    </w:r>
                  </w:p>
                </w:tc>
                <w:tc>
                  <w:tcPr>
                    <w:tcW w:w="681" w:type="dxa"/>
                    <w:gridSpan w:val="3"/>
                    <w:vMerge w:val="restart"/>
                  </w:tcPr>
                  <w:p>
                    <w:pPr>
                      <w:jc w:val="center"/>
                      <w:rPr>
                        <w:sz w:val="20"/>
                      </w:rPr>
                    </w:pPr>
                    <w:r>
                      <w:rPr>
                        <w:sz w:val="20"/>
                      </w:rPr>
                      <w:t>D</w:t>
                    </w:r>
                  </w:p>
                </w:tc>
                <w:tc>
                  <w:tcPr>
                    <w:tcW w:w="1167" w:type="dxa"/>
                    <w:gridSpan w:val="2"/>
                    <w:tcBorders>
                      <w:bottom w:val="single" w:sz="4" w:space="0" w:color="auto"/>
                    </w:tcBorders>
                  </w:tcPr>
                  <w:p>
                    <w:pPr>
                      <w:rPr>
                        <w:b/>
                        <w:bCs/>
                        <w:sz w:val="20"/>
                      </w:rPr>
                    </w:pPr>
                    <w:r>
                      <w:rPr>
                        <w:b/>
                        <w:bCs/>
                        <w:sz w:val="20"/>
                      </w:rPr>
                      <w:t>34 219,646</w:t>
                    </w:r>
                  </w:p>
                </w:tc>
                <w:tc>
                  <w:tcPr>
                    <w:tcW w:w="1118" w:type="dxa"/>
                    <w:tcBorders>
                      <w:bottom w:val="single" w:sz="4" w:space="0" w:color="auto"/>
                    </w:tcBorders>
                  </w:tcPr>
                  <w:p>
                    <w:pPr>
                      <w:rPr>
                        <w:sz w:val="20"/>
                      </w:rPr>
                    </w:pPr>
                    <w:r>
                      <w:rPr>
                        <w:sz w:val="20"/>
                      </w:rPr>
                      <w:t>-</w:t>
                    </w:r>
                  </w:p>
                </w:tc>
                <w:tc>
                  <w:tcPr>
                    <w:tcW w:w="2001" w:type="dxa"/>
                    <w:gridSpan w:val="2"/>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1134" w:type="dxa"/>
                    <w:gridSpan w:val="2"/>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9"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tcPr>
                  <w:p>
                    <w:pPr>
                      <w:rPr>
                        <w:sz w:val="20"/>
                      </w:rPr>
                    </w:pPr>
                    <w:r>
                      <w:rPr>
                        <w:sz w:val="20"/>
                      </w:rPr>
                      <w:t>29 086,699</w:t>
                    </w:r>
                  </w:p>
                </w:tc>
                <w:tc>
                  <w:tcPr>
                    <w:tcW w:w="1118" w:type="dxa"/>
                  </w:tcPr>
                  <w:p>
                    <w:pPr>
                      <w:rPr>
                        <w:sz w:val="20"/>
                      </w:rPr>
                    </w:pPr>
                    <w:r>
                      <w:rPr>
                        <w:sz w:val="20"/>
                      </w:rPr>
                      <w:t>AŠĮFP</w:t>
                    </w:r>
                  </w:p>
                </w:tc>
                <w:tc>
                  <w:tcPr>
                    <w:tcW w:w="2001" w:type="dxa"/>
                    <w:gridSpan w:val="2"/>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1134" w:type="dxa"/>
                    <w:gridSpan w:val="2"/>
                  </w:tcPr>
                  <w:p>
                    <w:pPr>
                      <w:jc w:val="center"/>
                      <w:rPr>
                        <w:sz w:val="20"/>
                      </w:rPr>
                    </w:pPr>
                    <w:r>
                      <w:rPr>
                        <w:sz w:val="20"/>
                      </w:rPr>
                      <w:t>257 220 (2029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val="restart"/>
                  </w:tcPr>
                  <w:p>
                    <w:pPr>
                      <w:rPr>
                        <w:sz w:val="20"/>
                      </w:rPr>
                    </w:pPr>
                    <w:r>
                      <w:rPr>
                        <w:sz w:val="20"/>
                      </w:rPr>
                      <w:t>5 132,947</w:t>
                    </w:r>
                  </w:p>
                </w:tc>
                <w:tc>
                  <w:tcPr>
                    <w:tcW w:w="1118" w:type="dxa"/>
                    <w:vMerge w:val="restart"/>
                  </w:tcPr>
                  <w:p>
                    <w:pPr>
                      <w:rPr>
                        <w:sz w:val="20"/>
                      </w:rPr>
                    </w:pPr>
                    <w:r>
                      <w:rPr>
                        <w:sz w:val="20"/>
                      </w:rPr>
                      <w:t>AŠĮFP</w:t>
                    </w:r>
                  </w:p>
                  <w:p>
                    <w:pPr>
                      <w:rPr>
                        <w:sz w:val="20"/>
                      </w:rPr>
                    </w:pPr>
                    <w:r>
                      <w:rPr>
                        <w:sz w:val="20"/>
                      </w:rPr>
                      <w:t>(BF)</w:t>
                    </w:r>
                  </w:p>
                </w:tc>
                <w:tc>
                  <w:tcPr>
                    <w:tcW w:w="2001" w:type="dxa"/>
                    <w:gridSpan w:val="2"/>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1134" w:type="dxa"/>
                    <w:gridSpan w:val="2"/>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1134" w:type="dxa"/>
                    <w:gridSpan w:val="2"/>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8"/>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1134" w:type="dxa"/>
                    <w:gridSpan w:val="2"/>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9" w:type="dxa"/>
                  </w:tcPr>
                  <w:p>
                    <w:pPr>
                      <w:jc w:val="center"/>
                      <w:rPr>
                        <w:sz w:val="20"/>
                      </w:rPr>
                    </w:pPr>
                    <w:r>
                      <w:rPr>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Sukurti paslaugų teikimo metodikos ir organizacinių procesų aprašai, vnt.</w:t>
                    </w:r>
                  </w:p>
                </w:tc>
                <w:tc>
                  <w:tcPr>
                    <w:tcW w:w="1134" w:type="dxa"/>
                    <w:gridSpan w:val="2"/>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P – Sveikatos priežiūros specialistai, dalyvavę programos „Motinos ir vaiko sveikata ir gerovė“ kvalifikacijos tobulinimo veiklose, asmenys</w:t>
                    </w:r>
                  </w:p>
                </w:tc>
                <w:tc>
                  <w:tcPr>
                    <w:tcW w:w="1134" w:type="dxa"/>
                    <w:gridSpan w:val="2"/>
                  </w:tcPr>
                  <w:p>
                    <w:pPr>
                      <w:jc w:val="center"/>
                      <w:rPr>
                        <w:sz w:val="20"/>
                      </w:rPr>
                    </w:pPr>
                    <w:r>
                      <w:rPr>
                        <w:sz w:val="20"/>
                      </w:rPr>
                      <w:t>10 990 (2029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1134" w:type="dxa"/>
                    <w:gridSpan w:val="2"/>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r>
                <w:trPr>
                  <w:trHeight w:val="552"/>
                </w:trPr>
                <w:tc>
                  <w:tcPr>
                    <w:tcW w:w="2130" w:type="dxa"/>
                    <w:gridSpan w:val="2"/>
                    <w:vMerge/>
                  </w:tcPr>
                  <w:p>
                    <w:pPr>
                      <w:rPr>
                        <w:sz w:val="20"/>
                      </w:rPr>
                    </w:pPr>
                  </w:p>
                </w:tc>
                <w:tc>
                  <w:tcPr>
                    <w:tcW w:w="699" w:type="dxa"/>
                    <w:vMerge/>
                  </w:tcPr>
                  <w:p>
                    <w:pPr>
                      <w:rPr>
                        <w:sz w:val="20"/>
                      </w:rPr>
                    </w:pPr>
                  </w:p>
                </w:tc>
                <w:tc>
                  <w:tcPr>
                    <w:tcW w:w="1985" w:type="dxa"/>
                    <w:vMerge/>
                  </w:tcPr>
                  <w:p>
                    <w:pPr>
                      <w:rPr>
                        <w:sz w:val="20"/>
                      </w:rPr>
                    </w:pPr>
                  </w:p>
                </w:tc>
                <w:tc>
                  <w:tcPr>
                    <w:tcW w:w="829" w:type="dxa"/>
                    <w:gridSpan w:val="3"/>
                    <w:vMerge/>
                  </w:tcPr>
                  <w:p>
                    <w:pPr>
                      <w:rPr>
                        <w:sz w:val="20"/>
                      </w:rPr>
                    </w:pPr>
                  </w:p>
                </w:tc>
                <w:tc>
                  <w:tcPr>
                    <w:tcW w:w="1014" w:type="dxa"/>
                    <w:gridSpan w:val="3"/>
                    <w:vMerge/>
                  </w:tcPr>
                  <w:p>
                    <w:pPr>
                      <w:rPr>
                        <w:sz w:val="20"/>
                      </w:rPr>
                    </w:pPr>
                  </w:p>
                </w:tc>
                <w:tc>
                  <w:tcPr>
                    <w:tcW w:w="681" w:type="dxa"/>
                    <w:gridSpan w:val="3"/>
                    <w:vMerge/>
                  </w:tcPr>
                  <w:p>
                    <w:pPr>
                      <w:jc w:val="center"/>
                      <w:rPr>
                        <w:sz w:val="20"/>
                      </w:rPr>
                    </w:pPr>
                  </w:p>
                </w:tc>
                <w:tc>
                  <w:tcPr>
                    <w:tcW w:w="1167" w:type="dxa"/>
                    <w:gridSpan w:val="2"/>
                    <w:vMerge/>
                  </w:tcPr>
                  <w:p>
                    <w:pPr>
                      <w:rPr>
                        <w:sz w:val="20"/>
                      </w:rPr>
                    </w:pPr>
                  </w:p>
                </w:tc>
                <w:tc>
                  <w:tcPr>
                    <w:tcW w:w="1118" w:type="dxa"/>
                    <w:vMerge/>
                  </w:tcPr>
                  <w:p>
                    <w:pPr>
                      <w:rPr>
                        <w:sz w:val="20"/>
                      </w:rPr>
                    </w:pPr>
                  </w:p>
                </w:tc>
                <w:tc>
                  <w:tcPr>
                    <w:tcW w:w="2001" w:type="dxa"/>
                    <w:gridSpan w:val="2"/>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1134" w:type="dxa"/>
                    <w:gridSpan w:val="2"/>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9"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8cb9676fc1411f09a18eb2f15b49eee">
                <w:r w:rsidRPr="00532B9F">
                  <w:rPr>
                    <w:rFonts w:ascii="Times New Roman" w:eastAsia="MS Mincho" w:hAnsi="Times New Roman"/>
                    <w:sz w:val="20"/>
                    <w:i/>
                    <w:iCs/>
                    <w:color w:val="0000FF" w:themeColor="hyperlink"/>
                    <w:u w:val="single"/>
                  </w:rPr>
                  <w:t>V-68</w:t>
                </w:r>
              </w:fldSimple>
              <w:r>
                <w:rPr>
                  <w:rFonts w:ascii="Times New Roman" w:eastAsia="MS Mincho" w:hAnsi="Times New Roman"/>
                  <w:sz w:val="20"/>
                  <w:i/>
                  <w:iCs/>
                </w:rPr>
                <w:t>,
2026-01-28,
paskelbta TAR 2026-01-28, i. k. 2026-01141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f9ae418c711f1a552c76556910e9c">
                <w:r w:rsidRPr="00532B9F">
                  <w:rPr>
                    <w:rFonts w:ascii="Times New Roman" w:eastAsia="MS Mincho" w:hAnsi="Times New Roman"/>
                    <w:sz w:val="20"/>
                    <w:i/>
                    <w:iCs/>
                    <w:color w:val="0000FF" w:themeColor="hyperlink"/>
                    <w:u w:val="single"/>
                  </w:rPr>
                  <w:t>V-208</w:t>
                </w:r>
              </w:fldSimple>
              <w:r>
                <w:rPr>
                  <w:rFonts w:ascii="Times New Roman" w:eastAsia="MS Mincho" w:hAnsi="Times New Roman"/>
                  <w:sz w:val="20"/>
                  <w:i/>
                  <w:iCs/>
                </w:rPr>
                <w:t>,
2026-03-05,
paskelbta TAR 2026-03-05, i. k. 2026-03635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sdtContent>
        </w:sdt>
        <w:sdt>
          <w:sdtPr>
            <w:alias w:val="pabaiga"/>
            <w:tag w:val="part_0a803e9b38de41efa81b2f43b2912e53"/>
            <w:lock w:val="sdtLocked"/>
            <w:richText/>
          </w:sdtPr>
          <w:sdtContent>
            <w:p>
              <w:pPr>
                <w:shd w:val="clear" w:color="000000" w:fill="auto"/>
                <w:jc w:val="center"/>
              </w:pPr>
              <w:r>
                <w:rPr>
                  <w:sz w:val="22"/>
                  <w:szCs w:val="22"/>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(V-149)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1d7416f41d11efa87aadb1fba2acc3">
            <w:r w:rsidRPr="00532B9F">
              <w:rPr>
                <w:rFonts w:ascii="Times New Roman" w:eastAsia="MS Mincho" w:hAnsi="Times New Roman"/>
                <w:sz w:val="20"/>
                <w:i/>
                <w:iCs/>
                <w:color w:val="0000FF" w:themeColor="hyperlink"/>
                <w:u w:val="single"/>
              </w:rPr>
              <w:t>V-149</w:t>
            </w:r>
          </w:fldSimple>
          <w:r>
            <w:rPr>
              <w:rFonts w:ascii="Times New Roman" w:eastAsia="MS Mincho" w:hAnsi="Times New Roman"/>
              <w:sz w:val="20"/>
              <w:i/>
              <w:iCs/>
            </w:rPr>
            <w:t>,
2025-02-25,
paskelbta TAR 2025-02-26, i. k. 2025-03157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54b481663b11f0a8bbd1e98310677d">
            <w:r w:rsidRPr="00532B9F">
              <w:rPr>
                <w:rFonts w:ascii="Times New Roman" w:eastAsia="MS Mincho" w:hAnsi="Times New Roman"/>
                <w:sz w:val="20"/>
                <w:i/>
                <w:iCs/>
                <w:color w:val="0000FF" w:themeColor="hyperlink"/>
                <w:u w:val="single"/>
              </w:rPr>
              <w:t>V-681</w:t>
            </w:r>
          </w:fldSimple>
          <w:r>
            <w:rPr>
              <w:rFonts w:ascii="Times New Roman" w:eastAsia="MS Mincho" w:hAnsi="Times New Roman"/>
              <w:sz w:val="20"/>
              <w:i/>
              <w:iCs/>
            </w:rPr>
            <w:t>,
2025-07-21,
paskelbta TAR 2025-07-21, i. k. 2025-13101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0e9484ecc011f09cfce49e7aeb76fe">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2026-01-08,
paskelbta TAR 2026-01-08, i. k. 2026-00269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0410c02ef111f08fdabd4950271e2c">
            <w:r w:rsidRPr="00532B9F">
              <w:rPr>
                <w:rFonts w:ascii="Times New Roman" w:eastAsia="MS Mincho" w:hAnsi="Times New Roman"/>
                <w:sz w:val="20"/>
                <w:i/>
                <w:iCs/>
                <w:color w:val="0000FF" w:themeColor="hyperlink"/>
                <w:u w:val="single"/>
              </w:rPr>
              <w:t>V-447</w:t>
            </w:r>
          </w:fldSimple>
          <w:r>
            <w:rPr>
              <w:rFonts w:ascii="Times New Roman" w:eastAsia="MS Mincho" w:hAnsi="Times New Roman"/>
              <w:sz w:val="20"/>
              <w:i/>
              <w:iCs/>
            </w:rPr>
            <w:t>,
2025-05-09,
paskelbta TAR 2025-05-12, i. k. 2025-08387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c6c07446ce11f0b070ee7f1ceefc75">
            <w:r w:rsidRPr="00532B9F">
              <w:rPr>
                <w:rFonts w:ascii="Times New Roman" w:eastAsia="MS Mincho" w:hAnsi="Times New Roman"/>
                <w:sz w:val="20"/>
                <w:i/>
                <w:iCs/>
                <w:color w:val="0000FF" w:themeColor="hyperlink"/>
                <w:u w:val="single"/>
              </w:rPr>
              <w:t>V-527</w:t>
            </w:r>
          </w:fldSimple>
          <w:r>
            <w:rPr>
              <w:rFonts w:ascii="Times New Roman" w:eastAsia="MS Mincho" w:hAnsi="Times New Roman"/>
              <w:sz w:val="20"/>
              <w:i/>
              <w:iCs/>
            </w:rPr>
            <w:t>,
2025-06-11,
paskelbta TAR 2025-06-11, i. k. 2025-10626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(V-80)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(V-513)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6b534f37511ef8bf78f8ccc0e0474">
            <w:r w:rsidRPr="00532B9F">
              <w:rPr>
                <w:rFonts w:ascii="Times New Roman" w:eastAsia="MS Mincho" w:hAnsi="Times New Roman"/>
                <w:sz w:val="20"/>
                <w:i/>
                <w:iCs/>
                <w:color w:val="0000FF" w:themeColor="hyperlink"/>
                <w:u w:val="single"/>
              </w:rPr>
              <w:t>V-151</w:t>
            </w:r>
          </w:fldSimple>
          <w:r>
            <w:rPr>
              <w:rFonts w:ascii="Times New Roman" w:eastAsia="MS Mincho" w:hAnsi="Times New Roman"/>
              <w:sz w:val="20"/>
              <w:i/>
              <w:iCs/>
            </w:rPr>
            <w:t>,
2025-02-25,
paskelbta TAR 2025-02-25, i. k. 2025-03068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5e8c24663c11f0a8bbd1e98310677d">
            <w:r w:rsidRPr="00532B9F">
              <w:rPr>
                <w:rFonts w:ascii="Times New Roman" w:eastAsia="MS Mincho" w:hAnsi="Times New Roman"/>
                <w:sz w:val="20"/>
                <w:i/>
                <w:iCs/>
                <w:color w:val="0000FF" w:themeColor="hyperlink"/>
                <w:u w:val="single"/>
              </w:rPr>
              <w:t>V-683</w:t>
            </w:r>
          </w:fldSimple>
          <w:r>
            <w:rPr>
              <w:rFonts w:ascii="Times New Roman" w:eastAsia="MS Mincho" w:hAnsi="Times New Roman"/>
              <w:sz w:val="20"/>
              <w:i/>
              <w:iCs/>
            </w:rPr>
            <w:t>,
2025-07-21,
paskelbta TAR 2025-07-21, i. k. 2025-13104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7a8074066911f1b465ab875bcad79f">
            <w:r w:rsidRPr="00532B9F">
              <w:rPr>
                <w:rFonts w:ascii="Times New Roman" w:eastAsia="MS Mincho" w:hAnsi="Times New Roman"/>
                <w:sz w:val="20"/>
                <w:i/>
                <w:iCs/>
                <w:color w:val="0000FF" w:themeColor="hyperlink"/>
                <w:u w:val="single"/>
              </w:rPr>
              <w:t>V-115</w:t>
            </w:r>
          </w:fldSimple>
          <w:r>
            <w:rPr>
              <w:rFonts w:ascii="Times New Roman" w:eastAsia="MS Mincho" w:hAnsi="Times New Roman"/>
              <w:sz w:val="20"/>
              <w:i/>
              <w:iCs/>
            </w:rPr>
            <w:t>,
2026-02-10,
paskelbta TAR 2026-02-10, i. k. 2026-02056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70770550d11f180c9c618618421ed">
            <w:r w:rsidRPr="00532B9F">
              <w:rPr>
                <w:rFonts w:ascii="Times New Roman" w:eastAsia="MS Mincho" w:hAnsi="Times New Roman"/>
                <w:sz w:val="20"/>
                <w:i/>
                <w:iCs/>
                <w:color w:val="0000FF" w:themeColor="hyperlink"/>
                <w:u w:val="single"/>
              </w:rPr>
              <w:t>V-513</w:t>
            </w:r>
          </w:fldSimple>
          <w:r>
            <w:rPr>
              <w:rFonts w:ascii="Times New Roman" w:eastAsia="MS Mincho" w:hAnsi="Times New Roman"/>
              <w:sz w:val="20"/>
              <w:i/>
              <w:iCs/>
            </w:rPr>
            <w:t>,
2026-05-21,
paskelbta TAR 2026-05-21, i. k. 2026-08567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(V-232)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1bf1d4211411f1a552c76556910e9c">
            <w:r w:rsidRPr="00532B9F">
              <w:rPr>
                <w:rFonts w:ascii="Times New Roman" w:eastAsia="MS Mincho" w:hAnsi="Times New Roman"/>
                <w:sz w:val="20"/>
                <w:i/>
                <w:iCs/>
                <w:color w:val="0000FF" w:themeColor="hyperlink"/>
                <w:u w:val="single"/>
              </w:rPr>
              <w:t>V-232</w:t>
            </w:r>
          </w:fldSimple>
          <w:r>
            <w:rPr>
              <w:rFonts w:ascii="Times New Roman" w:eastAsia="MS Mincho" w:hAnsi="Times New Roman"/>
              <w:sz w:val="20"/>
              <w:i/>
              <w:iCs/>
            </w:rPr>
            <w:t>,
2026-03-16,
paskelbta TAR 2026-03-16, i. k. 2026-04073        </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(V-540)</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d2f2646e311f0b070ee7f1ceefc7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2025-06-11,
paskelbta TAR 2025-06-11, i. k. 2025-10635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3554035fc11f08fdabd4950271e2c">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2025-05-21,
paskelbta TAR 2025-05-21, i. k. 2025-08952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e432d160f311f1b53dfa020e517810">
            <w:r w:rsidRPr="00532B9F">
              <w:rPr>
                <w:rFonts w:ascii="Times New Roman" w:eastAsia="MS Mincho" w:hAnsi="Times New Roman"/>
                <w:sz w:val="20"/>
                <w:i/>
                <w:iCs/>
                <w:color w:val="0000FF" w:themeColor="hyperlink"/>
                <w:u w:val="single"/>
              </w:rPr>
              <w:t>V-565</w:t>
            </w:r>
          </w:fldSimple>
          <w:r>
            <w:rPr>
              <w:rFonts w:ascii="Times New Roman" w:eastAsia="MS Mincho" w:hAnsi="Times New Roman"/>
              <w:sz w:val="20"/>
              <w:i/>
              <w:iCs/>
            </w:rPr>
            <w:t>,
2026-06-05,
paskelbta TAR 2026-06-08, i. k. 2026-10076        </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fe5c86013111f1b96ed27de6271e6a">
            <w:r w:rsidRPr="00532B9F">
              <w:rPr>
                <w:rFonts w:ascii="Times New Roman" w:eastAsia="MS Mincho" w:hAnsi="Times New Roman"/>
                <w:sz w:val="20"/>
                <w:i/>
                <w:iCs/>
                <w:color w:val="0000FF" w:themeColor="hyperlink"/>
                <w:u w:val="single"/>
              </w:rPr>
              <w:t>V-80</w:t>
            </w:r>
          </w:fldSimple>
          <w:r>
            <w:rPr>
              <w:rFonts w:ascii="Times New Roman" w:eastAsia="MS Mincho" w:hAnsi="Times New Roman"/>
              <w:sz w:val="20"/>
              <w:i/>
              <w:iCs/>
            </w:rPr>
            <w:t>,
2026-02-03,
paskelbta TAR 2026-02-03, i. k. 2026-01663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(V-246)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225131242a11f1a552c76556910e9c">
            <w:r w:rsidRPr="00532B9F">
              <w:rPr>
                <w:rFonts w:ascii="Times New Roman" w:eastAsia="MS Mincho" w:hAnsi="Times New Roman"/>
                <w:sz w:val="20"/>
                <w:i/>
                <w:iCs/>
                <w:color w:val="0000FF" w:themeColor="hyperlink"/>
                <w:u w:val="single"/>
              </w:rPr>
              <w:t>V-246</w:t>
            </w:r>
          </w:fldSimple>
          <w:r>
            <w:rPr>
              <w:rFonts w:ascii="Times New Roman" w:eastAsia="MS Mincho" w:hAnsi="Times New Roman"/>
              <w:sz w:val="20"/>
              <w:i/>
              <w:iCs/>
            </w:rPr>
            <w:t>,
2026-03-20,
paskelbta TAR 2026-03-20, i. k. 2026-04384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(V-469)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b79274ee8511ef8bf78f8ccc0e0474">
            <w:r w:rsidRPr="00532B9F">
              <w:rPr>
                <w:rFonts w:ascii="Times New Roman" w:eastAsia="MS Mincho" w:hAnsi="Times New Roman"/>
                <w:sz w:val="20"/>
                <w:i/>
                <w:iCs/>
                <w:color w:val="0000FF" w:themeColor="hyperlink"/>
                <w:u w:val="single"/>
              </w:rPr>
              <w:t>V-132</w:t>
            </w:r>
          </w:fldSimple>
          <w:r>
            <w:rPr>
              <w:rFonts w:ascii="Times New Roman" w:eastAsia="MS Mincho" w:hAnsi="Times New Roman"/>
              <w:sz w:val="20"/>
              <w:i/>
              <w:iCs/>
            </w:rPr>
            <w:t>,
2025-02-19,
paskelbta TAR 2025-02-19, i. k. 2025-02556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446a45c7c11f0a3d380837a821750">
            <w:r w:rsidRPr="00532B9F">
              <w:rPr>
                <w:rFonts w:ascii="Times New Roman" w:eastAsia="MS Mincho" w:hAnsi="Times New Roman"/>
                <w:sz w:val="20"/>
                <w:i/>
                <w:iCs/>
                <w:color w:val="0000FF" w:themeColor="hyperlink"/>
                <w:u w:val="single"/>
              </w:rPr>
              <w:t>V-623</w:t>
            </w:r>
          </w:fldSimple>
          <w:r>
            <w:rPr>
              <w:rFonts w:ascii="Times New Roman" w:eastAsia="MS Mincho" w:hAnsi="Times New Roman"/>
              <w:sz w:val="20"/>
              <w:i/>
              <w:iCs/>
            </w:rPr>
            <w:t>,
2025-07-09,
paskelbta TAR 2025-07-09, i. k. 2025-12503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9cee0a98311f0a34db2fbd35a03b2">
            <w:r w:rsidRPr="00532B9F">
              <w:rPr>
                <w:rFonts w:ascii="Times New Roman" w:eastAsia="MS Mincho" w:hAnsi="Times New Roman"/>
                <w:sz w:val="20"/>
                <w:i/>
                <w:iCs/>
                <w:color w:val="0000FF" w:themeColor="hyperlink"/>
                <w:u w:val="single"/>
              </w:rPr>
              <w:t>V-904</w:t>
            </w:r>
          </w:fldSimple>
          <w:r>
            <w:rPr>
              <w:rFonts w:ascii="Times New Roman" w:eastAsia="MS Mincho" w:hAnsi="Times New Roman"/>
              <w:sz w:val="20"/>
              <w:i/>
              <w:iCs/>
            </w:rPr>
            <w:t>,
2025-10-15,
paskelbta TAR 2025-10-15, i. k. 2025-17160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02cfa0a01011f0a34db2fbd35a03b2">
            <w:r w:rsidRPr="00532B9F">
              <w:rPr>
                <w:rFonts w:ascii="Times New Roman" w:eastAsia="MS Mincho" w:hAnsi="Times New Roman"/>
                <w:sz w:val="20"/>
                <w:i/>
                <w:iCs/>
                <w:color w:val="0000FF" w:themeColor="hyperlink"/>
                <w:u w:val="single"/>
              </w:rPr>
              <w:t>V-871</w:t>
            </w:r>
          </w:fldSimple>
          <w:r>
            <w:rPr>
              <w:rFonts w:ascii="Times New Roman" w:eastAsia="MS Mincho" w:hAnsi="Times New Roman"/>
              <w:sz w:val="20"/>
              <w:i/>
              <w:iCs/>
            </w:rPr>
            <w:t>,
2025-10-03,
paskelbta TAR 2025-10-03, i. k. 2025-16749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(V-608)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4cacb4559a11f0b070ee7f1ceefc75">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2025-06-30,
paskelbta TAR 2025-06-30, i. k. 2025-11899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30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83424264f11f08fdabd4950271e2c">
            <w:r w:rsidRPr="00532B9F">
              <w:rPr>
                <w:rFonts w:ascii="Times New Roman" w:eastAsia="MS Mincho" w:hAnsi="Times New Roman"/>
                <w:sz w:val="20"/>
                <w:i/>
                <w:iCs/>
                <w:color w:val="0000FF" w:themeColor="hyperlink"/>
                <w:u w:val="single"/>
              </w:rPr>
              <w:t>V-410</w:t>
            </w:r>
          </w:fldSimple>
          <w:r>
            <w:rPr>
              <w:rFonts w:ascii="Times New Roman" w:eastAsia="MS Mincho" w:hAnsi="Times New Roman"/>
              <w:sz w:val="20"/>
              <w:i/>
              <w:iCs/>
            </w:rPr>
            <w:t>,
2025-04-30,
paskelbta TAR 2025-05-02, i. k. 2025-07891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pStyle w:val="PlainText"/>
            <w:rPr>
              <w:rFonts w:ascii="Times New Roman" w:eastAsia="MS Mincho" w:hAnsi="Times New Roman"/>
              <w:sz w:val="20"/>
              <w:iCs/>
            </w:rPr>
          </w:pPr>
          <w:r>
            <w:rPr>
              <w:rFonts w:ascii="Times New Roman" w:eastAsia="MS Mincho" w:hAnsi="Times New Roman"/>
              <w:sz w:val="20"/>
              <w:iCs/>
            </w:rPr>
            <w:t>32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7dbe74f27011ef8bf78f8ccc0e0474">
            <w:r w:rsidRPr="00532B9F">
              <w:rPr>
                <w:rFonts w:ascii="Times New Roman" w:eastAsia="MS Mincho" w:hAnsi="Times New Roman"/>
                <w:sz w:val="20"/>
                <w:i/>
                <w:iCs/>
                <w:color w:val="0000FF" w:themeColor="hyperlink"/>
                <w:u w:val="single"/>
              </w:rPr>
              <w:t>V-142</w:t>
            </w:r>
          </w:fldSimple>
          <w:r>
            <w:rPr>
              <w:rFonts w:ascii="Times New Roman" w:eastAsia="MS Mincho" w:hAnsi="Times New Roman"/>
              <w:sz w:val="20"/>
              <w:i/>
              <w:iCs/>
            </w:rPr>
            <w:t>,
2025-02-24,
paskelbta TAR 2025-02-24, i. k. 2025-02872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aeb191066911f1b465ab875bcad79f">
            <w:r w:rsidRPr="00532B9F">
              <w:rPr>
                <w:rFonts w:ascii="Times New Roman" w:eastAsia="MS Mincho" w:hAnsi="Times New Roman"/>
                <w:sz w:val="20"/>
                <w:i/>
                <w:iCs/>
                <w:color w:val="0000FF" w:themeColor="hyperlink"/>
                <w:u w:val="single"/>
              </w:rPr>
              <w:t>V-114</w:t>
            </w:r>
          </w:fldSimple>
          <w:r>
            <w:rPr>
              <w:rFonts w:ascii="Times New Roman" w:eastAsia="MS Mincho" w:hAnsi="Times New Roman"/>
              <w:sz w:val="20"/>
              <w:i/>
              <w:iCs/>
            </w:rPr>
            <w:t>,
2026-02-10,
paskelbta TAR 2026-02-10, i. k. 2026-02057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33 priedas (V-37)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4da1b0415c11f0b070ee7f1ceefc75">
            <w:r w:rsidRPr="00532B9F">
              <w:rPr>
                <w:rFonts w:ascii="Times New Roman" w:eastAsia="MS Mincho" w:hAnsi="Times New Roman"/>
                <w:sz w:val="20"/>
                <w:i/>
                <w:iCs/>
                <w:color w:val="0000FF" w:themeColor="hyperlink"/>
                <w:u w:val="single"/>
              </w:rPr>
              <w:t>V-517</w:t>
            </w:r>
          </w:fldSimple>
          <w:r>
            <w:rPr>
              <w:rFonts w:ascii="Times New Roman" w:eastAsia="MS Mincho" w:hAnsi="Times New Roman"/>
              <w:sz w:val="20"/>
              <w:i/>
              <w:iCs/>
            </w:rPr>
            <w:t>,
2025-06-04,
paskelbta TAR 2025-06-04, i. k. 2025-10188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c1f9e1f29011f09cfce49e7aeb76fe">
            <w:r w:rsidRPr="00532B9F">
              <w:rPr>
                <w:rFonts w:ascii="Times New Roman" w:eastAsia="MS Mincho" w:hAnsi="Times New Roman"/>
                <w:sz w:val="20"/>
                <w:i/>
                <w:iCs/>
                <w:color w:val="0000FF" w:themeColor="hyperlink"/>
                <w:u w:val="single"/>
              </w:rPr>
              <w:t>V-37</w:t>
            </w:r>
          </w:fldSimple>
          <w:r>
            <w:rPr>
              <w:rFonts w:ascii="Times New Roman" w:eastAsia="MS Mincho" w:hAnsi="Times New Roman"/>
              <w:sz w:val="20"/>
              <w:i/>
              <w:iCs/>
            </w:rPr>
            <w:t>,
2026-01-16,
paskelbta TAR 2026-01-16, i. k. 2026-00540        </w:t>
          </w:r>
        </w:p>
        <w:p/>
        <w:p>
          <w:pPr>
            <w:pStyle w:val="PlainText"/>
            <w:rPr>
              <w:rFonts w:ascii="Times New Roman" w:eastAsia="MS Mincho" w:hAnsi="Times New Roman"/>
              <w:sz w:val="20"/>
              <w:iCs/>
            </w:rPr>
          </w:pPr>
          <w:r>
            <w:rPr>
              <w:rFonts w:ascii="Times New Roman" w:eastAsia="MS Mincho" w:hAnsi="Times New Roman"/>
              <w:sz w:val="20"/>
              <w:iCs/>
            </w:rPr>
            <w:t>34 priedas (V-469)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504276557811f0b070ee7f1ceefc75">
            <w:r w:rsidRPr="00532B9F">
              <w:rPr>
                <w:rFonts w:ascii="Times New Roman" w:eastAsia="MS Mincho" w:hAnsi="Times New Roman"/>
                <w:sz w:val="20"/>
                <w:i/>
                <w:iCs/>
                <w:color w:val="0000FF" w:themeColor="hyperlink"/>
                <w:u w:val="single"/>
              </w:rPr>
              <w:t>V-605</w:t>
            </w:r>
          </w:fldSimple>
          <w:r>
            <w:rPr>
              <w:rFonts w:ascii="Times New Roman" w:eastAsia="MS Mincho" w:hAnsi="Times New Roman"/>
              <w:sz w:val="20"/>
              <w:i/>
              <w:iCs/>
            </w:rPr>
            <w:t>,
2025-06-30,
paskelbta TAR 2025-06-30, i. k. 2025-11856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a840c50711f0bf10920ce8b0026c">
            <w:r w:rsidRPr="00532B9F">
              <w:rPr>
                <w:rFonts w:ascii="Times New Roman" w:eastAsia="MS Mincho" w:hAnsi="Times New Roman"/>
                <w:sz w:val="20"/>
                <w:i/>
                <w:iCs/>
                <w:color w:val="0000FF" w:themeColor="hyperlink"/>
                <w:u w:val="single"/>
              </w:rPr>
              <w:t>V-1030</w:t>
            </w:r>
          </w:fldSimple>
          <w:r>
            <w:rPr>
              <w:rFonts w:ascii="Times New Roman" w:eastAsia="MS Mincho" w:hAnsi="Times New Roman"/>
              <w:sz w:val="20"/>
              <w:i/>
              <w:iCs/>
            </w:rPr>
            <w:t>,
2025-11-19,
paskelbta TAR 2025-11-19, i. k. 2025-19267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pStyle w:val="PlainText"/>
            <w:rPr>
              <w:rFonts w:ascii="Times New Roman" w:eastAsia="MS Mincho" w:hAnsi="Times New Roman"/>
              <w:sz w:val="20"/>
              <w:iCs/>
            </w:rPr>
          </w:pPr>
          <w:r>
            <w:rPr>
              <w:rFonts w:ascii="Times New Roman" w:eastAsia="MS Mincho" w:hAnsi="Times New Roman"/>
              <w:sz w:val="20"/>
              <w:iCs/>
            </w:rPr>
            <w:t>35 priedas (V-197)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d475118c611f1a552c76556910e9c">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2026-03-05,
paskelbta TAR 2026-03-05, i. k. 2026-03631        </w:t>
          </w:r>
        </w:p>
        <w:p/>
        <w:p>
          <w:pPr>
            <w:pStyle w:val="PlainText"/>
            <w:rPr>
              <w:rFonts w:ascii="Times New Roman" w:eastAsia="MS Mincho" w:hAnsi="Times New Roman"/>
              <w:sz w:val="20"/>
              <w:iCs/>
            </w:rPr>
          </w:pPr>
          <w:r>
            <w:rPr>
              <w:rFonts w:ascii="Times New Roman" w:eastAsia="MS Mincho" w:hAnsi="Times New Roman"/>
              <w:sz w:val="20"/>
              <w:iCs/>
            </w:rPr>
            <w:t>36 priedas  (V-430)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55e056421f11f180c9c618618421ed">
            <w:r w:rsidRPr="00532B9F">
              <w:rPr>
                <w:rFonts w:ascii="Times New Roman" w:eastAsia="MS Mincho" w:hAnsi="Times New Roman"/>
                <w:sz w:val="20"/>
                <w:i/>
                <w:iCs/>
                <w:color w:val="0000FF" w:themeColor="hyperlink"/>
                <w:u w:val="single"/>
              </w:rPr>
              <w:t>V-430</w:t>
            </w:r>
          </w:fldSimple>
          <w:r>
            <w:rPr>
              <w:rFonts w:ascii="Times New Roman" w:eastAsia="MS Mincho" w:hAnsi="Times New Roman"/>
              <w:sz w:val="20"/>
              <w:i/>
              <w:iCs/>
            </w:rPr>
            <w:t>,
2026-04-27,
paskelbta TAR 2026-04-27, i. k. 2026-06854        </w:t>
          </w:r>
        </w:p>
        <w:p/>
        <w:p>
          <w:pPr>
            <w:pStyle w:val="PlainText"/>
            <w:rPr>
              <w:rFonts w:ascii="Times New Roman" w:eastAsia="MS Mincho" w:hAnsi="Times New Roman"/>
              <w:sz w:val="20"/>
              <w:iCs/>
            </w:rPr>
          </w:pPr>
          <w:r>
            <w:rPr>
              <w:rFonts w:ascii="Times New Roman" w:eastAsia="MS Mincho" w:hAnsi="Times New Roman"/>
              <w:sz w:val="20"/>
              <w:iCs/>
            </w:rPr>
            <w:t>37 priedas (V-442)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ca296643fc11f180c9c618618421ed">
            <w:r w:rsidRPr="00532B9F">
              <w:rPr>
                <w:rFonts w:ascii="Times New Roman" w:eastAsia="MS Mincho" w:hAnsi="Times New Roman"/>
                <w:sz w:val="20"/>
                <w:i/>
                <w:iCs/>
                <w:color w:val="0000FF" w:themeColor="hyperlink"/>
                <w:u w:val="single"/>
              </w:rPr>
              <w:t>V-442</w:t>
            </w:r>
          </w:fldSimple>
          <w:r>
            <w:rPr>
              <w:rFonts w:ascii="Times New Roman" w:eastAsia="MS Mincho" w:hAnsi="Times New Roman"/>
              <w:sz w:val="20"/>
              <w:i/>
              <w:iCs/>
            </w:rPr>
            <w:t>,
2026-04-29,
paskelbta TAR 2026-04-30, i. k. 2026-07116        </w:t>
          </w:r>
        </w:p>
        <w:p/>
        <w:p>
          <w:pPr>
            <w:pStyle w:val="PlainText"/>
            <w:rPr>
              <w:rFonts w:ascii="Times New Roman" w:eastAsia="MS Mincho" w:hAnsi="Times New Roman"/>
              <w:sz w:val="20"/>
              <w:iCs/>
            </w:rPr>
          </w:pPr>
          <w:r>
            <w:rPr>
              <w:rFonts w:ascii="Times New Roman" w:eastAsia="MS Mincho" w:hAnsi="Times New Roman"/>
              <w:sz w:val="20"/>
              <w:iCs/>
            </w:rPr>
            <w:t>38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
          <w:pPr>
            <w:pStyle w:val="PlainText"/>
            <w:rPr>
              <w:rFonts w:ascii="Times New Roman" w:eastAsia="MS Mincho" w:hAnsi="Times New Roman"/>
              <w:sz w:val="20"/>
              <w:iCs/>
            </w:rPr>
          </w:pPr>
          <w:r>
            <w:rPr>
              <w:rFonts w:ascii="Times New Roman" w:eastAsia="MS Mincho" w:hAnsi="Times New Roman"/>
              <w:sz w:val="20"/>
              <w:iCs/>
            </w:rPr>
            <w:t>39 priedas (V-452)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701316453d11f180c9c618618421ed">
            <w:r w:rsidRPr="00532B9F">
              <w:rPr>
                <w:rFonts w:ascii="Times New Roman" w:eastAsia="MS Mincho" w:hAnsi="Times New Roman"/>
                <w:sz w:val="20"/>
                <w:i/>
                <w:iCs/>
                <w:color w:val="0000FF" w:themeColor="hyperlink"/>
                <w:u w:val="single"/>
              </w:rPr>
              <w:t>V-452</w:t>
            </w:r>
          </w:fldSimple>
          <w:r>
            <w:rPr>
              <w:rFonts w:ascii="Times New Roman" w:eastAsia="MS Mincho" w:hAnsi="Times New Roman"/>
              <w:sz w:val="20"/>
              <w:i/>
              <w:iCs/>
            </w:rPr>
            <w:t>,
2026-04-30,
paskelbta TAR 2026-05-03, i. k. 2026-07248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17fb514d6a11f180c9c618618421ed">
            <w:r w:rsidRPr="00532B9F">
              <w:rPr>
                <w:rFonts w:ascii="Times New Roman" w:eastAsia="MS Mincho" w:hAnsi="Times New Roman"/>
                <w:sz w:val="20"/>
                <w:i/>
                <w:iCs/>
                <w:color w:val="0000FF" w:themeColor="hyperlink"/>
                <w:u w:val="single"/>
              </w:rPr>
              <w:t>V-469</w:t>
            </w:r>
          </w:fldSimple>
          <w:r>
            <w:rPr>
              <w:rFonts w:ascii="Times New Roman" w:eastAsia="MS Mincho" w:hAnsi="Times New Roman"/>
              <w:sz w:val="20"/>
              <w:i/>
              <w:iCs/>
            </w:rPr>
            <w:t>,
2026-05-11,
paskelbta TAR 2026-05-12, i. k. 2026-07927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b79274ee8511ef8bf78f8ccc0e0474">
            <w:r w:rsidRPr="00532B9F">
              <w:rPr>
                <w:rFonts w:ascii="Times New Roman" w:eastAsia="MS Mincho" w:hAnsi="Times New Roman"/>
                <w:sz w:val="20"/>
                <w:iCs/>
                <w:color w:val="0000FF" w:themeColor="hyperlink"/>
                <w:u w:val="single"/>
              </w:rPr>
              <w:t>V-132</w:t>
            </w:r>
          </w:fldSimple>
          <w:r>
            <w:rPr>
              <w:rFonts w:ascii="Times New Roman" w:eastAsia="MS Mincho" w:hAnsi="Times New Roman"/>
              <w:sz w:val="20"/>
              <w:iCs/>
            </w:rPr>
            <w:t>,
2025-02-19,
paskelbta TAR 2025-02-19, i. k. 2025-02556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e7dbe74f27011ef8bf78f8ccc0e0474">
            <w:r w:rsidRPr="00532B9F">
              <w:rPr>
                <w:rFonts w:ascii="Times New Roman" w:eastAsia="MS Mincho" w:hAnsi="Times New Roman"/>
                <w:sz w:val="20"/>
                <w:iCs/>
                <w:color w:val="0000FF" w:themeColor="hyperlink"/>
                <w:u w:val="single"/>
              </w:rPr>
              <w:t>V-142</w:t>
            </w:r>
          </w:fldSimple>
          <w:r>
            <w:rPr>
              <w:rFonts w:ascii="Times New Roman" w:eastAsia="MS Mincho" w:hAnsi="Times New Roman"/>
              <w:sz w:val="20"/>
              <w:iCs/>
            </w:rPr>
            <w:t>,
2025-02-24,
paskelbta TAR 2025-02-24, i. k. 2025-02872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6b534f37511ef8bf78f8ccc0e0474">
            <w:r w:rsidRPr="00532B9F">
              <w:rPr>
                <w:rFonts w:ascii="Times New Roman" w:eastAsia="MS Mincho" w:hAnsi="Times New Roman"/>
                <w:sz w:val="20"/>
                <w:iCs/>
                <w:color w:val="0000FF" w:themeColor="hyperlink"/>
                <w:u w:val="single"/>
              </w:rPr>
              <w:t>V-151</w:t>
            </w:r>
          </w:fldSimple>
          <w:r>
            <w:rPr>
              <w:rFonts w:ascii="Times New Roman" w:eastAsia="MS Mincho" w:hAnsi="Times New Roman"/>
              <w:sz w:val="20"/>
              <w:iCs/>
            </w:rPr>
            <w:t>,
2025-02-25,
paskelbta TAR 2025-02-25, i. k. 2025-03068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1d7416f41d11efa87aadb1fba2acc3">
            <w:r w:rsidRPr="00532B9F">
              <w:rPr>
                <w:rFonts w:ascii="Times New Roman" w:eastAsia="MS Mincho" w:hAnsi="Times New Roman"/>
                <w:sz w:val="20"/>
                <w:iCs/>
                <w:color w:val="0000FF" w:themeColor="hyperlink"/>
                <w:u w:val="single"/>
              </w:rPr>
              <w:t>V-149</w:t>
            </w:r>
          </w:fldSimple>
          <w:r>
            <w:rPr>
              <w:rFonts w:ascii="Times New Roman" w:eastAsia="MS Mincho" w:hAnsi="Times New Roman"/>
              <w:sz w:val="20"/>
              <w:iCs/>
            </w:rPr>
            <w:t>,
2025-02-25,
paskelbta TAR 2025-02-26, i. k. 2025-03157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83424264f11f08fdabd4950271e2c">
            <w:r w:rsidRPr="00532B9F">
              <w:rPr>
                <w:rFonts w:ascii="Times New Roman" w:eastAsia="MS Mincho" w:hAnsi="Times New Roman"/>
                <w:sz w:val="20"/>
                <w:iCs/>
                <w:color w:val="0000FF" w:themeColor="hyperlink"/>
                <w:u w:val="single"/>
              </w:rPr>
              <w:t>V-410</w:t>
            </w:r>
          </w:fldSimple>
          <w:r>
            <w:rPr>
              <w:rFonts w:ascii="Times New Roman" w:eastAsia="MS Mincho" w:hAnsi="Times New Roman"/>
              <w:sz w:val="20"/>
              <w:iCs/>
            </w:rPr>
            <w:t>,
2025-04-30,
paskelbta TAR 2025-05-02, i. k. 2025-07891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0410c02ef111f08fdabd4950271e2c">
            <w:r w:rsidRPr="00532B9F">
              <w:rPr>
                <w:rFonts w:ascii="Times New Roman" w:eastAsia="MS Mincho" w:hAnsi="Times New Roman"/>
                <w:sz w:val="20"/>
                <w:iCs/>
                <w:color w:val="0000FF" w:themeColor="hyperlink"/>
                <w:u w:val="single"/>
              </w:rPr>
              <w:t>V-447</w:t>
            </w:r>
          </w:fldSimple>
          <w:r>
            <w:rPr>
              <w:rFonts w:ascii="Times New Roman" w:eastAsia="MS Mincho" w:hAnsi="Times New Roman"/>
              <w:sz w:val="20"/>
              <w:iCs/>
            </w:rPr>
            <w:t>,
2025-05-09,
paskelbta TAR 2025-05-12, i. k. 2025-08387                </w:t>
          </w:r>
        </w:p>
        <w:p>
          <w:pPr>
            <w:jc w:val="both"/>
            <w:rPr>
              <w:rFonts w:ascii="Times New Roman" w:hAnsi="Times New Roman"/>
            </w:rPr>
          </w:pPr>
          <w:r>
            <w:rPr>
              <w:rFonts w:ascii="Times New Roman" w:hAnsi="Times New Roman"/>
              <w:sz w:val="20"/>
            </w:rPr>
            <w:t>Dėl Lietuvos Respublikos svVikatos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3554035fc11f08fdabd4950271e2c">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2025-05-21,
paskelbta TAR 2025-05-21, i. k. 2025-08952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b4da1b0415c11f0b070ee7f1ceefc75">
            <w:r w:rsidRPr="00532B9F">
              <w:rPr>
                <w:rFonts w:ascii="Times New Roman" w:eastAsia="MS Mincho" w:hAnsi="Times New Roman"/>
                <w:sz w:val="20"/>
                <w:iCs/>
                <w:color w:val="0000FF" w:themeColor="hyperlink"/>
                <w:u w:val="single"/>
              </w:rPr>
              <w:t>V-517</w:t>
            </w:r>
          </w:fldSimple>
          <w:r>
            <w:rPr>
              <w:rFonts w:ascii="Times New Roman" w:eastAsia="MS Mincho" w:hAnsi="Times New Roman"/>
              <w:sz w:val="20"/>
              <w:iCs/>
            </w:rPr>
            <w:t>,
2025-06-04,
paskelbta TAR 2025-06-04, i. k. 2025-10188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c6c07446ce11f0b070ee7f1ceefc75">
            <w:r w:rsidRPr="00532B9F">
              <w:rPr>
                <w:rFonts w:ascii="Times New Roman" w:eastAsia="MS Mincho" w:hAnsi="Times New Roman"/>
                <w:sz w:val="20"/>
                <w:iCs/>
                <w:color w:val="0000FF" w:themeColor="hyperlink"/>
                <w:u w:val="single"/>
              </w:rPr>
              <w:t>V-527</w:t>
            </w:r>
          </w:fldSimple>
          <w:r>
            <w:rPr>
              <w:rFonts w:ascii="Times New Roman" w:eastAsia="MS Mincho" w:hAnsi="Times New Roman"/>
              <w:sz w:val="20"/>
              <w:iCs/>
            </w:rPr>
            <w:t>,
2025-06-11,
paskelbta TAR 2025-06-11, i. k. 2025-10626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d2f2646e311f0b070ee7f1ceefc7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2025-06-11,
paskelbta TAR 2025-06-11, i. k. 2025-10635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f504276557811f0b070ee7f1ceefc75">
            <w:r w:rsidRPr="00532B9F">
              <w:rPr>
                <w:rFonts w:ascii="Times New Roman" w:eastAsia="MS Mincho" w:hAnsi="Times New Roman"/>
                <w:sz w:val="20"/>
                <w:iCs/>
                <w:color w:val="0000FF" w:themeColor="hyperlink"/>
                <w:u w:val="single"/>
              </w:rPr>
              <w:t>V-605</w:t>
            </w:r>
          </w:fldSimple>
          <w:r>
            <w:rPr>
              <w:rFonts w:ascii="Times New Roman" w:eastAsia="MS Mincho" w:hAnsi="Times New Roman"/>
              <w:sz w:val="20"/>
              <w:iCs/>
            </w:rPr>
            <w:t>,
2025-06-30,
paskelbta TAR 2025-06-30, i. k. 2025-11856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4cacb4559a11f0b070ee7f1ceefc75">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2025-06-30,
paskelbta TAR 2025-06-30, i. k. 2025-11899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446a45c7c11f0a3d380837a821750">
            <w:r w:rsidRPr="00532B9F">
              <w:rPr>
                <w:rFonts w:ascii="Times New Roman" w:eastAsia="MS Mincho" w:hAnsi="Times New Roman"/>
                <w:sz w:val="20"/>
                <w:iCs/>
                <w:color w:val="0000FF" w:themeColor="hyperlink"/>
                <w:u w:val="single"/>
              </w:rPr>
              <w:t>V-623</w:t>
            </w:r>
          </w:fldSimple>
          <w:r>
            <w:rPr>
              <w:rFonts w:ascii="Times New Roman" w:eastAsia="MS Mincho" w:hAnsi="Times New Roman"/>
              <w:sz w:val="20"/>
              <w:iCs/>
            </w:rPr>
            <w:t>,
2025-07-09,
paskelbta TAR 2025-07-09, i. k. 2025-12503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af1dc265c7c11f0a3d380837a821750">
            <w:r w:rsidRPr="00532B9F">
              <w:rPr>
                <w:rFonts w:ascii="Times New Roman" w:eastAsia="MS Mincho" w:hAnsi="Times New Roman"/>
                <w:sz w:val="20"/>
                <w:iCs/>
                <w:color w:val="0000FF" w:themeColor="hyperlink"/>
                <w:u w:val="single"/>
              </w:rPr>
              <w:t>V-629</w:t>
            </w:r>
          </w:fldSimple>
          <w:r>
            <w:rPr>
              <w:rFonts w:ascii="Times New Roman" w:eastAsia="MS Mincho" w:hAnsi="Times New Roman"/>
              <w:sz w:val="20"/>
              <w:iCs/>
            </w:rPr>
            <w:t>,
2025-07-09,
paskelbta TAR 2025-07-09, i. k. 2025-12505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54b481663b11f0a8bbd1e98310677d">
            <w:r w:rsidRPr="00532B9F">
              <w:rPr>
                <w:rFonts w:ascii="Times New Roman" w:eastAsia="MS Mincho" w:hAnsi="Times New Roman"/>
                <w:sz w:val="20"/>
                <w:iCs/>
                <w:color w:val="0000FF" w:themeColor="hyperlink"/>
                <w:u w:val="single"/>
              </w:rPr>
              <w:t>V-681</w:t>
            </w:r>
          </w:fldSimple>
          <w:r>
            <w:rPr>
              <w:rFonts w:ascii="Times New Roman" w:eastAsia="MS Mincho" w:hAnsi="Times New Roman"/>
              <w:sz w:val="20"/>
              <w:iCs/>
            </w:rPr>
            <w:t>,
2025-07-21,
paskelbta TAR 2025-07-21, i. k. 2025-13101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5e8c24663c11f0a8bbd1e98310677d">
            <w:r w:rsidRPr="00532B9F">
              <w:rPr>
                <w:rFonts w:ascii="Times New Roman" w:eastAsia="MS Mincho" w:hAnsi="Times New Roman"/>
                <w:sz w:val="20"/>
                <w:iCs/>
                <w:color w:val="0000FF" w:themeColor="hyperlink"/>
                <w:u w:val="single"/>
              </w:rPr>
              <w:t>V-683</w:t>
            </w:r>
          </w:fldSimple>
          <w:r>
            <w:rPr>
              <w:rFonts w:ascii="Times New Roman" w:eastAsia="MS Mincho" w:hAnsi="Times New Roman"/>
              <w:sz w:val="20"/>
              <w:iCs/>
            </w:rPr>
            <w:t>,
2025-07-21,
paskelbta TAR 2025-07-21, i. k. 2025-13104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02cfa0a01011f0a34db2fbd35a03b2">
            <w:r w:rsidRPr="00532B9F">
              <w:rPr>
                <w:rFonts w:ascii="Times New Roman" w:eastAsia="MS Mincho" w:hAnsi="Times New Roman"/>
                <w:sz w:val="20"/>
                <w:iCs/>
                <w:color w:val="0000FF" w:themeColor="hyperlink"/>
                <w:u w:val="single"/>
              </w:rPr>
              <w:t>V-871</w:t>
            </w:r>
          </w:fldSimple>
          <w:r>
            <w:rPr>
              <w:rFonts w:ascii="Times New Roman" w:eastAsia="MS Mincho" w:hAnsi="Times New Roman"/>
              <w:sz w:val="20"/>
              <w:iCs/>
            </w:rPr>
            <w:t>,
2025-10-03,
paskelbta TAR 2025-10-03, i. k. 2025-16749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59cee0a98311f0a34db2fbd35a03b2">
            <w:r w:rsidRPr="00532B9F">
              <w:rPr>
                <w:rFonts w:ascii="Times New Roman" w:eastAsia="MS Mincho" w:hAnsi="Times New Roman"/>
                <w:sz w:val="20"/>
                <w:iCs/>
                <w:color w:val="0000FF" w:themeColor="hyperlink"/>
                <w:u w:val="single"/>
              </w:rPr>
              <w:t>V-904</w:t>
            </w:r>
          </w:fldSimple>
          <w:r>
            <w:rPr>
              <w:rFonts w:ascii="Times New Roman" w:eastAsia="MS Mincho" w:hAnsi="Times New Roman"/>
              <w:sz w:val="20"/>
              <w:iCs/>
            </w:rPr>
            <w:t>,
2025-10-15,
paskelbta TAR 2025-10-15, i. k. 2025-17160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4a840c50711f0bf10920ce8b0026c">
            <w:r w:rsidRPr="00532B9F">
              <w:rPr>
                <w:rFonts w:ascii="Times New Roman" w:eastAsia="MS Mincho" w:hAnsi="Times New Roman"/>
                <w:sz w:val="20"/>
                <w:iCs/>
                <w:color w:val="0000FF" w:themeColor="hyperlink"/>
                <w:u w:val="single"/>
              </w:rPr>
              <w:t>V-1030</w:t>
            </w:r>
          </w:fldSimple>
          <w:r>
            <w:rPr>
              <w:rFonts w:ascii="Times New Roman" w:eastAsia="MS Mincho" w:hAnsi="Times New Roman"/>
              <w:sz w:val="20"/>
              <w:iCs/>
            </w:rPr>
            <w:t>,
2025-11-19,
paskelbta TAR 2025-11-19, i. k. 2025-19267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0e9484ecc011f09cfce49e7aeb76fe">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2026-01-08,
paskelbta TAR 2026-01-08, i. k. 2026-00269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c1f9e1f29011f09cfce49e7aeb76fe">
            <w:r w:rsidRPr="00532B9F">
              <w:rPr>
                <w:rFonts w:ascii="Times New Roman" w:eastAsia="MS Mincho" w:hAnsi="Times New Roman"/>
                <w:sz w:val="20"/>
                <w:iCs/>
                <w:color w:val="0000FF" w:themeColor="hyperlink"/>
                <w:u w:val="single"/>
              </w:rPr>
              <w:t>V-37</w:t>
            </w:r>
          </w:fldSimple>
          <w:r>
            <w:rPr>
              <w:rFonts w:ascii="Times New Roman" w:eastAsia="MS Mincho" w:hAnsi="Times New Roman"/>
              <w:sz w:val="20"/>
              <w:iCs/>
            </w:rPr>
            <w:t>,
2026-01-16,
paskelbta TAR 2026-01-16, i. k. 2026-00540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cb9676fc1411f09a18eb2f15b49eee">
            <w:r w:rsidRPr="00532B9F">
              <w:rPr>
                <w:rFonts w:ascii="Times New Roman" w:eastAsia="MS Mincho" w:hAnsi="Times New Roman"/>
                <w:sz w:val="20"/>
                <w:iCs/>
                <w:color w:val="0000FF" w:themeColor="hyperlink"/>
                <w:u w:val="single"/>
              </w:rPr>
              <w:t>V-68</w:t>
            </w:r>
          </w:fldSimple>
          <w:r>
            <w:rPr>
              <w:rFonts w:ascii="Times New Roman" w:eastAsia="MS Mincho" w:hAnsi="Times New Roman"/>
              <w:sz w:val="20"/>
              <w:iCs/>
            </w:rPr>
            <w:t>,
2026-01-28,
paskelbta TAR 2026-01-28, i. k. 2026-01141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fe5c86013111f1b96ed27de6271e6a">
            <w:r w:rsidRPr="00532B9F">
              <w:rPr>
                <w:rFonts w:ascii="Times New Roman" w:eastAsia="MS Mincho" w:hAnsi="Times New Roman"/>
                <w:sz w:val="20"/>
                <w:iCs/>
                <w:color w:val="0000FF" w:themeColor="hyperlink"/>
                <w:u w:val="single"/>
              </w:rPr>
              <w:t>V-80</w:t>
            </w:r>
          </w:fldSimple>
          <w:r>
            <w:rPr>
              <w:rFonts w:ascii="Times New Roman" w:eastAsia="MS Mincho" w:hAnsi="Times New Roman"/>
              <w:sz w:val="20"/>
              <w:iCs/>
            </w:rPr>
            <w:t>,
2026-02-03,
paskelbta TAR 2026-02-03, i. k. 2026-01663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aeb191066911f1b465ab875bcad79f">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2026-02-10,
paskelbta TAR 2026-02-10, i. k. 2026-02057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7a8074066911f1b465ab875bcad79f">
            <w:r w:rsidRPr="00532B9F">
              <w:rPr>
                <w:rFonts w:ascii="Times New Roman" w:eastAsia="MS Mincho" w:hAnsi="Times New Roman"/>
                <w:sz w:val="20"/>
                <w:iCs/>
                <w:color w:val="0000FF" w:themeColor="hyperlink"/>
                <w:u w:val="single"/>
              </w:rPr>
              <w:t>V-115</w:t>
            </w:r>
          </w:fldSimple>
          <w:r>
            <w:rPr>
              <w:rFonts w:ascii="Times New Roman" w:eastAsia="MS Mincho" w:hAnsi="Times New Roman"/>
              <w:sz w:val="20"/>
              <w:iCs/>
            </w:rPr>
            <w:t>,
2026-02-10,
paskelbta TAR 2026-02-10, i. k. 2026-02056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fd475118c611f1a552c76556910e9c">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2026-03-05,
paskelbta TAR 2026-03-05, i. k. 2026-03631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ef9ae418c711f1a552c76556910e9c">
            <w:r w:rsidRPr="00532B9F">
              <w:rPr>
                <w:rFonts w:ascii="Times New Roman" w:eastAsia="MS Mincho" w:hAnsi="Times New Roman"/>
                <w:sz w:val="20"/>
                <w:iCs/>
                <w:color w:val="0000FF" w:themeColor="hyperlink"/>
                <w:u w:val="single"/>
              </w:rPr>
              <w:t>V-208</w:t>
            </w:r>
          </w:fldSimple>
          <w:r>
            <w:rPr>
              <w:rFonts w:ascii="Times New Roman" w:eastAsia="MS Mincho" w:hAnsi="Times New Roman"/>
              <w:sz w:val="20"/>
              <w:iCs/>
            </w:rPr>
            <w:t>,
2026-03-05,
paskelbta TAR 2026-03-05, i. k. 2026-03635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1bf1d4211411f1a552c76556910e9c">
            <w:r w:rsidRPr="00532B9F">
              <w:rPr>
                <w:rFonts w:ascii="Times New Roman" w:eastAsia="MS Mincho" w:hAnsi="Times New Roman"/>
                <w:sz w:val="20"/>
                <w:iCs/>
                <w:color w:val="0000FF" w:themeColor="hyperlink"/>
                <w:u w:val="single"/>
              </w:rPr>
              <w:t>V-232</w:t>
            </w:r>
          </w:fldSimple>
          <w:r>
            <w:rPr>
              <w:rFonts w:ascii="Times New Roman" w:eastAsia="MS Mincho" w:hAnsi="Times New Roman"/>
              <w:sz w:val="20"/>
              <w:iCs/>
            </w:rPr>
            <w:t>,
2026-03-16,
paskelbta TAR 2026-03-16, i. k. 2026-04073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225131242a11f1a552c76556910e9c">
            <w:r w:rsidRPr="00532B9F">
              <w:rPr>
                <w:rFonts w:ascii="Times New Roman" w:eastAsia="MS Mincho" w:hAnsi="Times New Roman"/>
                <w:sz w:val="20"/>
                <w:iCs/>
                <w:color w:val="0000FF" w:themeColor="hyperlink"/>
                <w:u w:val="single"/>
              </w:rPr>
              <w:t>V-246</w:t>
            </w:r>
          </w:fldSimple>
          <w:r>
            <w:rPr>
              <w:rFonts w:ascii="Times New Roman" w:eastAsia="MS Mincho" w:hAnsi="Times New Roman"/>
              <w:sz w:val="20"/>
              <w:iCs/>
            </w:rPr>
            <w:t>,
2026-03-20,
paskelbta TAR 2026-03-20, i. k. 2026-04384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55e056421f11f180c9c618618421ed">
            <w:r w:rsidRPr="00532B9F">
              <w:rPr>
                <w:rFonts w:ascii="Times New Roman" w:eastAsia="MS Mincho" w:hAnsi="Times New Roman"/>
                <w:sz w:val="20"/>
                <w:iCs/>
                <w:color w:val="0000FF" w:themeColor="hyperlink"/>
                <w:u w:val="single"/>
              </w:rPr>
              <w:t>V-430</w:t>
            </w:r>
          </w:fldSimple>
          <w:r>
            <w:rPr>
              <w:rFonts w:ascii="Times New Roman" w:eastAsia="MS Mincho" w:hAnsi="Times New Roman"/>
              <w:sz w:val="20"/>
              <w:iCs/>
            </w:rPr>
            <w:t>,
2026-04-27,
paskelbta TAR 2026-04-27, i. k. 2026-06854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ca296643fc11f180c9c618618421ed">
            <w:r w:rsidRPr="00532B9F">
              <w:rPr>
                <w:rFonts w:ascii="Times New Roman" w:eastAsia="MS Mincho" w:hAnsi="Times New Roman"/>
                <w:sz w:val="20"/>
                <w:iCs/>
                <w:color w:val="0000FF" w:themeColor="hyperlink"/>
                <w:u w:val="single"/>
              </w:rPr>
              <w:t>V-442</w:t>
            </w:r>
          </w:fldSimple>
          <w:r>
            <w:rPr>
              <w:rFonts w:ascii="Times New Roman" w:eastAsia="MS Mincho" w:hAnsi="Times New Roman"/>
              <w:sz w:val="20"/>
              <w:iCs/>
            </w:rPr>
            <w:t>,
2026-04-29,
paskelbta TAR 2026-04-30, i. k. 2026-07116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701316453d11f180c9c618618421ed">
            <w:r w:rsidRPr="00532B9F">
              <w:rPr>
                <w:rFonts w:ascii="Times New Roman" w:eastAsia="MS Mincho" w:hAnsi="Times New Roman"/>
                <w:sz w:val="20"/>
                <w:iCs/>
                <w:color w:val="0000FF" w:themeColor="hyperlink"/>
                <w:u w:val="single"/>
              </w:rPr>
              <w:t>V-452</w:t>
            </w:r>
          </w:fldSimple>
          <w:r>
            <w:rPr>
              <w:rFonts w:ascii="Times New Roman" w:eastAsia="MS Mincho" w:hAnsi="Times New Roman"/>
              <w:sz w:val="20"/>
              <w:iCs/>
            </w:rPr>
            <w:t>,
2026-04-30,
paskelbta TAR 2026-05-03, i. k. 2026-07248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7fb514d6a11f180c9c618618421ed">
            <w:r w:rsidRPr="00532B9F">
              <w:rPr>
                <w:rFonts w:ascii="Times New Roman" w:eastAsia="MS Mincho" w:hAnsi="Times New Roman"/>
                <w:sz w:val="20"/>
                <w:iCs/>
                <w:color w:val="0000FF" w:themeColor="hyperlink"/>
                <w:u w:val="single"/>
              </w:rPr>
              <w:t>V-469</w:t>
            </w:r>
          </w:fldSimple>
          <w:r>
            <w:rPr>
              <w:rFonts w:ascii="Times New Roman" w:eastAsia="MS Mincho" w:hAnsi="Times New Roman"/>
              <w:sz w:val="20"/>
              <w:iCs/>
            </w:rPr>
            <w:t>,
2026-05-11,
paskelbta TAR 2026-05-12, i. k. 2026-07927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70770550d11f180c9c618618421ed">
            <w:r w:rsidRPr="00532B9F">
              <w:rPr>
                <w:rFonts w:ascii="Times New Roman" w:eastAsia="MS Mincho" w:hAnsi="Times New Roman"/>
                <w:sz w:val="20"/>
                <w:iCs/>
                <w:color w:val="0000FF" w:themeColor="hyperlink"/>
                <w:u w:val="single"/>
              </w:rPr>
              <w:t>V-513</w:t>
            </w:r>
          </w:fldSimple>
          <w:r>
            <w:rPr>
              <w:rFonts w:ascii="Times New Roman" w:eastAsia="MS Mincho" w:hAnsi="Times New Roman"/>
              <w:sz w:val="20"/>
              <w:iCs/>
            </w:rPr>
            <w:t>,
2026-05-21,
paskelbta TAR 2026-05-21, i. k. 2026-08567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e432d160f311f1b53dfa020e517810">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2026-06-05,
paskelbta TAR 2026-06-08, i. k. 2026-10076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 w:val="22"/>
        <w:szCs w:val="22"/>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35</w:t>
    </w:r>
    <w:r>
      <w:rPr>
        <w:szCs w:val="24"/>
      </w:rP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 w:val="22"/>
        <w:szCs w:val="22"/>
      </w:rPr>
    </w:pPr>
    <w:r>
      <w:rPr>
        <w:sz w:val="22"/>
        <w:szCs w:val="22"/>
      </w:rPr>
      <w:t>5</w:t>
    </w: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16</w:t>
    </w:r>
    <w:r>
      <w:rPr>
        <w:sz w:val="22"/>
        <w:szCs w:val="22"/>
        <w:lang w:eastAsia="lt-LT"/>
      </w:rPr>
      <w:fldChar w:fldCharType="end"/>
    </w:r>
  </w:p>
  <w:p>
    <w:pPr>
      <w:tabs>
        <w:tab w:val="center" w:pos="4680"/>
        <w:tab w:val="right" w:pos="9360"/>
      </w:tabs>
      <w:rPr>
        <w:sz w:val="22"/>
        <w:szCs w:val="22"/>
        <w:lang w:eastAsia="lt-LT"/>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27</w:t>
    </w:r>
    <w:r>
      <w:rPr>
        <w:szCs w:val="24"/>
      </w:rPr>
      <w:fldChar w:fldCharType="end"/>
    </w:r>
  </w:p>
  <w:p>
    <w:pPr>
      <w:tabs>
        <w:tab w:val="center" w:pos="4153"/>
        <w:tab w:val="right" w:pos="8306"/>
      </w:tabs>
      <w:rPr>
        <w:szCs w:val="24"/>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37</w:t>
    </w:r>
    <w:r>
      <w:rPr>
        <w:szCs w:val="24"/>
      </w:rPr>
      <w:fldChar w:fldCharType="end"/>
    </w:r>
  </w:p>
  <w:p>
    <w:pPr>
      <w:tabs>
        <w:tab w:val="center" w:pos="4153"/>
        <w:tab w:val="right" w:pos="8306"/>
      </w:tabs>
      <w:rPr>
        <w:szCs w:val="24"/>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38</w:t>
    </w:r>
    <w:r>
      <w:rPr>
        <w:szCs w:val="24"/>
      </w:rPr>
      <w:fldChar w:fldCharType="end"/>
    </w:r>
  </w:p>
  <w:p>
    <w:pPr>
      <w:tabs>
        <w:tab w:val="center" w:pos="4153"/>
        <w:tab w:val="right" w:pos="8306"/>
      </w:tabs>
      <w:rPr>
        <w:szCs w:val="24"/>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42</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44</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40</w:t>
    </w:r>
    <w:r>
      <w:rPr>
        <w:szCs w:val="24"/>
      </w:rPr>
      <w:fldChar w:fldCharType="end"/>
    </w:r>
  </w:p>
  <w:p>
    <w:pPr>
      <w:tabs>
        <w:tab w:val="center" w:pos="4153"/>
        <w:tab w:val="right" w:pos="8306"/>
      </w:tabs>
      <w:rPr>
        <w:szCs w:val="24"/>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29</w:t>
    </w:r>
    <w:r>
      <w:rPr>
        <w:szCs w:val="24"/>
      </w:rPr>
      <w:fldChar w:fldCharType="end"/>
    </w:r>
  </w:p>
  <w:p>
    <w:pPr>
      <w:tabs>
        <w:tab w:val="center" w:pos="4153"/>
        <w:tab w:val="right" w:pos="8306"/>
      </w:tabs>
      <w:rPr>
        <w:szCs w:val="24"/>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11</w:t>
    </w:r>
    <w:r>
      <w:rPr>
        <w:szCs w:val="24"/>
      </w:rPr>
      <w:fldChar w:fldCharType="end"/>
    </w:r>
  </w:p>
  <w:p>
    <w:pPr>
      <w:tabs>
        <w:tab w:val="center" w:pos="4153"/>
        <w:tab w:val="right" w:pos="8306"/>
      </w:tabs>
      <w:rPr>
        <w:szCs w:val="24"/>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szCs w:val="24"/>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66</w:t>
    </w:r>
    <w:r>
      <w:rPr>
        <w:szCs w:val="24"/>
      </w:rPr>
      <w:fldChar w:fldCharType="end"/>
    </w:r>
  </w:p>
  <w:p>
    <w:pPr>
      <w:tabs>
        <w:tab w:val="center" w:pos="4153"/>
        <w:tab w:val="right" w:pos="8306"/>
      </w:tabs>
      <w:rPr>
        <w:szCs w:val="24"/>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52</w:t>
    </w:r>
    <w:r>
      <w:rPr>
        <w:szCs w:val="24"/>
      </w:rPr>
      <w:fldChar w:fldCharType="end"/>
    </w:r>
  </w:p>
  <w:p>
    <w:pPr>
      <w:tabs>
        <w:tab w:val="center" w:pos="4153"/>
        <w:tab w:val="right" w:pos="8306"/>
      </w:tabs>
      <w:rPr>
        <w:szCs w:val="24"/>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43</w:t>
    </w:r>
    <w:r>
      <w:rPr>
        <w:szCs w:val="24"/>
      </w:rPr>
      <w:fldChar w:fldCharType="end"/>
    </w:r>
  </w:p>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63</w:t>
    </w:r>
    <w:r>
      <w:rPr>
        <w:szCs w:val="24"/>
      </w:rPr>
      <w:fldChar w:fldCharType="end"/>
    </w:r>
  </w:p>
  <w:p>
    <w:pPr>
      <w:tabs>
        <w:tab w:val="center" w:pos="4153"/>
        <w:tab w:val="right" w:pos="8306"/>
      </w:tabs>
      <w:rPr>
        <w:szCs w:val="24"/>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41</w:t>
    </w:r>
    <w:r>
      <w:rPr>
        <w:szCs w:val="24"/>
      </w:rPr>
      <w:fldChar w:fldCharType="end"/>
    </w:r>
  </w:p>
  <w:p>
    <w:pPr>
      <w:tabs>
        <w:tab w:val="center" w:pos="4153"/>
        <w:tab w:val="right" w:pos="8306"/>
      </w:tabs>
      <w:rPr>
        <w:szCs w:val="24"/>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4541C67"/>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8093114">
      <w:bodyDiv w:val="1"/>
      <w:marLeft w:val="0"/>
      <w:marRight w:val="0"/>
      <w:marTop w:val="0"/>
      <w:marBottom w:val="0"/>
      <w:divBdr>
        <w:top w:val="none" w:sz="0" w:space="0" w:color="auto"/>
        <w:left w:val="none" w:sz="0" w:space="0" w:color="auto"/>
        <w:bottom w:val="none" w:sz="0" w:space="0" w:color="auto"/>
        <w:right w:val="none" w:sz="0" w:space="0" w:color="auto"/>
      </w:divBdr>
    </w:div>
    <w:div w:id="420491753">
      <w:bodyDiv w:val="1"/>
      <w:marLeft w:val="0"/>
      <w:marRight w:val="0"/>
      <w:marTop w:val="0"/>
      <w:marBottom w:val="0"/>
      <w:divBdr>
        <w:top w:val="none" w:sz="0" w:space="0" w:color="auto"/>
        <w:left w:val="none" w:sz="0" w:space="0" w:color="auto"/>
        <w:bottom w:val="none" w:sz="0" w:space="0" w:color="auto"/>
        <w:right w:val="none" w:sz="0" w:space="0" w:color="auto"/>
      </w:divBdr>
    </w:div>
    <w:div w:id="677585866">
      <w:bodyDiv w:val="1"/>
      <w:marLeft w:val="0"/>
      <w:marRight w:val="0"/>
      <w:marTop w:val="0"/>
      <w:marBottom w:val="0"/>
      <w:divBdr>
        <w:top w:val="none" w:sz="0" w:space="0" w:color="auto"/>
        <w:left w:val="none" w:sz="0" w:space="0" w:color="auto"/>
        <w:bottom w:val="none" w:sz="0" w:space="0" w:color="auto"/>
        <w:right w:val="none" w:sz="0" w:space="0" w:color="auto"/>
      </w:divBdr>
    </w:div>
    <w:div w:id="782386875">
      <w:bodyDiv w:val="1"/>
      <w:marLeft w:val="0"/>
      <w:marRight w:val="0"/>
      <w:marTop w:val="0"/>
      <w:marBottom w:val="0"/>
      <w:divBdr>
        <w:top w:val="none" w:sz="0" w:space="0" w:color="auto"/>
        <w:left w:val="none" w:sz="0" w:space="0" w:color="auto"/>
        <w:bottom w:val="none" w:sz="0" w:space="0" w:color="auto"/>
        <w:right w:val="none" w:sz="0" w:space="0" w:color="auto"/>
      </w:divBdr>
    </w:div>
    <w:div w:id="1105885491">
      <w:bodyDiv w:val="1"/>
      <w:marLeft w:val="0"/>
      <w:marRight w:val="0"/>
      <w:marTop w:val="0"/>
      <w:marBottom w:val="0"/>
      <w:divBdr>
        <w:top w:val="none" w:sz="0" w:space="0" w:color="auto"/>
        <w:left w:val="none" w:sz="0" w:space="0" w:color="auto"/>
        <w:bottom w:val="none" w:sz="0" w:space="0" w:color="auto"/>
        <w:right w:val="none" w:sz="0" w:space="0" w:color="auto"/>
      </w:divBdr>
    </w:div>
    <w:div w:id="1208106963">
      <w:bodyDiv w:val="1"/>
      <w:marLeft w:val="0"/>
      <w:marRight w:val="0"/>
      <w:marTop w:val="0"/>
      <w:marBottom w:val="0"/>
      <w:divBdr>
        <w:top w:val="none" w:sz="0" w:space="0" w:color="auto"/>
        <w:left w:val="none" w:sz="0" w:space="0" w:color="auto"/>
        <w:bottom w:val="none" w:sz="0" w:space="0" w:color="auto"/>
        <w:right w:val="none" w:sz="0" w:space="0" w:color="auto"/>
      </w:divBdr>
    </w:div>
    <w:div w:id="1245719927">
      <w:bodyDiv w:val="1"/>
      <w:marLeft w:val="0"/>
      <w:marRight w:val="0"/>
      <w:marTop w:val="0"/>
      <w:marBottom w:val="0"/>
      <w:divBdr>
        <w:top w:val="none" w:sz="0" w:space="0" w:color="auto"/>
        <w:left w:val="none" w:sz="0" w:space="0" w:color="auto"/>
        <w:bottom w:val="none" w:sz="0" w:space="0" w:color="auto"/>
        <w:right w:val="none" w:sz="0" w:space="0" w:color="auto"/>
      </w:divBdr>
    </w:div>
    <w:div w:id="1260485836">
      <w:bodyDiv w:val="1"/>
      <w:marLeft w:val="0"/>
      <w:marRight w:val="0"/>
      <w:marTop w:val="0"/>
      <w:marBottom w:val="0"/>
      <w:divBdr>
        <w:top w:val="none" w:sz="0" w:space="0" w:color="auto"/>
        <w:left w:val="none" w:sz="0" w:space="0" w:color="auto"/>
        <w:bottom w:val="none" w:sz="0" w:space="0" w:color="auto"/>
        <w:right w:val="none" w:sz="0" w:space="0" w:color="auto"/>
      </w:divBdr>
    </w:div>
    <w:div w:id="1731422743">
      <w:bodyDiv w:val="1"/>
      <w:marLeft w:val="0"/>
      <w:marRight w:val="0"/>
      <w:marTop w:val="0"/>
      <w:marBottom w:val="0"/>
      <w:divBdr>
        <w:top w:val="none" w:sz="0" w:space="0" w:color="auto"/>
        <w:left w:val="none" w:sz="0" w:space="0" w:color="auto"/>
        <w:bottom w:val="none" w:sz="0" w:space="0" w:color="auto"/>
        <w:right w:val="none" w:sz="0" w:space="0" w:color="auto"/>
      </w:divBdr>
    </w:div>
    <w:div w:id="1786538804">
      <w:bodyDiv w:val="1"/>
      <w:marLeft w:val="0"/>
      <w:marRight w:val="0"/>
      <w:marTop w:val="0"/>
      <w:marBottom w:val="0"/>
      <w:divBdr>
        <w:top w:val="none" w:sz="0" w:space="0" w:color="auto"/>
        <w:left w:val="none" w:sz="0" w:space="0" w:color="auto"/>
        <w:bottom w:val="none" w:sz="0" w:space="0" w:color="auto"/>
        <w:right w:val="none" w:sz="0" w:space="0" w:color="auto"/>
      </w:divBdr>
    </w:div>
    <w:div w:id="1923178316">
      <w:bodyDiv w:val="1"/>
      <w:marLeft w:val="0"/>
      <w:marRight w:val="0"/>
      <w:marTop w:val="0"/>
      <w:marBottom w:val="0"/>
      <w:divBdr>
        <w:top w:val="none" w:sz="0" w:space="0" w:color="auto"/>
        <w:left w:val="none" w:sz="0" w:space="0" w:color="auto"/>
        <w:bottom w:val="none" w:sz="0" w:space="0" w:color="auto"/>
        <w:right w:val="none" w:sz="0" w:space="0" w:color="auto"/>
      </w:divBdr>
    </w:div>
    <w:div w:id="1944024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9.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75.png"/>
  <Relationship Id="rId19" Type="http://schemas.openxmlformats.org/officeDocument/2006/relationships/oleObject" Target="embeddings/oleObject175.bin"/>
  <Relationship Id="rId2" Type="http://schemas.openxmlformats.org/officeDocument/2006/relationships/header" Target="header110.xml"/>
  <Relationship Id="rId20" Type="http://schemas.openxmlformats.org/officeDocument/2006/relationships/header" Target="header136.xml"/>
  <Relationship Id="rId21" Type="http://schemas.openxmlformats.org/officeDocument/2006/relationships/header" Target="header137.xml"/>
  <Relationship Id="rId22" Type="http://schemas.openxmlformats.org/officeDocument/2006/relationships/footer" Target="footer136.xml"/>
  <Relationship Id="rId23" Type="http://schemas.openxmlformats.org/officeDocument/2006/relationships/footer" Target="footer137.xml"/>
  <Relationship Id="rId24" Type="http://schemas.openxmlformats.org/officeDocument/2006/relationships/header" Target="header138.xml"/>
  <Relationship Id="rId25" Type="http://schemas.openxmlformats.org/officeDocument/2006/relationships/footer" Target="footer138.xml"/>
  <Relationship Id="rId26" Type="http://schemas.openxmlformats.org/officeDocument/2006/relationships/header" Target="header256.xml"/>
  <Relationship Id="rId27" Type="http://schemas.openxmlformats.org/officeDocument/2006/relationships/header" Target="header257.xml"/>
  <Relationship Id="rId28" Type="http://schemas.openxmlformats.org/officeDocument/2006/relationships/footer" Target="footer256.xml"/>
  <Relationship Id="rId29" Type="http://schemas.openxmlformats.org/officeDocument/2006/relationships/footer" Target="footer257.xml"/>
  <Relationship Id="rId3" Type="http://schemas.openxmlformats.org/officeDocument/2006/relationships/footer" Target="footer109.xml"/>
  <Relationship Id="rId30" Type="http://schemas.openxmlformats.org/officeDocument/2006/relationships/header" Target="header258.xml"/>
  <Relationship Id="rId31" Type="http://schemas.openxmlformats.org/officeDocument/2006/relationships/footer" Target="footer258.xml"/>
  <Relationship Id="rId32" Type="http://schemas.openxmlformats.org/officeDocument/2006/relationships/customXml" Target="../customXml/item5.xml"/>
  <Relationship Id="rId4" Type="http://schemas.openxmlformats.org/officeDocument/2006/relationships/footer" Target="footer110.xml"/>
  <Relationship Id="rId5" Type="http://schemas.openxmlformats.org/officeDocument/2006/relationships/header" Target="header111.xml"/>
  <Relationship Id="rId6" Type="http://schemas.openxmlformats.org/officeDocument/2006/relationships/footer" Target="footer11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b:Sources xmlns:b="http://schemas.openxmlformats.org/officeDocument/2006/bibliography" SelectedStyle="\APASixthEditionOfficeOnline.xsl" StyleName="APA" Version="6"/>
</file>

<file path=customXml/item5.xml><?xml version="1.0" encoding="utf-8"?>
<Parts xmlns="http://lrs.lt/TAIS/DocParts">
  <Part Type="pagrindine" DocPartId="f8c1caabe0df49e198502b4b17034264" PartId="cb12ba4bf762421ca9d1678c99ecae84">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7e00c1bea6e04480a31e94ac6c847bc9">
    <Part Type="skyrius" Nr="1" Title="PLĖTROS PROGRAMOS PAŽANGOS PRIEMONĖS SIEKIAMI REZULTATAI" DocPartId="b924309999714986a1f663aef95b7db6" PartId="ed03eb13e1d04245a53cad59932558e0"/>
    <Part Type="skyrius" Nr="2" Title="PLĖTROS PROGRAMOS PAŽANGOS PRIEMONĖS FINANSAVIMO ŠALTINIAI" DocPartId="142dd9faf7a84d91b4f244595a84d08d" PartId="9d0aedf2bf194fce908dda4419ffb962"/>
    <Part Type="skyrius" Nr="3" Title="PLĖTROS PROGRAMOS PAŽANGOS PRIEMONĖS VEIKLŲ SUVESTINĖ" DocPartId="c918111ff85046029314a093ade416dc" PartId="13f1e790d1734dd6a8693daf23472349"/>
    <Part Type="pabaiga" DocPartId="848b03eee26b4c708a50289e0035c65b" PartId="0a803e9b38de41efa81b2f43b2912e53"/>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s>
</ds:datastoreItem>
</file>

<file path=customXml/itemProps2.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3.xml><?xml version="1.0" encoding="utf-8"?>
<ds:datastoreItem xmlns:ds="http://schemas.openxmlformats.org/officeDocument/2006/customXml" ds:itemID="{AB9CFDD4-93A5-48E2-A3E4-27507CA1D5BE}">
  <ds:schemaRefs>
    <ds:schemaRef ds:uri="http://schemas.microsoft.com/office/2006/metadata/properties"/>
  </ds:schemaRefs>
</ds:datastoreItem>
</file>

<file path=customXml/itemProps4.xml><?xml version="1.0" encoding="utf-8"?>
<ds:datastoreItem xmlns:ds="http://schemas.openxmlformats.org/officeDocument/2006/customXml" ds:itemID="{F566033F-293C-4A04-842A-F9C6CD20E5B2}">
  <ds:schemaRefs>
    <ds:schemaRef ds:uri="http://schemas.openxmlformats.org/officeDocument/2006/bibliography"/>
  </ds:schemaRefs>
</ds:datastoreItem>
</file>

<file path=customXml/itemProps5.xml><?xml version="1.0" encoding="utf-8"?>
<ds:datastoreItem xmlns:ds="http://schemas.openxmlformats.org/officeDocument/2006/customXml" ds:itemID="{5911E3FC-2740-40A0-93D3-31970BBA4F1B}">
  <ds:schemaRefs>
    <ds:schemaRef ds:uri="http://lrs.lt/TAIS/DocParts"/>
  </ds:schemaRefs>
</ds:datastoreItem>
</file>

<file path=customXml/itemProps6.xml><?xml version="1.0" encoding="utf-8"?>
<ds:datastoreItem xmlns:ds="http://schemas.openxmlformats.org/officeDocument/2006/customXml" ds:itemID="{EDCF9B89-BBBA-4214-A4DD-013260F94D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496</TotalTime>
  <Pages>46</Pages>
  <Words>38440</Words>
  <Characters>21911</Characters>
  <Application>Microsoft Office Word</Application>
  <DocSecurity>0</DocSecurity>
  <Lines>182</Lines>
  <Paragraphs>120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60231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2026-06-09T06:43:00Z</dcterms:modified>
  <revision>166</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