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80e78b501bde46729929b6f79b39f995"/>
        <w:lock w:val="sdtLocked"/>
        <w:richText/>
      </w:sdtPr>
      <w:sdtContent>
        <w:p>
          <w:pPr>
            <w:jc w:val="both"/>
            <w:rPr>
              <w:rFonts w:ascii="Times New Roman" w:hAnsi="Times New Roman"/>
            </w:rPr>
          </w:pPr>
          <w:r>
            <w:rPr>
              <w:rFonts w:ascii="Times New Roman" w:hAnsi="Times New Roman"/>
              <w:b/>
              <w:i/>
            </w:rPr>
            <w:t>Suvestinė redakcija nuo 2025-01-01 iki 2025-02-03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2022-05-20, i. k. 2022-10683</w:t>
          </w:r>
        </w:p>
        <w:p>
          <w:pPr>
            <w:jc w:val="both"/>
            <w:rPr>
              <w:rFonts w:ascii="Times New Roman" w:hAnsi="Times New Roman"/>
              <w:sz w:val="20"/>
            </w:rPr>
          </w:pPr>
        </w:p>
        <w:p>
          <w:pPr>
            <w:tabs>
              <w:tab w:val="center" w:pos="4153"/>
              <w:tab w:val="right" w:pos="8306"/>
            </w:tabs>
            <w:jc w:val="center"/>
            <w:rPr>
              <w:szCs w:val="24"/>
            </w:rPr>
          </w:pPr>
          <w:r>
            <w:rPr>
              <w:szCs w:val="24"/>
            </w:rPr>
            <w:object w:dxaOrig="811" w:dyaOrig="9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3pt;height:43.85pt" o:ole="" fillcolor="window">
                <v:imagedata r:id="rId12" o:title=""/>
              </v:shape>
              <o:OLEObject Type="Embed" ProgID="Word.Picture.8" ShapeID="_x0000_i1025" DrawAspect="Content" ObjectID="_0000000001" r:id="rId13"/>
            </w:objec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LIETUVOS RESPUBLIKOS SVEIKATOS APSAUGOS MINISTRAS</w: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ĮSAKYMAS</w:t>
          </w:r>
        </w:p>
        <w:p>
          <w:pPr>
            <w:jc w:val="center"/>
            <w:rPr>
              <w:b/>
              <w:bCs/>
              <w:szCs w:val="24"/>
            </w:rPr>
          </w:pPr>
          <w:r>
            <w:rPr>
              <w:b/>
              <w:bCs/>
              <w:szCs w:val="24"/>
            </w:rPr>
            <w:t xml:space="preserve">DĖL </w:t>
          </w:r>
          <w:r>
            <w:rPr>
              <w:b/>
              <w:bCs/>
              <w:caps/>
              <w:color w:val="000000"/>
              <w:szCs w:val="24"/>
              <w:lang w:eastAsia="lt-LT"/>
            </w:rPr>
            <w:t xml:space="preserve">2022–2030 METŲ PLĖTROS PROGRAMOS VALDYTOJOS LIETUVOS RESPUBLIKOS SVEIKATOS APSAUGOS MINISTERIJOS SVEIKATOS PRIEŽIŪROS KOKYBĖS IR EFEKTYVUMO </w:t>
          </w:r>
          <w:r>
            <w:rPr>
              <w:b/>
              <w:bCs/>
              <w:caps/>
              <w:szCs w:val="24"/>
              <w:lang w:eastAsia="lt-LT"/>
            </w:rPr>
            <w:t>DIDINIMO PLĖTROS PROGRAMOS PAŽANGOS PRIEMONĖS NR. 11-002-02-11-01 „GERINTI SVEIKATOS PRIEŽIŪROS PASLAUGŲ KOKYBĘ IR PRIEINAMUMĄ“ APRAŠO patvirtinimo</w:t>
          </w:r>
        </w:p>
        <w:p>
          <w:pPr>
            <w:jc w:val="center"/>
            <w:rPr>
              <w:szCs w:val="24"/>
            </w:rPr>
          </w:pPr>
        </w:p>
        <w:p>
          <w:pPr>
            <w:jc w:val="center"/>
            <w:rPr>
              <w:szCs w:val="24"/>
            </w:rPr>
          </w:pPr>
          <w:r>
            <w:rPr>
              <w:color w:val="000000"/>
            </w:rPr>
            <w:t>202</w:t>
          </w:r>
          <w:r>
            <w:rPr>
              <w:color w:val="000000"/>
              <w:lang w:val="es-ES"/>
            </w:rPr>
            <w:t xml:space="preserve">2 </w:t>
          </w:r>
          <w:r>
            <w:rPr>
              <w:color w:val="000000"/>
            </w:rPr>
            <w:t xml:space="preserve">m. gegužės </w:t>
          </w:r>
          <w:r>
            <w:rPr>
              <w:color w:val="000000"/>
              <w:lang w:val="es-ES"/>
            </w:rPr>
            <w:t xml:space="preserve">20 </w:t>
          </w:r>
          <w:r>
            <w:rPr>
              <w:color w:val="000000"/>
            </w:rPr>
            <w:t>d.</w:t>
          </w:r>
          <w:r>
            <w:rPr>
              <w:szCs w:val="24"/>
            </w:rPr>
            <w:t xml:space="preserve"> Nr. V-988</w:t>
          </w:r>
        </w:p>
        <w:p>
          <w:pPr>
            <w:jc w:val="center"/>
            <w:rPr>
              <w:szCs w:val="24"/>
            </w:rPr>
          </w:pPr>
          <w:r>
            <w:rPr>
              <w:szCs w:val="24"/>
            </w:rPr>
            <w:t>Vilnius</w:t>
          </w:r>
        </w:p>
        <w:p>
          <w:pPr>
            <w:jc w:val="center"/>
            <w:rPr>
              <w:szCs w:val="24"/>
            </w:rPr>
          </w:pPr>
        </w:p>
        <w:p>
          <w:pPr>
            <w:ind w:firstLine="851"/>
            <w:jc w:val="both"/>
            <w:rPr>
              <w:szCs w:val="24"/>
            </w:rPr>
          </w:pPr>
        </w:p>
        <w:sdt>
          <w:sdtPr>
            <w:alias w:val="preambule"/>
            <w:tag w:val="part_b55119ea5b19448c96fabf90dbccb4b9"/>
            <w:lock w:val="sdtLocked"/>
            <w:richText/>
          </w:sdtPr>
          <w:sdtContent>
            <w:p>
              <w:pPr>
                <w:ind w:firstLine="720"/>
                <w:jc w:val="both"/>
                <w:rPr>
                  <w:szCs w:val="24"/>
                  <w:lang w:eastAsia="lt-LT"/>
                </w:rPr>
              </w:pPr>
              <w:r>
                <w:rPr>
                  <w:szCs w:val="24"/>
                  <w:lang w:eastAsia="lt-LT"/>
                </w:rPr>
                <w:t>Vadovaudamasis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Cs w:val="24"/>
                  <w:vertAlign w:val="superscript"/>
                  <w:lang w:eastAsia="lt-LT"/>
                </w:rPr>
                <w:t>1 </w:t>
              </w:r>
              <w:r>
                <w:rPr>
                  <w:szCs w:val="24"/>
                  <w:lang w:eastAsia="lt-LT"/>
                </w:rPr>
                <w:t>straipsnio 3 dalies įgyvendinimo“, 87 punktu, įgyvendindamas 2022–2030 metų plėtros programos valdytojos Lietuvos Respublikos sveikatos apsaugos ministerijos sveikatos priežiūros kokybės ir efektyvumo didinimo plėtros programos, patvirtintos Lietuvos Respublikos Vyriausybės 2022 m. kovo 30 d. nutarimu Nr. 319 „Dėl 2022–2030 metų Lietuvos Respublikos sveikatos apsaugos ministerijos sveikatos priežiūros kokybės ir efektyvumo didinimo plėtros programos patvirtinimo“,</w:t>
              </w:r>
              <w:r>
                <w:rPr>
                  <w:color w:val="FF0000"/>
                  <w:szCs w:val="24"/>
                  <w:lang w:eastAsia="lt-LT"/>
                </w:rPr>
                <w:t xml:space="preserve"> </w:t>
              </w:r>
              <w:r>
                <w:rPr>
                  <w:szCs w:val="24"/>
                  <w:lang w:eastAsia="lt-LT"/>
                </w:rPr>
                <w:t>pažangos priemonę Nr. 11</w:t>
              </w:r>
              <w:r>
                <w:rPr>
                  <w:caps/>
                  <w:szCs w:val="24"/>
                  <w:lang w:eastAsia="lt-LT"/>
                </w:rPr>
                <w:t>-002-02-11-01 </w:t>
              </w:r>
              <w:r>
                <w:rPr>
                  <w:szCs w:val="24"/>
                  <w:lang w:eastAsia="lt-LT"/>
                </w:rPr>
                <w:t xml:space="preserve">„Gerinti sveikatos priežiūros paslaugų kokybę ir prieinamumą“, vykdydamas Lietuvos Respublikos finansų ministro 2021 m. birželio 28 d. įsakymą Nr. 1K-227 „Dėl Strateginio valdymo metodikos taikymo,  </w:t>
              </w:r>
            </w:p>
          </w:sdtContent>
        </w:sdt>
        <w:sdt>
          <w:sdtPr>
            <w:alias w:val="pastraipa"/>
            <w:tag w:val="part_e2e446847dd74fb198f9f4bc120dd735"/>
            <w:lock w:val="sdtLocked"/>
            <w:richText/>
          </w:sdtPr>
          <w:sdtContent>
            <w:p>
              <w:pPr>
                <w:ind w:firstLine="720"/>
                <w:jc w:val="both"/>
                <w:rPr>
                  <w:szCs w:val="24"/>
                </w:rPr>
              </w:pPr>
              <w:r>
                <w:rPr>
                  <w:szCs w:val="24"/>
                  <w:lang w:eastAsia="lt-LT"/>
                </w:rPr>
                <w:t>t v i r t i n u 2022–2030 metų plėtros programos valdytojos Lietuvos Respublikos sveikatos apsaugos ministerijos sveikatos priežiūros kokybės ir efektyvumo didinimo plėtros programos pažangos priemonės Nr. 11</w:t>
              </w:r>
              <w:r>
                <w:rPr>
                  <w:caps/>
                  <w:szCs w:val="24"/>
                  <w:lang w:eastAsia="lt-LT"/>
                </w:rPr>
                <w:t>-002-02-11-01 </w:t>
              </w:r>
              <w:r>
                <w:rPr>
                  <w:szCs w:val="24"/>
                  <w:lang w:eastAsia="lt-LT"/>
                </w:rPr>
                <w:t>„Gerinti sveikatos priežiūros paslaugų kokybę ir prieinamumą“ aprašą (pridedama).</w:t>
              </w:r>
            </w:p>
          </w:sdtContent>
        </w:sdt>
        <w:sdt>
          <w:sdtPr>
            <w:alias w:val="signatura"/>
            <w:tag w:val="part_8d04719570ea4e7899eed59ab7a0f072"/>
            <w:lock w:val="sdtLocked"/>
            <w:richText/>
          </w:sdtPr>
          <w:sdtContent>
            <w:p/>
            <w:p/>
            <w:p/>
            <w:p>
              <w:r>
                <w:rPr>
                  <w:szCs w:val="24"/>
                </w:rPr>
                <w:t xml:space="preserve">Sveikatos apsaugos ministras </w:t>
                <w:tab/>
                <w:tab/>
                <w:tab/>
                <w:t xml:space="preserve">   </w:t>
                <w:tab/>
                <w:tab/>
                <w:tab/>
                <w:tab/>
                <w:t xml:space="preserve">  Arūnas Dulkys</w:t>
              </w:r>
            </w:p>
          </w:sdtContent>
        </w:sdt>
      </w:sdtContent>
    </w:sdt>
    <w:sdt>
      <w:sdtPr>
        <w:alias w:val="patvirtinta"/>
        <w:tag w:val="part_b30ab63848c54765864e9b4d7813cc3a"/>
        <w:lock w:val="sdtLocked"/>
        <w:richText/>
      </w:sdtPr>
      <w:sdtContent>
        <w:p>
          <w:pPr>
            <w:ind w:left="6521"/>
            <w:sectPr>
              <w:headerReference w:type="even" r:id="rId14"/>
              <w:headerReference w:type="default" r:id="rId15"/>
              <w:footerReference w:type="even" r:id="rId16"/>
              <w:footerReference w:type="default" r:id="rId17"/>
              <w:headerReference w:type="first" r:id="rId18"/>
              <w:footerReference w:type="first" r:id="rId19"/>
              <w:pgSz w:w="11906" w:h="16838" w:code="9"/>
              <w:pgMar w:top="851" w:right="567" w:bottom="1134" w:left="992" w:header="567" w:footer="567" w:gutter="0"/>
              <w:pgNumType w:start="1"/>
              <w:cols w:space="1296"/>
              <w:titlePg/>
              <w:docGrid w:linePitch="360"/>
            </w:sectPr>
          </w:pPr>
        </w:p>
        <w:p>
          <w:pPr>
            <w:ind w:left="6521"/>
            <w:rPr>
              <w:sz w:val="22"/>
              <w:szCs w:val="22"/>
            </w:rPr>
          </w:pPr>
          <w:r>
            <w:rPr>
              <w:sz w:val="22"/>
              <w:szCs w:val="22"/>
            </w:rPr>
            <w:t>PATVIRTINTA</w:t>
          </w:r>
        </w:p>
        <w:p>
          <w:pPr>
            <w:ind w:left="6521"/>
            <w:rPr>
              <w:sz w:val="22"/>
              <w:szCs w:val="22"/>
            </w:rPr>
          </w:pPr>
          <w:r>
            <w:rPr>
              <w:sz w:val="22"/>
              <w:szCs w:val="22"/>
            </w:rPr>
            <w:t>Lietuvos Respublikos sveikatos apsaugos ministro 2022 m. gegužės 20 d. įsakymu</w:t>
          </w:r>
        </w:p>
        <w:p>
          <w:pPr>
            <w:ind w:left="6521"/>
            <w:rPr>
              <w:sz w:val="22"/>
              <w:szCs w:val="22"/>
            </w:rPr>
          </w:pPr>
          <w:r>
            <w:rPr>
              <w:sz w:val="22"/>
              <w:szCs w:val="22"/>
            </w:rPr>
            <w:t>Nr. V-988</w:t>
          </w:r>
        </w:p>
        <w:p>
          <w:pPr>
            <w:ind w:left="6521"/>
            <w:rPr>
              <w:sz w:val="22"/>
              <w:szCs w:val="22"/>
            </w:rPr>
          </w:pPr>
          <w:r>
            <w:rPr>
              <w:sz w:val="22"/>
              <w:szCs w:val="22"/>
            </w:rPr>
            <w:t>(Lietuvos Respublikos sveikatos apsaugos ministro 202</w:t>
          </w:r>
          <w:r>
            <w:rPr>
              <w:sz w:val="22"/>
              <w:szCs w:val="22"/>
              <w:lang w:val="nb-NO"/>
            </w:rPr>
            <w:t>4</w:t>
          </w:r>
          <w:r>
            <w:rPr>
              <w:sz w:val="22"/>
              <w:szCs w:val="22"/>
            </w:rPr>
            <w:t xml:space="preserve"> m.  gegužės 20 d. įsakymo Nr. V-572  redakcija)</w:t>
          </w:r>
        </w:p>
        <w:p>
          <w:pPr>
            <w:jc w:val="center"/>
            <w:rPr>
              <w:b/>
              <w:szCs w:val="24"/>
            </w:rPr>
          </w:pPr>
        </w:p>
        <w:p>
          <w:pPr>
            <w:jc w:val="center"/>
            <w:rPr>
              <w:b/>
              <w:sz w:val="22"/>
              <w:szCs w:val="22"/>
              <w:lang w:eastAsia="lt-LT"/>
            </w:rPr>
          </w:pPr>
          <w:sdt>
            <w:sdtPr>
              <w:alias w:val="Pavadinimas"/>
              <w:tag w:val="title_b30ab63848c54765864e9b4d7813cc3a"/>
              <w:lock w:val="sdtLocked"/>
              <w:richText/>
            </w:sdtPr>
            <w:sdtContent>
              <w:r>
                <w:rPr>
                  <w:b/>
                  <w:bCs/>
                  <w:sz w:val="22"/>
                  <w:szCs w:val="22"/>
                </w:rPr>
                <w:t xml:space="preserve">2022-2030 METŲ PLĖTROS PROGRAMOS VALDYTOJOS LIETUVOS RESPUBLIKOS SVEIKATOS APSAUGOS MINISTERIJOS SVEIKATOS PRIEŽIŪROS KOKYBĖS IR EFEKTYVUMO DIDINIMO PLĖTROS PROGRAMOS </w:t>
              </w:r>
              <w:r>
                <w:rPr>
                  <w:b/>
                  <w:sz w:val="22"/>
                  <w:szCs w:val="22"/>
                </w:rPr>
                <w:t>PAŽANGOS PRIEMONĖS</w:t>
              </w:r>
              <w:r>
                <w:rPr>
                  <w:b/>
                  <w:bCs/>
                  <w:sz w:val="22"/>
                  <w:szCs w:val="22"/>
                  <w:lang w:eastAsia="lt-LT"/>
                </w:rPr>
                <w:t xml:space="preserve"> NR</w:t>
              </w:r>
              <w:r>
                <w:rPr>
                  <w:b/>
                  <w:sz w:val="22"/>
                  <w:szCs w:val="22"/>
                </w:rPr>
                <w:t>. 11-002-02-11-</w:t>
              </w:r>
              <w:r>
                <w:rPr>
                  <w:b/>
                  <w:color w:val="000000"/>
                  <w:sz w:val="22"/>
                  <w:szCs w:val="22"/>
                  <w:lang w:eastAsia="lt-LT"/>
                </w:rPr>
                <w:t xml:space="preserve">01 „GERINTI SVEIKATOS PRIEŽIŪROS PASLAUGŲ KOKYBĘ IR PRIEINAMUMĄ“ </w:t>
              </w:r>
              <w:r>
                <w:rPr>
                  <w:b/>
                  <w:sz w:val="22"/>
                  <w:szCs w:val="22"/>
                  <w:lang w:eastAsia="lt-LT"/>
                </w:rPr>
                <w:t xml:space="preserve">APRAŠAS </w:t>
              </w:r>
            </w:sdtContent>
          </w:sdt>
        </w:p>
        <w:p>
          <w:pPr>
            <w:jc w:val="center"/>
            <w:rPr>
              <w:b/>
              <w:sz w:val="22"/>
              <w:szCs w:val="22"/>
              <w:lang w:eastAsia="lt-LT"/>
            </w:rPr>
          </w:pPr>
        </w:p>
        <w:sdt>
          <w:sdtPr>
            <w:alias w:val="skyrius"/>
            <w:tag w:val="part_3cd88d542e3c4ac994befb62ec5e09b1"/>
            <w:lock w:val="sdtLocked"/>
            <w:richText/>
          </w:sdtPr>
          <w:sdtContent>
            <w:p>
              <w:pPr>
                <w:tabs>
                  <w:tab w:val="left" w:pos="1985"/>
                </w:tabs>
                <w:jc w:val="center"/>
                <w:rPr>
                  <w:b/>
                  <w:bCs/>
                  <w:sz w:val="22"/>
                  <w:szCs w:val="22"/>
                </w:rPr>
              </w:pPr>
              <w:sdt>
                <w:sdtPr>
                  <w:alias w:val="Numeris"/>
                  <w:tag w:val="nr_3cd88d542e3c4ac994befb62ec5e09b1"/>
                  <w:lock w:val="sdtLocked"/>
                  <w:richText/>
                </w:sdtPr>
                <w:sdtContent>
                  <w:r>
                    <w:rPr>
                      <w:b/>
                      <w:bCs/>
                      <w:sz w:val="22"/>
                      <w:szCs w:val="22"/>
                    </w:rPr>
                    <w:t>I</w:t>
                  </w:r>
                </w:sdtContent>
              </w:sdt>
              <w:r>
                <w:rPr>
                  <w:b/>
                  <w:bCs/>
                  <w:sz w:val="22"/>
                  <w:szCs w:val="22"/>
                </w:rPr>
                <w:t xml:space="preserve"> SKYRIUS</w:t>
              </w:r>
            </w:p>
            <w:p>
              <w:pPr>
                <w:jc w:val="center"/>
                <w:rPr>
                  <w:b/>
                  <w:bCs/>
                  <w:lang w:eastAsia="lt-LT"/>
                </w:rPr>
              </w:pPr>
              <w:sdt>
                <w:sdtPr>
                  <w:alias w:val="Pavadinimas"/>
                  <w:tag w:val="title_3cd88d542e3c4ac994befb62ec5e09b1"/>
                  <w:lock w:val="sdtLocked"/>
                  <w:richText/>
                </w:sdtPr>
                <w:sdtContent>
                  <w:r>
                    <w:rPr>
                      <w:b/>
                      <w:bCs/>
                      <w:sz w:val="22"/>
                      <w:szCs w:val="22"/>
                      <w:lang w:eastAsia="lt-LT"/>
                    </w:rPr>
                    <w:t>PLĖTROS PROGRAMOS PAŽANGOS PRIEMONĖS SIEKIAMI REZULTATAI</w:t>
                  </w:r>
                </w:sdtContent>
              </w:sdt>
            </w:p>
            <w:p>
              <w:pPr>
                <w:jc w:val="center"/>
                <w:rPr>
                  <w:b/>
                  <w:bCs/>
                  <w:lang w:eastAsia="lt-LT"/>
                </w:rPr>
              </w:pPr>
            </w:p>
            <w:tbl>
              <w:tblPr>
                <w:tblW w:w="104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46"/>
                <w:gridCol w:w="1079"/>
                <w:gridCol w:w="2541"/>
                <w:gridCol w:w="1078"/>
                <w:gridCol w:w="1078"/>
                <w:gridCol w:w="945"/>
                <w:gridCol w:w="1079"/>
                <w:gridCol w:w="1344"/>
              </w:tblGrid>
              <w:tr>
                <w:trPr>
                  <w:trHeight w:val="348"/>
                </w:trPr>
                <w:tc>
                  <w:tcPr>
                    <w:tcW w:w="1346" w:type="dxa"/>
                    <w:vMerge w:val="restart"/>
                    <w:shd w:val="clear" w:color="auto" w:fill="DBE5F1" w:themeFill="accent1" w:themeFillTint="33"/>
                    <w:vAlign w:val="center"/>
                  </w:tcPr>
                  <w:p>
                    <w:pPr>
                      <w:jc w:val="center"/>
                      <w:rPr>
                        <w:b/>
                        <w:sz w:val="20"/>
                      </w:rPr>
                    </w:pPr>
                    <w:r>
                      <w:rPr>
                        <w:b/>
                        <w:sz w:val="20"/>
                      </w:rPr>
                      <w:t>Rodiklio kodas</w:t>
                    </w:r>
                  </w:p>
                </w:tc>
                <w:tc>
                  <w:tcPr>
                    <w:tcW w:w="1079" w:type="dxa"/>
                    <w:vMerge w:val="restart"/>
                    <w:shd w:val="clear" w:color="auto" w:fill="DBE5F1" w:themeFill="accent1" w:themeFillTint="33"/>
                  </w:tcPr>
                  <w:p>
                    <w:pPr>
                      <w:jc w:val="center"/>
                      <w:rPr>
                        <w:b/>
                        <w:sz w:val="20"/>
                      </w:rPr>
                    </w:pPr>
                    <w:r>
                      <w:rPr>
                        <w:b/>
                        <w:sz w:val="20"/>
                      </w:rPr>
                      <w:t>Rodiklio tipas (rezultato / produkto)</w:t>
                    </w:r>
                  </w:p>
                </w:tc>
                <w:tc>
                  <w:tcPr>
                    <w:tcW w:w="2541" w:type="dxa"/>
                    <w:vMerge w:val="restart"/>
                    <w:shd w:val="clear" w:color="auto" w:fill="DBE5F1" w:themeFill="accent1" w:themeFillTint="33"/>
                    <w:vAlign w:val="center"/>
                  </w:tcPr>
                  <w:p>
                    <w:pPr>
                      <w:jc w:val="both"/>
                      <w:rPr>
                        <w:b/>
                        <w:sz w:val="20"/>
                      </w:rPr>
                    </w:pPr>
                    <w:r>
                      <w:rPr>
                        <w:b/>
                        <w:sz w:val="20"/>
                      </w:rPr>
                      <w:t>Rodiklio pavadinimas</w:t>
                    </w:r>
                  </w:p>
                </w:tc>
                <w:tc>
                  <w:tcPr>
                    <w:tcW w:w="1078" w:type="dxa"/>
                    <w:vMerge w:val="restart"/>
                    <w:shd w:val="clear" w:color="auto" w:fill="DBE5F1" w:themeFill="accent1" w:themeFillTint="33"/>
                    <w:vAlign w:val="center"/>
                  </w:tcPr>
                  <w:p>
                    <w:pPr>
                      <w:jc w:val="center"/>
                      <w:rPr>
                        <w:b/>
                        <w:sz w:val="20"/>
                      </w:rPr>
                    </w:pPr>
                    <w:r>
                      <w:rPr>
                        <w:b/>
                        <w:sz w:val="20"/>
                      </w:rPr>
                      <w:t>Matavimo vienetas</w:t>
                    </w:r>
                  </w:p>
                </w:tc>
                <w:tc>
                  <w:tcPr>
                    <w:tcW w:w="1078" w:type="dxa"/>
                    <w:vMerge w:val="restart"/>
                    <w:shd w:val="clear" w:color="auto" w:fill="DBE5F1" w:themeFill="accent1" w:themeFillTint="33"/>
                  </w:tcPr>
                  <w:p>
                    <w:pPr>
                      <w:jc w:val="center"/>
                      <w:rPr>
                        <w:b/>
                        <w:sz w:val="20"/>
                      </w:rPr>
                    </w:pPr>
                    <w:r>
                      <w:rPr>
                        <w:b/>
                        <w:sz w:val="20"/>
                      </w:rPr>
                      <w:t>Pradinė rodiklio reikšmė (metai)</w:t>
                    </w:r>
                  </w:p>
                </w:tc>
                <w:tc>
                  <w:tcPr>
                    <w:tcW w:w="2024" w:type="dxa"/>
                    <w:gridSpan w:val="2"/>
                    <w:shd w:val="clear" w:color="auto" w:fill="DBE5F1" w:themeFill="accent1" w:themeFillTint="33"/>
                  </w:tcPr>
                  <w:p>
                    <w:pPr>
                      <w:jc w:val="center"/>
                      <w:rPr>
                        <w:b/>
                        <w:sz w:val="20"/>
                      </w:rPr>
                    </w:pPr>
                    <w:r>
                      <w:rPr>
                        <w:b/>
                        <w:sz w:val="20"/>
                      </w:rPr>
                      <w:t>Siektinos rodiklio reikšmės</w:t>
                    </w:r>
                  </w:p>
                </w:tc>
                <w:tc>
                  <w:tcPr>
                    <w:tcW w:w="1344" w:type="dxa"/>
                    <w:shd w:val="clear" w:color="auto" w:fill="DBE5F1" w:themeFill="accent1" w:themeFillTint="33"/>
                  </w:tcPr>
                  <w:p>
                    <w:pPr>
                      <w:rPr>
                        <w:b/>
                        <w:sz w:val="20"/>
                      </w:rPr>
                    </w:pPr>
                  </w:p>
                </w:tc>
              </w:tr>
              <w:tr>
                <w:trPr>
                  <w:trHeight w:val="852"/>
                </w:trPr>
                <w:tc>
                  <w:tcPr>
                    <w:tcW w:w="1346" w:type="dxa"/>
                    <w:vMerge/>
                    <w:shd w:val="clear" w:color="auto" w:fill="DBE5F1" w:themeFill="accent1" w:themeFillTint="33"/>
                    <w:vAlign w:val="center"/>
                  </w:tcPr>
                  <w:p>
                    <w:pPr>
                      <w:spacing w:line="276" w:lineRule="auto"/>
                      <w:jc w:val="center"/>
                      <w:rPr>
                        <w:b/>
                        <w:sz w:val="20"/>
                      </w:rPr>
                    </w:pPr>
                  </w:p>
                </w:tc>
                <w:tc>
                  <w:tcPr>
                    <w:tcW w:w="1079" w:type="dxa"/>
                    <w:vMerge/>
                    <w:shd w:val="clear" w:color="auto" w:fill="DBE5F1" w:themeFill="accent1" w:themeFillTint="33"/>
                  </w:tcPr>
                  <w:p>
                    <w:pPr>
                      <w:spacing w:line="276" w:lineRule="auto"/>
                      <w:jc w:val="center"/>
                      <w:rPr>
                        <w:b/>
                        <w:sz w:val="20"/>
                      </w:rPr>
                    </w:pPr>
                  </w:p>
                </w:tc>
                <w:tc>
                  <w:tcPr>
                    <w:tcW w:w="2541" w:type="dxa"/>
                    <w:vMerge/>
                    <w:shd w:val="clear" w:color="auto" w:fill="DBE5F1" w:themeFill="accent1" w:themeFillTint="33"/>
                    <w:vAlign w:val="center"/>
                  </w:tcPr>
                  <w:p>
                    <w:pPr>
                      <w:spacing w:line="276" w:lineRule="auto"/>
                      <w:jc w:val="both"/>
                      <w:rPr>
                        <w:b/>
                        <w:sz w:val="20"/>
                      </w:rPr>
                    </w:pPr>
                  </w:p>
                </w:tc>
                <w:tc>
                  <w:tcPr>
                    <w:tcW w:w="1078" w:type="dxa"/>
                    <w:vMerge/>
                    <w:shd w:val="clear" w:color="auto" w:fill="DBE5F1" w:themeFill="accent1" w:themeFillTint="33"/>
                    <w:vAlign w:val="center"/>
                  </w:tcPr>
                  <w:p>
                    <w:pPr>
                      <w:spacing w:line="276" w:lineRule="auto"/>
                      <w:jc w:val="center"/>
                      <w:rPr>
                        <w:b/>
                        <w:sz w:val="20"/>
                      </w:rPr>
                    </w:pPr>
                  </w:p>
                </w:tc>
                <w:tc>
                  <w:tcPr>
                    <w:tcW w:w="1078" w:type="dxa"/>
                    <w:vMerge/>
                    <w:shd w:val="clear" w:color="auto" w:fill="DBE5F1" w:themeFill="accent1" w:themeFillTint="33"/>
                  </w:tcPr>
                  <w:p>
                    <w:pPr>
                      <w:spacing w:line="276" w:lineRule="auto"/>
                      <w:jc w:val="center"/>
                      <w:rPr>
                        <w:b/>
                        <w:sz w:val="20"/>
                      </w:rPr>
                    </w:pPr>
                  </w:p>
                </w:tc>
                <w:tc>
                  <w:tcPr>
                    <w:tcW w:w="945" w:type="dxa"/>
                    <w:shd w:val="clear" w:color="auto" w:fill="DBE5F1" w:themeFill="accent1" w:themeFillTint="33"/>
                  </w:tcPr>
                  <w:p>
                    <w:pPr>
                      <w:jc w:val="center"/>
                      <w:rPr>
                        <w:b/>
                        <w:sz w:val="20"/>
                      </w:rPr>
                    </w:pPr>
                    <w:r>
                      <w:rPr>
                        <w:b/>
                        <w:sz w:val="20"/>
                      </w:rPr>
                      <w:t>Tarpinė reikšmė 2025 m.</w:t>
                    </w:r>
                  </w:p>
                </w:tc>
                <w:tc>
                  <w:tcPr>
                    <w:tcW w:w="1079" w:type="dxa"/>
                    <w:shd w:val="clear" w:color="auto" w:fill="DBE5F1" w:themeFill="accent1" w:themeFillTint="33"/>
                  </w:tcPr>
                  <w:p>
                    <w:pPr>
                      <w:jc w:val="center"/>
                      <w:rPr>
                        <w:b/>
                        <w:sz w:val="20"/>
                      </w:rPr>
                    </w:pPr>
                    <w:r>
                      <w:rPr>
                        <w:b/>
                        <w:sz w:val="20"/>
                      </w:rPr>
                      <w:t>Galutinė reikšmė</w:t>
                    </w:r>
                  </w:p>
                  <w:p>
                    <w:pPr>
                      <w:jc w:val="center"/>
                      <w:rPr>
                        <w:b/>
                        <w:sz w:val="20"/>
                      </w:rPr>
                    </w:pPr>
                    <w:r>
                      <w:rPr>
                        <w:b/>
                        <w:sz w:val="20"/>
                      </w:rPr>
                      <w:t xml:space="preserve">2030 m. </w:t>
                    </w:r>
                  </w:p>
                </w:tc>
                <w:tc>
                  <w:tcPr>
                    <w:tcW w:w="1344" w:type="dxa"/>
                    <w:shd w:val="clear" w:color="auto" w:fill="DBE5F1" w:themeFill="accent1" w:themeFillTint="33"/>
                  </w:tcPr>
                  <w:p>
                    <w:pPr>
                      <w:spacing w:line="276" w:lineRule="auto"/>
                      <w:jc w:val="center"/>
                      <w:rPr>
                        <w:b/>
                        <w:sz w:val="20"/>
                      </w:rPr>
                    </w:pPr>
                    <w:r>
                      <w:rPr>
                        <w:b/>
                        <w:sz w:val="20"/>
                      </w:rPr>
                      <w:t>Finansavimo šaltinis</w:t>
                    </w:r>
                  </w:p>
                </w:tc>
              </w:tr>
              <w:tr>
                <w:trPr>
                  <w:trHeight w:val="193"/>
                </w:trPr>
                <w:tc>
                  <w:tcPr>
                    <w:tcW w:w="1346" w:type="dxa"/>
                    <w:shd w:val="clear" w:color="auto" w:fill="DBE5F1" w:themeFill="accent1" w:themeFillTint="33"/>
                    <w:vAlign w:val="center"/>
                  </w:tcPr>
                  <w:p>
                    <w:pPr>
                      <w:spacing w:line="276" w:lineRule="auto"/>
                      <w:jc w:val="center"/>
                      <w:rPr>
                        <w:b/>
                        <w:sz w:val="20"/>
                      </w:rPr>
                    </w:pPr>
                    <w:r>
                      <w:rPr>
                        <w:b/>
                        <w:sz w:val="20"/>
                      </w:rPr>
                      <w:t>1</w:t>
                    </w:r>
                  </w:p>
                </w:tc>
                <w:tc>
                  <w:tcPr>
                    <w:tcW w:w="1079" w:type="dxa"/>
                    <w:shd w:val="clear" w:color="auto" w:fill="DBE5F1" w:themeFill="accent1" w:themeFillTint="33"/>
                  </w:tcPr>
                  <w:p>
                    <w:pPr>
                      <w:spacing w:line="276" w:lineRule="auto"/>
                      <w:jc w:val="center"/>
                      <w:rPr>
                        <w:b/>
                        <w:sz w:val="20"/>
                      </w:rPr>
                    </w:pPr>
                    <w:r>
                      <w:rPr>
                        <w:b/>
                        <w:sz w:val="20"/>
                      </w:rPr>
                      <w:t>2</w:t>
                    </w:r>
                  </w:p>
                </w:tc>
                <w:tc>
                  <w:tcPr>
                    <w:tcW w:w="2541" w:type="dxa"/>
                    <w:shd w:val="clear" w:color="auto" w:fill="DBE5F1" w:themeFill="accent1" w:themeFillTint="33"/>
                    <w:vAlign w:val="center"/>
                  </w:tcPr>
                  <w:p>
                    <w:pPr>
                      <w:spacing w:line="276" w:lineRule="auto"/>
                      <w:jc w:val="center"/>
                      <w:rPr>
                        <w:b/>
                        <w:sz w:val="20"/>
                      </w:rPr>
                    </w:pPr>
                    <w:r>
                      <w:rPr>
                        <w:b/>
                        <w:sz w:val="20"/>
                      </w:rPr>
                      <w:t>3</w:t>
                    </w:r>
                  </w:p>
                </w:tc>
                <w:tc>
                  <w:tcPr>
                    <w:tcW w:w="1078" w:type="dxa"/>
                    <w:shd w:val="clear" w:color="auto" w:fill="DBE5F1" w:themeFill="accent1" w:themeFillTint="33"/>
                    <w:vAlign w:val="center"/>
                  </w:tcPr>
                  <w:p>
                    <w:pPr>
                      <w:spacing w:line="276" w:lineRule="auto"/>
                      <w:jc w:val="center"/>
                      <w:rPr>
                        <w:b/>
                        <w:sz w:val="20"/>
                      </w:rPr>
                    </w:pPr>
                    <w:r>
                      <w:rPr>
                        <w:b/>
                        <w:sz w:val="20"/>
                      </w:rPr>
                      <w:t>4</w:t>
                    </w:r>
                  </w:p>
                </w:tc>
                <w:tc>
                  <w:tcPr>
                    <w:tcW w:w="1078" w:type="dxa"/>
                    <w:shd w:val="clear" w:color="auto" w:fill="DBE5F1" w:themeFill="accent1" w:themeFillTint="33"/>
                  </w:tcPr>
                  <w:p>
                    <w:pPr>
                      <w:spacing w:line="276" w:lineRule="auto"/>
                      <w:jc w:val="center"/>
                      <w:rPr>
                        <w:b/>
                        <w:sz w:val="20"/>
                      </w:rPr>
                    </w:pPr>
                    <w:r>
                      <w:rPr>
                        <w:b/>
                        <w:sz w:val="20"/>
                      </w:rPr>
                      <w:t>5</w:t>
                    </w:r>
                  </w:p>
                </w:tc>
                <w:tc>
                  <w:tcPr>
                    <w:tcW w:w="945" w:type="dxa"/>
                    <w:shd w:val="clear" w:color="auto" w:fill="DBE5F1" w:themeFill="accent1" w:themeFillTint="33"/>
                  </w:tcPr>
                  <w:p>
                    <w:pPr>
                      <w:jc w:val="center"/>
                      <w:rPr>
                        <w:b/>
                        <w:sz w:val="20"/>
                      </w:rPr>
                    </w:pPr>
                    <w:r>
                      <w:rPr>
                        <w:b/>
                        <w:sz w:val="20"/>
                      </w:rPr>
                      <w:t>6</w:t>
                    </w:r>
                  </w:p>
                </w:tc>
                <w:tc>
                  <w:tcPr>
                    <w:tcW w:w="1079" w:type="dxa"/>
                    <w:shd w:val="clear" w:color="auto" w:fill="DBE5F1" w:themeFill="accent1" w:themeFillTint="33"/>
                  </w:tcPr>
                  <w:p>
                    <w:pPr>
                      <w:jc w:val="center"/>
                      <w:rPr>
                        <w:b/>
                        <w:sz w:val="20"/>
                      </w:rPr>
                    </w:pPr>
                    <w:r>
                      <w:rPr>
                        <w:b/>
                        <w:sz w:val="20"/>
                      </w:rPr>
                      <w:t>7</w:t>
                    </w:r>
                  </w:p>
                </w:tc>
                <w:tc>
                  <w:tcPr>
                    <w:tcW w:w="1344" w:type="dxa"/>
                    <w:shd w:val="clear" w:color="auto" w:fill="DBE5F1" w:themeFill="accent1" w:themeFillTint="33"/>
                  </w:tcPr>
                  <w:p>
                    <w:pPr>
                      <w:spacing w:line="276" w:lineRule="auto"/>
                      <w:jc w:val="center"/>
                      <w:rPr>
                        <w:b/>
                        <w:sz w:val="20"/>
                      </w:rPr>
                    </w:pPr>
                    <w:r>
                      <w:rPr>
                        <w:b/>
                        <w:sz w:val="20"/>
                      </w:rPr>
                      <w:t>8</w:t>
                    </w:r>
                  </w:p>
                </w:tc>
              </w:tr>
              <w:tr>
                <w:trPr>
                  <w:trHeight w:val="330"/>
                </w:trPr>
                <w:tc>
                  <w:tcPr>
                    <w:tcW w:w="1346" w:type="dxa"/>
                    <w:shd w:val="clear" w:color="auto" w:fill="FFFFFF" w:themeFill="background1"/>
                  </w:tcPr>
                  <w:p>
                    <w:pPr>
                      <w:rPr>
                        <w:color w:val="FFFFFF"/>
                        <w:sz w:val="20"/>
                      </w:rPr>
                    </w:pPr>
                    <w:r>
                      <w:rPr>
                        <w:sz w:val="20"/>
                      </w:rPr>
                      <w:t>R-11-002-02-11-01-01</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Išvengiamų hospitalizacijų skaičius </w:t>
                    </w:r>
                  </w:p>
                </w:tc>
                <w:tc>
                  <w:tcPr>
                    <w:tcW w:w="1078" w:type="dxa"/>
                    <w:shd w:val="clear" w:color="auto" w:fill="FFFFFF" w:themeFill="background1"/>
                  </w:tcPr>
                  <w:p>
                    <w:pPr>
                      <w:jc w:val="center"/>
                      <w:rPr>
                        <w:color w:val="FFFFFF"/>
                        <w:sz w:val="20"/>
                      </w:rPr>
                    </w:pPr>
                    <w:r>
                      <w:rPr>
                        <w:sz w:val="20"/>
                      </w:rPr>
                      <w:t>Skaičius 1000 gyventojų</w:t>
                    </w:r>
                  </w:p>
                </w:tc>
                <w:tc>
                  <w:tcPr>
                    <w:tcW w:w="1078" w:type="dxa"/>
                    <w:shd w:val="clear" w:color="auto" w:fill="FFFFFF" w:themeFill="background1"/>
                  </w:tcPr>
                  <w:p>
                    <w:pPr>
                      <w:jc w:val="center"/>
                      <w:rPr>
                        <w:sz w:val="20"/>
                      </w:rPr>
                    </w:pPr>
                    <w:r>
                      <w:rPr>
                        <w:sz w:val="20"/>
                      </w:rPr>
                      <w:t>31,4</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17</w:t>
                    </w:r>
                  </w:p>
                </w:tc>
                <w:tc>
                  <w:tcPr>
                    <w:tcW w:w="1079" w:type="dxa"/>
                    <w:shd w:val="clear" w:color="auto" w:fill="FFFFFF" w:themeFill="background1"/>
                  </w:tcPr>
                  <w:p>
                    <w:pPr>
                      <w:jc w:val="center"/>
                      <w:rPr>
                        <w:sz w:val="20"/>
                        <w:lang w:val="en-US"/>
                      </w:rPr>
                    </w:pPr>
                    <w:r>
                      <w:rPr>
                        <w:sz w:val="20"/>
                        <w:lang w:val="en-US"/>
                      </w:rPr>
                      <w:t>16</w:t>
                    </w:r>
                  </w:p>
                  <w:p>
                    <w:pPr>
                      <w:jc w:val="center"/>
                      <w:rPr>
                        <w:color w:val="FFFFFF"/>
                        <w:sz w:val="20"/>
                      </w:rPr>
                    </w:pPr>
                    <w:r>
                      <w:rPr>
                        <w:sz w:val="20"/>
                        <w:lang w:val="en-US"/>
                      </w:rPr>
                      <w:t>(2 029 m.)</w:t>
                    </w:r>
                  </w:p>
                </w:tc>
                <w:tc>
                  <w:tcPr>
                    <w:tcW w:w="1344" w:type="dxa"/>
                    <w:shd w:val="clear" w:color="auto" w:fill="FFFFFF" w:themeFill="background1"/>
                  </w:tcPr>
                  <w:p>
                    <w:pPr>
                      <w:jc w:val="center"/>
                      <w:rPr>
                        <w:bCs/>
                        <w:sz w:val="20"/>
                      </w:rPr>
                    </w:pPr>
                    <w:r>
                      <w:rPr>
                        <w:bCs/>
                        <w:sz w:val="20"/>
                      </w:rPr>
                      <w:t>Ekonomikos gaivinimo ir atsparumo didinimo priemonės lėšos (toliau – EGADP); 2021–2027 m. Europos Sąjungos fondų investicijų programos lėšos (toliau – 2021</w:t>
                    </w:r>
                    <w:r>
                      <w:rPr>
                        <w:color w:val="000000"/>
                        <w:szCs w:val="24"/>
                      </w:rPr>
                      <w:t>–</w:t>
                    </w:r>
                    <w:r>
                      <w:rPr>
                        <w:bCs/>
                        <w:sz w:val="20"/>
                      </w:rPr>
                      <w:t xml:space="preserve">2027 m. IP) </w:t>
                    </w:r>
                  </w:p>
                  <w:p>
                    <w:pPr>
                      <w:jc w:val="center"/>
                      <w:rPr>
                        <w:color w:val="FFFFFF"/>
                        <w:sz w:val="20"/>
                      </w:rPr>
                    </w:pPr>
                    <w:r>
                      <w:rPr>
                        <w:bCs/>
                        <w:sz w:val="20"/>
                      </w:rPr>
                      <w:t xml:space="preserve">Europos regioninės plėtros fondas (toliau </w:t>
                    </w:r>
                    <w:r>
                      <w:rPr>
                        <w:color w:val="000000"/>
                        <w:szCs w:val="24"/>
                      </w:rPr>
                      <w:t>–</w:t>
                    </w:r>
                    <w:r>
                      <w:rPr>
                        <w:bCs/>
                        <w:sz w:val="20"/>
                      </w:rPr>
                      <w:t xml:space="preserve"> ERPF))  </w:t>
                    </w:r>
                  </w:p>
                </w:tc>
              </w:tr>
              <w:tr>
                <w:trPr>
                  <w:trHeight w:val="330"/>
                </w:trPr>
                <w:tc>
                  <w:tcPr>
                    <w:tcW w:w="1346" w:type="dxa"/>
                    <w:shd w:val="clear" w:color="auto" w:fill="FFFFFF" w:themeFill="background1"/>
                  </w:tcPr>
                  <w:p>
                    <w:pPr>
                      <w:rPr>
                        <w:color w:val="FFFFFF"/>
                        <w:sz w:val="20"/>
                      </w:rPr>
                    </w:pPr>
                    <w:r>
                      <w:rPr>
                        <w:sz w:val="20"/>
                      </w:rPr>
                      <w:t>R-11-002-02-11-01-02</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Šeimos gydytojo ir jo komandos narių suteiktų sveikatos priežiūros paslaugų santykis</w:t>
                    </w:r>
                    <w:r>
                      <w:rPr>
                        <w:sz w:val="20"/>
                        <w:vertAlign w:val="superscript"/>
                      </w:rPr>
                      <w:t>1</w:t>
                    </w:r>
                  </w:p>
                </w:tc>
                <w:tc>
                  <w:tcPr>
                    <w:tcW w:w="1078" w:type="dxa"/>
                    <w:shd w:val="clear" w:color="auto" w:fill="FFFFFF" w:themeFill="background1"/>
                  </w:tcPr>
                  <w:p>
                    <w:pPr>
                      <w:jc w:val="center"/>
                      <w:rPr>
                        <w:color w:val="FFFFFF"/>
                        <w:sz w:val="20"/>
                      </w:rPr>
                    </w:pPr>
                    <w:r>
                      <w:rPr>
                        <w:sz w:val="20"/>
                      </w:rPr>
                      <w:t>Santykis</w:t>
                    </w:r>
                  </w:p>
                </w:tc>
                <w:tc>
                  <w:tcPr>
                    <w:tcW w:w="1078" w:type="dxa"/>
                    <w:shd w:val="clear" w:color="auto" w:fill="FFFFFF" w:themeFill="background1"/>
                  </w:tcPr>
                  <w:p>
                    <w:pPr>
                      <w:jc w:val="center"/>
                      <w:rPr>
                        <w:sz w:val="20"/>
                      </w:rPr>
                    </w:pPr>
                    <w:r>
                      <w:rPr>
                        <w:sz w:val="20"/>
                      </w:rPr>
                      <w:t>86/14</w:t>
                    </w:r>
                  </w:p>
                  <w:p>
                    <w:pPr>
                      <w:jc w:val="center"/>
                      <w:rPr>
                        <w:color w:val="FFFFFF"/>
                        <w:sz w:val="20"/>
                      </w:rPr>
                    </w:pPr>
                    <w:r>
                      <w:rPr>
                        <w:sz w:val="20"/>
                      </w:rPr>
                      <w:t>(2021 m.)</w:t>
                    </w:r>
                  </w:p>
                </w:tc>
                <w:tc>
                  <w:tcPr>
                    <w:tcW w:w="945" w:type="dxa"/>
                    <w:shd w:val="clear" w:color="auto" w:fill="FFFFFF" w:themeFill="background1"/>
                  </w:tcPr>
                  <w:p>
                    <w:pPr>
                      <w:jc w:val="center"/>
                      <w:rPr>
                        <w:sz w:val="20"/>
                      </w:rPr>
                    </w:pPr>
                    <w:r>
                      <w:rPr>
                        <w:sz w:val="20"/>
                      </w:rPr>
                      <w:t xml:space="preserve">60/40 </w:t>
                    </w:r>
                  </w:p>
                  <w:p>
                    <w:pPr>
                      <w:jc w:val="center"/>
                      <w:rPr>
                        <w:color w:val="FFFFFF"/>
                        <w:sz w:val="20"/>
                      </w:rPr>
                    </w:pPr>
                  </w:p>
                </w:tc>
                <w:tc>
                  <w:tcPr>
                    <w:tcW w:w="1079" w:type="dxa"/>
                    <w:shd w:val="clear" w:color="auto" w:fill="FFFFFF" w:themeFill="background1"/>
                  </w:tcPr>
                  <w:p>
                    <w:pPr>
                      <w:jc w:val="center"/>
                      <w:rPr>
                        <w:sz w:val="20"/>
                      </w:rPr>
                    </w:pPr>
                    <w:r>
                      <w:rPr>
                        <w:sz w:val="20"/>
                      </w:rPr>
                      <w:t>40/60</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 xml:space="preserve">2027 m. IP (ERPF) </w:t>
                    </w:r>
                  </w:p>
                </w:tc>
              </w:tr>
              <w:tr>
                <w:trPr>
                  <w:trHeight w:val="330"/>
                </w:trPr>
                <w:tc>
                  <w:tcPr>
                    <w:tcW w:w="1346" w:type="dxa"/>
                    <w:shd w:val="clear" w:color="auto" w:fill="FFFFFF" w:themeFill="background1"/>
                  </w:tcPr>
                  <w:p>
                    <w:pPr>
                      <w:rPr>
                        <w:sz w:val="20"/>
                      </w:rPr>
                    </w:pPr>
                    <w:r>
                      <w:rPr>
                        <w:sz w:val="20"/>
                      </w:rPr>
                      <w:t>R-11-002-02-11-01-03</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rPr>
                    </w:pPr>
                    <w:r>
                      <w:rPr>
                        <w:sz w:val="20"/>
                      </w:rPr>
                      <w:t xml:space="preserve">Tikslinių grupių asmenų, kurių gyvenimo kokybė pagerėjo gavus naujas ar patobulintas psichikos sveikatos priežiūros paslaugas, dalis </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25</w:t>
                    </w:r>
                  </w:p>
                  <w:p>
                    <w:pPr>
                      <w:jc w:val="center"/>
                      <w:rPr>
                        <w:sz w:val="20"/>
                      </w:rPr>
                    </w:pPr>
                    <w:r>
                      <w:rPr>
                        <w:sz w:val="20"/>
                        <w:lang w:val="en-US"/>
                      </w:rPr>
                      <w:t>(2029 m.)</w:t>
                    </w:r>
                  </w:p>
                </w:tc>
                <w:tc>
                  <w:tcPr>
                    <w:tcW w:w="1344" w:type="dxa"/>
                    <w:shd w:val="clear" w:color="auto" w:fill="FFFFFF" w:themeFill="background1"/>
                  </w:tcPr>
                  <w:p>
                    <w:pPr>
                      <w:jc w:val="center"/>
                      <w:rPr>
                        <w:bCs/>
                        <w:sz w:val="20"/>
                      </w:rPr>
                    </w:pPr>
                    <w:r>
                      <w:rPr>
                        <w:bCs/>
                        <w:sz w:val="20"/>
                      </w:rPr>
                      <w:t>2021–2027 m. IP (Europos socialinis fondas + (toliau – ESF+))</w:t>
                    </w:r>
                  </w:p>
                </w:tc>
              </w:tr>
              <w:tr>
                <w:trPr>
                  <w:trHeight w:val="330"/>
                </w:trPr>
                <w:tc>
                  <w:tcPr>
                    <w:tcW w:w="1346" w:type="dxa"/>
                    <w:shd w:val="clear" w:color="auto" w:fill="FFFFFF" w:themeFill="background1"/>
                  </w:tcPr>
                  <w:p>
                    <w:pPr>
                      <w:rPr>
                        <w:color w:val="FFFFFF"/>
                        <w:sz w:val="20"/>
                      </w:rPr>
                    </w:pPr>
                    <w:r>
                      <w:rPr>
                        <w:sz w:val="20"/>
                      </w:rPr>
                      <w:t>R-11-002-02-11-01-04</w:t>
                    </w:r>
                  </w:p>
                </w:tc>
                <w:tc>
                  <w:tcPr>
                    <w:tcW w:w="1079" w:type="dxa"/>
                    <w:shd w:val="clear" w:color="auto" w:fill="FFFFFF" w:themeFill="background1"/>
                  </w:tcPr>
                  <w:p>
                    <w:pPr>
                      <w:rPr>
                        <w:color w:val="FFFFFF"/>
                        <w:sz w:val="20"/>
                      </w:rPr>
                    </w:pPr>
                    <w:r>
                      <w:rPr>
                        <w:sz w:val="20"/>
                      </w:rPr>
                      <w:t xml:space="preserve">Rezultato </w:t>
                    </w:r>
                  </w:p>
                </w:tc>
                <w:tc>
                  <w:tcPr>
                    <w:tcW w:w="2541" w:type="dxa"/>
                    <w:shd w:val="clear" w:color="auto" w:fill="FFFFFF" w:themeFill="background1"/>
                  </w:tcPr>
                  <w:p>
                    <w:pPr>
                      <w:rPr>
                        <w:color w:val="FFFFFF"/>
                        <w:sz w:val="20"/>
                      </w:rPr>
                    </w:pPr>
                    <w:r>
                      <w:rPr>
                        <w:sz w:val="20"/>
                      </w:rPr>
                      <w:t xml:space="preserve">Ambulatorines ilgalaikės priežiūros paslaugas gaunančių pacientų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w:t>
                    </w:r>
                  </w:p>
                  <w:p>
                    <w:pPr>
                      <w:jc w:val="center"/>
                      <w:rPr>
                        <w:color w:val="FFFFFF"/>
                        <w:sz w:val="20"/>
                      </w:rPr>
                    </w:pPr>
                    <w:r>
                      <w:rPr>
                        <w:sz w:val="20"/>
                      </w:rPr>
                      <w:t>(2020 m.)</w:t>
                    </w:r>
                  </w:p>
                </w:tc>
                <w:tc>
                  <w:tcPr>
                    <w:tcW w:w="945" w:type="dxa"/>
                    <w:shd w:val="clear" w:color="auto" w:fill="FFFFFF" w:themeFill="background1"/>
                  </w:tcPr>
                  <w:p>
                    <w:pPr>
                      <w:jc w:val="center"/>
                      <w:rPr>
                        <w:sz w:val="20"/>
                      </w:rPr>
                    </w:pPr>
                    <w:r>
                      <w:rPr>
                        <w:sz w:val="20"/>
                      </w:rPr>
                      <w:t>30</w:t>
                    </w:r>
                  </w:p>
                  <w:p>
                    <w:pPr>
                      <w:jc w:val="center"/>
                      <w:rPr>
                        <w:sz w:val="20"/>
                      </w:rPr>
                    </w:pPr>
                    <w:r>
                      <w:rPr>
                        <w:sz w:val="20"/>
                      </w:rPr>
                      <w:t>(2025 m. II ketv.)</w:t>
                    </w:r>
                  </w:p>
                  <w:p>
                    <w:pPr>
                      <w:jc w:val="center"/>
                      <w:rPr>
                        <w:color w:val="FFFFFF"/>
                        <w:sz w:val="20"/>
                      </w:rPr>
                    </w:pPr>
                  </w:p>
                </w:tc>
                <w:tc>
                  <w:tcPr>
                    <w:tcW w:w="1079" w:type="dxa"/>
                    <w:shd w:val="clear" w:color="auto" w:fill="FFFFFF" w:themeFill="background1"/>
                  </w:tcPr>
                  <w:p>
                    <w:pPr>
                      <w:jc w:val="center"/>
                      <w:rPr>
                        <w:sz w:val="20"/>
                      </w:rPr>
                    </w:pPr>
                    <w:r>
                      <w:rPr>
                        <w:sz w:val="20"/>
                      </w:rPr>
                      <w:t>60</w:t>
                    </w:r>
                  </w:p>
                  <w:p>
                    <w:pPr>
                      <w:jc w:val="center"/>
                      <w:rPr>
                        <w:sz w:val="20"/>
                      </w:rPr>
                    </w:pPr>
                    <w:r>
                      <w:rPr>
                        <w:sz w:val="20"/>
                      </w:rPr>
                      <w:t>(2026 m. I ketv.)</w:t>
                    </w:r>
                  </w:p>
                  <w:p>
                    <w:pPr>
                      <w:jc w:val="center"/>
                      <w:rPr>
                        <w:color w:val="FFFFFF"/>
                        <w:sz w:val="20"/>
                      </w:rPr>
                    </w:pPr>
                  </w:p>
                </w:tc>
                <w:tc>
                  <w:tcPr>
                    <w:tcW w:w="1344" w:type="dxa"/>
                    <w:shd w:val="clear" w:color="auto" w:fill="FFFFFF" w:themeFill="background1"/>
                  </w:tcPr>
                  <w:p>
                    <w:pPr>
                      <w:jc w:val="center"/>
                      <w:rPr>
                        <w:color w:val="FFFFFF"/>
                        <w:sz w:val="20"/>
                      </w:rPr>
                    </w:pPr>
                    <w:r>
                      <w:rPr>
                        <w:bCs/>
                        <w:sz w:val="20"/>
                      </w:rPr>
                      <w:t xml:space="preserve">EGADP </w:t>
                    </w:r>
                  </w:p>
                </w:tc>
              </w:tr>
              <w:tr>
                <w:trPr>
                  <w:trHeight w:val="330"/>
                </w:trPr>
                <w:tc>
                  <w:tcPr>
                    <w:tcW w:w="1346" w:type="dxa"/>
                    <w:shd w:val="clear" w:color="auto" w:fill="FFFFFF" w:themeFill="background1"/>
                  </w:tcPr>
                  <w:p>
                    <w:pPr>
                      <w:rPr>
                        <w:color w:val="FFFFFF"/>
                        <w:sz w:val="20"/>
                      </w:rPr>
                    </w:pPr>
                    <w:r>
                      <w:rPr>
                        <w:sz w:val="20"/>
                      </w:rPr>
                      <w:t>R-11-002-02-11-01-05</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Mirštamumas nuo miokardo infarkto per 30 dienų nuo hospitalizacijos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13,3</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11,5</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9</w:t>
                    </w:r>
                  </w:p>
                  <w:p>
                    <w:pPr>
                      <w:jc w:val="center"/>
                      <w:rPr>
                        <w:color w:val="FFFFFF"/>
                        <w:sz w:val="20"/>
                      </w:rPr>
                    </w:pPr>
                  </w:p>
                </w:tc>
                <w:tc>
                  <w:tcPr>
                    <w:tcW w:w="1344" w:type="dxa"/>
                    <w:shd w:val="clear" w:color="auto" w:fill="FFFFFF" w:themeFill="background1"/>
                  </w:tcPr>
                  <w:p>
                    <w:pPr>
                      <w:jc w:val="center"/>
                      <w:rPr>
                        <w:bCs/>
                        <w:sz w:val="20"/>
                      </w:rPr>
                    </w:pPr>
                    <w:r>
                      <w:rPr>
                        <w:bCs/>
                        <w:sz w:val="20"/>
                      </w:rPr>
                      <w:t>EGADP;</w:t>
                    </w:r>
                  </w:p>
                  <w:p>
                    <w:pPr>
                      <w:jc w:val="center"/>
                      <w:rPr>
                        <w:color w:val="FFFFFF"/>
                        <w:sz w:val="20"/>
                      </w:rPr>
                    </w:pPr>
                    <w:r>
                      <w:rPr>
                        <w:sz w:val="20"/>
                      </w:rPr>
                      <w:t>2021</w:t>
                    </w:r>
                    <w:r>
                      <w:rPr>
                        <w:color w:val="000000"/>
                        <w:szCs w:val="24"/>
                      </w:rPr>
                      <w:t>–</w:t>
                    </w:r>
                    <w:r>
                      <w:rPr>
                        <w:sz w:val="20"/>
                      </w:rPr>
                      <w:t>2027 m. IP (ERPF, ESF+)</w:t>
                    </w:r>
                  </w:p>
                </w:tc>
              </w:tr>
              <w:tr>
                <w:trPr>
                  <w:trHeight w:val="330"/>
                </w:trPr>
                <w:tc>
                  <w:tcPr>
                    <w:tcW w:w="1346" w:type="dxa"/>
                    <w:shd w:val="clear" w:color="auto" w:fill="FFFFFF" w:themeFill="background1"/>
                  </w:tcPr>
                  <w:p>
                    <w:pPr>
                      <w:rPr>
                        <w:color w:val="FFFFFF"/>
                        <w:sz w:val="20"/>
                      </w:rPr>
                    </w:pPr>
                    <w:r>
                      <w:rPr>
                        <w:sz w:val="20"/>
                      </w:rPr>
                      <w:t>R-11-002-02-11-01-06</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Mirštamumas nuo išeminio galvos smegenų insulto per 30 dienų po hospitalizacijos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18,24</w:t>
                    </w:r>
                  </w:p>
                  <w:p>
                    <w:pPr>
                      <w:jc w:val="center"/>
                      <w:rPr>
                        <w:color w:val="FFFFFF"/>
                        <w:sz w:val="20"/>
                      </w:rPr>
                    </w:pPr>
                    <w:r>
                      <w:rPr>
                        <w:sz w:val="20"/>
                      </w:rPr>
                      <w:t xml:space="preserve">(2019 m.)  </w:t>
                    </w:r>
                  </w:p>
                </w:tc>
                <w:tc>
                  <w:tcPr>
                    <w:tcW w:w="945" w:type="dxa"/>
                    <w:shd w:val="clear" w:color="auto" w:fill="FFFFFF" w:themeFill="background1"/>
                  </w:tcPr>
                  <w:p>
                    <w:pPr>
                      <w:jc w:val="center"/>
                      <w:rPr>
                        <w:sz w:val="20"/>
                      </w:rPr>
                    </w:pPr>
                    <w:r>
                      <w:rPr>
                        <w:sz w:val="20"/>
                      </w:rPr>
                      <w:t>14</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12</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(ERPF, ESF+)</w:t>
                    </w:r>
                  </w:p>
                  <w:p>
                    <w:pPr>
                      <w:jc w:val="center"/>
                      <w:rPr>
                        <w:color w:val="FFFFFF"/>
                        <w:sz w:val="20"/>
                      </w:rPr>
                    </w:pPr>
                    <w:r>
                      <w:rPr>
                        <w:color w:val="FFFFFF"/>
                        <w:sz w:val="20"/>
                      </w:rPr>
                      <w:t>EFPR; ESF+</w:t>
                    </w:r>
                  </w:p>
                </w:tc>
              </w:tr>
              <w:tr>
                <w:trPr>
                  <w:trHeight w:val="330"/>
                </w:trPr>
                <w:tc>
                  <w:tcPr>
                    <w:tcW w:w="1346" w:type="dxa"/>
                    <w:shd w:val="clear" w:color="auto" w:fill="FFFFFF" w:themeFill="background1"/>
                  </w:tcPr>
                  <w:p>
                    <w:pPr>
                      <w:rPr>
                        <w:color w:val="FFFFFF"/>
                        <w:sz w:val="20"/>
                      </w:rPr>
                    </w:pPr>
                    <w:r>
                      <w:rPr>
                        <w:sz w:val="20"/>
                      </w:rPr>
                      <w:t>R-11-002-02-11-01-07</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Asmenų, kuriems onkologinė liga diagnozuota ankstyvoje stadijoje (I–II st.), dalis</w:t>
                    </w:r>
                    <w:r>
                      <w:rPr>
                        <w:sz w:val="20"/>
                        <w:vertAlign w:val="superscript"/>
                      </w:rPr>
                      <w:t>1</w:t>
                    </w:r>
                  </w:p>
                </w:tc>
                <w:tc>
                  <w:tcPr>
                    <w:tcW w:w="1078" w:type="dxa"/>
                    <w:shd w:val="clear" w:color="auto" w:fill="FFFFFF" w:themeFill="background1"/>
                  </w:tcPr>
                  <w:p>
                    <w:pPr>
                      <w:jc w:val="center"/>
                      <w:rPr>
                        <w:color w:val="FFFFFF"/>
                        <w:sz w:val="20"/>
                      </w:rPr>
                    </w:pPr>
                    <w:r>
                      <w:rPr>
                        <w:sz w:val="20"/>
                      </w:rPr>
                      <w:t>Proc. nuo visų naujai diagnozuo-tų navikų</w:t>
                    </w:r>
                  </w:p>
                </w:tc>
                <w:tc>
                  <w:tcPr>
                    <w:tcW w:w="1078" w:type="dxa"/>
                    <w:shd w:val="clear" w:color="auto" w:fill="FFFFFF" w:themeFill="background1"/>
                  </w:tcPr>
                  <w:p>
                    <w:pPr>
                      <w:jc w:val="center"/>
                      <w:rPr>
                        <w:sz w:val="20"/>
                      </w:rPr>
                    </w:pPr>
                    <w:r>
                      <w:rPr>
                        <w:sz w:val="20"/>
                      </w:rPr>
                      <w:t>47,0</w:t>
                    </w:r>
                  </w:p>
                  <w:p>
                    <w:pPr>
                      <w:jc w:val="center"/>
                      <w:rPr>
                        <w:color w:val="FFFFFF"/>
                        <w:sz w:val="20"/>
                      </w:rPr>
                    </w:pPr>
                    <w:r>
                      <w:rPr>
                        <w:sz w:val="20"/>
                      </w:rPr>
                      <w:t>(2014 m.)</w:t>
                    </w:r>
                  </w:p>
                </w:tc>
                <w:tc>
                  <w:tcPr>
                    <w:tcW w:w="945" w:type="dxa"/>
                    <w:shd w:val="clear" w:color="auto" w:fill="FFFFFF" w:themeFill="background1"/>
                  </w:tcPr>
                  <w:p>
                    <w:pPr>
                      <w:jc w:val="center"/>
                      <w:rPr>
                        <w:sz w:val="20"/>
                      </w:rPr>
                    </w:pPr>
                    <w:r>
                      <w:rPr>
                        <w:sz w:val="20"/>
                      </w:rPr>
                      <w:t>52</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60,0</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 xml:space="preserve">2027 m. IP (ERPF) </w:t>
                    </w:r>
                  </w:p>
                </w:tc>
              </w:tr>
              <w:tr>
                <w:trPr>
                  <w:trHeight w:val="330"/>
                </w:trPr>
                <w:tc>
                  <w:tcPr>
                    <w:tcW w:w="1346" w:type="dxa"/>
                    <w:shd w:val="clear" w:color="auto" w:fill="FFFFFF" w:themeFill="background1"/>
                  </w:tcPr>
                  <w:p>
                    <w:pPr>
                      <w:rPr>
                        <w:color w:val="FFFFFF"/>
                        <w:sz w:val="20"/>
                      </w:rPr>
                    </w:pPr>
                    <w:r>
                      <w:rPr>
                        <w:sz w:val="20"/>
                      </w:rPr>
                      <w:t>R-11-002-02-11-01-08</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Bendras 5 metų išgyvenamumas sergant krūties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77,1</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80</w:t>
                    </w:r>
                  </w:p>
                  <w:p>
                    <w:pPr>
                      <w:jc w:val="center"/>
                      <w:rPr>
                        <w:color w:val="FFFFFF"/>
                        <w:sz w:val="20"/>
                      </w:rPr>
                    </w:pPr>
                  </w:p>
                </w:tc>
                <w:tc>
                  <w:tcPr>
                    <w:tcW w:w="1079" w:type="dxa"/>
                    <w:shd w:val="clear" w:color="auto" w:fill="FFFFFF" w:themeFill="background1"/>
                  </w:tcPr>
                  <w:p>
                    <w:pPr>
                      <w:jc w:val="center"/>
                      <w:rPr>
                        <w:sz w:val="20"/>
                      </w:rPr>
                    </w:pPr>
                    <w:r>
                      <w:rPr>
                        <w:sz w:val="20"/>
                      </w:rPr>
                      <w:t>83</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valstybės biudžeto lėšos (toliau – VB)</w:t>
                    </w:r>
                  </w:p>
                  <w:p>
                    <w:pPr>
                      <w:jc w:val="center"/>
                      <w:rPr>
                        <w:color w:val="FFFFFF"/>
                        <w:sz w:val="20"/>
                      </w:rPr>
                    </w:pPr>
                  </w:p>
                </w:tc>
              </w:tr>
              <w:tr>
                <w:trPr>
                  <w:trHeight w:val="330"/>
                </w:trPr>
                <w:tc>
                  <w:tcPr>
                    <w:tcW w:w="1346" w:type="dxa"/>
                    <w:shd w:val="clear" w:color="auto" w:fill="FFFFFF" w:themeFill="background1"/>
                  </w:tcPr>
                  <w:p>
                    <w:pPr>
                      <w:rPr>
                        <w:color w:val="FFFFFF"/>
                        <w:sz w:val="20"/>
                      </w:rPr>
                    </w:pPr>
                    <w:r>
                      <w:rPr>
                        <w:sz w:val="20"/>
                      </w:rPr>
                      <w:t>R-11-002-02-11-01-09</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5 metų išgyvenamumas sergant gimdos kaklelio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62,9</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64,8</w:t>
                    </w:r>
                  </w:p>
                  <w:p>
                    <w:pPr>
                      <w:jc w:val="center"/>
                      <w:rPr>
                        <w:color w:val="FFFFFF"/>
                        <w:sz w:val="20"/>
                      </w:rPr>
                    </w:pPr>
                  </w:p>
                </w:tc>
                <w:tc>
                  <w:tcPr>
                    <w:tcW w:w="1079" w:type="dxa"/>
                    <w:shd w:val="clear" w:color="auto" w:fill="FFFFFF" w:themeFill="background1"/>
                  </w:tcPr>
                  <w:p>
                    <w:pPr>
                      <w:jc w:val="center"/>
                      <w:rPr>
                        <w:sz w:val="20"/>
                      </w:rPr>
                    </w:pPr>
                    <w:r>
                      <w:rPr>
                        <w:sz w:val="20"/>
                      </w:rPr>
                      <w:t>67,9</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VB</w:t>
                    </w:r>
                  </w:p>
                  <w:p>
                    <w:pPr>
                      <w:jc w:val="center"/>
                      <w:rPr>
                        <w:color w:val="FFFFFF"/>
                        <w:sz w:val="20"/>
                      </w:rPr>
                    </w:pPr>
                  </w:p>
                </w:tc>
              </w:tr>
              <w:tr>
                <w:trPr>
                  <w:trHeight w:val="330"/>
                </w:trPr>
                <w:tc>
                  <w:tcPr>
                    <w:tcW w:w="1346" w:type="dxa"/>
                    <w:shd w:val="clear" w:color="auto" w:fill="FFFFFF" w:themeFill="background1"/>
                  </w:tcPr>
                  <w:p>
                    <w:pPr>
                      <w:rPr>
                        <w:color w:val="FFFFFF"/>
                        <w:sz w:val="20"/>
                      </w:rPr>
                    </w:pPr>
                    <w:r>
                      <w:rPr>
                        <w:sz w:val="20"/>
                      </w:rPr>
                      <w:t>R-11-002-02-11-01-10</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Vyrų 5 metų išgyvenamumas sergant storosios žarnos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50</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52</w:t>
                    </w:r>
                  </w:p>
                  <w:p>
                    <w:pPr>
                      <w:jc w:val="center"/>
                      <w:rPr>
                        <w:color w:val="FFFFFF"/>
                        <w:sz w:val="20"/>
                      </w:rPr>
                    </w:pPr>
                  </w:p>
                </w:tc>
                <w:tc>
                  <w:tcPr>
                    <w:tcW w:w="1079" w:type="dxa"/>
                    <w:shd w:val="clear" w:color="auto" w:fill="FFFFFF" w:themeFill="background1"/>
                  </w:tcPr>
                  <w:p>
                    <w:pPr>
                      <w:jc w:val="center"/>
                      <w:rPr>
                        <w:sz w:val="20"/>
                      </w:rPr>
                    </w:pPr>
                    <w:r>
                      <w:rPr>
                        <w:sz w:val="20"/>
                      </w:rPr>
                      <w:t>55</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VB</w:t>
                    </w:r>
                  </w:p>
                  <w:p>
                    <w:pPr>
                      <w:jc w:val="center"/>
                      <w:rPr>
                        <w:color w:val="FFFFFF"/>
                        <w:sz w:val="20"/>
                      </w:rPr>
                    </w:pPr>
                    <w:r>
                      <w:rPr>
                        <w:color w:val="FFFFFF"/>
                        <w:sz w:val="20"/>
                      </w:rPr>
                      <w:t>ESF+; VB</w:t>
                    </w:r>
                  </w:p>
                </w:tc>
              </w:tr>
              <w:tr>
                <w:trPr>
                  <w:trHeight w:val="330"/>
                </w:trPr>
                <w:tc>
                  <w:tcPr>
                    <w:tcW w:w="1346" w:type="dxa"/>
                    <w:shd w:val="clear" w:color="auto" w:fill="FFFFFF" w:themeFill="background1"/>
                  </w:tcPr>
                  <w:p>
                    <w:pPr>
                      <w:rPr>
                        <w:color w:val="FFFFFF"/>
                        <w:sz w:val="20"/>
                      </w:rPr>
                    </w:pPr>
                    <w:r>
                      <w:rPr>
                        <w:sz w:val="20"/>
                      </w:rPr>
                      <w:t>R-11-002-02-11-01-11</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Moterų 5 metų išgyvenamumas sergant storosios žarnos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57,5</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59</w:t>
                    </w:r>
                  </w:p>
                  <w:p>
                    <w:pPr>
                      <w:jc w:val="center"/>
                      <w:rPr>
                        <w:color w:val="FFFFFF"/>
                        <w:sz w:val="20"/>
                      </w:rPr>
                    </w:pPr>
                  </w:p>
                </w:tc>
                <w:tc>
                  <w:tcPr>
                    <w:tcW w:w="1079" w:type="dxa"/>
                    <w:shd w:val="clear" w:color="auto" w:fill="FFFFFF" w:themeFill="background1"/>
                  </w:tcPr>
                  <w:p>
                    <w:pPr>
                      <w:jc w:val="center"/>
                      <w:rPr>
                        <w:sz w:val="20"/>
                      </w:rPr>
                    </w:pPr>
                    <w:r>
                      <w:rPr>
                        <w:sz w:val="20"/>
                      </w:rPr>
                      <w:t>62,5</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VB</w:t>
                    </w:r>
                  </w:p>
                  <w:p>
                    <w:pPr>
                      <w:jc w:val="center"/>
                      <w:rPr>
                        <w:color w:val="FFFFFF"/>
                        <w:sz w:val="20"/>
                      </w:rPr>
                    </w:pPr>
                  </w:p>
                </w:tc>
              </w:tr>
              <w:tr>
                <w:trPr>
                  <w:trHeight w:val="330"/>
                </w:trPr>
                <w:tc>
                  <w:tcPr>
                    <w:tcW w:w="1346" w:type="dxa"/>
                    <w:shd w:val="clear" w:color="auto" w:fill="FFFFFF" w:themeFill="background1"/>
                  </w:tcPr>
                  <w:p>
                    <w:pPr>
                      <w:rPr>
                        <w:color w:val="FFFFFF"/>
                        <w:sz w:val="20"/>
                      </w:rPr>
                    </w:pPr>
                    <w:r>
                      <w:rPr>
                        <w:sz w:val="20"/>
                      </w:rPr>
                      <w:t>R-11-002-02-11-01-12</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Efektyvių organų donorų skaičius</w:t>
                    </w:r>
                  </w:p>
                </w:tc>
                <w:tc>
                  <w:tcPr>
                    <w:tcW w:w="1078" w:type="dxa"/>
                    <w:shd w:val="clear" w:color="auto" w:fill="FFFFFF" w:themeFill="background1"/>
                  </w:tcPr>
                  <w:p>
                    <w:pPr>
                      <w:jc w:val="center"/>
                      <w:rPr>
                        <w:color w:val="FFFFFF"/>
                        <w:sz w:val="20"/>
                      </w:rPr>
                    </w:pPr>
                    <w:r>
                      <w:rPr>
                        <w:sz w:val="20"/>
                      </w:rPr>
                      <w:t xml:space="preserve">skaičius  </w:t>
                      <w:br/>
                      <w:t>1 mln. gyventojų</w:t>
                    </w:r>
                  </w:p>
                </w:tc>
                <w:tc>
                  <w:tcPr>
                    <w:tcW w:w="1078" w:type="dxa"/>
                    <w:shd w:val="clear" w:color="auto" w:fill="FFFFFF" w:themeFill="background1"/>
                  </w:tcPr>
                  <w:p>
                    <w:pPr>
                      <w:jc w:val="center"/>
                      <w:rPr>
                        <w:sz w:val="20"/>
                      </w:rPr>
                    </w:pPr>
                    <w:r>
                      <w:rPr>
                        <w:sz w:val="20"/>
                      </w:rPr>
                      <w:t>18,6</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25</w:t>
                    </w:r>
                  </w:p>
                  <w:p>
                    <w:pPr>
                      <w:jc w:val="center"/>
                      <w:rPr>
                        <w:color w:val="FFFFFF"/>
                        <w:sz w:val="20"/>
                      </w:rPr>
                    </w:pPr>
                  </w:p>
                </w:tc>
                <w:tc>
                  <w:tcPr>
                    <w:tcW w:w="1079" w:type="dxa"/>
                    <w:shd w:val="clear" w:color="auto" w:fill="FFFFFF" w:themeFill="background1"/>
                  </w:tcPr>
                  <w:p>
                    <w:pPr>
                      <w:jc w:val="center"/>
                      <w:rPr>
                        <w:sz w:val="20"/>
                      </w:rPr>
                    </w:pPr>
                    <w:r>
                      <w:rPr>
                        <w:sz w:val="20"/>
                      </w:rPr>
                      <w:t>30</w:t>
                    </w:r>
                  </w:p>
                  <w:p>
                    <w:pPr>
                      <w:jc w:val="center"/>
                      <w:rPr>
                        <w:color w:val="FFFFFF"/>
                        <w:sz w:val="20"/>
                      </w:rPr>
                    </w:pPr>
                  </w:p>
                </w:tc>
                <w:tc>
                  <w:tcPr>
                    <w:tcW w:w="1344" w:type="dxa"/>
                    <w:shd w:val="clear" w:color="auto" w:fill="FFFFFF" w:themeFill="background1"/>
                  </w:tcPr>
                  <w:p>
                    <w:pPr>
                      <w:jc w:val="center"/>
                      <w:rPr>
                        <w:color w:val="FFFFFF"/>
                        <w:sz w:val="20"/>
                      </w:rPr>
                    </w:pPr>
                    <w:r>
                      <w:rPr>
                        <w:sz w:val="20"/>
                      </w:rPr>
                      <w:t>EGADP; 2021</w:t>
                    </w:r>
                    <w:r>
                      <w:rPr>
                        <w:color w:val="000000"/>
                        <w:sz w:val="20"/>
                      </w:rPr>
                      <w:t>–</w:t>
                    </w:r>
                    <w:r>
                      <w:rPr>
                        <w:sz w:val="20"/>
                      </w:rPr>
                      <w:t>2027 m. IP (ERPF)</w:t>
                    </w:r>
                  </w:p>
                </w:tc>
              </w:tr>
              <w:tr>
                <w:trPr>
                  <w:trHeight w:val="330"/>
                </w:trPr>
                <w:tc>
                  <w:tcPr>
                    <w:tcW w:w="1346" w:type="dxa"/>
                    <w:shd w:val="clear" w:color="auto" w:fill="FFFFFF" w:themeFill="background1"/>
                  </w:tcPr>
                  <w:p>
                    <w:pPr>
                      <w:rPr>
                        <w:color w:val="FFFFFF"/>
                        <w:sz w:val="20"/>
                      </w:rPr>
                    </w:pPr>
                    <w:r>
                      <w:rPr>
                        <w:sz w:val="20"/>
                      </w:rPr>
                      <w:t>R-11-002-02-11-01-13</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Dienos chirurgijos atvejų skaičiaus padidėjimas lyginant su 2019 m.</w:t>
                    </w:r>
                    <w:r>
                      <w:rPr>
                        <w:sz w:val="20"/>
                        <w:vertAlign w:val="superscript"/>
                      </w:rPr>
                      <w:t>1</w:t>
                    </w:r>
                  </w:p>
                </w:tc>
                <w:tc>
                  <w:tcPr>
                    <w:tcW w:w="1078" w:type="dxa"/>
                    <w:shd w:val="clear" w:color="auto" w:fill="FFFFFF" w:themeFill="background1"/>
                  </w:tcPr>
                  <w:p>
                    <w:pPr>
                      <w:jc w:val="center"/>
                      <w:rPr>
                        <w:color w:val="FFFFFF"/>
                        <w:sz w:val="20"/>
                      </w:rPr>
                    </w:pPr>
                    <w:r>
                      <w:rPr>
                        <w:sz w:val="20"/>
                      </w:rPr>
                      <w:t>Atvejų skaičius</w:t>
                    </w:r>
                  </w:p>
                </w:tc>
                <w:tc>
                  <w:tcPr>
                    <w:tcW w:w="1078" w:type="dxa"/>
                    <w:shd w:val="clear" w:color="auto" w:fill="FFFFFF" w:themeFill="background1"/>
                  </w:tcPr>
                  <w:p>
                    <w:pPr>
                      <w:jc w:val="center"/>
                      <w:rPr>
                        <w:sz w:val="20"/>
                      </w:rPr>
                    </w:pPr>
                    <w:r>
                      <w:rPr>
                        <w:sz w:val="20"/>
                      </w:rPr>
                      <w:t>56 169</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 xml:space="preserve">65360 </w:t>
                    </w:r>
                  </w:p>
                </w:tc>
                <w:tc>
                  <w:tcPr>
                    <w:tcW w:w="1079" w:type="dxa"/>
                    <w:shd w:val="clear" w:color="auto" w:fill="FFFFFF" w:themeFill="background1"/>
                  </w:tcPr>
                  <w:p>
                    <w:pPr>
                      <w:jc w:val="center"/>
                      <w:rPr>
                        <w:color w:val="FFFFFF"/>
                        <w:sz w:val="20"/>
                      </w:rPr>
                    </w:pPr>
                    <w:r>
                      <w:rPr>
                        <w:sz w:val="20"/>
                        <w:lang w:val="en-US"/>
                      </w:rPr>
                      <w:t xml:space="preserve">73 020 </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R-11-002-02-11-01-14</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Dienos stacionaro atvejų skaičiaus padidėjimas lyginant su 2019 m.</w:t>
                    </w:r>
                    <w:r>
                      <w:rPr>
                        <w:sz w:val="20"/>
                        <w:vertAlign w:val="superscript"/>
                      </w:rPr>
                      <w:t>1</w:t>
                    </w:r>
                  </w:p>
                </w:tc>
                <w:tc>
                  <w:tcPr>
                    <w:tcW w:w="1078" w:type="dxa"/>
                    <w:shd w:val="clear" w:color="auto" w:fill="FFFFFF" w:themeFill="background1"/>
                  </w:tcPr>
                  <w:p>
                    <w:pPr>
                      <w:jc w:val="center"/>
                      <w:rPr>
                        <w:color w:val="FFFFFF"/>
                        <w:sz w:val="20"/>
                      </w:rPr>
                    </w:pPr>
                    <w:r>
                      <w:rPr>
                        <w:sz w:val="20"/>
                      </w:rPr>
                      <w:t>Atvejų skaičius</w:t>
                    </w:r>
                  </w:p>
                </w:tc>
                <w:tc>
                  <w:tcPr>
                    <w:tcW w:w="1078" w:type="dxa"/>
                    <w:shd w:val="clear" w:color="auto" w:fill="FFFFFF" w:themeFill="background1"/>
                  </w:tcPr>
                  <w:p>
                    <w:pPr>
                      <w:jc w:val="center"/>
                      <w:rPr>
                        <w:sz w:val="20"/>
                      </w:rPr>
                    </w:pPr>
                    <w:r>
                      <w:rPr>
                        <w:sz w:val="20"/>
                      </w:rPr>
                      <w:t>241 495</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 xml:space="preserve">307358 </w:t>
                    </w:r>
                  </w:p>
                </w:tc>
                <w:tc>
                  <w:tcPr>
                    <w:tcW w:w="1079" w:type="dxa"/>
                    <w:shd w:val="clear" w:color="auto" w:fill="FFFFFF" w:themeFill="background1"/>
                  </w:tcPr>
                  <w:p>
                    <w:pPr>
                      <w:jc w:val="center"/>
                      <w:rPr>
                        <w:color w:val="FFFFFF"/>
                        <w:sz w:val="20"/>
                      </w:rPr>
                    </w:pPr>
                    <w:r>
                      <w:rPr>
                        <w:sz w:val="20"/>
                        <w:lang w:val="en-US"/>
                      </w:rPr>
                      <w:t xml:space="preserve">362 243 </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R-11-002-02-11-01-15</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Stacionarinio aktyvaus gydymo atvejų skaičiaus sumažėjimas lyginant su 2019 m.</w:t>
                    </w:r>
                    <w:r>
                      <w:rPr>
                        <w:sz w:val="20"/>
                        <w:vertAlign w:val="superscript"/>
                      </w:rPr>
                      <w:t>1</w:t>
                    </w:r>
                  </w:p>
                </w:tc>
                <w:tc>
                  <w:tcPr>
                    <w:tcW w:w="1078" w:type="dxa"/>
                    <w:shd w:val="clear" w:color="auto" w:fill="FFFFFF" w:themeFill="background1"/>
                  </w:tcPr>
                  <w:p>
                    <w:pPr>
                      <w:jc w:val="center"/>
                      <w:rPr>
                        <w:color w:val="FFFFFF"/>
                        <w:sz w:val="20"/>
                      </w:rPr>
                    </w:pPr>
                    <w:r>
                      <w:rPr>
                        <w:sz w:val="20"/>
                      </w:rPr>
                      <w:t>Atvejų skaičius</w:t>
                    </w:r>
                  </w:p>
                </w:tc>
                <w:tc>
                  <w:tcPr>
                    <w:tcW w:w="1078" w:type="dxa"/>
                    <w:shd w:val="clear" w:color="auto" w:fill="FFFFFF" w:themeFill="background1"/>
                  </w:tcPr>
                  <w:p>
                    <w:pPr>
                      <w:jc w:val="center"/>
                      <w:rPr>
                        <w:color w:val="FFFFFF"/>
                        <w:sz w:val="20"/>
                      </w:rPr>
                    </w:pPr>
                    <w:r>
                      <w:rPr>
                        <w:sz w:val="20"/>
                      </w:rPr>
                      <w:t>616 734 (2019 m.)</w:t>
                    </w:r>
                  </w:p>
                </w:tc>
                <w:tc>
                  <w:tcPr>
                    <w:tcW w:w="945" w:type="dxa"/>
                    <w:shd w:val="clear" w:color="auto" w:fill="FFFFFF" w:themeFill="background1"/>
                  </w:tcPr>
                  <w:p>
                    <w:pPr>
                      <w:jc w:val="center"/>
                      <w:rPr>
                        <w:color w:val="FFFFFF"/>
                        <w:sz w:val="20"/>
                      </w:rPr>
                    </w:pPr>
                    <w:r>
                      <w:rPr>
                        <w:sz w:val="20"/>
                      </w:rPr>
                      <w:t>515814</w:t>
                    </w:r>
                    <w:r>
                      <w:rPr>
                        <w:sz w:val="20"/>
                        <w:lang w:val="en-US"/>
                      </w:rPr>
                      <w:t xml:space="preserve"> </w:t>
                    </w:r>
                  </w:p>
                </w:tc>
                <w:tc>
                  <w:tcPr>
                    <w:tcW w:w="1079" w:type="dxa"/>
                    <w:shd w:val="clear" w:color="auto" w:fill="FFFFFF" w:themeFill="background1"/>
                  </w:tcPr>
                  <w:p>
                    <w:pPr>
                      <w:jc w:val="center"/>
                      <w:rPr>
                        <w:sz w:val="20"/>
                        <w:lang w:val="en-US"/>
                      </w:rPr>
                    </w:pPr>
                    <w:r>
                      <w:rPr>
                        <w:sz w:val="20"/>
                        <w:lang w:val="en-US"/>
                      </w:rPr>
                      <w:t>431 714</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667"/>
                </w:trPr>
                <w:tc>
                  <w:tcPr>
                    <w:tcW w:w="1346" w:type="dxa"/>
                    <w:shd w:val="clear" w:color="auto" w:fill="FFFFFF" w:themeFill="background1"/>
                  </w:tcPr>
                  <w:p>
                    <w:pPr>
                      <w:rPr>
                        <w:color w:val="FFFFFF"/>
                        <w:sz w:val="20"/>
                      </w:rPr>
                    </w:pPr>
                    <w:r>
                      <w:rPr>
                        <w:sz w:val="20"/>
                      </w:rPr>
                      <w:t>R-11-002-02-11-01-16</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Aktyvaus gydymo lovų užimtumas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73</w:t>
                    </w:r>
                  </w:p>
                  <w:p>
                    <w:pPr>
                      <w:jc w:val="center"/>
                      <w:rPr>
                        <w:color w:val="FFFFFF"/>
                        <w:sz w:val="20"/>
                      </w:rPr>
                    </w:pPr>
                    <w:r>
                      <w:rPr>
                        <w:sz w:val="20"/>
                      </w:rPr>
                      <w:t>(2018 m.)</w:t>
                    </w:r>
                  </w:p>
                </w:tc>
                <w:tc>
                  <w:tcPr>
                    <w:tcW w:w="945" w:type="dxa"/>
                    <w:shd w:val="clear" w:color="auto" w:fill="FFFFFF" w:themeFill="background1"/>
                  </w:tcPr>
                  <w:p>
                    <w:pPr>
                      <w:jc w:val="center"/>
                      <w:rPr>
                        <w:sz w:val="20"/>
                      </w:rPr>
                    </w:pPr>
                    <w:r>
                      <w:rPr>
                        <w:sz w:val="20"/>
                      </w:rPr>
                      <w:t>80</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82</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R-11-002-02-11-01-17</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Asmenų, gavusių tęstines ambulatorines ir (ar) dienos stacionaro psichikos sveikatos paslaugas per 30 dienų nuo išrašymo iš stacionaro, dalis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50,2</w:t>
                    </w:r>
                  </w:p>
                  <w:p>
                    <w:pPr>
                      <w:jc w:val="center"/>
                      <w:rPr>
                        <w:color w:val="FFFFFF"/>
                        <w:sz w:val="20"/>
                      </w:rPr>
                    </w:pPr>
                    <w:r>
                      <w:rPr>
                        <w:sz w:val="20"/>
                      </w:rPr>
                      <w:t>(2020 m.)</w:t>
                    </w:r>
                  </w:p>
                </w:tc>
                <w:tc>
                  <w:tcPr>
                    <w:tcW w:w="945" w:type="dxa"/>
                    <w:shd w:val="clear" w:color="auto" w:fill="FFFFFF" w:themeFill="background1"/>
                  </w:tcPr>
                  <w:p>
                    <w:pPr>
                      <w:jc w:val="center"/>
                      <w:rPr>
                        <w:sz w:val="20"/>
                      </w:rPr>
                    </w:pPr>
                    <w:r>
                      <w:rPr>
                        <w:sz w:val="20"/>
                      </w:rPr>
                      <w:t>60</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80</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R-11-002-02-11-01-18</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Gyventojų, dėl laukimo laiko (ilgų eilių) atidėjusių kreipimąsi dėl sveikatos priežiūros paslaugų, dalis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19,7</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14</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6</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 2021</w:t>
                    </w:r>
                    <w:r>
                      <w:rPr>
                        <w:color w:val="000000"/>
                        <w:szCs w:val="24"/>
                      </w:rPr>
                      <w:t>–</w:t>
                    </w:r>
                    <w:r>
                      <w:rPr>
                        <w:bCs/>
                        <w:sz w:val="20"/>
                      </w:rPr>
                      <w:t>2027 m. IP (ERPF, ESF+)</w:t>
                    </w:r>
                  </w:p>
                </w:tc>
              </w:tr>
              <w:tr>
                <w:trPr>
                  <w:trHeight w:val="330"/>
                </w:trPr>
                <w:tc>
                  <w:tcPr>
                    <w:tcW w:w="1346" w:type="dxa"/>
                    <w:shd w:val="clear" w:color="auto" w:fill="FFFFFF" w:themeFill="background1"/>
                  </w:tcPr>
                  <w:p>
                    <w:pPr>
                      <w:rPr>
                        <w:color w:val="FFFFFF"/>
                        <w:sz w:val="20"/>
                      </w:rPr>
                    </w:pPr>
                    <w:r>
                      <w:rPr>
                        <w:sz w:val="20"/>
                      </w:rPr>
                      <w:t>R-11-002-02-11-01-19</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Greitosios medicinos pagalbos skubių įvykdytų iškvietimų paslaugų, suteiktų per 15 min. (mieste),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91,4</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n/d</w:t>
                    </w:r>
                  </w:p>
                </w:tc>
                <w:tc>
                  <w:tcPr>
                    <w:tcW w:w="1079" w:type="dxa"/>
                    <w:shd w:val="clear" w:color="auto" w:fill="FFFFFF" w:themeFill="background1"/>
                  </w:tcPr>
                  <w:p>
                    <w:pPr>
                      <w:jc w:val="center"/>
                      <w:rPr>
                        <w:sz w:val="20"/>
                        <w:lang w:val="en-US"/>
                      </w:rPr>
                    </w:pPr>
                    <w:r>
                      <w:rPr>
                        <w:sz w:val="20"/>
                        <w:lang w:val="en-US"/>
                      </w:rPr>
                      <w:t>98</w:t>
                    </w:r>
                  </w:p>
                  <w:p>
                    <w:pPr>
                      <w:jc w:val="center"/>
                      <w:rPr>
                        <w:color w:val="FFFFFF"/>
                        <w:sz w:val="20"/>
                      </w:rPr>
                    </w:pPr>
                    <w:r>
                      <w:rPr>
                        <w:sz w:val="20"/>
                        <w:lang w:val="en-US"/>
                      </w:rPr>
                      <w:t>(2029 m.)</w:t>
                    </w:r>
                  </w:p>
                </w:tc>
                <w:tc>
                  <w:tcPr>
                    <w:tcW w:w="1344" w:type="dxa"/>
                    <w:shd w:val="clear" w:color="auto" w:fill="FFFFFF" w:themeFill="background1"/>
                  </w:tcPr>
                  <w:p>
                    <w:pPr>
                      <w:jc w:val="center"/>
                      <w:rPr>
                        <w:color w:val="FFFFFF"/>
                        <w:sz w:val="20"/>
                      </w:rPr>
                    </w:pPr>
                    <w:r>
                      <w:rPr>
                        <w:sz w:val="20"/>
                      </w:rPr>
                      <w:t>2021</w:t>
                    </w:r>
                    <w:r>
                      <w:rPr>
                        <w:color w:val="000000"/>
                        <w:szCs w:val="24"/>
                      </w:rPr>
                      <w:t>–</w:t>
                    </w:r>
                    <w:r>
                      <w:rPr>
                        <w:sz w:val="20"/>
                      </w:rPr>
                      <w:t>2027 m. IP (ERPF)</w:t>
                    </w:r>
                  </w:p>
                </w:tc>
              </w:tr>
              <w:tr>
                <w:trPr>
                  <w:trHeight w:val="330"/>
                </w:trPr>
                <w:tc>
                  <w:tcPr>
                    <w:tcW w:w="1346" w:type="dxa"/>
                    <w:shd w:val="clear" w:color="auto" w:fill="FFFFFF" w:themeFill="background1"/>
                  </w:tcPr>
                  <w:p>
                    <w:pPr>
                      <w:rPr>
                        <w:color w:val="FFFFFF"/>
                        <w:sz w:val="20"/>
                      </w:rPr>
                    </w:pPr>
                    <w:r>
                      <w:rPr>
                        <w:sz w:val="20"/>
                      </w:rPr>
                      <w:t>R-11-002-02-11-01-20</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Greitosios medicinos pagalbos skubių įvykdytų iškvietimų paslaugų, suteiktų per 25 min. (kaime), dalis</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81,6</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n/d</w:t>
                    </w:r>
                  </w:p>
                </w:tc>
                <w:tc>
                  <w:tcPr>
                    <w:tcW w:w="1079" w:type="dxa"/>
                    <w:shd w:val="clear" w:color="auto" w:fill="FFFFFF" w:themeFill="background1"/>
                  </w:tcPr>
                  <w:p>
                    <w:pPr>
                      <w:jc w:val="center"/>
                      <w:rPr>
                        <w:sz w:val="20"/>
                        <w:lang w:val="en-US"/>
                      </w:rPr>
                    </w:pPr>
                    <w:r>
                      <w:rPr>
                        <w:sz w:val="20"/>
                        <w:lang w:val="en-US"/>
                      </w:rPr>
                      <w:t>98</w:t>
                    </w:r>
                  </w:p>
                  <w:p>
                    <w:pPr>
                      <w:jc w:val="center"/>
                      <w:rPr>
                        <w:color w:val="FFFFFF"/>
                        <w:sz w:val="20"/>
                      </w:rPr>
                    </w:pPr>
                    <w:r>
                      <w:rPr>
                        <w:sz w:val="20"/>
                        <w:lang w:val="en-US"/>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R-11-002-02-11-01-21</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Slaugytojų, tenkančių vienam gydytojui, skaičius</w:t>
                    </w:r>
                    <w:r>
                      <w:rPr>
                        <w:sz w:val="20"/>
                        <w:vertAlign w:val="superscript"/>
                      </w:rPr>
                      <w:t>1</w:t>
                    </w:r>
                  </w:p>
                </w:tc>
                <w:tc>
                  <w:tcPr>
                    <w:tcW w:w="1078" w:type="dxa"/>
                    <w:shd w:val="clear" w:color="auto" w:fill="FFFFFF" w:themeFill="background1"/>
                  </w:tcPr>
                  <w:p>
                    <w:pPr>
                      <w:jc w:val="center"/>
                      <w:rPr>
                        <w:color w:val="FFFFFF"/>
                        <w:sz w:val="20"/>
                      </w:rPr>
                    </w:pPr>
                    <w:r>
                      <w:rPr>
                        <w:sz w:val="20"/>
                      </w:rPr>
                      <w:t>Skaičius</w:t>
                    </w:r>
                  </w:p>
                </w:tc>
                <w:tc>
                  <w:tcPr>
                    <w:tcW w:w="1078" w:type="dxa"/>
                    <w:shd w:val="clear" w:color="auto" w:fill="FFFFFF" w:themeFill="background1"/>
                  </w:tcPr>
                  <w:p>
                    <w:pPr>
                      <w:jc w:val="center"/>
                      <w:rPr>
                        <w:sz w:val="20"/>
                      </w:rPr>
                    </w:pPr>
                    <w:r>
                      <w:rPr>
                        <w:sz w:val="20"/>
                      </w:rPr>
                      <w:t>1,8</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2</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2,5</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 2021</w:t>
                    </w:r>
                    <w:r>
                      <w:rPr>
                        <w:color w:val="000000"/>
                        <w:szCs w:val="24"/>
                      </w:rPr>
                      <w:t>–</w:t>
                    </w:r>
                    <w:r>
                      <w:rPr>
                        <w:bCs/>
                        <w:sz w:val="20"/>
                      </w:rPr>
                      <w:t>2027 m. IP (ERPF)</w:t>
                    </w:r>
                  </w:p>
                </w:tc>
              </w:tr>
              <w:tr>
                <w:trPr>
                  <w:trHeight w:val="330"/>
                </w:trPr>
                <w:tc>
                  <w:tcPr>
                    <w:tcW w:w="1346" w:type="dxa"/>
                    <w:shd w:val="clear" w:color="auto" w:fill="FFFFFF" w:themeFill="background1"/>
                  </w:tcPr>
                  <w:p>
                    <w:pPr>
                      <w:spacing w:line="276" w:lineRule="auto"/>
                      <w:rPr>
                        <w:sz w:val="20"/>
                      </w:rPr>
                    </w:pPr>
                    <w:r>
                      <w:rPr>
                        <w:sz w:val="20"/>
                      </w:rPr>
                      <w:t>P-11-002-02-11-01-22</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b/>
                        <w:bCs/>
                        <w:sz w:val="20"/>
                      </w:rPr>
                    </w:pPr>
                    <w:r>
                      <w:rPr>
                        <w:sz w:val="20"/>
                      </w:rPr>
                      <w:t>Paramą gavusių nacionalinio, regionų ar vietos lygmens viešojo administravimo ar viešąsias paslaugas teikiančių įstaigų skaičius</w:t>
                    </w:r>
                  </w:p>
                </w:tc>
                <w:tc>
                  <w:tcPr>
                    <w:tcW w:w="1078" w:type="dxa"/>
                    <w:shd w:val="clear" w:color="auto" w:fill="FFFFFF" w:themeFill="background1"/>
                  </w:tcPr>
                  <w:p>
                    <w:pPr>
                      <w:spacing w:line="276" w:lineRule="auto"/>
                      <w:jc w:val="center"/>
                      <w:rPr>
                        <w:sz w:val="20"/>
                      </w:rPr>
                    </w:pPr>
                    <w:r>
                      <w:rPr>
                        <w:sz w:val="20"/>
                      </w:rPr>
                      <w:t>Subjektų skaičius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18</w:t>
                    </w:r>
                  </w:p>
                  <w:p>
                    <w:pPr>
                      <w:jc w:val="center"/>
                      <w:rPr>
                        <w:sz w:val="20"/>
                      </w:rPr>
                    </w:pPr>
                    <w:r>
                      <w:rPr>
                        <w:sz w:val="20"/>
                      </w:rPr>
                      <w:t>(2024m.)</w:t>
                    </w:r>
                  </w:p>
                </w:tc>
                <w:tc>
                  <w:tcPr>
                    <w:tcW w:w="1079" w:type="dxa"/>
                    <w:shd w:val="clear" w:color="auto" w:fill="FFFFFF" w:themeFill="background1"/>
                  </w:tcPr>
                  <w:p>
                    <w:pPr>
                      <w:jc w:val="center"/>
                      <w:rPr>
                        <w:sz w:val="20"/>
                      </w:rPr>
                    </w:pPr>
                    <w:r>
                      <w:rPr>
                        <w:sz w:val="20"/>
                      </w:rPr>
                      <w:t>200</w:t>
                    </w:r>
                  </w:p>
                  <w:p>
                    <w:pPr>
                      <w:jc w:val="center"/>
                      <w:rPr>
                        <w:strike/>
                        <w:sz w:val="20"/>
                      </w:rPr>
                    </w:pPr>
                    <w:r>
                      <w:rPr>
                        <w:sz w:val="20"/>
                      </w:rPr>
                      <w:t>(2029 m.)</w:t>
                    </w:r>
                  </w:p>
                </w:tc>
                <w:tc>
                  <w:tcPr>
                    <w:tcW w:w="1344" w:type="dxa"/>
                    <w:shd w:val="clear" w:color="auto" w:fill="FFFFFF" w:themeFill="background1"/>
                  </w:tcPr>
                  <w:p>
                    <w:pPr>
                      <w:jc w:val="center"/>
                      <w:rPr>
                        <w:bCs/>
                        <w:sz w:val="20"/>
                      </w:rPr>
                    </w:pPr>
                    <w:r>
                      <w:rPr>
                        <w:bCs/>
                        <w:sz w:val="20"/>
                      </w:rPr>
                      <w:t>2021–2027 m.</w:t>
                    </w:r>
                  </w:p>
                  <w:p>
                    <w:pPr>
                      <w:ind w:firstLine="53"/>
                      <w:jc w:val="center"/>
                      <w:rPr>
                        <w:bCs/>
                        <w:sz w:val="20"/>
                      </w:rPr>
                    </w:pPr>
                    <w:r>
                      <w:rPr>
                        <w:bCs/>
                        <w:sz w:val="20"/>
                      </w:rPr>
                      <w:t>IP (ESF+)</w:t>
                    </w:r>
                  </w:p>
                </w:tc>
              </w:tr>
              <w:tr>
                <w:trPr>
                  <w:trHeight w:val="330"/>
                </w:trPr>
                <w:tc>
                  <w:tcPr>
                    <w:tcW w:w="1346" w:type="dxa"/>
                    <w:shd w:val="clear" w:color="auto" w:fill="FFFFFF" w:themeFill="background1"/>
                  </w:tcPr>
                  <w:p>
                    <w:pPr>
                      <w:rPr>
                        <w:color w:val="FFFFFF"/>
                        <w:sz w:val="20"/>
                      </w:rPr>
                    </w:pPr>
                    <w:r>
                      <w:rPr>
                        <w:sz w:val="20"/>
                      </w:rPr>
                      <w:t>R-11-002-02-11-01-23</w:t>
                    </w:r>
                  </w:p>
                </w:tc>
                <w:tc>
                  <w:tcPr>
                    <w:tcW w:w="1079" w:type="dxa"/>
                    <w:shd w:val="clear" w:color="auto" w:fill="FFFFFF" w:themeFill="background1"/>
                  </w:tcPr>
                  <w:p>
                    <w:pPr>
                      <w:rPr>
                        <w:color w:val="FFFFFF"/>
                        <w:sz w:val="20"/>
                      </w:rPr>
                    </w:pPr>
                    <w:r>
                      <w:rPr>
                        <w:iCs/>
                        <w:sz w:val="20"/>
                      </w:rPr>
                      <w:t xml:space="preserve">Rezultato </w:t>
                    </w:r>
                  </w:p>
                </w:tc>
                <w:tc>
                  <w:tcPr>
                    <w:tcW w:w="2541" w:type="dxa"/>
                    <w:shd w:val="clear" w:color="auto" w:fill="FFFFFF" w:themeFill="background1"/>
                  </w:tcPr>
                  <w:p>
                    <w:pPr>
                      <w:rPr>
                        <w:color w:val="FFFFFF"/>
                        <w:sz w:val="20"/>
                      </w:rPr>
                    </w:pPr>
                    <w:r>
                      <w:rPr>
                        <w:sz w:val="20"/>
                      </w:rPr>
                      <w:t xml:space="preserve">Sveikatos priežiūros įstaigų, įtrauktų į veiklos rezultatų rodiklių rinkiniu grindžiamą Lietuvos nacionalinės sveikatos sistemos švieslentę,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0</w:t>
                    </w:r>
                  </w:p>
                  <w:p>
                    <w:pPr>
                      <w:jc w:val="center"/>
                      <w:rPr>
                        <w:color w:val="FFFFFF"/>
                        <w:sz w:val="20"/>
                      </w:rPr>
                    </w:pPr>
                    <w:r>
                      <w:rPr>
                        <w:sz w:val="20"/>
                      </w:rPr>
                      <w:t>(2021 m.)</w:t>
                    </w:r>
                  </w:p>
                </w:tc>
                <w:tc>
                  <w:tcPr>
                    <w:tcW w:w="945" w:type="dxa"/>
                    <w:shd w:val="clear" w:color="auto" w:fill="FFFFFF" w:themeFill="background1"/>
                  </w:tcPr>
                  <w:p>
                    <w:pPr>
                      <w:jc w:val="center"/>
                      <w:rPr>
                        <w:sz w:val="20"/>
                      </w:rPr>
                    </w:pPr>
                    <w:r>
                      <w:rPr>
                        <w:sz w:val="20"/>
                      </w:rPr>
                      <w:t>70</w:t>
                    </w:r>
                  </w:p>
                  <w:p>
                    <w:pPr>
                      <w:jc w:val="center"/>
                      <w:rPr>
                        <w:sz w:val="20"/>
                      </w:rPr>
                    </w:pPr>
                    <w:r>
                      <w:rPr>
                        <w:sz w:val="20"/>
                      </w:rPr>
                      <w:t>(2023 m. II ketv.)</w:t>
                    </w:r>
                  </w:p>
                  <w:p>
                    <w:pPr>
                      <w:jc w:val="center"/>
                      <w:rPr>
                        <w:color w:val="FFFFFF"/>
                        <w:sz w:val="20"/>
                      </w:rPr>
                    </w:pPr>
                  </w:p>
                </w:tc>
                <w:tc>
                  <w:tcPr>
                    <w:tcW w:w="1079" w:type="dxa"/>
                    <w:shd w:val="clear" w:color="auto" w:fill="FFFFFF" w:themeFill="background1"/>
                  </w:tcPr>
                  <w:p>
                    <w:pPr>
                      <w:jc w:val="center"/>
                      <w:rPr>
                        <w:sz w:val="20"/>
                      </w:rPr>
                    </w:pPr>
                    <w:r>
                      <w:rPr>
                        <w:sz w:val="20"/>
                      </w:rPr>
                      <w:t>100</w:t>
                    </w:r>
                  </w:p>
                  <w:p>
                    <w:pPr>
                      <w:jc w:val="center"/>
                      <w:rPr>
                        <w:sz w:val="20"/>
                        <w:lang w:val="en-US"/>
                      </w:rPr>
                    </w:pPr>
                    <w:r>
                      <w:rPr>
                        <w:sz w:val="20"/>
                      </w:rPr>
                      <w:t>(202</w:t>
                    </w:r>
                    <w:r>
                      <w:rPr>
                        <w:sz w:val="20"/>
                        <w:lang w:val="en-US"/>
                      </w:rPr>
                      <w:t>5</w:t>
                    </w:r>
                    <w:r>
                      <w:rPr>
                        <w:sz w:val="20"/>
                      </w:rPr>
                      <w:t xml:space="preserve"> m. II ketv.)</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w:t>
                    </w:r>
                  </w:p>
                </w:tc>
              </w:tr>
              <w:tr>
                <w:trPr>
                  <w:trHeight w:val="330"/>
                </w:trPr>
                <w:tc>
                  <w:tcPr>
                    <w:tcW w:w="1346" w:type="dxa"/>
                    <w:shd w:val="clear" w:color="auto" w:fill="FFFFFF" w:themeFill="background1"/>
                  </w:tcPr>
                  <w:p>
                    <w:pPr>
                      <w:rPr>
                        <w:color w:val="FFFFFF"/>
                        <w:sz w:val="20"/>
                      </w:rPr>
                    </w:pPr>
                    <w:r>
                      <w:rPr>
                        <w:sz w:val="20"/>
                      </w:rPr>
                      <w:t>R-11-002-02-11-01-24</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Aktyviojo gydymo sveikatos priežiūros įstaigose nustatytų invazinių </w:t>
                    </w:r>
                    <w:r>
                      <w:rPr>
                        <w:i/>
                        <w:iCs/>
                        <w:sz w:val="20"/>
                      </w:rPr>
                      <w:t>Klebsiella pneumoniae</w:t>
                    </w:r>
                    <w:r>
                      <w:rPr>
                        <w:sz w:val="20"/>
                      </w:rPr>
                      <w:t xml:space="preserve">, atsparių  trečios kartos cefalosporinams, dalis (EARS-Net duomenimis)</w:t>
                    </w:r>
                    <w:r>
                      <w:rPr>
                        <w:sz w:val="20"/>
                        <w:vertAlign w:val="superscript"/>
                      </w:rPr>
                      <w:t xml:space="preserve"> 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55,2</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36</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30</w:t>
                    </w:r>
                  </w:p>
                  <w:p>
                    <w:pPr>
                      <w:jc w:val="center"/>
                      <w:rPr>
                        <w:color w:val="FFFFFF"/>
                        <w:sz w:val="20"/>
                      </w:rPr>
                    </w:pPr>
                  </w:p>
                </w:tc>
                <w:tc>
                  <w:tcPr>
                    <w:tcW w:w="1344" w:type="dxa"/>
                    <w:shd w:val="clear" w:color="auto" w:fill="FFFFFF" w:themeFill="background1"/>
                  </w:tcPr>
                  <w:p>
                    <w:pPr>
                      <w:jc w:val="center"/>
                      <w:rPr>
                        <w:bCs/>
                        <w:sz w:val="20"/>
                      </w:rPr>
                    </w:pPr>
                    <w:r>
                      <w:rPr>
                        <w:bCs/>
                        <w:sz w:val="20"/>
                      </w:rPr>
                      <w:t>EGADP;</w:t>
                    </w:r>
                  </w:p>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sz w:val="20"/>
                      </w:rPr>
                    </w:pPr>
                    <w:r>
                      <w:rPr>
                        <w:sz w:val="20"/>
                      </w:rPr>
                      <w:t>R-11-002-02-11-01-25</w:t>
                    </w:r>
                  </w:p>
                </w:tc>
                <w:tc>
                  <w:tcPr>
                    <w:tcW w:w="1079" w:type="dxa"/>
                    <w:shd w:val="clear" w:color="auto" w:fill="FFFFFF" w:themeFill="background1"/>
                  </w:tcPr>
                  <w:p>
                    <w:pPr>
                      <w:rPr>
                        <w:iCs/>
                        <w:sz w:val="20"/>
                      </w:rPr>
                    </w:pPr>
                    <w:r>
                      <w:rPr>
                        <w:iCs/>
                        <w:sz w:val="20"/>
                      </w:rPr>
                      <w:t xml:space="preserve">Rezultato </w:t>
                    </w:r>
                  </w:p>
                </w:tc>
                <w:tc>
                  <w:tcPr>
                    <w:tcW w:w="2541" w:type="dxa"/>
                    <w:shd w:val="clear" w:color="auto" w:fill="FFFFFF" w:themeFill="background1"/>
                  </w:tcPr>
                  <w:p>
                    <w:pPr>
                      <w:rPr>
                        <w:sz w:val="20"/>
                      </w:rPr>
                    </w:pPr>
                    <w:r>
                      <w:rPr>
                        <w:sz w:val="20"/>
                      </w:rPr>
                      <w:t xml:space="preserve">Šalies gyventojų, kuriems teikiamos su sveikata susijusios elektroninės paslaugos, dalis </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30</w:t>
                    </w:r>
                  </w:p>
                  <w:p>
                    <w:pPr>
                      <w:jc w:val="center"/>
                      <w:rPr>
                        <w:sz w:val="20"/>
                      </w:rPr>
                    </w:pPr>
                    <w:r>
                      <w:rPr>
                        <w:sz w:val="20"/>
                      </w:rPr>
                      <w:t>(2021 m.)</w:t>
                    </w:r>
                  </w:p>
                  <w:p>
                    <w:pPr>
                      <w:jc w:val="center"/>
                      <w:rPr>
                        <w:sz w:val="20"/>
                      </w:rPr>
                    </w:pPr>
                  </w:p>
                </w:tc>
                <w:tc>
                  <w:tcPr>
                    <w:tcW w:w="945" w:type="dxa"/>
                    <w:shd w:val="clear" w:color="auto" w:fill="FFFFFF" w:themeFill="background1"/>
                  </w:tcPr>
                  <w:p>
                    <w:pPr>
                      <w:jc w:val="center"/>
                      <w:rPr>
                        <w:sz w:val="20"/>
                      </w:rPr>
                    </w:pPr>
                    <w:r>
                      <w:rPr>
                        <w:sz w:val="20"/>
                      </w:rPr>
                      <w:t>60</w:t>
                    </w:r>
                  </w:p>
                  <w:p>
                    <w:pPr>
                      <w:jc w:val="center"/>
                      <w:rPr>
                        <w:sz w:val="20"/>
                      </w:rPr>
                    </w:pPr>
                    <w:r>
                      <w:rPr>
                        <w:sz w:val="20"/>
                      </w:rPr>
                      <w:t>(2025 m. IV ketv.)</w:t>
                    </w:r>
                  </w:p>
                  <w:p>
                    <w:pPr>
                      <w:jc w:val="center"/>
                      <w:rPr>
                        <w:sz w:val="20"/>
                      </w:rPr>
                    </w:pPr>
                  </w:p>
                </w:tc>
                <w:tc>
                  <w:tcPr>
                    <w:tcW w:w="1079" w:type="dxa"/>
                    <w:shd w:val="clear" w:color="auto" w:fill="FFFFFF" w:themeFill="background1"/>
                  </w:tcPr>
                  <w:p>
                    <w:pPr>
                      <w:jc w:val="center"/>
                      <w:rPr>
                        <w:sz w:val="20"/>
                      </w:rPr>
                    </w:pPr>
                    <w:r>
                      <w:rPr>
                        <w:sz w:val="20"/>
                      </w:rPr>
                      <w:t>98</w:t>
                    </w:r>
                  </w:p>
                  <w:p>
                    <w:pPr>
                      <w:jc w:val="center"/>
                      <w:rPr>
                        <w:sz w:val="20"/>
                      </w:rPr>
                    </w:pP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color w:val="FFFFFF"/>
                        <w:sz w:val="20"/>
                      </w:rPr>
                    </w:pPr>
                    <w:r>
                      <w:rPr>
                        <w:sz w:val="20"/>
                      </w:rPr>
                      <w:t>R-11-002-02-11-01-26</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Asmenų, teigusių, kad pagerėjo jų gyvenimo kokybė po dalyvavimo veiklose, skirtose savarankiškam lėtinės ligos valdymui,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0</w:t>
                    </w:r>
                  </w:p>
                  <w:p>
                    <w:pPr>
                      <w:jc w:val="center"/>
                      <w:rPr>
                        <w:color w:val="FFFFFF"/>
                        <w:sz w:val="20"/>
                      </w:rPr>
                    </w:pPr>
                    <w:r>
                      <w:rPr>
                        <w:sz w:val="20"/>
                      </w:rPr>
                      <w:t>(2021 m.)</w:t>
                    </w:r>
                  </w:p>
                </w:tc>
                <w:tc>
                  <w:tcPr>
                    <w:tcW w:w="945" w:type="dxa"/>
                    <w:shd w:val="clear" w:color="auto" w:fill="FFFFFF" w:themeFill="background1"/>
                  </w:tcPr>
                  <w:p>
                    <w:pPr>
                      <w:jc w:val="center"/>
                      <w:rPr>
                        <w:color w:val="FFFFFF"/>
                        <w:sz w:val="20"/>
                      </w:rPr>
                    </w:pPr>
                    <w:r>
                      <w:rPr>
                        <w:sz w:val="20"/>
                      </w:rPr>
                      <w:t>n/d</w:t>
                    </w:r>
                  </w:p>
                </w:tc>
                <w:tc>
                  <w:tcPr>
                    <w:tcW w:w="1079" w:type="dxa"/>
                    <w:shd w:val="clear" w:color="auto" w:fill="FFFFFF" w:themeFill="background1"/>
                  </w:tcPr>
                  <w:p>
                    <w:pPr>
                      <w:jc w:val="center"/>
                      <w:rPr>
                        <w:sz w:val="20"/>
                        <w:lang w:val="en-US"/>
                      </w:rPr>
                    </w:pPr>
                    <w:r>
                      <w:rPr>
                        <w:sz w:val="20"/>
                        <w:lang w:val="en-US"/>
                      </w:rPr>
                      <w:t>70</w:t>
                    </w:r>
                  </w:p>
                  <w:p>
                    <w:pPr>
                      <w:jc w:val="center"/>
                      <w:rPr>
                        <w:color w:val="FFFFFF"/>
                        <w:sz w:val="20"/>
                      </w:rPr>
                    </w:pPr>
                    <w:r>
                      <w:rPr>
                        <w:sz w:val="20"/>
                        <w:lang w:val="en-US"/>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rPr>
                        <w:sz w:val="20"/>
                      </w:rPr>
                    </w:pPr>
                    <w:r>
                      <w:rPr>
                        <w:sz w:val="20"/>
                      </w:rPr>
                      <w:t>R-11-002-02-11-01-27</w:t>
                    </w:r>
                  </w:p>
                </w:tc>
                <w:tc>
                  <w:tcPr>
                    <w:tcW w:w="1079" w:type="dxa"/>
                    <w:shd w:val="clear" w:color="auto" w:fill="FFFFFF" w:themeFill="background1"/>
                  </w:tcPr>
                  <w:p>
                    <w:pPr>
                      <w:rPr>
                        <w:iCs/>
                        <w:sz w:val="20"/>
                      </w:rPr>
                    </w:pPr>
                    <w:r>
                      <w:rPr>
                        <w:sz w:val="20"/>
                      </w:rPr>
                      <w:t>Rezultato</w:t>
                    </w:r>
                  </w:p>
                </w:tc>
                <w:tc>
                  <w:tcPr>
                    <w:tcW w:w="2541" w:type="dxa"/>
                    <w:shd w:val="clear" w:color="auto" w:fill="FFFFFF" w:themeFill="background1"/>
                  </w:tcPr>
                  <w:p>
                    <w:pPr>
                      <w:rPr>
                        <w:sz w:val="20"/>
                      </w:rPr>
                    </w:pPr>
                    <w:r>
                      <w:rPr>
                        <w:sz w:val="20"/>
                      </w:rPr>
                      <w:t xml:space="preserve">Pacientų pasitenkinimas gautomis paslaugomis </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56</w:t>
                    </w:r>
                  </w:p>
                  <w:p>
                    <w:pPr>
                      <w:jc w:val="center"/>
                      <w:rPr>
                        <w:sz w:val="20"/>
                      </w:rPr>
                    </w:pPr>
                    <w:r>
                      <w:rPr>
                        <w:sz w:val="20"/>
                      </w:rPr>
                      <w:t>(2020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70</w:t>
                    </w:r>
                  </w:p>
                  <w:p>
                    <w:pPr>
                      <w:jc w:val="center"/>
                      <w:rPr>
                        <w:sz w:val="20"/>
                      </w:rPr>
                    </w:pPr>
                    <w:r>
                      <w:rPr>
                        <w:sz w:val="20"/>
                        <w:lang w:val="en-US"/>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rPr>
                        <w:sz w:val="20"/>
                      </w:rPr>
                    </w:pPr>
                    <w:r>
                      <w:rPr>
                        <w:sz w:val="20"/>
                      </w:rPr>
                      <w:t>R-11-002-02-11-01-28</w:t>
                    </w:r>
                  </w:p>
                </w:tc>
                <w:tc>
                  <w:tcPr>
                    <w:tcW w:w="1079" w:type="dxa"/>
                    <w:shd w:val="clear" w:color="auto" w:fill="FFFFFF" w:themeFill="background1"/>
                  </w:tcPr>
                  <w:p>
                    <w:pPr>
                      <w:rPr>
                        <w:iCs/>
                        <w:sz w:val="20"/>
                      </w:rPr>
                    </w:pPr>
                    <w:r>
                      <w:rPr>
                        <w:sz w:val="20"/>
                      </w:rPr>
                      <w:t>Rezultato</w:t>
                    </w:r>
                  </w:p>
                </w:tc>
                <w:tc>
                  <w:tcPr>
                    <w:tcW w:w="2541" w:type="dxa"/>
                    <w:shd w:val="clear" w:color="auto" w:fill="FFFFFF" w:themeFill="background1"/>
                  </w:tcPr>
                  <w:p>
                    <w:pPr>
                      <w:rPr>
                        <w:sz w:val="20"/>
                      </w:rPr>
                    </w:pPr>
                    <w:r>
                      <w:rPr>
                        <w:sz w:val="20"/>
                      </w:rPr>
                      <w:t xml:space="preserve">Naujos arba modernizuotos sveikatos priežiūros infrastruktūros naudotojų skaičius per metus </w:t>
                    </w:r>
                  </w:p>
                </w:tc>
                <w:tc>
                  <w:tcPr>
                    <w:tcW w:w="1078" w:type="dxa"/>
                    <w:shd w:val="clear" w:color="auto" w:fill="FFFFFF" w:themeFill="background1"/>
                  </w:tcPr>
                  <w:p>
                    <w:pPr>
                      <w:jc w:val="center"/>
                      <w:rPr>
                        <w:sz w:val="20"/>
                      </w:rPr>
                    </w:pPr>
                    <w:r>
                      <w:rPr>
                        <w:sz w:val="20"/>
                      </w:rPr>
                      <w:t>Naudotojai per metus</w:t>
                    </w:r>
                  </w:p>
                </w:tc>
                <w:tc>
                  <w:tcPr>
                    <w:tcW w:w="1078" w:type="dxa"/>
                    <w:shd w:val="clear" w:color="auto" w:fill="FFFFFF" w:themeFill="background1"/>
                  </w:tcPr>
                  <w:p>
                    <w:pPr>
                      <w:jc w:val="center"/>
                      <w:rPr>
                        <w:sz w:val="20"/>
                      </w:rPr>
                    </w:pPr>
                    <w:r>
                      <w:rPr>
                        <w:sz w:val="20"/>
                      </w:rPr>
                      <w:t>1 801 000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1 818 000</w:t>
                    </w:r>
                  </w:p>
                  <w:p>
                    <w:pPr>
                      <w:jc w:val="center"/>
                      <w:rPr>
                        <w:sz w:val="20"/>
                      </w:rPr>
                    </w:pPr>
                    <w:r>
                      <w:rPr>
                        <w:sz w:val="20"/>
                        <w:lang w:val="en-US"/>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 xml:space="preserve">2027 m. IP (ERPF) </w:t>
                    </w:r>
                  </w:p>
                </w:tc>
              </w:tr>
              <w:tr>
                <w:trPr>
                  <w:trHeight w:val="330"/>
                </w:trPr>
                <w:tc>
                  <w:tcPr>
                    <w:tcW w:w="1346" w:type="dxa"/>
                    <w:shd w:val="clear" w:color="auto" w:fill="FFFFFF" w:themeFill="background1"/>
                  </w:tcPr>
                  <w:p>
                    <w:pPr>
                      <w:rPr>
                        <w:color w:val="FFFFFF"/>
                        <w:sz w:val="20"/>
                      </w:rPr>
                    </w:pPr>
                    <w:r>
                      <w:rPr>
                        <w:sz w:val="20"/>
                      </w:rPr>
                      <w:t>R-11-002-02-11-01-29</w:t>
                    </w:r>
                  </w:p>
                </w:tc>
                <w:tc>
                  <w:tcPr>
                    <w:tcW w:w="1079" w:type="dxa"/>
                    <w:shd w:val="clear" w:color="auto" w:fill="FFFFFF" w:themeFill="background1"/>
                  </w:tcPr>
                  <w:p>
                    <w:pPr>
                      <w:rPr>
                        <w:color w:val="FFFFFF"/>
                        <w:sz w:val="20"/>
                      </w:rPr>
                    </w:pPr>
                    <w:r>
                      <w:rPr>
                        <w:iCs/>
                        <w:sz w:val="20"/>
                      </w:rPr>
                      <w:t xml:space="preserve">Rezultato </w:t>
                    </w:r>
                  </w:p>
                </w:tc>
                <w:tc>
                  <w:tcPr>
                    <w:tcW w:w="2541" w:type="dxa"/>
                    <w:shd w:val="clear" w:color="auto" w:fill="FFFFFF" w:themeFill="background1"/>
                  </w:tcPr>
                  <w:p>
                    <w:pPr>
                      <w:rPr>
                        <w:color w:val="FFFFFF"/>
                        <w:sz w:val="20"/>
                      </w:rPr>
                    </w:pPr>
                    <w:r>
                      <w:rPr>
                        <w:sz w:val="20"/>
                      </w:rPr>
                      <w:t xml:space="preserve">Ambulatorinių ir stacionarinių asmens sveikatos priežiūros įstaigų, naudojančių e. sveikatos produktus,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color w:val="FFFFFF"/>
                        <w:sz w:val="20"/>
                      </w:rPr>
                    </w:pPr>
                    <w:r>
                      <w:rPr>
                        <w:sz w:val="20"/>
                      </w:rPr>
                      <w:t>50 (2021 m.)</w:t>
                    </w:r>
                  </w:p>
                </w:tc>
                <w:tc>
                  <w:tcPr>
                    <w:tcW w:w="945" w:type="dxa"/>
                    <w:shd w:val="clear" w:color="auto" w:fill="FFFFFF" w:themeFill="background1"/>
                  </w:tcPr>
                  <w:p>
                    <w:pPr>
                      <w:jc w:val="center"/>
                      <w:rPr>
                        <w:sz w:val="20"/>
                      </w:rPr>
                    </w:pPr>
                    <w:r>
                      <w:rPr>
                        <w:sz w:val="20"/>
                      </w:rPr>
                      <w:t>60</w:t>
                    </w:r>
                  </w:p>
                  <w:p>
                    <w:pPr>
                      <w:jc w:val="center"/>
                      <w:rPr>
                        <w:sz w:val="20"/>
                      </w:rPr>
                    </w:pPr>
                    <w:r>
                      <w:rPr>
                        <w:sz w:val="20"/>
                      </w:rPr>
                      <w:t>(2023 m. IV ketv.)</w:t>
                    </w:r>
                  </w:p>
                  <w:p>
                    <w:pPr>
                      <w:jc w:val="center"/>
                      <w:rPr>
                        <w:sz w:val="20"/>
                      </w:rPr>
                    </w:pPr>
                    <w:r>
                      <w:rPr>
                        <w:sz w:val="20"/>
                      </w:rPr>
                      <w:t>70</w:t>
                    </w:r>
                  </w:p>
                  <w:p>
                    <w:pPr>
                      <w:jc w:val="center"/>
                      <w:rPr>
                        <w:color w:val="FFFFFF"/>
                        <w:sz w:val="20"/>
                      </w:rPr>
                    </w:pPr>
                    <w:r>
                      <w:rPr>
                        <w:sz w:val="20"/>
                      </w:rPr>
                      <w:t>(2025 m. IV ketv.)</w:t>
                    </w:r>
                  </w:p>
                </w:tc>
                <w:tc>
                  <w:tcPr>
                    <w:tcW w:w="1079" w:type="dxa"/>
                    <w:shd w:val="clear" w:color="auto" w:fill="FFFFFF" w:themeFill="background1"/>
                  </w:tcPr>
                  <w:p>
                    <w:pPr>
                      <w:jc w:val="center"/>
                      <w:rPr>
                        <w:color w:val="FFFFFF"/>
                        <w:sz w:val="20"/>
                      </w:rPr>
                    </w:pPr>
                    <w:r>
                      <w:rPr>
                        <w:sz w:val="20"/>
                      </w:rPr>
                      <w:t>98</w:t>
                    </w:r>
                  </w:p>
                </w:tc>
                <w:tc>
                  <w:tcPr>
                    <w:tcW w:w="1344" w:type="dxa"/>
                    <w:shd w:val="clear" w:color="auto" w:fill="FFFFFF" w:themeFill="background1"/>
                  </w:tcPr>
                  <w:p>
                    <w:pPr>
                      <w:jc w:val="center"/>
                      <w:rPr>
                        <w:color w:val="FFFFFF"/>
                        <w:sz w:val="20"/>
                      </w:rPr>
                    </w:pPr>
                    <w:r>
                      <w:rPr>
                        <w:bCs/>
                        <w:sz w:val="20"/>
                      </w:rPr>
                      <w:t>EGADP</w:t>
                    </w:r>
                  </w:p>
                </w:tc>
              </w:tr>
              <w:tr>
                <w:trPr>
                  <w:trHeight w:val="330"/>
                </w:trPr>
                <w:tc>
                  <w:tcPr>
                    <w:tcW w:w="1346" w:type="dxa"/>
                    <w:shd w:val="clear" w:color="auto" w:fill="FFFFFF" w:themeFill="background1"/>
                  </w:tcPr>
                  <w:p>
                    <w:pPr>
                      <w:rPr>
                        <w:color w:val="FFFFFF"/>
                        <w:sz w:val="20"/>
                      </w:rPr>
                    </w:pPr>
                    <w:r>
                      <w:rPr>
                        <w:sz w:val="20"/>
                      </w:rPr>
                      <w:t>R-11-002-02-11-01-30</w:t>
                    </w:r>
                  </w:p>
                </w:tc>
                <w:tc>
                  <w:tcPr>
                    <w:tcW w:w="1079" w:type="dxa"/>
                    <w:shd w:val="clear" w:color="auto" w:fill="FFFFFF" w:themeFill="background1"/>
                  </w:tcPr>
                  <w:p>
                    <w:pPr>
                      <w:rPr>
                        <w:color w:val="FFFFFF"/>
                        <w:sz w:val="20"/>
                      </w:rPr>
                    </w:pPr>
                    <w:r>
                      <w:rPr>
                        <w:iCs/>
                        <w:sz w:val="20"/>
                      </w:rPr>
                      <w:t xml:space="preserve">Rezultato </w:t>
                    </w:r>
                  </w:p>
                </w:tc>
                <w:tc>
                  <w:tcPr>
                    <w:tcW w:w="2541" w:type="dxa"/>
                    <w:shd w:val="clear" w:color="auto" w:fill="FFFFFF" w:themeFill="background1"/>
                  </w:tcPr>
                  <w:p>
                    <w:pPr>
                      <w:rPr>
                        <w:color w:val="FFFFFF"/>
                        <w:sz w:val="20"/>
                      </w:rPr>
                    </w:pPr>
                    <w:r>
                      <w:rPr>
                        <w:sz w:val="20"/>
                      </w:rPr>
                      <w:t xml:space="preserve">Sveikatos priežiūros specialistų, kurių licencija įregistruota ir jos priežiūra vykdoma skaitmeniniu būdu,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0</w:t>
                    </w:r>
                  </w:p>
                  <w:p>
                    <w:pPr>
                      <w:jc w:val="center"/>
                      <w:rPr>
                        <w:color w:val="FFFFFF"/>
                        <w:sz w:val="20"/>
                      </w:rPr>
                    </w:pPr>
                    <w:r>
                      <w:rPr>
                        <w:sz w:val="20"/>
                      </w:rPr>
                      <w:t>(2021 m.)</w:t>
                    </w:r>
                  </w:p>
                </w:tc>
                <w:tc>
                  <w:tcPr>
                    <w:tcW w:w="945" w:type="dxa"/>
                    <w:shd w:val="clear" w:color="auto" w:fill="FFFFFF" w:themeFill="background1"/>
                  </w:tcPr>
                  <w:p>
                    <w:pPr>
                      <w:jc w:val="center"/>
                      <w:rPr>
                        <w:sz w:val="20"/>
                      </w:rPr>
                    </w:pPr>
                    <w:r>
                      <w:rPr>
                        <w:sz w:val="20"/>
                      </w:rPr>
                      <w:t>50</w:t>
                    </w:r>
                  </w:p>
                  <w:p>
                    <w:pPr>
                      <w:jc w:val="center"/>
                      <w:rPr>
                        <w:color w:val="FFFFFF"/>
                        <w:sz w:val="20"/>
                      </w:rPr>
                    </w:pPr>
                    <w:r>
                      <w:rPr>
                        <w:sz w:val="20"/>
                      </w:rPr>
                      <w:t>(2026 m. I ketv.)</w:t>
                    </w:r>
                  </w:p>
                </w:tc>
                <w:tc>
                  <w:tcPr>
                    <w:tcW w:w="1079" w:type="dxa"/>
                    <w:shd w:val="clear" w:color="auto" w:fill="FFFFFF" w:themeFill="background1"/>
                  </w:tcPr>
                  <w:p>
                    <w:pPr>
                      <w:jc w:val="center"/>
                      <w:rPr>
                        <w:sz w:val="20"/>
                      </w:rPr>
                    </w:pPr>
                    <w:r>
                      <w:rPr>
                        <w:sz w:val="20"/>
                      </w:rPr>
                      <w:t>90</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w:t>
                    </w:r>
                  </w:p>
                </w:tc>
              </w:tr>
              <w:tr>
                <w:trPr>
                  <w:trHeight w:val="330"/>
                </w:trPr>
                <w:tc>
                  <w:tcPr>
                    <w:tcW w:w="1346" w:type="dxa"/>
                    <w:shd w:val="clear" w:color="auto" w:fill="FFFFFF" w:themeFill="background1"/>
                  </w:tcPr>
                  <w:p>
                    <w:pPr>
                      <w:rPr>
                        <w:color w:val="FFFFFF"/>
                        <w:sz w:val="20"/>
                      </w:rPr>
                    </w:pPr>
                    <w:r>
                      <w:rPr>
                        <w:sz w:val="20"/>
                      </w:rPr>
                      <w:t>P-11-002-02-11-01-31</w:t>
                    </w:r>
                  </w:p>
                </w:tc>
                <w:tc>
                  <w:tcPr>
                    <w:tcW w:w="1079" w:type="dxa"/>
                    <w:shd w:val="clear" w:color="auto" w:fill="FFFFFF" w:themeFill="background1"/>
                  </w:tcPr>
                  <w:p>
                    <w:pPr>
                      <w:rPr>
                        <w:color w:val="FFFFFF"/>
                        <w:sz w:val="20"/>
                      </w:rPr>
                    </w:pPr>
                    <w:r>
                      <w:rPr>
                        <w:sz w:val="20"/>
                      </w:rPr>
                      <w:t>Produkto</w:t>
                    </w:r>
                  </w:p>
                </w:tc>
                <w:tc>
                  <w:tcPr>
                    <w:tcW w:w="2541" w:type="dxa"/>
                    <w:shd w:val="clear" w:color="auto" w:fill="FFFFFF" w:themeFill="background1"/>
                  </w:tcPr>
                  <w:p>
                    <w:pPr>
                      <w:rPr>
                        <w:color w:val="FFFFFF"/>
                        <w:sz w:val="20"/>
                      </w:rPr>
                    </w:pPr>
                    <w:r>
                      <w:rPr>
                        <w:sz w:val="20"/>
                      </w:rPr>
                      <w:t>Naujos arba modernizuotos sveikatos priežiūros infrastruktūros talpumas</w:t>
                    </w:r>
                  </w:p>
                </w:tc>
                <w:tc>
                  <w:tcPr>
                    <w:tcW w:w="1078" w:type="dxa"/>
                    <w:shd w:val="clear" w:color="auto" w:fill="FFFFFF" w:themeFill="background1"/>
                  </w:tcPr>
                  <w:p>
                    <w:pPr>
                      <w:jc w:val="center"/>
                      <w:rPr>
                        <w:color w:val="FFFFFF"/>
                        <w:sz w:val="20"/>
                      </w:rPr>
                    </w:pPr>
                    <w:r>
                      <w:rPr>
                        <w:sz w:val="20"/>
                      </w:rPr>
                      <w:t>Asmenys per metus</w:t>
                    </w:r>
                  </w:p>
                </w:tc>
                <w:tc>
                  <w:tcPr>
                    <w:tcW w:w="1078" w:type="dxa"/>
                    <w:shd w:val="clear" w:color="auto" w:fill="FFFFFF" w:themeFill="background1"/>
                  </w:tcPr>
                  <w:p>
                    <w:pPr>
                      <w:jc w:val="center"/>
                      <w:rPr>
                        <w:sz w:val="20"/>
                      </w:rPr>
                    </w:pPr>
                    <w:r>
                      <w:rPr>
                        <w:sz w:val="20"/>
                      </w:rPr>
                      <w:t>0</w:t>
                    </w:r>
                  </w:p>
                  <w:p>
                    <w:pPr>
                      <w:jc w:val="center"/>
                      <w:rPr>
                        <w:color w:val="FFFFFF"/>
                        <w:sz w:val="20"/>
                      </w:rPr>
                    </w:pPr>
                  </w:p>
                </w:tc>
                <w:tc>
                  <w:tcPr>
                    <w:tcW w:w="945" w:type="dxa"/>
                    <w:shd w:val="clear" w:color="auto" w:fill="FFFFFF" w:themeFill="background1"/>
                  </w:tcPr>
                  <w:p>
                    <w:pPr>
                      <w:jc w:val="center"/>
                      <w:rPr>
                        <w:sz w:val="20"/>
                      </w:rPr>
                    </w:pPr>
                    <w:r>
                      <w:rPr>
                        <w:sz w:val="20"/>
                      </w:rPr>
                      <w:t>426 000</w:t>
                    </w:r>
                  </w:p>
                  <w:p>
                    <w:pPr>
                      <w:jc w:val="center"/>
                      <w:rPr>
                        <w:color w:val="FFFFFF"/>
                        <w:sz w:val="20"/>
                      </w:rPr>
                    </w:pPr>
                    <w:r>
                      <w:rPr>
                        <w:sz w:val="20"/>
                      </w:rPr>
                      <w:t>(2024 m.)</w:t>
                    </w:r>
                  </w:p>
                </w:tc>
                <w:tc>
                  <w:tcPr>
                    <w:tcW w:w="1079" w:type="dxa"/>
                    <w:shd w:val="clear" w:color="auto" w:fill="FFFFFF" w:themeFill="background1"/>
                  </w:tcPr>
                  <w:p>
                    <w:pPr>
                      <w:jc w:val="center"/>
                      <w:rPr>
                        <w:sz w:val="20"/>
                      </w:rPr>
                    </w:pPr>
                    <w:r>
                      <w:rPr>
                        <w:sz w:val="20"/>
                      </w:rPr>
                      <w:t>2 138 000</w:t>
                    </w:r>
                  </w:p>
                  <w:p>
                    <w:pPr>
                      <w:jc w:val="center"/>
                      <w:rPr>
                        <w:color w:val="FFFFFF"/>
                        <w:sz w:val="20"/>
                      </w:rPr>
                    </w:pPr>
                    <w:r>
                      <w:rPr>
                        <w:sz w:val="20"/>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P-11-002-02-11-01-32</w:t>
                    </w:r>
                  </w:p>
                </w:tc>
                <w:tc>
                  <w:tcPr>
                    <w:tcW w:w="1079" w:type="dxa"/>
                    <w:shd w:val="clear" w:color="auto" w:fill="FFFFFF" w:themeFill="background1"/>
                  </w:tcPr>
                  <w:p>
                    <w:pPr>
                      <w:rPr>
                        <w:color w:val="FFFFFF"/>
                        <w:sz w:val="20"/>
                      </w:rPr>
                    </w:pPr>
                    <w:r>
                      <w:rPr>
                        <w:sz w:val="20"/>
                      </w:rPr>
                      <w:t>Produkto</w:t>
                    </w:r>
                  </w:p>
                </w:tc>
                <w:tc>
                  <w:tcPr>
                    <w:tcW w:w="2541" w:type="dxa"/>
                    <w:shd w:val="clear" w:color="auto" w:fill="FFFFFF" w:themeFill="background1"/>
                  </w:tcPr>
                  <w:p>
                    <w:pPr>
                      <w:rPr>
                        <w:color w:val="FFFFFF"/>
                        <w:sz w:val="20"/>
                      </w:rPr>
                    </w:pPr>
                    <w:r>
                      <w:rPr>
                        <w:sz w:val="20"/>
                      </w:rPr>
                      <w:t>Greitosios medicinos pagalbos paslaugų infrastruktūros, kuriai skirta parama, pajėgumas</w:t>
                    </w:r>
                  </w:p>
                </w:tc>
                <w:tc>
                  <w:tcPr>
                    <w:tcW w:w="1078" w:type="dxa"/>
                    <w:shd w:val="clear" w:color="auto" w:fill="FFFFFF" w:themeFill="background1"/>
                  </w:tcPr>
                  <w:p>
                    <w:pPr>
                      <w:jc w:val="center"/>
                      <w:rPr>
                        <w:color w:val="FFFFFF"/>
                        <w:sz w:val="20"/>
                      </w:rPr>
                    </w:pPr>
                    <w:r>
                      <w:rPr>
                        <w:sz w:val="20"/>
                      </w:rPr>
                      <w:t>Asmenys per metus</w:t>
                    </w:r>
                  </w:p>
                </w:tc>
                <w:tc>
                  <w:tcPr>
                    <w:tcW w:w="1078" w:type="dxa"/>
                    <w:shd w:val="clear" w:color="auto" w:fill="FFFFFF" w:themeFill="background1"/>
                  </w:tcPr>
                  <w:p>
                    <w:pPr>
                      <w:jc w:val="center"/>
                      <w:rPr>
                        <w:color w:val="FFFFFF"/>
                        <w:sz w:val="20"/>
                      </w:rPr>
                    </w:pPr>
                    <w:r>
                      <w:rPr>
                        <w:sz w:val="20"/>
                      </w:rPr>
                      <w:t>0</w:t>
                    </w:r>
                  </w:p>
                </w:tc>
                <w:tc>
                  <w:tcPr>
                    <w:tcW w:w="945" w:type="dxa"/>
                    <w:shd w:val="clear" w:color="auto" w:fill="FFFFFF" w:themeFill="background1"/>
                  </w:tcPr>
                  <w:p>
                    <w:pPr>
                      <w:jc w:val="center"/>
                      <w:rPr>
                        <w:sz w:val="20"/>
                      </w:rPr>
                    </w:pPr>
                    <w:r>
                      <w:rPr>
                        <w:sz w:val="20"/>
                      </w:rPr>
                      <w:t>558 000</w:t>
                    </w:r>
                  </w:p>
                  <w:p>
                    <w:pPr>
                      <w:jc w:val="center"/>
                      <w:rPr>
                        <w:color w:val="FFFFFF"/>
                        <w:sz w:val="20"/>
                      </w:rPr>
                    </w:pPr>
                    <w:r>
                      <w:rPr>
                        <w:sz w:val="20"/>
                      </w:rPr>
                      <w:t>(2024 m.)</w:t>
                    </w:r>
                  </w:p>
                </w:tc>
                <w:tc>
                  <w:tcPr>
                    <w:tcW w:w="1079" w:type="dxa"/>
                    <w:shd w:val="clear" w:color="auto" w:fill="FFFFFF" w:themeFill="background1"/>
                  </w:tcPr>
                  <w:p>
                    <w:pPr>
                      <w:jc w:val="center"/>
                      <w:rPr>
                        <w:sz w:val="20"/>
                      </w:rPr>
                    </w:pPr>
                    <w:r>
                      <w:rPr>
                        <w:sz w:val="20"/>
                      </w:rPr>
                      <w:t>2 790 000</w:t>
                    </w:r>
                  </w:p>
                  <w:p>
                    <w:pPr>
                      <w:jc w:val="center"/>
                      <w:rPr>
                        <w:color w:val="FFFFFF"/>
                        <w:sz w:val="20"/>
                      </w:rPr>
                    </w:pPr>
                    <w:r>
                      <w:rPr>
                        <w:sz w:val="20"/>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sz w:val="20"/>
                      </w:rPr>
                    </w:pPr>
                    <w:r>
                      <w:rPr>
                        <w:sz w:val="20"/>
                      </w:rPr>
                      <w:t>R-11-002-02-11-01-33</w:t>
                    </w:r>
                  </w:p>
                </w:tc>
                <w:tc>
                  <w:tcPr>
                    <w:tcW w:w="1079" w:type="dxa"/>
                    <w:shd w:val="clear" w:color="auto" w:fill="FFFFFF" w:themeFill="background1"/>
                  </w:tcPr>
                  <w:p>
                    <w:pPr>
                      <w:rPr>
                        <w:sz w:val="20"/>
                      </w:rPr>
                    </w:pPr>
                    <w:r>
                      <w:rPr>
                        <w:iCs/>
                        <w:sz w:val="20"/>
                      </w:rPr>
                      <w:t>Rezultato</w:t>
                    </w:r>
                  </w:p>
                </w:tc>
                <w:tc>
                  <w:tcPr>
                    <w:tcW w:w="2541" w:type="dxa"/>
                    <w:shd w:val="clear" w:color="auto" w:fill="FFFFFF" w:themeFill="background1"/>
                  </w:tcPr>
                  <w:p>
                    <w:pPr>
                      <w:rPr>
                        <w:sz w:val="20"/>
                      </w:rPr>
                    </w:pPr>
                    <w:r>
                      <w:rPr>
                        <w:sz w:val="20"/>
                      </w:rPr>
                      <w:t>Naujos arba modernizuotos sveikatos priežiūros infrastruktūros talpumas</w:t>
                    </w:r>
                    <w:r>
                      <w:rPr>
                        <w:sz w:val="20"/>
                        <w:vertAlign w:val="superscript"/>
                      </w:rPr>
                      <w:t>2</w:t>
                    </w:r>
                  </w:p>
                </w:tc>
                <w:tc>
                  <w:tcPr>
                    <w:tcW w:w="1078" w:type="dxa"/>
                    <w:shd w:val="clear" w:color="auto" w:fill="FFFFFF" w:themeFill="background1"/>
                  </w:tcPr>
                  <w:p>
                    <w:pPr>
                      <w:jc w:val="center"/>
                      <w:rPr>
                        <w:sz w:val="20"/>
                      </w:rPr>
                    </w:pPr>
                    <w:r>
                      <w:rPr>
                        <w:sz w:val="20"/>
                      </w:rPr>
                      <w:t>Asmenys per metus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n/d</w:t>
                    </w:r>
                  </w:p>
                </w:tc>
                <w:tc>
                  <w:tcPr>
                    <w:tcW w:w="1344" w:type="dxa"/>
                    <w:shd w:val="clear" w:color="auto" w:fill="FFFFFF" w:themeFill="background1"/>
                  </w:tcPr>
                  <w:p>
                    <w:pPr>
                      <w:jc w:val="center"/>
                      <w:rPr>
                        <w:bCs/>
                        <w:sz w:val="20"/>
                      </w:rPr>
                    </w:pPr>
                    <w:r>
                      <w:rPr>
                        <w:bCs/>
                        <w:sz w:val="20"/>
                      </w:rPr>
                      <w:t>EGADP</w:t>
                    </w:r>
                  </w:p>
                </w:tc>
              </w:tr>
              <w:tr>
                <w:trPr>
                  <w:trHeight w:val="41"/>
                </w:trPr>
                <w:tc>
                  <w:tcPr>
                    <w:tcW w:w="1346" w:type="dxa"/>
                    <w:shd w:val="clear" w:color="auto" w:fill="FFFFFF" w:themeFill="background1"/>
                  </w:tcPr>
                  <w:p>
                    <w:pPr>
                      <w:rPr>
                        <w:sz w:val="20"/>
                      </w:rPr>
                    </w:pPr>
                    <w:r>
                      <w:rPr>
                        <w:sz w:val="20"/>
                      </w:rPr>
                      <w:t>R-11-002-02-11-01-34</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vertAlign w:val="superscript"/>
                      </w:rPr>
                    </w:pPr>
                    <w:r>
                      <w:rPr>
                        <w:sz w:val="20"/>
                      </w:rPr>
                      <w:t>Naujų ir patobulintų viešųjų skaitmeninių paslaugų, produktų ir procesų naudotojai</w:t>
                    </w:r>
                    <w:r>
                      <w:rPr>
                        <w:sz w:val="20"/>
                        <w:vertAlign w:val="superscript"/>
                      </w:rPr>
                      <w:t>2</w:t>
                    </w:r>
                  </w:p>
                </w:tc>
                <w:tc>
                  <w:tcPr>
                    <w:tcW w:w="1078" w:type="dxa"/>
                    <w:shd w:val="clear" w:color="auto" w:fill="FFFFFF" w:themeFill="background1"/>
                  </w:tcPr>
                  <w:p>
                    <w:pPr>
                      <w:jc w:val="center"/>
                      <w:rPr>
                        <w:sz w:val="20"/>
                      </w:rPr>
                    </w:pPr>
                    <w:r>
                      <w:rPr>
                        <w:sz w:val="20"/>
                      </w:rPr>
                      <w:t>Naudotojų skaičius per metus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n/d</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P-11-002-02-11-01-35</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20"/>
                      </w:rPr>
                    </w:pPr>
                    <w:r>
                      <w:rPr>
                        <w:sz w:val="20"/>
                      </w:rPr>
                      <w:t xml:space="preserve">Socialiniams partneriams pristatytas ir viešai konsultacijai pateiktas ilgalaikės priežiūros  paslaugų teikimo ir finansavimo modelis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P-11-002-02-11-01-36</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ind w:left="38"/>
                      <w:rPr>
                        <w:sz w:val="20"/>
                      </w:rPr>
                    </w:pPr>
                    <w:r>
                      <w:rPr>
                        <w:sz w:val="20"/>
                      </w:rPr>
                      <w:t xml:space="preserve">Įsigalioję teisės aktai, reglamentuojantys ilgalaikės priežiūros paslaugų modelio įgyvendinimą </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(2024 m. 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P-11-002-02-11-01-37</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8"/>
                        <w:szCs w:val="8"/>
                      </w:rPr>
                    </w:pPr>
                  </w:p>
                  <w:p>
                    <w:pPr>
                      <w:rPr>
                        <w:sz w:val="20"/>
                        <w:lang w:eastAsia="lt-LT"/>
                      </w:rPr>
                    </w:pPr>
                    <w:r>
                      <w:rPr>
                        <w:sz w:val="20"/>
                      </w:rPr>
                      <w:t>Sukurtų ilgalaikės priežiūros specialistų komandų, teikiančių paslaugas gyventojų namuose, skaičius</w:t>
                    </w:r>
                    <w:r>
                      <w:rPr>
                        <w:sz w:val="20"/>
                        <w:lang w:eastAsia="lt-LT"/>
                      </w:rPr>
                      <w:t xml:space="preserve">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auto"/>
                  </w:tcPr>
                  <w:p>
                    <w:pPr>
                      <w:jc w:val="center"/>
                      <w:rPr>
                        <w:sz w:val="20"/>
                      </w:rPr>
                    </w:pPr>
                    <w:r>
                      <w:rPr>
                        <w:sz w:val="20"/>
                      </w:rPr>
                      <w:t>90</w:t>
                    </w:r>
                  </w:p>
                  <w:p>
                    <w:pPr>
                      <w:jc w:val="center"/>
                      <w:rPr>
                        <w:sz w:val="20"/>
                      </w:rPr>
                    </w:pPr>
                    <w:r>
                      <w:rPr>
                        <w:sz w:val="20"/>
                      </w:rPr>
                      <w:t>(202</w:t>
                    </w:r>
                    <w:r>
                      <w:rPr>
                        <w:sz w:val="20"/>
                        <w:lang w:val="en-US"/>
                      </w:rPr>
                      <w:t>4</w:t>
                    </w:r>
                    <w:r>
                      <w:rPr>
                        <w:sz w:val="20"/>
                      </w:rPr>
                      <w:t xml:space="preserve"> m. IV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P-11-002-02-11-01-38</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20"/>
                      </w:rPr>
                    </w:pPr>
                    <w:r>
                      <w:rPr>
                        <w:sz w:val="20"/>
                      </w:rPr>
                      <w:t>Įkurtų specializuotų dienos priežiūros centrų, skirtų integruotoms ilgalaikės priežiūros paslaugoms teikti, skaičius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FFFFFF" w:themeFill="background1"/>
                  </w:tcPr>
                  <w:p>
                    <w:pPr>
                      <w:jc w:val="center"/>
                      <w:rPr>
                        <w:sz w:val="20"/>
                      </w:rPr>
                    </w:pPr>
                    <w:r>
                      <w:rPr>
                        <w:sz w:val="20"/>
                      </w:rPr>
                      <w:t>10</w:t>
                    </w:r>
                  </w:p>
                  <w:p>
                    <w:pPr>
                      <w:jc w:val="center"/>
                      <w:rPr>
                        <w:sz w:val="20"/>
                      </w:rPr>
                    </w:pPr>
                    <w:r>
                      <w:rPr>
                        <w:sz w:val="20"/>
                      </w:rPr>
                      <w:t>(2024 m. IV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P-11-002-02-11-01-39</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color w:val="000000"/>
                        <w:sz w:val="20"/>
                      </w:rPr>
                    </w:pPr>
                    <w:r>
                      <w:rPr>
                        <w:color w:val="000000"/>
                        <w:sz w:val="20"/>
                      </w:rPr>
                      <w:t xml:space="preserve">Sveikatos priežiūros įstaigų bendradarbiavimo gerinimo ir infrastruktūros pritaikymo ekstremalioms situacijoms modernizavimo veiksmų plano projektas pateiktas konsultacijoms su socialiniais partneriais ir kitomis suinteresuotomis šalimis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P-11-002-02-11-01-40</w:t>
                    </w:r>
                  </w:p>
                </w:tc>
                <w:tc>
                  <w:tcPr>
                    <w:tcW w:w="1079" w:type="dxa"/>
                    <w:shd w:val="clear" w:color="auto" w:fill="FFFFFF" w:themeFill="background1"/>
                  </w:tcPr>
                  <w:p>
                    <w:pPr>
                      <w:rPr>
                        <w:iCs/>
                        <w:sz w:val="20"/>
                      </w:rPr>
                    </w:pPr>
                    <w:r>
                      <w:rPr>
                        <w:sz w:val="20"/>
                      </w:rPr>
                      <w:t>Produkto</w:t>
                    </w:r>
                  </w:p>
                </w:tc>
                <w:tc>
                  <w:tcPr>
                    <w:tcW w:w="2541" w:type="dxa"/>
                    <w:shd w:val="clear" w:color="auto" w:fill="FFFFFF" w:themeFill="background1"/>
                  </w:tcPr>
                  <w:p>
                    <w:pPr>
                      <w:rPr>
                        <w:sz w:val="20"/>
                      </w:rPr>
                    </w:pPr>
                    <w:r>
                      <w:rPr>
                        <w:sz w:val="20"/>
                      </w:rPr>
                      <w:t xml:space="preserve">Įsigaliojęs sveikatos priežiūros įstaigų bendradarbiavimo gerinimo ir infrastruktūros pritaikymo ekstremaliosioms situacijoms modernizavimo veiksmų planas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(2023 m. 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P-11-002-02-11-01-41</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jc w:val="both"/>
                      <w:rPr>
                        <w:color w:val="000000"/>
                        <w:sz w:val="20"/>
                      </w:rPr>
                    </w:pPr>
                    <w:r>
                      <w:rPr>
                        <w:sz w:val="20"/>
                        <w:lang w:eastAsia="lt-LT"/>
                      </w:rPr>
                      <w:t xml:space="preserve">Nustatyti infekcinių ligų centrų infrastruktūros reikalavimai  </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P-11-002-02-11-01-42</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color w:val="000000"/>
                        <w:sz w:val="20"/>
                      </w:rPr>
                    </w:pPr>
                    <w:r>
                      <w:rPr>
                        <w:sz w:val="20"/>
                        <w:lang w:eastAsia="lt-LT"/>
                      </w:rPr>
                      <w:t>Atlikta ligoninių tinklo veiklos rezultatų analizė, parodanti, kaip pokyčiai, įskaitant investicijas pagal Ekonomikos gaivinimo ir atsparumo didinimo priemonę, prisideda prie galimybių geriau užtikrinti tam tikrą gydomųjų</w:t>
                    </w:r>
                    <w:r>
                      <w:rPr>
                        <w:b/>
                        <w:bCs/>
                        <w:sz w:val="20"/>
                        <w:lang w:eastAsia="lt-LT"/>
                      </w:rPr>
                      <w:t xml:space="preserve"> </w:t>
                    </w:r>
                    <w:r>
                      <w:rPr>
                        <w:sz w:val="20"/>
                        <w:lang w:eastAsia="lt-LT"/>
                      </w:rPr>
                      <w:t>lovų skaičių jo nedidinant. Analizė taip pat turėtų būti perspektyvinė ir ją atliekant turėtų būti atsižvelgiama į prognozuojamą paklausą</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(2023 m. III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P-11-002-02-11-01-43</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color w:val="000000"/>
                        <w:sz w:val="20"/>
                      </w:rPr>
                    </w:pPr>
                    <w:r>
                      <w:rPr>
                        <w:sz w:val="20"/>
                      </w:rPr>
                      <w:t xml:space="preserve">Modernizuotų sveikatos priežiūros įstaigų, įskaitant infekcinių ligų klasterio kompetencijos </w:t>
                    </w:r>
                    <w:r>
                      <w:rPr>
                        <w:color w:val="000000"/>
                        <w:sz w:val="20"/>
                      </w:rPr>
                      <w:t xml:space="preserve">centrus, skaičius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FFFFFF" w:themeFill="background1"/>
                  </w:tcPr>
                  <w:p>
                    <w:pPr>
                      <w:jc w:val="center"/>
                      <w:rPr>
                        <w:sz w:val="20"/>
                      </w:rPr>
                    </w:pPr>
                    <w:r>
                      <w:rPr>
                        <w:sz w:val="20"/>
                      </w:rPr>
                      <w:t>5</w:t>
                    </w:r>
                  </w:p>
                  <w:p>
                    <w:pPr>
                      <w:jc w:val="center"/>
                      <w:rPr>
                        <w:sz w:val="20"/>
                      </w:rPr>
                    </w:pPr>
                    <w:r>
                      <w:rPr>
                        <w:sz w:val="20"/>
                      </w:rPr>
                      <w:t>(202</w:t>
                    </w:r>
                    <w:r>
                      <w:rPr>
                        <w:sz w:val="20"/>
                        <w:lang w:val="en-US"/>
                      </w:rPr>
                      <w:t>5</w:t>
                    </w:r>
                    <w:r>
                      <w:rPr>
                        <w:sz w:val="20"/>
                      </w:rPr>
                      <w:t xml:space="preserve"> m. IV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rPr>
                        <w:sz w:val="20"/>
                      </w:rPr>
                    </w:pPr>
                    <w:r>
                      <w:rPr>
                        <w:sz w:val="20"/>
                      </w:rPr>
                      <w:t>P-11-002-02-11-01-44</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color w:val="000000"/>
                        <w:sz w:val="20"/>
                      </w:rPr>
                    </w:pPr>
                    <w:r>
                      <w:rPr>
                        <w:sz w:val="20"/>
                        <w:lang w:eastAsia="lt-LT"/>
                      </w:rPr>
                      <w:t>Nustatyti ligoninių skubiosios medicinos pagalbos, reanimacijos ir intensyviosios terapijos skyrių infrastruktūros reikalavimai</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P-11-002-02-11-01-45</w:t>
                    </w:r>
                  </w:p>
                </w:tc>
                <w:tc>
                  <w:tcPr>
                    <w:tcW w:w="1079" w:type="dxa"/>
                    <w:shd w:val="clear" w:color="auto" w:fill="FFFFFF" w:themeFill="background1"/>
                  </w:tcPr>
                  <w:p>
                    <w:pPr>
                      <w:rPr>
                        <w:iCs/>
                        <w:sz w:val="20"/>
                      </w:rPr>
                    </w:pPr>
                    <w:r>
                      <w:rPr>
                        <w:sz w:val="20"/>
                      </w:rPr>
                      <w:t>Produkto</w:t>
                    </w:r>
                  </w:p>
                </w:tc>
                <w:tc>
                  <w:tcPr>
                    <w:tcW w:w="2541" w:type="dxa"/>
                    <w:shd w:val="clear" w:color="auto" w:fill="FFFFFF" w:themeFill="background1"/>
                  </w:tcPr>
                  <w:p>
                    <w:pPr>
                      <w:rPr>
                        <w:color w:val="7030A0"/>
                        <w:sz w:val="20"/>
                      </w:rPr>
                    </w:pPr>
                    <w:r>
                      <w:rPr>
                        <w:sz w:val="20"/>
                      </w:rPr>
                      <w:t xml:space="preserve">Modernizuotos ligoninių skubiosios medicinos pagalbos ir reanimacijos bei intensyviosios terapijos skyrių sveikatos priežiūros infrastruktūros objektų skaičius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FFFFFF" w:themeFill="background1"/>
                  </w:tcPr>
                  <w:p>
                    <w:pPr>
                      <w:jc w:val="center"/>
                      <w:rPr>
                        <w:sz w:val="20"/>
                      </w:rPr>
                    </w:pPr>
                    <w:r>
                      <w:rPr>
                        <w:sz w:val="20"/>
                      </w:rPr>
                      <w:t>7</w:t>
                    </w:r>
                  </w:p>
                  <w:p>
                    <w:pPr>
                      <w:jc w:val="center"/>
                      <w:rPr>
                        <w:sz w:val="20"/>
                      </w:rPr>
                    </w:pPr>
                    <w:r>
                      <w:rPr>
                        <w:sz w:val="20"/>
                      </w:rPr>
                      <w:t>(202</w:t>
                    </w:r>
                    <w:r>
                      <w:rPr>
                        <w:sz w:val="20"/>
                        <w:lang w:val="en-US"/>
                      </w:rPr>
                      <w:t>5</w:t>
                    </w:r>
                    <w:r>
                      <w:rPr>
                        <w:sz w:val="20"/>
                      </w:rPr>
                      <w:t xml:space="preserve"> m. IV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P-11-002-02-11-01-46</w:t>
                    </w:r>
                  </w:p>
                </w:tc>
                <w:tc>
                  <w:tcPr>
                    <w:tcW w:w="1079" w:type="dxa"/>
                    <w:shd w:val="clear" w:color="auto" w:fill="FFFFFF" w:themeFill="background1"/>
                  </w:tcPr>
                  <w:p>
                    <w:pPr>
                      <w:spacing w:line="276" w:lineRule="auto"/>
                      <w:rPr>
                        <w:sz w:val="20"/>
                      </w:rPr>
                    </w:pPr>
                    <w:r>
                      <w:rPr>
                        <w:iCs/>
                        <w:sz w:val="20"/>
                      </w:rPr>
                      <w:t>Produkto</w:t>
                    </w:r>
                  </w:p>
                </w:tc>
                <w:tc>
                  <w:tcPr>
                    <w:tcW w:w="2541" w:type="dxa"/>
                    <w:shd w:val="clear" w:color="auto" w:fill="FFFFFF" w:themeFill="background1"/>
                  </w:tcPr>
                  <w:p>
                    <w:pPr>
                      <w:spacing w:line="276" w:lineRule="auto"/>
                      <w:rPr>
                        <w:sz w:val="20"/>
                      </w:rPr>
                    </w:pPr>
                    <w:r>
                      <w:rPr>
                        <w:sz w:val="20"/>
                      </w:rPr>
                      <w:t xml:space="preserve">Pažangiosios terapijos centro pastato statybos darbų viešojo pirkimo procedūrų užbaigimas </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spacing w:line="276" w:lineRule="auto"/>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IV ketv.)</w:t>
                    </w:r>
                  </w:p>
                </w:tc>
                <w:tc>
                  <w:tcPr>
                    <w:tcW w:w="1344" w:type="dxa"/>
                    <w:shd w:val="clear" w:color="auto" w:fill="FFFFFF" w:themeFill="background1"/>
                  </w:tcPr>
                  <w:p>
                    <w:pPr>
                      <w:spacing w:line="276" w:lineRule="auto"/>
                      <w:jc w:val="center"/>
                      <w:rPr>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P-11-002-02-11-01-47</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spacing w:line="276" w:lineRule="auto"/>
                      <w:rPr>
                        <w:sz w:val="20"/>
                      </w:rPr>
                    </w:pPr>
                    <w:r>
                      <w:rPr>
                        <w:sz w:val="20"/>
                      </w:rPr>
                      <w:t xml:space="preserve">Sukurtas pažangios terapijos centras </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(2025 m. IV ketv.)</w:t>
                    </w:r>
                  </w:p>
                </w:tc>
                <w:tc>
                  <w:tcPr>
                    <w:tcW w:w="1344" w:type="dxa"/>
                    <w:shd w:val="clear" w:color="auto" w:fill="FFFFFF" w:themeFill="background1"/>
                  </w:tcPr>
                  <w:p>
                    <w:pPr>
                      <w:spacing w:line="276" w:lineRule="auto"/>
                      <w:jc w:val="center"/>
                      <w:rPr>
                        <w:iCs/>
                        <w:sz w:val="20"/>
                      </w:rPr>
                    </w:pPr>
                    <w:r>
                      <w:rPr>
                        <w:bCs/>
                        <w:sz w:val="20"/>
                      </w:rPr>
                      <w:t>EGADP</w:t>
                    </w:r>
                  </w:p>
                </w:tc>
              </w:tr>
              <w:tr>
                <w:trPr>
                  <w:trHeight w:val="889"/>
                </w:trPr>
                <w:tc>
                  <w:tcPr>
                    <w:tcW w:w="1346" w:type="dxa"/>
                    <w:shd w:val="clear" w:color="auto" w:fill="FFFFFF" w:themeFill="background1"/>
                  </w:tcPr>
                  <w:p>
                    <w:pPr>
                      <w:rPr>
                        <w:sz w:val="20"/>
                      </w:rPr>
                    </w:pPr>
                    <w:r>
                      <w:rPr>
                        <w:sz w:val="20"/>
                      </w:rPr>
                      <w:t>P-11-002-02-11-01-48</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color w:val="000000"/>
                        <w:sz w:val="20"/>
                        <w:lang w:eastAsia="lt-LT"/>
                      </w:rPr>
                      <w:t xml:space="preserve">Patvirtinti teisės aktai dėl genomo tyrimų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(2023 m. 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P-11-002-02-11-01-49</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jc w:val="both"/>
                      <w:rPr>
                        <w:sz w:val="20"/>
                      </w:rPr>
                    </w:pPr>
                    <w:r>
                      <w:rPr>
                        <w:sz w:val="20"/>
                      </w:rPr>
                      <w:t xml:space="preserve">Atliktų viso žmogaus genomo sekos nustatymo tyrimų skaičius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750</w:t>
                    </w:r>
                  </w:p>
                  <w:p>
                    <w:pPr>
                      <w:jc w:val="center"/>
                      <w:rPr>
                        <w:sz w:val="20"/>
                      </w:rPr>
                    </w:pPr>
                    <w:r>
                      <w:rPr>
                        <w:sz w:val="20"/>
                      </w:rPr>
                      <w:t>(2025 m.</w:t>
                    </w:r>
                  </w:p>
                  <w:p>
                    <w:pPr>
                      <w:jc w:val="center"/>
                      <w:rPr>
                        <w:sz w:val="20"/>
                      </w:rPr>
                    </w:pPr>
                    <w:r>
                      <w:rPr>
                        <w:sz w:val="20"/>
                      </w:rPr>
                      <w:t>II ketv.)</w:t>
                    </w:r>
                  </w:p>
                  <w:p>
                    <w:pPr>
                      <w:jc w:val="center"/>
                      <w:rPr>
                        <w:sz w:val="20"/>
                      </w:rPr>
                    </w:pPr>
                  </w:p>
                </w:tc>
                <w:tc>
                  <w:tcPr>
                    <w:tcW w:w="1079" w:type="dxa"/>
                    <w:shd w:val="clear" w:color="auto" w:fill="FFFFFF" w:themeFill="background1"/>
                  </w:tcPr>
                  <w:p>
                    <w:pPr>
                      <w:jc w:val="center"/>
                      <w:rPr>
                        <w:sz w:val="20"/>
                      </w:rPr>
                    </w:pPr>
                    <w:r>
                      <w:rPr>
                        <w:sz w:val="20"/>
                      </w:rPr>
                      <w:t>1 570</w:t>
                    </w:r>
                  </w:p>
                  <w:p>
                    <w:pPr>
                      <w:jc w:val="center"/>
                      <w:rPr>
                        <w:sz w:val="20"/>
                      </w:rPr>
                    </w:pPr>
                    <w:r>
                      <w:rPr>
                        <w:sz w:val="20"/>
                      </w:rPr>
                      <w:t>(2026 m. I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rPr>
                        <w:sz w:val="20"/>
                      </w:rPr>
                    </w:pPr>
                    <w:r>
                      <w:rPr>
                        <w:sz w:val="20"/>
                      </w:rPr>
                      <w:t>P-11-002-02-11-01-50</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sz w:val="20"/>
                      </w:rPr>
                      <w:t xml:space="preserve">Sudarytas  sveikatos priežiūros sistemos informacinių išteklių žemėlapis ir atlikta informacinių  sistemų brandos analizė, įvertinant integralumą su kitomis informacinėmis sistemomis, siekiant sveikatos priežiūros sistemos skaitmeninimo</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P-11-002-02-11-01-51</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sz w:val="20"/>
                      </w:rPr>
                    </w:pPr>
                    <w:r>
                      <w:rPr>
                        <w:sz w:val="20"/>
                      </w:rPr>
                      <w:t xml:space="preserve">Įsigalioję teisės aktai, reglamentuojantys pakartotinį  sveikatos duomenų naudojimą </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rPr>
                        <w:sz w:val="20"/>
                      </w:rPr>
                    </w:pPr>
                    <w:r>
                      <w:rPr>
                        <w:sz w:val="20"/>
                      </w:rPr>
                      <w:t>P-11-002-02-11-01-52</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sz w:val="20"/>
                        <w:lang w:eastAsia="lt-LT"/>
                      </w:rPr>
                      <w:t>Atviros viešųjų pirkimų procedūros, skirtos sveikatos priežiūros specialistų gebėjimų platformos informacinių technologijų priemonei įdiegti, užbaigimas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IV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P-11-002-02-11-01-53</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20"/>
                      </w:rPr>
                    </w:pPr>
                    <w:r>
                      <w:rPr>
                        <w:sz w:val="20"/>
                      </w:rPr>
                      <w:t>Sveikatos priežiūros specialistų kompetencijų platformos sukūrimas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w:t>
                    </w:r>
                    <w:r>
                      <w:rPr>
                        <w:sz w:val="20"/>
                        <w:lang w:val="en-US"/>
                      </w:rPr>
                      <w:t>4</w:t>
                    </w:r>
                    <w:r>
                      <w:rPr>
                        <w:sz w:val="20"/>
                      </w:rPr>
                      <w:t xml:space="preserve"> m. IV ketv.)</w:t>
                    </w:r>
                  </w:p>
                </w:tc>
                <w:tc>
                  <w:tcPr>
                    <w:tcW w:w="1344" w:type="dxa"/>
                    <w:shd w:val="clear" w:color="auto" w:fill="FFFFFF" w:themeFill="background1"/>
                  </w:tcPr>
                  <w:p>
                    <w:pPr>
                      <w:jc w:val="center"/>
                      <w:rPr>
                        <w:sz w:val="20"/>
                      </w:rPr>
                    </w:pPr>
                    <w:r>
                      <w:rPr>
                        <w:sz w:val="20"/>
                      </w:rPr>
                      <w:t>EGADP</w:t>
                    </w:r>
                  </w:p>
                </w:tc>
              </w:tr>
              <w:tr>
                <w:trPr>
                  <w:trHeight w:val="330"/>
                </w:trPr>
                <w:tc>
                  <w:tcPr>
                    <w:tcW w:w="1346" w:type="dxa"/>
                    <w:shd w:val="clear" w:color="auto" w:fill="FFFFFF" w:themeFill="background1"/>
                  </w:tcPr>
                  <w:p>
                    <w:pPr>
                      <w:rPr>
                        <w:sz w:val="20"/>
                      </w:rPr>
                    </w:pPr>
                    <w:r>
                      <w:rPr>
                        <w:sz w:val="20"/>
                      </w:rPr>
                      <w:t>P-11-002-02-11-01-54</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sz w:val="20"/>
                      </w:rPr>
                    </w:pPr>
                    <w:r>
                      <w:rPr>
                        <w:sz w:val="20"/>
                        <w:lang w:eastAsia="lt-LT"/>
                      </w:rPr>
                      <w:t>Informacinės sistemos (platformos), skirtos sveikatos priežiūros specialistų licencijoms registruoti ir skaitmeninei stebėsenai vykdyti, sukūrimas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(2024 m. I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P-11-002-02-11-01-55</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Atliktų sveikatos sektoriaus analizių skaičius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6</w:t>
                    </w:r>
                  </w:p>
                  <w:p>
                    <w:pPr>
                      <w:jc w:val="center"/>
                      <w:rPr>
                        <w:sz w:val="20"/>
                      </w:rPr>
                    </w:pPr>
                    <w:r>
                      <w:rPr>
                        <w:sz w:val="20"/>
                      </w:rPr>
                      <w:t>(2022 m.)</w:t>
                    </w:r>
                  </w:p>
                </w:tc>
                <w:tc>
                  <w:tcPr>
                    <w:tcW w:w="1079" w:type="dxa"/>
                    <w:shd w:val="clear" w:color="auto" w:fill="FFFFFF" w:themeFill="background1"/>
                  </w:tcPr>
                  <w:p>
                    <w:pPr>
                      <w:jc w:val="center"/>
                      <w:rPr>
                        <w:sz w:val="20"/>
                        <w:lang w:val="en-US"/>
                      </w:rPr>
                    </w:pPr>
                    <w:r>
                      <w:rPr>
                        <w:sz w:val="20"/>
                        <w:lang w:val="en-US"/>
                      </w:rPr>
                      <w:t>6</w:t>
                    </w:r>
                  </w:p>
                  <w:p>
                    <w:pPr>
                      <w:jc w:val="center"/>
                      <w:rPr>
                        <w:sz w:val="20"/>
                      </w:rPr>
                    </w:pPr>
                    <w:r>
                      <w:rPr>
                        <w:sz w:val="20"/>
                      </w:rPr>
                      <w:t>(2022 m. )</w:t>
                    </w:r>
                  </w:p>
                </w:tc>
                <w:tc>
                  <w:tcPr>
                    <w:tcW w:w="1344" w:type="dxa"/>
                    <w:shd w:val="clear" w:color="auto" w:fill="FFFFFF" w:themeFill="background1"/>
                  </w:tcPr>
                  <w:p>
                    <w:pPr>
                      <w:spacing w:line="276" w:lineRule="auto"/>
                      <w:ind w:firstLine="53"/>
                      <w:jc w:val="center"/>
                      <w:rPr>
                        <w:bCs/>
                        <w:sz w:val="20"/>
                      </w:rPr>
                    </w:pPr>
                    <w:r>
                      <w:rPr>
                        <w:bCs/>
                        <w:sz w:val="20"/>
                      </w:rPr>
                      <w:t>VB</w:t>
                    </w:r>
                  </w:p>
                </w:tc>
              </w:tr>
              <w:tr>
                <w:trPr>
                  <w:trHeight w:val="330"/>
                </w:trPr>
                <w:tc>
                  <w:tcPr>
                    <w:tcW w:w="1346"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R-11-002-02-11-01-56</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Rezultato</w:t>
                    </w:r>
                  </w:p>
                </w:tc>
                <w:tc>
                  <w:tcPr>
                    <w:tcW w:w="2541"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lang w:eastAsia="lt-LT"/>
                      </w:rPr>
                      <w:t>Specialistų, kurie po dalyvavimo veiklose įgijo ar patobulino kvalifikaciją, dalis</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Proc.</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38</w:t>
                    </w:r>
                  </w:p>
                  <w:p>
                    <w:pPr>
                      <w:jc w:val="center"/>
                      <w:rPr>
                        <w:sz w:val="20"/>
                      </w:rPr>
                    </w:pPr>
                    <w:r>
                      <w:rPr>
                        <w:sz w:val="20"/>
                      </w:rPr>
                      <w:t>(2021 m.)</w:t>
                    </w:r>
                  </w:p>
                </w:tc>
                <w:tc>
                  <w:tcPr>
                    <w:tcW w:w="945"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n/a</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90</w:t>
                    </w:r>
                  </w:p>
                  <w:p>
                    <w:pPr>
                      <w:jc w:val="center"/>
                      <w:rPr>
                        <w:sz w:val="20"/>
                      </w:rPr>
                    </w:pPr>
                    <w:r>
                      <w:rPr>
                        <w:sz w:val="20"/>
                      </w:rPr>
                      <w:t>(2029 m.)</w:t>
                    </w:r>
                  </w:p>
                </w:tc>
                <w:tc>
                  <w:tcPr>
                    <w:tcW w:w="1344"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bCs/>
                        <w:sz w:val="20"/>
                        <w:highlight w:val="yellow"/>
                      </w:rPr>
                    </w:pPr>
                    <w:r>
                      <w:rPr>
                        <w:bCs/>
                        <w:sz w:val="20"/>
                      </w:rPr>
                      <w:t>2021</w:t>
                    </w:r>
                    <w:r>
                      <w:rPr>
                        <w:color w:val="000000"/>
                        <w:sz w:val="20"/>
                      </w:rPr>
                      <w:t>–</w:t>
                    </w:r>
                    <w:r>
                      <w:rPr>
                        <w:bCs/>
                        <w:sz w:val="20"/>
                      </w:rPr>
                      <w:t>2027 m. IP (ESF+);</w:t>
                    </w:r>
                  </w:p>
                  <w:p>
                    <w:pPr>
                      <w:jc w:val="center"/>
                      <w:rPr>
                        <w:bCs/>
                        <w:sz w:val="20"/>
                      </w:rPr>
                    </w:pPr>
                    <w:r>
                      <w:rPr>
                        <w:bCs/>
                        <w:sz w:val="20"/>
                      </w:rPr>
                      <w:t>Antrojo Šveicarijos įnašo finansinės paramos lėšos (toliau – AŠĮFP)</w:t>
                    </w:r>
                  </w:p>
                </w:tc>
              </w:tr>
              <w:tr>
                <w:trPr>
                  <w:trHeight w:val="330"/>
                </w:trPr>
                <w:tc>
                  <w:tcPr>
                    <w:tcW w:w="1346"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P-11-002-02-11-01-57</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Produkto</w:t>
                    </w:r>
                  </w:p>
                </w:tc>
                <w:tc>
                  <w:tcPr>
                    <w:tcW w:w="2541"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Sveikatos priežiūros įstaigos, įgyvendinusios sveikatos priežiūros specialistų įgalinimo, pritraukimo ir išlaikymo projektus</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Skaičius</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0</w:t>
                    </w:r>
                  </w:p>
                </w:tc>
                <w:tc>
                  <w:tcPr>
                    <w:tcW w:w="945"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5</w:t>
                    </w:r>
                  </w:p>
                  <w:p>
                    <w:pPr>
                      <w:jc w:val="center"/>
                      <w:rPr>
                        <w:sz w:val="20"/>
                      </w:rPr>
                    </w:pPr>
                    <w:r>
                      <w:rPr>
                        <w:sz w:val="20"/>
                      </w:rPr>
                      <w:t>(2024 m.)</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lang w:val="en-US"/>
                      </w:rPr>
                    </w:pPr>
                    <w:r>
                      <w:rPr>
                        <w:sz w:val="20"/>
                        <w:lang w:val="en-US"/>
                      </w:rPr>
                      <w:t>104</w:t>
                    </w:r>
                  </w:p>
                  <w:p>
                    <w:pPr>
                      <w:jc w:val="center"/>
                      <w:rPr>
                        <w:sz w:val="20"/>
                      </w:rPr>
                    </w:pPr>
                    <w:r>
                      <w:rPr>
                        <w:sz w:val="20"/>
                      </w:rPr>
                      <w:t>(2029 m.)</w:t>
                    </w:r>
                  </w:p>
                </w:tc>
                <w:tc>
                  <w:tcPr>
                    <w:tcW w:w="1344"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P-11-002-02-11-01-58</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Tikslinių grupių asmenys, gavę naujas ar patobulintas psichikos sveikatos priežiūros paslaugas</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1 050</w:t>
                    </w:r>
                  </w:p>
                  <w:p>
                    <w:pPr>
                      <w:jc w:val="center"/>
                      <w:rPr>
                        <w:sz w:val="20"/>
                      </w:rPr>
                    </w:pPr>
                    <w:r>
                      <w:rPr>
                        <w:sz w:val="20"/>
                      </w:rPr>
                      <w:t>(2024 m.)</w:t>
                    </w:r>
                  </w:p>
                </w:tc>
                <w:tc>
                  <w:tcPr>
                    <w:tcW w:w="1079" w:type="dxa"/>
                    <w:shd w:val="clear" w:color="auto" w:fill="FFFFFF" w:themeFill="background1"/>
                  </w:tcPr>
                  <w:p>
                    <w:pPr>
                      <w:jc w:val="center"/>
                      <w:rPr>
                        <w:b/>
                        <w:bCs/>
                        <w:sz w:val="20"/>
                      </w:rPr>
                    </w:pPr>
                    <w:r>
                      <w:rPr>
                        <w:sz w:val="20"/>
                      </w:rPr>
                      <w:t>7 000</w:t>
                    </w:r>
                    <w:r>
                      <w:rPr>
                        <w:b/>
                        <w:bCs/>
                        <w:sz w:val="20"/>
                      </w:rPr>
                      <w:t xml:space="preserve"> </w:t>
                    </w:r>
                  </w:p>
                  <w:p>
                    <w:pPr>
                      <w:jc w:val="center"/>
                      <w:rPr>
                        <w:sz w:val="20"/>
                      </w:rPr>
                    </w:pPr>
                    <w:r>
                      <w:rPr>
                        <w:sz w:val="20"/>
                      </w:rPr>
                      <w:t>(2029 m.)</w:t>
                    </w:r>
                  </w:p>
                </w:tc>
                <w:tc>
                  <w:tcPr>
                    <w:tcW w:w="1344" w:type="dxa"/>
                    <w:shd w:val="clear" w:color="auto" w:fill="FFFFFF" w:themeFill="background1"/>
                  </w:tcPr>
                  <w:p>
                    <w:pPr>
                      <w:ind w:left="-112" w:firstLine="112"/>
                      <w:jc w:val="center"/>
                      <w:rPr>
                        <w:bCs/>
                        <w:sz w:val="20"/>
                      </w:rPr>
                    </w:pPr>
                    <w:r>
                      <w:rPr>
                        <w:bCs/>
                        <w:sz w:val="20"/>
                      </w:rPr>
                      <w:t>2021</w:t>
                    </w:r>
                    <w:r>
                      <w:rPr>
                        <w:color w:val="000000"/>
                        <w:szCs w:val="24"/>
                      </w:rPr>
                      <w:t>–</w:t>
                    </w:r>
                    <w:r>
                      <w:rPr>
                        <w:color w:val="000000"/>
                        <w:sz w:val="20"/>
                      </w:rPr>
                      <w:t>2</w:t>
                    </w:r>
                    <w:r>
                      <w:rPr>
                        <w:bCs/>
                        <w:sz w:val="20"/>
                      </w:rPr>
                      <w:t>027 m. IP (ESF+)</w:t>
                    </w:r>
                  </w:p>
                </w:tc>
              </w:tr>
              <w:tr>
                <w:trPr>
                  <w:trHeight w:val="330"/>
                </w:trPr>
                <w:tc>
                  <w:tcPr>
                    <w:tcW w:w="1346" w:type="dxa"/>
                    <w:shd w:val="clear" w:color="auto" w:fill="FFFFFF" w:themeFill="background1"/>
                  </w:tcPr>
                  <w:p>
                    <w:pPr>
                      <w:spacing w:line="276" w:lineRule="auto"/>
                      <w:rPr>
                        <w:sz w:val="20"/>
                      </w:rPr>
                    </w:pPr>
                    <w:r>
                      <w:rPr>
                        <w:sz w:val="20"/>
                      </w:rPr>
                      <w:t>P-11-002-02-11-01-59</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Specialistai, dalyvavę kvalifikacijos tobulinimo ar perkvalifikavimo veiklose</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900</w:t>
                    </w:r>
                  </w:p>
                  <w:p>
                    <w:pPr>
                      <w:jc w:val="center"/>
                      <w:rPr>
                        <w:sz w:val="20"/>
                      </w:rPr>
                    </w:pPr>
                    <w:r>
                      <w:rPr>
                        <w:sz w:val="20"/>
                      </w:rPr>
                      <w:t>(2024 m.)</w:t>
                    </w:r>
                  </w:p>
                </w:tc>
                <w:tc>
                  <w:tcPr>
                    <w:tcW w:w="1079" w:type="dxa"/>
                    <w:shd w:val="clear" w:color="auto" w:fill="FFFFFF" w:themeFill="background1"/>
                  </w:tcPr>
                  <w:p>
                    <w:pPr>
                      <w:jc w:val="center"/>
                      <w:rPr>
                        <w:sz w:val="20"/>
                      </w:rPr>
                    </w:pPr>
                    <w:r>
                      <w:rPr>
                        <w:sz w:val="20"/>
                      </w:rPr>
                      <w:t>29 810</w:t>
                    </w:r>
                  </w:p>
                  <w:p>
                    <w:pPr>
                      <w:jc w:val="center"/>
                      <w:rPr>
                        <w:sz w:val="20"/>
                        <w:lang w:val="en-US"/>
                      </w:rPr>
                    </w:pPr>
                    <w:r>
                      <w:rPr>
                        <w:sz w:val="20"/>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P-11-002-02-11-01-60</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Asmenys, dalyvavę kvalifikacijos įgijimo veiklose</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0</w:t>
                    </w:r>
                  </w:p>
                  <w:p>
                    <w:pPr>
                      <w:jc w:val="center"/>
                      <w:rPr>
                        <w:sz w:val="20"/>
                      </w:rPr>
                    </w:pPr>
                    <w:r>
                      <w:rPr>
                        <w:sz w:val="20"/>
                      </w:rPr>
                      <w:t>(2024 m.)</w:t>
                    </w:r>
                  </w:p>
                </w:tc>
                <w:tc>
                  <w:tcPr>
                    <w:tcW w:w="1079" w:type="dxa"/>
                    <w:shd w:val="clear" w:color="auto" w:fill="FFFFFF" w:themeFill="background1"/>
                  </w:tcPr>
                  <w:p>
                    <w:pPr>
                      <w:jc w:val="center"/>
                      <w:rPr>
                        <w:sz w:val="20"/>
                      </w:rPr>
                    </w:pPr>
                    <w:r>
                      <w:rPr>
                        <w:sz w:val="20"/>
                      </w:rPr>
                      <w:t>240</w:t>
                    </w:r>
                  </w:p>
                  <w:p>
                    <w:pPr>
                      <w:jc w:val="center"/>
                      <w:rPr>
                        <w:sz w:val="20"/>
                        <w:lang w:val="en-US"/>
                      </w:rPr>
                    </w:pPr>
                    <w:r>
                      <w:rPr>
                        <w:sz w:val="20"/>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P-11-002-02-11-01-61</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Sukurtas ir išbandytas pacientų pavėžėjimo paslaugų teikimo modelis</w:t>
                    </w:r>
                  </w:p>
                </w:tc>
                <w:tc>
                  <w:tcPr>
                    <w:tcW w:w="1078" w:type="dxa"/>
                    <w:shd w:val="clear" w:color="auto" w:fill="FFFFFF" w:themeFill="background1"/>
                  </w:tcPr>
                  <w:p>
                    <w:pPr>
                      <w:spacing w:line="276" w:lineRule="auto"/>
                      <w:jc w:val="center"/>
                      <w:rPr>
                        <w:sz w:val="20"/>
                      </w:rPr>
                    </w:pPr>
                    <w:r>
                      <w:rPr>
                        <w:sz w:val="20"/>
                      </w:rPr>
                      <w:t>Skaičius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lang w:val="en-US"/>
                      </w:rPr>
                      <w:t>1</w:t>
                    </w:r>
                  </w:p>
                  <w:p>
                    <w:pPr>
                      <w:jc w:val="center"/>
                      <w:rPr>
                        <w:sz w:val="20"/>
                        <w:lang w:val="en-US"/>
                      </w:rPr>
                    </w:pPr>
                    <w:r>
                      <w:rPr>
                        <w:sz w:val="20"/>
                      </w:rPr>
                      <w:t>(2024 m.)</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R-11-002-02-11-01-62</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Suteiktų pavėžėjimo paslaugų skaičius pagal bandomąjį pavėžėjimo paslaugų teikimo modelį</w:t>
                    </w:r>
                  </w:p>
                </w:tc>
                <w:tc>
                  <w:tcPr>
                    <w:tcW w:w="1078" w:type="dxa"/>
                    <w:shd w:val="clear" w:color="auto" w:fill="FFFFFF" w:themeFill="background1"/>
                  </w:tcPr>
                  <w:p>
                    <w:pPr>
                      <w:spacing w:line="276" w:lineRule="auto"/>
                      <w:jc w:val="center"/>
                      <w:rPr>
                        <w:sz w:val="20"/>
                      </w:rPr>
                    </w:pPr>
                    <w:r>
                      <w:rPr>
                        <w:sz w:val="20"/>
                      </w:rPr>
                      <w:t>Skaičius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40 000</w:t>
                    </w:r>
                  </w:p>
                  <w:p>
                    <w:pPr>
                      <w:jc w:val="center"/>
                      <w:rPr>
                        <w:sz w:val="20"/>
                        <w:lang w:val="en-US"/>
                      </w:rPr>
                    </w:pPr>
                    <w:r>
                      <w:rPr>
                        <w:sz w:val="20"/>
                      </w:rPr>
                      <w:t>(2024 m.)</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R-11-002-02-11-01-63</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Asmenų, kurie po dalyvavimo veiklose įgijo kvalifikaciją, dalis</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17</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80</w:t>
                    </w:r>
                  </w:p>
                  <w:p>
                    <w:pPr>
                      <w:jc w:val="center"/>
                      <w:rPr>
                        <w:sz w:val="20"/>
                        <w:lang w:val="en-US"/>
                      </w:rPr>
                    </w:pPr>
                    <w:r>
                      <w:rPr>
                        <w:sz w:val="20"/>
                      </w:rPr>
                      <w:t>(2029 m.)</w:t>
                    </w:r>
                  </w:p>
                </w:tc>
                <w:tc>
                  <w:tcPr>
                    <w:tcW w:w="1344" w:type="dxa"/>
                    <w:shd w:val="clear" w:color="auto" w:fill="FFFFFF" w:themeFill="background1"/>
                  </w:tcPr>
                  <w:p>
                    <w:pPr>
                      <w:spacing w:line="276" w:lineRule="auto"/>
                      <w:jc w:val="center"/>
                      <w:rPr>
                        <w:bCs/>
                        <w:sz w:val="20"/>
                      </w:rPr>
                    </w:pPr>
                    <w:r>
                      <w:rPr>
                        <w:bCs/>
                        <w:sz w:val="20"/>
                      </w:rPr>
                      <w:t>2021</w:t>
                    </w:r>
                    <w:r>
                      <w:rPr>
                        <w:color w:val="000000"/>
                        <w:szCs w:val="24"/>
                      </w:rPr>
                      <w:t>–</w:t>
                    </w:r>
                    <w:r>
                      <w:rPr>
                        <w:bCs/>
                        <w:sz w:val="20"/>
                      </w:rPr>
                      <w:t xml:space="preserve">2027 m. IP (ESF+); VB </w:t>
                    </w:r>
                  </w:p>
                </w:tc>
              </w:tr>
              <w:tr>
                <w:trPr>
                  <w:trHeight w:val="330"/>
                </w:trPr>
                <w:tc>
                  <w:tcPr>
                    <w:tcW w:w="1346" w:type="dxa"/>
                    <w:shd w:val="clear" w:color="auto" w:fill="FFFFFF" w:themeFill="background1"/>
                  </w:tcPr>
                  <w:p>
                    <w:pPr>
                      <w:spacing w:line="276" w:lineRule="auto"/>
                      <w:rPr>
                        <w:sz w:val="20"/>
                      </w:rPr>
                    </w:pPr>
                    <w:r>
                      <w:rPr>
                        <w:sz w:val="20"/>
                      </w:rPr>
                      <w:t>P-11-002-02-11-01-64</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rFonts w:eastAsia="Calibri"/>
                        <w:sz w:val="20"/>
                        <w:lang w:eastAsia="lt-LT" w:bidi="lt-LT"/>
                      </w:rPr>
                      <w:t>Asmenys, dalyvavę veiklose, skirtose lėtinei ligai savarankiškai valdyti</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5 000</w:t>
                    </w:r>
                  </w:p>
                  <w:p>
                    <w:pPr>
                      <w:jc w:val="center"/>
                      <w:rPr>
                        <w:sz w:val="20"/>
                      </w:rPr>
                    </w:pPr>
                    <w:r>
                      <w:rPr>
                        <w:sz w:val="20"/>
                      </w:rPr>
                      <w:t>(2024 m.)</w:t>
                    </w:r>
                  </w:p>
                </w:tc>
                <w:tc>
                  <w:tcPr>
                    <w:tcW w:w="1079" w:type="dxa"/>
                    <w:shd w:val="clear" w:color="auto" w:fill="FFFFFF" w:themeFill="background1"/>
                  </w:tcPr>
                  <w:p>
                    <w:pPr>
                      <w:jc w:val="center"/>
                      <w:rPr>
                        <w:sz w:val="20"/>
                      </w:rPr>
                    </w:pPr>
                    <w:r>
                      <w:rPr>
                        <w:sz w:val="20"/>
                      </w:rPr>
                      <w:t>25 000</w:t>
                    </w:r>
                  </w:p>
                  <w:p>
                    <w:pPr>
                      <w:jc w:val="center"/>
                      <w:rPr>
                        <w:sz w:val="20"/>
                        <w:lang w:val="en-US"/>
                      </w:rPr>
                    </w:pPr>
                    <w:r>
                      <w:rPr>
                        <w:sz w:val="20"/>
                      </w:rPr>
                      <w:t>(2029 m.)</w:t>
                    </w:r>
                  </w:p>
                </w:tc>
                <w:tc>
                  <w:tcPr>
                    <w:tcW w:w="1344" w:type="dxa"/>
                    <w:shd w:val="clear" w:color="auto" w:fill="FFFFFF" w:themeFill="background1"/>
                  </w:tcPr>
                  <w:p>
                    <w:pPr>
                      <w:spacing w:line="276" w:lineRule="auto"/>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R-11-002-02-11-01-65</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 xml:space="preserve">Sveikatos priežiūros specialistų, kurie po dalyvavimo veiklose mažiausiai 2 metus dirbo sveikatos priežiūros įstaigose, dalis </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80</w:t>
                    </w:r>
                  </w:p>
                  <w:p>
                    <w:pPr>
                      <w:jc w:val="center"/>
                      <w:rPr>
                        <w:sz w:val="20"/>
                        <w:lang w:val="en-US"/>
                      </w:rPr>
                    </w:pPr>
                    <w:r>
                      <w:rPr>
                        <w:sz w:val="20"/>
                        <w:lang w:val="en-US"/>
                      </w:rPr>
                      <w:t>(2029 m.)</w:t>
                    </w:r>
                  </w:p>
                </w:tc>
                <w:tc>
                  <w:tcPr>
                    <w:tcW w:w="1344" w:type="dxa"/>
                    <w:shd w:val="clear" w:color="auto" w:fill="FFFFFF" w:themeFill="background1"/>
                  </w:tcPr>
                  <w:p>
                    <w:pPr>
                      <w:spacing w:line="276" w:lineRule="auto"/>
                      <w:jc w:val="center"/>
                      <w:rPr>
                        <w:bCs/>
                        <w:sz w:val="20"/>
                      </w:rPr>
                    </w:pPr>
                    <w:r>
                      <w:rPr>
                        <w:bCs/>
                        <w:sz w:val="20"/>
                      </w:rPr>
                      <w:t>2021</w:t>
                    </w:r>
                    <w:r>
                      <w:rPr>
                        <w:color w:val="000000"/>
                        <w:szCs w:val="24"/>
                      </w:rPr>
                      <w:t>–</w:t>
                    </w:r>
                    <w:r>
                      <w:rPr>
                        <w:bCs/>
                        <w:sz w:val="20"/>
                      </w:rPr>
                      <w:t xml:space="preserve">2027 m. IP (ESF+) </w:t>
                    </w:r>
                  </w:p>
                </w:tc>
              </w:tr>
              <w:tr>
                <w:trPr>
                  <w:trHeight w:val="330"/>
                </w:trPr>
                <w:tc>
                  <w:tcPr>
                    <w:tcW w:w="1346" w:type="dxa"/>
                    <w:shd w:val="clear" w:color="auto" w:fill="FFFFFF" w:themeFill="background1"/>
                  </w:tcPr>
                  <w:p>
                    <w:pPr>
                      <w:spacing w:line="276" w:lineRule="auto"/>
                      <w:rPr>
                        <w:sz w:val="20"/>
                      </w:rPr>
                    </w:pPr>
                    <w:r>
                      <w:rPr>
                        <w:sz w:val="20"/>
                      </w:rPr>
                      <w:t>P-11-002-02-11-01-66</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Modernizuotų asmens sveikatos priežiūros įstaigų skaičius</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13</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P-11-002-02-11-01-67</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lang w:eastAsia="lt-LT"/>
                      </w:rPr>
                      <w:t>Lietuvos Respublikos sveikatos priežiūros įstaigų įstatymo, Lietuvos Respublikos sveikatos sistemos įstatymo ir susijusių teisės aktų pakeitimų įsigaliojimas</w:t>
                    </w:r>
                    <w:r>
                      <w:rPr>
                        <w:sz w:val="20"/>
                      </w:rPr>
                      <w:t xml:space="preserve"> </w:t>
                    </w:r>
                  </w:p>
                </w:tc>
                <w:tc>
                  <w:tcPr>
                    <w:tcW w:w="1078" w:type="dxa"/>
                    <w:shd w:val="clear" w:color="auto" w:fill="FFFFFF" w:themeFill="background1"/>
                  </w:tcPr>
                  <w:p>
                    <w:pPr>
                      <w:spacing w:line="276" w:lineRule="auto"/>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lang w:val="en-US"/>
                      </w:rPr>
                      <w:t>(2022 m. IV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P-11-002-02-11-01-68</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Įsigalioję teisės aktai dėl kompetencijos centrų ir regioninio bendradarbiavimo modeliu pagrįsto asmens sveikatos priežiūros įstaigų tinklo sukūrimo ir reglamentavimo</w:t>
                    </w:r>
                  </w:p>
                </w:tc>
                <w:tc>
                  <w:tcPr>
                    <w:tcW w:w="1078" w:type="dxa"/>
                    <w:shd w:val="clear" w:color="auto" w:fill="FFFFFF" w:themeFill="background1"/>
                  </w:tcPr>
                  <w:p>
                    <w:pPr>
                      <w:spacing w:line="276" w:lineRule="auto"/>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lang w:val="en-US"/>
                      </w:rPr>
                      <w:t>(2023 m. III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P-11-002-02-11-01-69</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Struktūrinius sveikatos priežiūros paslaugų teikimo pokyčius įgyvendinusių ASPĮ skaičius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250</w:t>
                    </w:r>
                  </w:p>
                </w:tc>
                <w:tc>
                  <w:tcPr>
                    <w:tcW w:w="1344" w:type="dxa"/>
                    <w:shd w:val="clear" w:color="auto" w:fill="FFFFFF" w:themeFill="background1"/>
                  </w:tcPr>
                  <w:p>
                    <w:pPr>
                      <w:jc w:val="center"/>
                      <w:rPr>
                        <w:bCs/>
                        <w:sz w:val="20"/>
                      </w:rPr>
                    </w:pPr>
                    <w:r>
                      <w:rPr>
                        <w:bCs/>
                        <w:sz w:val="20"/>
                      </w:rPr>
                      <w:t>VB</w:t>
                    </w:r>
                  </w:p>
                  <w:p>
                    <w:pPr>
                      <w:spacing w:line="276" w:lineRule="auto"/>
                      <w:jc w:val="center"/>
                      <w:rPr>
                        <w:bCs/>
                        <w:sz w:val="20"/>
                      </w:rPr>
                    </w:pPr>
                  </w:p>
                </w:tc>
              </w:tr>
              <w:tr>
                <w:trPr>
                  <w:trHeight w:val="330"/>
                </w:trPr>
                <w:tc>
                  <w:tcPr>
                    <w:tcW w:w="1346" w:type="dxa"/>
                    <w:shd w:val="clear" w:color="auto" w:fill="FFFFFF" w:themeFill="background1"/>
                  </w:tcPr>
                  <w:p>
                    <w:pPr>
                      <w:spacing w:line="276" w:lineRule="auto"/>
                      <w:rPr>
                        <w:sz w:val="20"/>
                      </w:rPr>
                    </w:pPr>
                    <w:r>
                      <w:rPr>
                        <w:sz w:val="20"/>
                      </w:rPr>
                      <w:t>P-11-002-02-11-01-70</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lang w:eastAsia="lt-LT"/>
                      </w:rPr>
                      <w:t>Baigtas mažiausiai 1 000 ilgalaikės priežiūros specialistų mokymas</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1 000</w:t>
                    </w:r>
                  </w:p>
                  <w:p>
                    <w:pPr>
                      <w:jc w:val="center"/>
                      <w:rPr>
                        <w:sz w:val="20"/>
                        <w:lang w:val="en-US"/>
                      </w:rPr>
                    </w:pPr>
                    <w:r>
                      <w:rPr>
                        <w:sz w:val="20"/>
                        <w:lang w:val="en-US"/>
                      </w:rPr>
                      <w:t>(2024 m. IV ketv.)</w:t>
                    </w:r>
                  </w:p>
                </w:tc>
                <w:tc>
                  <w:tcPr>
                    <w:tcW w:w="1344" w:type="dxa"/>
                    <w:shd w:val="clear" w:color="auto" w:fill="FFFFFF" w:themeFill="background1"/>
                  </w:tcPr>
                  <w:p>
                    <w:pPr>
                      <w:ind w:left="-57" w:right="-57"/>
                      <w:jc w:val="center"/>
                      <w:rPr>
                        <w:sz w:val="20"/>
                      </w:rPr>
                    </w:pPr>
                    <w:r>
                      <w:rPr>
                        <w:sz w:val="20"/>
                      </w:rPr>
                      <w:t>EGADP</w:t>
                    </w:r>
                  </w:p>
                  <w:p>
                    <w:pPr>
                      <w:spacing w:line="276" w:lineRule="auto"/>
                      <w:jc w:val="center"/>
                      <w:rPr>
                        <w:bCs/>
                        <w:sz w:val="20"/>
                      </w:rPr>
                    </w:pPr>
                  </w:p>
                </w:tc>
              </w:tr>
              <w:tr>
                <w:trPr>
                  <w:trHeight w:val="330"/>
                </w:trPr>
                <w:tc>
                  <w:tcPr>
                    <w:tcW w:w="1346" w:type="dxa"/>
                    <w:shd w:val="clear" w:color="auto" w:fill="FFFFFF" w:themeFill="background1"/>
                  </w:tcPr>
                  <w:p>
                    <w:pPr>
                      <w:spacing w:line="276" w:lineRule="auto"/>
                      <w:rPr>
                        <w:sz w:val="20"/>
                      </w:rPr>
                    </w:pPr>
                    <w:r>
                      <w:rPr>
                        <w:sz w:val="20"/>
                      </w:rPr>
                      <w:t>P-11-002-02-11-01-71</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Parengta reformos komunikacijos strategija</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(2023 m.)</w:t>
                    </w:r>
                  </w:p>
                </w:tc>
                <w:tc>
                  <w:tcPr>
                    <w:tcW w:w="1344" w:type="dxa"/>
                    <w:shd w:val="clear" w:color="auto" w:fill="FFFFFF" w:themeFill="background1"/>
                  </w:tcPr>
                  <w:p>
                    <w:pPr>
                      <w:spacing w:line="276" w:lineRule="auto"/>
                      <w:jc w:val="center"/>
                      <w:rPr>
                        <w:bCs/>
                        <w:sz w:val="20"/>
                      </w:rPr>
                    </w:pPr>
                    <w:r>
                      <w:rPr>
                        <w:sz w:val="20"/>
                      </w:rPr>
                      <w:t>VB</w:t>
                    </w:r>
                  </w:p>
                </w:tc>
              </w:tr>
              <w:tr>
                <w:trPr>
                  <w:trHeight w:val="330"/>
                </w:trPr>
                <w:tc>
                  <w:tcPr>
                    <w:tcW w:w="1346" w:type="dxa"/>
                    <w:shd w:val="clear" w:color="auto" w:fill="FFFFFF" w:themeFill="background1"/>
                  </w:tcPr>
                  <w:p>
                    <w:pPr>
                      <w:spacing w:line="276" w:lineRule="auto"/>
                      <w:rPr>
                        <w:sz w:val="20"/>
                      </w:rPr>
                    </w:pPr>
                    <w:r>
                      <w:rPr>
                        <w:sz w:val="20"/>
                      </w:rPr>
                      <w:t>P-11-002-02-11-01-72</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Sprendimo dėl reguliavimo, investavimo ir komunikacijos veiksmų siekiant sukurti tvarų sveikatos priežiūros įstaigų tinklą, priėmimas</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lang w:val="en-US"/>
                      </w:rPr>
                    </w:pPr>
                    <w:r>
                      <w:rPr>
                        <w:sz w:val="20"/>
                      </w:rPr>
                      <w:t xml:space="preserve">(2023 m. I ketv.) </w:t>
                    </w:r>
                  </w:p>
                </w:tc>
                <w:tc>
                  <w:tcPr>
                    <w:tcW w:w="1344" w:type="dxa"/>
                    <w:shd w:val="clear" w:color="auto" w:fill="FFFFFF" w:themeFill="background1"/>
                  </w:tcPr>
                  <w:p>
                    <w:pPr>
                      <w:spacing w:line="276" w:lineRule="auto"/>
                      <w:jc w:val="center"/>
                      <w:rPr>
                        <w:bCs/>
                        <w:sz w:val="20"/>
                      </w:rPr>
                    </w:pPr>
                    <w:r>
                      <w:rPr>
                        <w:sz w:val="20"/>
                      </w:rPr>
                      <w:t>EGADP</w:t>
                    </w:r>
                  </w:p>
                </w:tc>
              </w:tr>
              <w:tr>
                <w:trPr>
                  <w:trHeight w:val="330"/>
                </w:trPr>
                <w:tc>
                  <w:tcPr>
                    <w:tcW w:w="1346" w:type="dxa"/>
                    <w:shd w:val="clear" w:color="auto" w:fill="FFFFFF" w:themeFill="background1"/>
                  </w:tcPr>
                  <w:p>
                    <w:pPr>
                      <w:spacing w:line="276" w:lineRule="auto"/>
                      <w:rPr>
                        <w:sz w:val="20"/>
                      </w:rPr>
                    </w:pPr>
                    <w:r>
                      <w:rPr>
                        <w:sz w:val="20"/>
                      </w:rPr>
                      <w:t>P-11-002-02-11-01-73</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Įsigalioję teisės aktai, reglamentuojantys, pavėžėjimo paslaugų teikimo ir organizavimo reikalavimus</w:t>
                    </w:r>
                  </w:p>
                </w:tc>
                <w:tc>
                  <w:tcPr>
                    <w:tcW w:w="1078" w:type="dxa"/>
                    <w:shd w:val="clear" w:color="auto" w:fill="FFFFFF" w:themeFill="background1"/>
                  </w:tcPr>
                  <w:p>
                    <w:pPr>
                      <w:spacing w:line="276" w:lineRule="auto"/>
                      <w:jc w:val="center"/>
                      <w:rPr>
                        <w:sz w:val="20"/>
                      </w:rPr>
                    </w:pPr>
                    <w:r>
                      <w:rPr>
                        <w:sz w:val="20"/>
                      </w:rPr>
                      <w:t xml:space="preserve">Kompl.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lang w:val="en-US"/>
                      </w:rPr>
                    </w:pPr>
                    <w:r>
                      <w:rPr>
                        <w:sz w:val="20"/>
                      </w:rPr>
                      <w:t>(2024 m.)</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P-11-002-02-11-01-74</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Specialistai, dalyvavę kvalifikacijos tobulinimo veiklose</w:t>
                    </w:r>
                  </w:p>
                </w:tc>
                <w:tc>
                  <w:tcPr>
                    <w:tcW w:w="1078" w:type="dxa"/>
                    <w:shd w:val="clear" w:color="auto" w:fill="FFFFFF" w:themeFill="background1"/>
                  </w:tcPr>
                  <w:p>
                    <w:pPr>
                      <w:spacing w:line="276" w:lineRule="auto"/>
                      <w:jc w:val="center"/>
                      <w:rPr>
                        <w:sz w:val="20"/>
                      </w:rPr>
                    </w:pPr>
                    <w:r>
                      <w:rPr>
                        <w:iCs/>
                        <w:sz w:val="20"/>
                      </w:rPr>
                      <w:t>Asmenys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18 000</w:t>
                    </w:r>
                  </w:p>
                </w:tc>
                <w:tc>
                  <w:tcPr>
                    <w:tcW w:w="1344" w:type="dxa"/>
                    <w:shd w:val="clear" w:color="auto" w:fill="FFFFFF" w:themeFill="background1"/>
                  </w:tcPr>
                  <w:p>
                    <w:pPr>
                      <w:spacing w:line="276" w:lineRule="auto"/>
                      <w:jc w:val="center"/>
                      <w:rPr>
                        <w:bCs/>
                        <w:sz w:val="20"/>
                      </w:rPr>
                    </w:pPr>
                    <w:r>
                      <w:rPr>
                        <w:sz w:val="20"/>
                      </w:rPr>
                      <w:t>VB</w:t>
                    </w:r>
                    <w:r>
                      <w:rPr>
                        <w:bCs/>
                        <w:sz w:val="20"/>
                      </w:rPr>
                      <w:t xml:space="preserve"> </w:t>
                    </w:r>
                  </w:p>
                </w:tc>
              </w:tr>
              <w:tr>
                <w:trPr>
                  <w:trHeight w:val="330"/>
                </w:trPr>
                <w:tc>
                  <w:tcPr>
                    <w:tcW w:w="1346" w:type="dxa"/>
                    <w:shd w:val="clear" w:color="auto" w:fill="FFFFFF" w:themeFill="background1"/>
                  </w:tcPr>
                  <w:p>
                    <w:pPr>
                      <w:spacing w:line="276" w:lineRule="auto"/>
                      <w:rPr>
                        <w:sz w:val="20"/>
                      </w:rPr>
                    </w:pPr>
                    <w:r>
                      <w:rPr>
                        <w:sz w:val="20"/>
                      </w:rPr>
                      <w:t>P-11-002-02-11-01-75</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 xml:space="preserve">Patvirtintas atnaujintas Šeimos medicinos plėtros 2016–2025 m. veiksmų planas </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1 </w:t>
                    </w:r>
                  </w:p>
                  <w:p>
                    <w:pPr>
                      <w:jc w:val="center"/>
                      <w:rPr>
                        <w:sz w:val="20"/>
                        <w:lang w:val="en-US"/>
                      </w:rPr>
                    </w:pPr>
                    <w:r>
                      <w:rPr>
                        <w:sz w:val="20"/>
                      </w:rPr>
                      <w:t>(2022 m. IV ketv.)</w:t>
                    </w:r>
                  </w:p>
                </w:tc>
                <w:tc>
                  <w:tcPr>
                    <w:tcW w:w="1344" w:type="dxa"/>
                    <w:shd w:val="clear" w:color="auto" w:fill="FFFFFF" w:themeFill="background1"/>
                  </w:tcPr>
                  <w:p>
                    <w:pPr>
                      <w:spacing w:line="276" w:lineRule="auto"/>
                      <w:jc w:val="center"/>
                      <w:rPr>
                        <w:bCs/>
                        <w:sz w:val="20"/>
                      </w:rPr>
                    </w:pPr>
                    <w:r>
                      <w:rPr>
                        <w:sz w:val="20"/>
                      </w:rPr>
                      <w:t>EGADP</w:t>
                    </w:r>
                  </w:p>
                </w:tc>
              </w:tr>
              <w:tr>
                <w:trPr>
                  <w:trHeight w:val="330"/>
                </w:trPr>
                <w:tc>
                  <w:tcPr>
                    <w:tcW w:w="1346" w:type="dxa"/>
                    <w:shd w:val="clear" w:color="auto" w:fill="FFFFFF" w:themeFill="background1"/>
                  </w:tcPr>
                  <w:p>
                    <w:pPr>
                      <w:spacing w:line="276" w:lineRule="auto"/>
                      <w:rPr>
                        <w:color w:val="000000"/>
                        <w:sz w:val="20"/>
                      </w:rPr>
                    </w:pPr>
                    <w:r>
                      <w:rPr>
                        <w:color w:val="000000"/>
                        <w:sz w:val="20"/>
                      </w:rPr>
                      <w:t>P-11-002-02-11-01-76</w:t>
                    </w:r>
                  </w:p>
                </w:tc>
                <w:tc>
                  <w:tcPr>
                    <w:tcW w:w="1079" w:type="dxa"/>
                    <w:shd w:val="clear" w:color="auto" w:fill="FFFFFF" w:themeFill="background1"/>
                  </w:tcPr>
                  <w:p>
                    <w:pPr>
                      <w:spacing w:line="276" w:lineRule="auto"/>
                      <w:rPr>
                        <w:color w:val="000000"/>
                        <w:sz w:val="20"/>
                      </w:rPr>
                    </w:pPr>
                    <w:r>
                      <w:rPr>
                        <w:color w:val="000000"/>
                        <w:sz w:val="20"/>
                      </w:rPr>
                      <w:t>Produkto</w:t>
                    </w:r>
                  </w:p>
                </w:tc>
                <w:tc>
                  <w:tcPr>
                    <w:tcW w:w="2541" w:type="dxa"/>
                    <w:shd w:val="clear" w:color="auto" w:fill="FFFFFF" w:themeFill="background1"/>
                  </w:tcPr>
                  <w:p>
                    <w:pPr>
                      <w:rPr>
                        <w:color w:val="000000"/>
                        <w:sz w:val="20"/>
                      </w:rPr>
                    </w:pPr>
                    <w:r>
                      <w:rPr>
                        <w:color w:val="000000"/>
                        <w:sz w:val="20"/>
                      </w:rPr>
                      <w:t>Parengta ir patvirtinta ilgalaikė sveikatos žmogiškųjų išteklių valdymo strategija</w:t>
                    </w:r>
                    <w:r>
                      <w:rPr>
                        <w:color w:val="000000"/>
                        <w:sz w:val="20"/>
                        <w:vertAlign w:val="superscript"/>
                      </w:rPr>
                      <w:t>1</w:t>
                    </w:r>
                  </w:p>
                </w:tc>
                <w:tc>
                  <w:tcPr>
                    <w:tcW w:w="1078" w:type="dxa"/>
                    <w:shd w:val="clear" w:color="auto" w:fill="FFFFFF" w:themeFill="background1"/>
                  </w:tcPr>
                  <w:p>
                    <w:pPr>
                      <w:spacing w:line="276" w:lineRule="auto"/>
                      <w:jc w:val="center"/>
                      <w:rPr>
                        <w:color w:val="000000"/>
                        <w:sz w:val="20"/>
                      </w:rPr>
                    </w:pPr>
                    <w:r>
                      <w:rPr>
                        <w:color w:val="000000"/>
                        <w:sz w:val="20"/>
                      </w:rPr>
                      <w:t xml:space="preserve">Vnt. </w:t>
                    </w:r>
                  </w:p>
                </w:tc>
                <w:tc>
                  <w:tcPr>
                    <w:tcW w:w="1078" w:type="dxa"/>
                    <w:shd w:val="clear" w:color="auto" w:fill="FFFFFF" w:themeFill="background1"/>
                  </w:tcPr>
                  <w:p>
                    <w:pPr>
                      <w:jc w:val="center"/>
                      <w:rPr>
                        <w:color w:val="000000"/>
                        <w:sz w:val="20"/>
                      </w:rPr>
                    </w:pPr>
                    <w:r>
                      <w:rPr>
                        <w:color w:val="000000"/>
                        <w:sz w:val="20"/>
                      </w:rPr>
                      <w:t>n/d</w:t>
                    </w:r>
                  </w:p>
                </w:tc>
                <w:tc>
                  <w:tcPr>
                    <w:tcW w:w="945" w:type="dxa"/>
                    <w:shd w:val="clear" w:color="auto" w:fill="FFFFFF" w:themeFill="background1"/>
                  </w:tcPr>
                  <w:p>
                    <w:pPr>
                      <w:jc w:val="center"/>
                      <w:rPr>
                        <w:color w:val="000000"/>
                        <w:sz w:val="20"/>
                      </w:rPr>
                    </w:pPr>
                    <w:r>
                      <w:rPr>
                        <w:color w:val="000000"/>
                        <w:sz w:val="20"/>
                      </w:rPr>
                      <w:t>n/d</w:t>
                    </w:r>
                  </w:p>
                </w:tc>
                <w:tc>
                  <w:tcPr>
                    <w:tcW w:w="1079" w:type="dxa"/>
                    <w:shd w:val="clear" w:color="auto" w:fill="FFFFFF" w:themeFill="background1"/>
                  </w:tcPr>
                  <w:p>
                    <w:pPr>
                      <w:ind w:firstLine="53"/>
                      <w:jc w:val="center"/>
                      <w:rPr>
                        <w:color w:val="000000"/>
                        <w:sz w:val="20"/>
                      </w:rPr>
                    </w:pPr>
                    <w:r>
                      <w:rPr>
                        <w:color w:val="000000"/>
                        <w:sz w:val="20"/>
                      </w:rPr>
                      <w:t>1</w:t>
                    </w:r>
                  </w:p>
                  <w:p>
                    <w:pPr>
                      <w:ind w:firstLine="53"/>
                      <w:jc w:val="center"/>
                      <w:rPr>
                        <w:color w:val="000000"/>
                        <w:sz w:val="20"/>
                      </w:rPr>
                    </w:pPr>
                    <w:r>
                      <w:rPr>
                        <w:color w:val="000000"/>
                        <w:sz w:val="20"/>
                      </w:rPr>
                      <w:t>(2026 m.)</w:t>
                    </w:r>
                  </w:p>
                </w:tc>
                <w:tc>
                  <w:tcPr>
                    <w:tcW w:w="1344" w:type="dxa"/>
                    <w:shd w:val="clear" w:color="auto" w:fill="FFFFFF" w:themeFill="background1"/>
                  </w:tcPr>
                  <w:p>
                    <w:pPr>
                      <w:spacing w:line="276" w:lineRule="auto"/>
                      <w:jc w:val="center"/>
                      <w:rPr>
                        <w:bCs/>
                        <w:color w:val="000000"/>
                        <w:sz w:val="20"/>
                      </w:rPr>
                    </w:pPr>
                    <w:r>
                      <w:rPr>
                        <w:bCs/>
                        <w:color w:val="000000"/>
                        <w:sz w:val="20"/>
                      </w:rPr>
                      <w:t>2021</w:t>
                    </w:r>
                    <w:r>
                      <w:rPr>
                        <w:color w:val="000000"/>
                        <w:szCs w:val="24"/>
                      </w:rPr>
                      <w:t>–</w:t>
                    </w:r>
                    <w:r>
                      <w:rPr>
                        <w:bCs/>
                        <w:color w:val="000000"/>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P-11-002-02-11-01-77</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Įsigalioję teisės aktai dėl sveikatos priežiūros specialistų darbo sąlygų gerinimo ir profesinės kvalifikacijos tobulinimo</w:t>
                    </w:r>
                  </w:p>
                </w:tc>
                <w:tc>
                  <w:tcPr>
                    <w:tcW w:w="1078" w:type="dxa"/>
                    <w:shd w:val="clear" w:color="auto" w:fill="FFFFFF" w:themeFill="background1"/>
                  </w:tcPr>
                  <w:p>
                    <w:pPr>
                      <w:spacing w:line="276" w:lineRule="auto"/>
                      <w:jc w:val="center"/>
                      <w:rPr>
                        <w:sz w:val="20"/>
                      </w:rPr>
                    </w:pPr>
                    <w:r>
                      <w:rPr>
                        <w:sz w:val="20"/>
                      </w:rPr>
                      <w:t xml:space="preserve">Kompl.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 xml:space="preserve">n/d </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(2023 m. 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P-11-002-02-11-01-78</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lang w:eastAsia="lt-LT"/>
                      </w:rPr>
                      <w:t>Skaitmeninės sveikatos sistemos plėtros veiksmų planas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w:t>
                    </w:r>
                    <w:r>
                      <w:rPr>
                        <w:sz w:val="20"/>
                        <w:lang w:val="en-US"/>
                      </w:rPr>
                      <w:t>6</w:t>
                    </w:r>
                    <w:r>
                      <w:rPr>
                        <w:sz w:val="20"/>
                      </w:rPr>
                      <w:t xml:space="preserve"> m. 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P-11-002-02-11-01-79</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lang w:eastAsia="lt-LT"/>
                      </w:rPr>
                    </w:pPr>
                    <w:r>
                      <w:rPr>
                        <w:sz w:val="20"/>
                        <w:lang w:eastAsia="lt-LT"/>
                      </w:rPr>
                      <w:t>Patvirtintas Skaitmeninės sveikatos sistemos plėtros veiksmų planas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(2024 m. 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P-11-002-02-11-01-80</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lang w:eastAsia="lt-LT"/>
                      </w:rPr>
                    </w:pPr>
                    <w:r>
                      <w:rPr>
                        <w:sz w:val="20"/>
                        <w:lang w:eastAsia="lt-LT"/>
                      </w:rPr>
                      <w:t>Sveikatos įstaigų ir agentūrų viešųjų pirkimų centralizavimo plano priėmimas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lang w:val="en-US"/>
                      </w:rPr>
                    </w:pPr>
                    <w:r>
                      <w:rPr>
                        <w:sz w:val="20"/>
                      </w:rPr>
                      <w:t>(202</w:t>
                    </w:r>
                    <w:r>
                      <w:rPr>
                        <w:sz w:val="20"/>
                        <w:lang w:val="en-US"/>
                      </w:rPr>
                      <w:t>3</w:t>
                    </w:r>
                    <w:r>
                      <w:rPr>
                        <w:sz w:val="20"/>
                      </w:rPr>
                      <w:t xml:space="preserve"> m. 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color w:val="000000"/>
                        <w:sz w:val="20"/>
                      </w:rPr>
                    </w:pPr>
                    <w:r>
                      <w:rPr>
                        <w:sz w:val="20"/>
                      </w:rPr>
                      <w:t>P-11-002-02-11-01-81</w:t>
                    </w:r>
                  </w:p>
                </w:tc>
                <w:tc>
                  <w:tcPr>
                    <w:tcW w:w="1079" w:type="dxa"/>
                    <w:shd w:val="clear" w:color="auto" w:fill="FFFFFF" w:themeFill="background1"/>
                  </w:tcPr>
                  <w:p>
                    <w:pPr>
                      <w:spacing w:line="276" w:lineRule="auto"/>
                      <w:rPr>
                        <w:color w:val="000000"/>
                        <w:sz w:val="20"/>
                      </w:rPr>
                    </w:pPr>
                    <w:r>
                      <w:rPr>
                        <w:sz w:val="20"/>
                      </w:rPr>
                      <w:t xml:space="preserve">Produkto </w:t>
                    </w:r>
                  </w:p>
                </w:tc>
                <w:tc>
                  <w:tcPr>
                    <w:tcW w:w="2541" w:type="dxa"/>
                    <w:shd w:val="clear" w:color="auto" w:fill="FFFFFF" w:themeFill="background1"/>
                  </w:tcPr>
                  <w:p>
                    <w:pPr>
                      <w:rPr>
                        <w:color w:val="000000"/>
                        <w:sz w:val="20"/>
                      </w:rPr>
                    </w:pPr>
                    <w:r>
                      <w:rPr>
                        <w:sz w:val="20"/>
                      </w:rPr>
                      <w:t>Sveikatos priežiūros specialistai, dalyvavę programos „Motinos ir vaiko sveikata ir gerovė“ kvalifikacijos tobulinimo veiklose</w:t>
                    </w:r>
                  </w:p>
                </w:tc>
                <w:tc>
                  <w:tcPr>
                    <w:tcW w:w="1078" w:type="dxa"/>
                    <w:shd w:val="clear" w:color="auto" w:fill="FFFFFF" w:themeFill="background1"/>
                  </w:tcPr>
                  <w:p>
                    <w:pPr>
                      <w:spacing w:line="276" w:lineRule="auto"/>
                      <w:jc w:val="center"/>
                      <w:rPr>
                        <w:color w:val="000000"/>
                        <w:sz w:val="20"/>
                      </w:rPr>
                    </w:pPr>
                    <w:r>
                      <w:rPr>
                        <w:sz w:val="20"/>
                      </w:rPr>
                      <w:t>Asmenys</w:t>
                    </w:r>
                  </w:p>
                </w:tc>
                <w:tc>
                  <w:tcPr>
                    <w:tcW w:w="1078" w:type="dxa"/>
                    <w:shd w:val="clear" w:color="auto" w:fill="FFFFFF" w:themeFill="background1"/>
                  </w:tcPr>
                  <w:p>
                    <w:pPr>
                      <w:jc w:val="center"/>
                      <w:rPr>
                        <w:color w:val="000000"/>
                        <w:sz w:val="20"/>
                      </w:rPr>
                    </w:pPr>
                    <w:r>
                      <w:rPr>
                        <w:sz w:val="20"/>
                      </w:rPr>
                      <w:t>n/d</w:t>
                    </w:r>
                  </w:p>
                </w:tc>
                <w:tc>
                  <w:tcPr>
                    <w:tcW w:w="945" w:type="dxa"/>
                    <w:shd w:val="clear" w:color="auto" w:fill="FFFFFF" w:themeFill="background1"/>
                  </w:tcPr>
                  <w:p>
                    <w:pPr>
                      <w:jc w:val="center"/>
                      <w:rPr>
                        <w:color w:val="000000"/>
                        <w:sz w:val="20"/>
                      </w:rPr>
                    </w:pPr>
                    <w:r>
                      <w:rPr>
                        <w:sz w:val="20"/>
                      </w:rPr>
                      <w:t>n/d</w:t>
                    </w:r>
                  </w:p>
                </w:tc>
                <w:tc>
                  <w:tcPr>
                    <w:tcW w:w="1079" w:type="dxa"/>
                    <w:shd w:val="clear" w:color="auto" w:fill="FFFFFF" w:themeFill="background1"/>
                  </w:tcPr>
                  <w:p>
                    <w:pPr>
                      <w:ind w:firstLine="53"/>
                      <w:jc w:val="center"/>
                      <w:rPr>
                        <w:color w:val="000000"/>
                        <w:sz w:val="20"/>
                      </w:rPr>
                    </w:pPr>
                    <w:r>
                      <w:rPr>
                        <w:sz w:val="20"/>
                        <w:lang w:val="en-US"/>
                      </w:rPr>
                      <w:t>10 990 (2029 m.)</w:t>
                    </w:r>
                  </w:p>
                </w:tc>
                <w:tc>
                  <w:tcPr>
                    <w:tcW w:w="1344" w:type="dxa"/>
                    <w:shd w:val="clear" w:color="auto" w:fill="FFFFFF" w:themeFill="background1"/>
                  </w:tcPr>
                  <w:p>
                    <w:pPr>
                      <w:spacing w:line="276" w:lineRule="auto"/>
                      <w:jc w:val="center"/>
                      <w:rPr>
                        <w:color w:val="000000"/>
                        <w:sz w:val="20"/>
                      </w:rPr>
                    </w:pPr>
                    <w:r>
                      <w:rPr>
                        <w:sz w:val="20"/>
                      </w:rPr>
                      <w:t>AŠĮFP</w:t>
                    </w:r>
                  </w:p>
                </w:tc>
              </w:tr>
              <w:tr>
                <w:trPr>
                  <w:trHeight w:val="330"/>
                </w:trPr>
                <w:tc>
                  <w:tcPr>
                    <w:tcW w:w="1346" w:type="dxa"/>
                    <w:shd w:val="clear" w:color="auto" w:fill="FFFFFF" w:themeFill="background1"/>
                  </w:tcPr>
                  <w:p>
                    <w:pPr>
                      <w:spacing w:line="276" w:lineRule="auto"/>
                      <w:rPr>
                        <w:color w:val="000000"/>
                        <w:sz w:val="20"/>
                      </w:rPr>
                    </w:pPr>
                    <w:r>
                      <w:rPr>
                        <w:sz w:val="20"/>
                      </w:rPr>
                      <w:t>P-11-002-02-11-01-82</w:t>
                    </w:r>
                  </w:p>
                </w:tc>
                <w:tc>
                  <w:tcPr>
                    <w:tcW w:w="1079" w:type="dxa"/>
                    <w:shd w:val="clear" w:color="auto" w:fill="FFFFFF" w:themeFill="background1"/>
                  </w:tcPr>
                  <w:p>
                    <w:pPr>
                      <w:spacing w:line="276" w:lineRule="auto"/>
                      <w:rPr>
                        <w:color w:val="000000"/>
                        <w:sz w:val="20"/>
                      </w:rPr>
                    </w:pPr>
                    <w:r>
                      <w:rPr>
                        <w:sz w:val="20"/>
                      </w:rPr>
                      <w:t>Produkto</w:t>
                    </w:r>
                  </w:p>
                </w:tc>
                <w:tc>
                  <w:tcPr>
                    <w:tcW w:w="2541" w:type="dxa"/>
                    <w:shd w:val="clear" w:color="auto" w:fill="FFFFFF" w:themeFill="background1"/>
                  </w:tcPr>
                  <w:p>
                    <w:pPr>
                      <w:rPr>
                        <w:color w:val="000000"/>
                        <w:sz w:val="20"/>
                      </w:rPr>
                    </w:pPr>
                    <w:r>
                      <w:rPr>
                        <w:sz w:val="20"/>
                      </w:rPr>
                      <w:t>Sukurti paslaugų teikimo metodikos ir organizacinių procesų aprašai</w:t>
                    </w:r>
                  </w:p>
                </w:tc>
                <w:tc>
                  <w:tcPr>
                    <w:tcW w:w="1078" w:type="dxa"/>
                    <w:shd w:val="clear" w:color="auto" w:fill="FFFFFF" w:themeFill="background1"/>
                  </w:tcPr>
                  <w:p>
                    <w:pPr>
                      <w:spacing w:line="276" w:lineRule="auto"/>
                      <w:jc w:val="center"/>
                      <w:rPr>
                        <w:color w:val="000000"/>
                        <w:sz w:val="20"/>
                      </w:rPr>
                    </w:pPr>
                    <w:r>
                      <w:rPr>
                        <w:sz w:val="20"/>
                      </w:rPr>
                      <w:t>Vnt.</w:t>
                    </w:r>
                  </w:p>
                </w:tc>
                <w:tc>
                  <w:tcPr>
                    <w:tcW w:w="1078" w:type="dxa"/>
                    <w:shd w:val="clear" w:color="auto" w:fill="FFFFFF" w:themeFill="background1"/>
                  </w:tcPr>
                  <w:p>
                    <w:pPr>
                      <w:jc w:val="center"/>
                      <w:rPr>
                        <w:color w:val="000000"/>
                        <w:sz w:val="20"/>
                      </w:rPr>
                    </w:pPr>
                    <w:r>
                      <w:rPr>
                        <w:sz w:val="20"/>
                      </w:rPr>
                      <w:t>n/d</w:t>
                    </w:r>
                  </w:p>
                </w:tc>
                <w:tc>
                  <w:tcPr>
                    <w:tcW w:w="945" w:type="dxa"/>
                    <w:shd w:val="clear" w:color="auto" w:fill="FFFFFF" w:themeFill="background1"/>
                  </w:tcPr>
                  <w:p>
                    <w:pPr>
                      <w:jc w:val="center"/>
                      <w:rPr>
                        <w:color w:val="000000"/>
                        <w:sz w:val="20"/>
                      </w:rPr>
                    </w:pPr>
                    <w:r>
                      <w:rPr>
                        <w:sz w:val="20"/>
                      </w:rPr>
                      <w:t>n/d</w:t>
                    </w:r>
                  </w:p>
                </w:tc>
                <w:tc>
                  <w:tcPr>
                    <w:tcW w:w="1079" w:type="dxa"/>
                    <w:shd w:val="clear" w:color="auto" w:fill="FFFFFF" w:themeFill="background1"/>
                  </w:tcPr>
                  <w:p>
                    <w:pPr>
                      <w:jc w:val="center"/>
                      <w:rPr>
                        <w:sz w:val="20"/>
                      </w:rPr>
                    </w:pPr>
                    <w:r>
                      <w:rPr>
                        <w:sz w:val="20"/>
                      </w:rPr>
                      <w:t>93</w:t>
                    </w:r>
                  </w:p>
                  <w:p>
                    <w:pPr>
                      <w:ind w:firstLine="53"/>
                      <w:jc w:val="center"/>
                      <w:rPr>
                        <w:color w:val="000000"/>
                        <w:sz w:val="20"/>
                      </w:rPr>
                    </w:pPr>
                    <w:r>
                      <w:rPr>
                        <w:sz w:val="20"/>
                      </w:rPr>
                      <w:t>(2029 m.)</w:t>
                    </w:r>
                  </w:p>
                </w:tc>
                <w:tc>
                  <w:tcPr>
                    <w:tcW w:w="1344" w:type="dxa"/>
                    <w:shd w:val="clear" w:color="auto" w:fill="FFFFFF" w:themeFill="background1"/>
                  </w:tcPr>
                  <w:p>
                    <w:pPr>
                      <w:spacing w:line="276" w:lineRule="auto"/>
                      <w:jc w:val="center"/>
                      <w:rPr>
                        <w:color w:val="000000"/>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P-11-002-02-11-01-83</w:t>
                    </w:r>
                  </w:p>
                  <w:p>
                    <w:pPr>
                      <w:spacing w:line="276" w:lineRule="auto"/>
                      <w:rPr>
                        <w:sz w:val="20"/>
                      </w:rPr>
                    </w:pP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Savivaldybės, aprūpintos kokybiškų sveikatos priežiūros paslaugų teikimui būtina modernia medicinine įranga</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60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P-11-002-02-11-01-84</w:t>
                    </w:r>
                  </w:p>
                  <w:p>
                    <w:pPr>
                      <w:spacing w:line="276" w:lineRule="auto"/>
                      <w:rPr>
                        <w:sz w:val="20"/>
                      </w:rPr>
                    </w:pP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ASPĮ, aprūpintos kokybiškų sveikatos priežiūros paslaugų teikimui būtina modernia medicinine įranga</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46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R-11-002-02-11-01-85</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Asmenys, gavę pagerintas akušerijos bei vaikų sveikatos priežiūros paslaugas</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257 220 (2029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R-11-002-02-11-01-86</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Vaikų, kuriems atliktas psichomotorinės raidos vertinimas šeimos gydytojo institucijoje, dalis</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55 (2022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80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R-11-002-02-11-01-87</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Vaikai (0</w:t>
                    </w:r>
                    <w:r>
                      <w:rPr>
                        <w:bCs/>
                        <w:sz w:val="20"/>
                      </w:rPr>
                      <w:t>–</w:t>
                    </w:r>
                    <w:r>
                      <w:rPr>
                        <w:sz w:val="20"/>
                      </w:rPr>
                      <w:t>10 m.), kuriems nustatyti įvairiapusiai raidos sutrikimai</w:t>
                    </w:r>
                  </w:p>
                </w:tc>
                <w:tc>
                  <w:tcPr>
                    <w:tcW w:w="1078" w:type="dxa"/>
                    <w:shd w:val="clear" w:color="auto" w:fill="FFFFFF" w:themeFill="background1"/>
                  </w:tcPr>
                  <w:p>
                    <w:pPr>
                      <w:spacing w:line="276" w:lineRule="auto"/>
                      <w:jc w:val="center"/>
                      <w:rPr>
                        <w:sz w:val="20"/>
                      </w:rPr>
                    </w:pPr>
                    <w:r>
                      <w:rPr>
                        <w:sz w:val="20"/>
                      </w:rPr>
                      <w:t xml:space="preserve">Atvejų skaičius 100 tūkst. vaikų </w:t>
                    </w:r>
                  </w:p>
                </w:tc>
                <w:tc>
                  <w:tcPr>
                    <w:tcW w:w="1078" w:type="dxa"/>
                    <w:shd w:val="clear" w:color="auto" w:fill="FFFFFF" w:themeFill="background1"/>
                  </w:tcPr>
                  <w:p>
                    <w:pPr>
                      <w:jc w:val="center"/>
                      <w:rPr>
                        <w:sz w:val="20"/>
                      </w:rPr>
                    </w:pPr>
                    <w:r>
                      <w:rPr>
                        <w:sz w:val="20"/>
                      </w:rPr>
                      <w:t>903,3 (2022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2 500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R-11-002-02-11-01-88</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 xml:space="preserve">Pasitenkinimas pagerintomis akušerijos ir vaikų sveikatos priežiūros paslaugomis </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60</w:t>
                    </w:r>
                  </w:p>
                  <w:p>
                    <w:pPr>
                      <w:jc w:val="center"/>
                      <w:rPr>
                        <w:sz w:val="20"/>
                      </w:rPr>
                    </w:pPr>
                    <w:r>
                      <w:rPr>
                        <w:sz w:val="20"/>
                      </w:rPr>
                      <w:t>(2024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 xml:space="preserve">Pacientų: </w:t>
                    </w:r>
                  </w:p>
                  <w:p>
                    <w:pPr>
                      <w:jc w:val="center"/>
                      <w:rPr>
                        <w:sz w:val="20"/>
                        <w:lang w:val="en-US"/>
                      </w:rPr>
                    </w:pPr>
                    <w:r>
                      <w:rPr>
                        <w:sz w:val="20"/>
                        <w:lang w:val="en-US"/>
                      </w:rPr>
                      <w:t>76</w:t>
                    </w:r>
                  </w:p>
                  <w:p>
                    <w:pPr>
                      <w:jc w:val="center"/>
                      <w:rPr>
                        <w:sz w:val="20"/>
                        <w:lang w:val="en-US"/>
                      </w:rPr>
                    </w:pPr>
                    <w:r>
                      <w:rPr>
                        <w:sz w:val="20"/>
                        <w:lang w:val="en-US"/>
                      </w:rPr>
                      <w:t>(2029 m.)</w:t>
                    </w:r>
                  </w:p>
                  <w:p>
                    <w:pPr>
                      <w:jc w:val="center"/>
                      <w:rPr>
                        <w:sz w:val="20"/>
                        <w:lang w:val="en-US"/>
                      </w:rPr>
                    </w:pPr>
                    <w:r>
                      <w:rPr>
                        <w:sz w:val="20"/>
                        <w:lang w:val="en-US"/>
                      </w:rPr>
                      <w:t xml:space="preserve">Specialistų: 84 </w:t>
                    </w:r>
                  </w:p>
                  <w:p>
                    <w:pPr>
                      <w:jc w:val="center"/>
                      <w:rPr>
                        <w:sz w:val="20"/>
                      </w:rPr>
                    </w:pPr>
                    <w:r>
                      <w:rPr>
                        <w:sz w:val="20"/>
                        <w:lang w:val="en-US"/>
                      </w:rPr>
                      <w:t>(2029 m.)</w:t>
                    </w:r>
                  </w:p>
                </w:tc>
                <w:tc>
                  <w:tcPr>
                    <w:tcW w:w="1344" w:type="dxa"/>
                    <w:shd w:val="clear" w:color="auto" w:fill="FFFFFF" w:themeFill="background1"/>
                  </w:tcPr>
                  <w:p>
                    <w:pPr>
                      <w:spacing w:line="276" w:lineRule="auto"/>
                      <w:jc w:val="center"/>
                      <w:rPr>
                        <w:sz w:val="20"/>
                      </w:rPr>
                    </w:pPr>
                    <w:r>
                      <w:rPr>
                        <w:bCs/>
                        <w:sz w:val="20"/>
                      </w:rPr>
                      <w:t>AŠĮFP</w:t>
                    </w:r>
                  </w:p>
                </w:tc>
              </w:tr>
            </w:tbl>
            <w:p>
              <w:pPr>
                <w:rPr>
                  <w:sz w:val="10"/>
                  <w:szCs w:val="10"/>
                </w:rPr>
              </w:pPr>
            </w:p>
            <w:p>
              <w:pPr>
                <w:jc w:val="both"/>
                <w:rPr>
                  <w:b/>
                  <w:bCs/>
                  <w:sz w:val="20"/>
                  <w:lang w:eastAsia="lt-LT"/>
                </w:rPr>
              </w:pPr>
              <w:r>
                <w:rPr>
                  <w:b/>
                  <w:bCs/>
                  <w:sz w:val="20"/>
                  <w:lang w:eastAsia="lt-LT"/>
                </w:rPr>
                <w:t>Pastabos:</w:t>
              </w:r>
            </w:p>
            <w:p>
              <w:pPr>
                <w:jc w:val="both"/>
                <w:rPr>
                  <w:i/>
                  <w:iCs/>
                  <w:sz w:val="20"/>
                  <w:lang w:eastAsia="lt-LT"/>
                </w:rPr>
              </w:pPr>
              <w:r>
                <w:rPr>
                  <w:sz w:val="20"/>
                  <w:lang w:eastAsia="lt-LT"/>
                </w:rPr>
                <w:t>1. N</w:t>
              </w:r>
              <w:r>
                <w:rPr>
                  <w:sz w:val="20"/>
                </w:rPr>
                <w:t>acionaliniai rodikliai, kurių bus siekiama vykdant veiklas, finansuojamas iš 2021</w:t>
              </w:r>
              <w:r>
                <w:rPr>
                  <w:color w:val="000000"/>
                  <w:szCs w:val="24"/>
                </w:rPr>
                <w:t>–</w:t>
              </w:r>
              <w:r>
                <w:rPr>
                  <w:sz w:val="20"/>
                </w:rPr>
                <w:t>2027 m. IP ir (arba) EGDAP lėšų.</w:t>
              </w:r>
              <w:r>
                <w:rPr>
                  <w:i/>
                  <w:iCs/>
                  <w:sz w:val="20"/>
                  <w:lang w:eastAsia="lt-LT"/>
                </w:rPr>
                <w:t xml:space="preserve"> </w:t>
              </w:r>
            </w:p>
            <w:p>
              <w:pPr>
                <w:jc w:val="both"/>
                <w:rPr>
                  <w:sz w:val="20"/>
                  <w:lang w:eastAsia="lt-LT"/>
                </w:rPr>
              </w:pPr>
              <w:r>
                <w:rPr>
                  <w:sz w:val="20"/>
                  <w:lang w:eastAsia="lt-LT"/>
                </w:rPr>
                <w:t xml:space="preserve">2. </w:t>
              </w:r>
              <w:r>
                <w:rPr>
                  <w:sz w:val="20"/>
                </w:rPr>
                <w:t>EGADP bendrieji rodikliai.</w:t>
              </w:r>
              <w:r>
                <w:rPr>
                  <w:sz w:val="20"/>
                  <w:lang w:eastAsia="lt-LT"/>
                </w:rPr>
                <w:t xml:space="preserve"> Bendrieji rodikliai </w:t>
              </w:r>
              <w:r>
                <w:rPr>
                  <w:sz w:val="20"/>
                </w:rPr>
                <w:t xml:space="preserve">nurodyti Ekonomikos gaivinimo ir atsparumo didinimo plane „Naujos kartos Lietuva“ ir neturi siektinų reikšmių. Duomenys bus renkami iš susijusių reformų ir investicijų rodiklių. Ataskaitinis laikotarpis </w:t>
              </w:r>
              <w:r>
                <w:rPr>
                  <w:color w:val="000000"/>
                  <w:szCs w:val="24"/>
                </w:rPr>
                <w:t>–</w:t>
              </w:r>
              <w:r>
                <w:rPr>
                  <w:sz w:val="20"/>
                </w:rPr>
                <w:t xml:space="preserve"> iki 2026 m. IV ketv. </w:t>
              </w:r>
            </w:p>
            <w:p>
              <w:pPr>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a81d119d9b11efa605b9842742bf37">
                <w:r w:rsidRPr="00532B9F">
                  <w:rPr>
                    <w:rFonts w:ascii="Times New Roman" w:eastAsia="MS Mincho" w:hAnsi="Times New Roman"/>
                    <w:sz w:val="20"/>
                    <w:i/>
                    <w:iCs/>
                    <w:color w:val="0000FF" w:themeColor="hyperlink"/>
                    <w:u w:val="single"/>
                  </w:rPr>
                  <w:t>V-1085</w:t>
                </w:r>
              </w:fldSimple>
              <w:r>
                <w:rPr>
                  <w:rFonts w:ascii="Times New Roman" w:eastAsia="MS Mincho" w:hAnsi="Times New Roman"/>
                  <w:sz w:val="20"/>
                  <w:i/>
                  <w:iCs/>
                </w:rPr>
                <w:t>,
2024-11-08,
paskelbta TAR 2024-11-08, i. k. 2024-19485            </w:t>
              </w:r>
            </w:p>
            <w:p/>
          </w:sdtContent>
        </w:sdt>
        <w:sdt>
          <w:sdtPr>
            <w:alias w:val="skyrius"/>
            <w:tag w:val="part_1106cf607dad4a3e9b69a66cb720f4d0"/>
            <w:lock w:val="sdtLocked"/>
            <w:richText/>
          </w:sdtPr>
          <w:sdtContent>
            <w:p>
              <w:pPr>
                <w:ind w:left="1080" w:hanging="360"/>
                <w:jc w:val="center"/>
                <w:rPr>
                  <w:b/>
                  <w:bCs/>
                  <w:color w:val="000000"/>
                  <w:szCs w:val="24"/>
                </w:rPr>
              </w:pPr>
              <w:sdt>
                <w:sdtPr>
                  <w:alias w:val="Numeris"/>
                  <w:tag w:val="nr_1106cf607dad4a3e9b69a66cb720f4d0"/>
                  <w:lock w:val="sdtLocked"/>
                  <w:richText/>
                </w:sdtPr>
                <w:sdtContent>
                  <w:r>
                    <w:rPr>
                      <w:b/>
                      <w:bCs/>
                      <w:color w:val="000000"/>
                      <w:szCs w:val="24"/>
                    </w:rPr>
                    <w:t>II</w:t>
                  </w:r>
                </w:sdtContent>
              </w:sdt>
              <w:r>
                <w:rPr>
                  <w:b/>
                  <w:bCs/>
                  <w:color w:val="000000"/>
                  <w:szCs w:val="24"/>
                </w:rPr>
                <w:t xml:space="preserve"> SKYRIUS</w:t>
              </w:r>
            </w:p>
            <w:p>
              <w:pPr>
                <w:ind w:left="1080" w:hanging="360"/>
                <w:jc w:val="center"/>
                <w:rPr>
                  <w:b/>
                  <w:bCs/>
                  <w:color w:val="000000"/>
                  <w:szCs w:val="24"/>
                </w:rPr>
              </w:pPr>
              <w:sdt>
                <w:sdtPr>
                  <w:alias w:val="Pavadinimas"/>
                  <w:tag w:val="title_1106cf607dad4a3e9b69a66cb720f4d0"/>
                  <w:lock w:val="sdtLocked"/>
                  <w:richText/>
                </w:sdtPr>
                <w:sdtContent>
                  <w:r>
                    <w:rPr>
                      <w:b/>
                      <w:bCs/>
                      <w:color w:val="000000"/>
                      <w:szCs w:val="24"/>
                    </w:rPr>
                    <w:t>PLĖTROS PROGRAMOS PAŽANGOS PRIEMONĖS FINANSAVIMO ŠALTINIAI</w:t>
                  </w:r>
                </w:sdtContent>
              </w:sdt>
            </w:p>
            <w:p>
              <w:pPr>
                <w:ind w:left="851"/>
                <w:jc w:val="center"/>
                <w:rPr>
                  <w:color w:val="000000"/>
                  <w:szCs w:val="24"/>
                </w:rPr>
              </w:pPr>
            </w:p>
            <w:tbl>
              <w:tblPr>
                <w:tblW w:w="10773" w:type="dxa"/>
                <w:tblLayout w:type="fixed"/>
                <w:tblCellMar>
                  <w:left w:w="30" w:type="dxa"/>
                  <w:right w:w="30" w:type="dxa"/>
                </w:tblCellMar>
                <w:tblLook w:val="04A0" w:firstRow="1" w:lastRow="0" w:firstColumn="1" w:lastColumn="0" w:noHBand="0" w:noVBand="1"/>
              </w:tblPr>
              <w:tblGrid>
                <w:gridCol w:w="7822"/>
                <w:gridCol w:w="2951"/>
              </w:tblGrid>
              <w:tr>
                <w:trPr>
                  <w:cantSplit/>
                  <w:trHeight w:val="557"/>
                </w:trPr>
                <w:tc>
                  <w:tcPr>
                    <w:tcW w:w="7513" w:type="dxa"/>
                    <w:tcBorders>
                      <w:top w:val="single" w:sz="4" w:space="0" w:color="auto"/>
                      <w:left w:val="single" w:sz="4" w:space="0" w:color="auto"/>
                      <w:bottom w:val="single" w:sz="4" w:space="0" w:color="auto"/>
                      <w:right w:val="single" w:sz="4" w:space="0" w:color="auto"/>
                    </w:tcBorders>
                    <w:shd w:val="clear" w:color="auto" w:fill="D9E2F3"/>
                    <w:vAlign w:val="center"/>
                    <w:hideMark/>
                  </w:tcPr>
                  <w:p>
                    <w:pPr>
                      <w:jc w:val="center"/>
                      <w:rPr>
                        <w:b/>
                        <w:sz w:val="20"/>
                      </w:rPr>
                    </w:pPr>
                    <w:r>
                      <w:rPr>
                        <w:b/>
                        <w:sz w:val="20"/>
                      </w:rPr>
                      <w:t>Finansavimo apimtis ir šaltiniai</w:t>
                    </w:r>
                  </w:p>
                </w:tc>
                <w:tc>
                  <w:tcPr>
                    <w:tcW w:w="2835" w:type="dxa"/>
                    <w:tcBorders>
                      <w:top w:val="single" w:sz="4" w:space="0" w:color="auto"/>
                      <w:left w:val="single" w:sz="4" w:space="0" w:color="auto"/>
                      <w:bottom w:val="single" w:sz="4" w:space="0" w:color="auto"/>
                      <w:right w:val="single" w:sz="4" w:space="0" w:color="auto"/>
                    </w:tcBorders>
                    <w:shd w:val="clear" w:color="auto" w:fill="D9E2F3"/>
                  </w:tcPr>
                  <w:p>
                    <w:pPr>
                      <w:ind w:left="15" w:hanging="15"/>
                      <w:jc w:val="center"/>
                      <w:rPr>
                        <w:b/>
                        <w:sz w:val="20"/>
                      </w:rPr>
                    </w:pPr>
                    <w:r>
                      <w:rPr>
                        <w:b/>
                        <w:sz w:val="20"/>
                      </w:rPr>
                      <w:t>Lėšų poreikis (tūkst. eurų)</w:t>
                    </w:r>
                  </w:p>
                </w:tc>
              </w:tr>
              <w:tr>
                <w:trPr>
                  <w:cantSplit/>
                  <w:trHeight w:val="272"/>
                </w:trPr>
                <w:tc>
                  <w:tcPr>
                    <w:tcW w:w="7513" w:type="dxa"/>
                    <w:tcBorders>
                      <w:top w:val="single" w:sz="4" w:space="0" w:color="auto"/>
                      <w:left w:val="single" w:sz="4" w:space="0" w:color="auto"/>
                      <w:bottom w:val="single" w:sz="4" w:space="0" w:color="auto"/>
                      <w:right w:val="single" w:sz="4" w:space="0" w:color="auto"/>
                    </w:tcBorders>
                    <w:shd w:val="clear" w:color="auto" w:fill="D9E2F3"/>
                    <w:vAlign w:val="center"/>
                  </w:tcPr>
                  <w:p>
                    <w:pPr>
                      <w:jc w:val="center"/>
                      <w:rPr>
                        <w:b/>
                        <w:sz w:val="20"/>
                      </w:rPr>
                    </w:pPr>
                    <w:r>
                      <w:rPr>
                        <w:b/>
                        <w:sz w:val="20"/>
                      </w:rPr>
                      <w:t>1</w:t>
                    </w:r>
                  </w:p>
                </w:tc>
                <w:tc>
                  <w:tcPr>
                    <w:tcW w:w="2835" w:type="dxa"/>
                    <w:tcBorders>
                      <w:top w:val="single" w:sz="4" w:space="0" w:color="auto"/>
                      <w:left w:val="single" w:sz="4" w:space="0" w:color="auto"/>
                      <w:right w:val="single" w:sz="4" w:space="0" w:color="auto"/>
                    </w:tcBorders>
                    <w:shd w:val="clear" w:color="auto" w:fill="D9E2F3"/>
                  </w:tcPr>
                  <w:p>
                    <w:pPr>
                      <w:ind w:left="15" w:hanging="15"/>
                      <w:jc w:val="center"/>
                      <w:rPr>
                        <w:b/>
                        <w:sz w:val="20"/>
                      </w:rPr>
                    </w:pPr>
                    <w:r>
                      <w:rPr>
                        <w:b/>
                        <w:sz w:val="20"/>
                      </w:rPr>
                      <w:t>2</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1.1. Valstybės biudžeto lėšos</w:t>
                    </w:r>
                  </w:p>
                </w:tc>
                <w:tc>
                  <w:tcPr>
                    <w:tcW w:w="2835"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111 199,719</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1.1.1.1.1. Valstybės biudžeto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54 919,719</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1.1.1.1.2. Valstybės biudžeto lėšos, skirtos apmokėti bendrai finansuojamų iš ES fondų lėšų projektų netinkamam finansuoti iš ES fondų lėšų pirkimo ir (arba) importo PVM</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56 280</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1.2. Europos Sąjungos ir kitos tarptautinės finansinės paramos bendrojo finansavimo lėšos</w:t>
                    </w:r>
                  </w:p>
                </w:tc>
                <w:tc>
                  <w:tcPr>
                    <w:tcW w:w="2835" w:type="dxa"/>
                    <w:tcBorders>
                      <w:top w:val="single" w:sz="4" w:space="0" w:color="auto"/>
                      <w:left w:val="single" w:sz="4" w:space="0" w:color="auto"/>
                      <w:bottom w:val="single" w:sz="4" w:space="0" w:color="auto"/>
                      <w:right w:val="single" w:sz="4" w:space="0" w:color="auto"/>
                    </w:tcBorders>
                  </w:tcPr>
                  <w:p>
                    <w:pPr>
                      <w:jc w:val="center"/>
                      <w:rPr>
                        <w:b/>
                        <w:bCs/>
                        <w:sz w:val="20"/>
                      </w:rPr>
                    </w:pPr>
                    <w:r>
                      <w:rPr>
                        <w:b/>
                        <w:bCs/>
                        <w:sz w:val="20"/>
                      </w:rPr>
                      <w:t xml:space="preserve">85 781,753 </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Cs/>
                        <w:sz w:val="20"/>
                      </w:rPr>
                    </w:pPr>
                    <w:r>
                      <w:rPr>
                        <w:bCs/>
                        <w:sz w:val="20"/>
                      </w:rPr>
                      <w:t>1.2.2.8.1. 2021–2027 m. ES struktūrinių fondų bendrojo finansavimo lėšos, Sostinės regionas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32 971,033</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1.2.2.8.1. 2021–2027 m. ES struktūrinių fondų bendrojo finansavimo lėšos, Vidurio ir vakarų Lietuvos regionas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47 677,773</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1.2.3.1.68. Antrojo Šveicarijos įnašo finansinės paramos bendrojo finansavimo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5 132,947</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1.3. Europos Sąjungos ir kita tarptautinė finansinė parama</w:t>
                    </w:r>
                  </w:p>
                </w:tc>
                <w:tc>
                  <w:tcPr>
                    <w:tcW w:w="2835" w:type="dxa"/>
                    <w:tcBorders>
                      <w:top w:val="single" w:sz="4" w:space="0" w:color="auto"/>
                      <w:left w:val="single" w:sz="4" w:space="0" w:color="auto"/>
                      <w:bottom w:val="single" w:sz="4" w:space="0" w:color="auto"/>
                      <w:right w:val="single" w:sz="4" w:space="0" w:color="auto"/>
                    </w:tcBorders>
                  </w:tcPr>
                  <w:p>
                    <w:pPr>
                      <w:jc w:val="center"/>
                      <w:rPr>
                        <w:b/>
                        <w:bCs/>
                        <w:sz w:val="20"/>
                      </w:rPr>
                    </w:pPr>
                    <w:r>
                      <w:rPr>
                        <w:b/>
                        <w:bCs/>
                        <w:sz w:val="20"/>
                      </w:rPr>
                      <w:t>600 231,779</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shd w:val="clear" w:color="auto" w:fill="auto"/>
                    <w:vAlign w:val="center"/>
                  </w:tcPr>
                  <w:p>
                    <w:pPr>
                      <w:rPr>
                        <w:sz w:val="20"/>
                      </w:rPr>
                    </w:pPr>
                    <w:r>
                      <w:rPr>
                        <w:sz w:val="20"/>
                      </w:rPr>
                      <w:t>1.3.2.8.1. 2021–2027 m. ES struktūrinių fondų lėšos,</w:t>
                    </w:r>
                    <w:r>
                      <w:t xml:space="preserve"> </w:t>
                    </w:r>
                    <w:r>
                      <w:rPr>
                        <w:sz w:val="20"/>
                      </w:rPr>
                      <w:t>Vidurio ir vakarų Lietuvos regionas (Europos socialinis fondas +)</w:t>
                    </w:r>
                  </w:p>
                </w:tc>
                <w:tc>
                  <w:tcPr>
                    <w:tcW w:w="2835" w:type="dxa"/>
                    <w:tcBorders>
                      <w:top w:val="single" w:sz="4" w:space="0" w:color="auto"/>
                      <w:left w:val="single" w:sz="4" w:space="0" w:color="auto"/>
                      <w:bottom w:val="single" w:sz="4" w:space="0" w:color="auto"/>
                      <w:right w:val="single" w:sz="4" w:space="0" w:color="auto"/>
                    </w:tcBorders>
                    <w:shd w:val="clear" w:color="auto" w:fill="auto"/>
                  </w:tcPr>
                  <w:p>
                    <w:pPr>
                      <w:jc w:val="center"/>
                      <w:rPr>
                        <w:bCs/>
                        <w:sz w:val="20"/>
                      </w:rPr>
                    </w:pPr>
                    <w:r>
                      <w:rPr>
                        <w:bCs/>
                        <w:sz w:val="20"/>
                      </w:rPr>
                      <w:t>88 047,443</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shd w:val="clear" w:color="auto" w:fill="auto"/>
                    <w:vAlign w:val="center"/>
                  </w:tcPr>
                  <w:p>
                    <w:pPr>
                      <w:rPr>
                        <w:sz w:val="20"/>
                      </w:rPr>
                    </w:pPr>
                    <w:r>
                      <w:rPr>
                        <w:sz w:val="20"/>
                      </w:rPr>
                      <w:t>1.3.2.8.1. 2021–2027 m. ES struktūrinių fondų lėšos,</w:t>
                    </w:r>
                    <w:r>
                      <w:t xml:space="preserve"> </w:t>
                    </w:r>
                    <w:r>
                      <w:rPr>
                        <w:sz w:val="20"/>
                      </w:rPr>
                      <w:t>Sostinės regionas (Europos regioninės plėtros fondas)</w:t>
                    </w:r>
                  </w:p>
                </w:tc>
                <w:tc>
                  <w:tcPr>
                    <w:tcW w:w="2835" w:type="dxa"/>
                    <w:tcBorders>
                      <w:top w:val="single" w:sz="4" w:space="0" w:color="auto"/>
                      <w:left w:val="single" w:sz="4" w:space="0" w:color="auto"/>
                      <w:bottom w:val="single" w:sz="4" w:space="0" w:color="auto"/>
                      <w:right w:val="single" w:sz="4" w:space="0" w:color="auto"/>
                    </w:tcBorders>
                    <w:shd w:val="clear" w:color="auto" w:fill="auto"/>
                  </w:tcPr>
                  <w:p>
                    <w:pPr>
                      <w:jc w:val="center"/>
                      <w:rPr>
                        <w:bCs/>
                        <w:sz w:val="20"/>
                      </w:rPr>
                    </w:pPr>
                    <w:r>
                      <w:rPr>
                        <w:bCs/>
                        <w:sz w:val="20"/>
                      </w:rPr>
                      <w:t>32 971,033</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1.3.2.8.1. 2021–2027 m. ES struktūrinių fondų lėšos,</w:t>
                    </w:r>
                    <w:r>
                      <w:t xml:space="preserve"> </w:t>
                    </w:r>
                    <w:r>
                      <w:rPr>
                        <w:sz w:val="20"/>
                      </w:rPr>
                      <w:t>Vidurio ir vakarų Lietuvos regionas (Europos regioninės plėtros fondas)</w:t>
                    </w:r>
                  </w:p>
                </w:tc>
                <w:tc>
                  <w:tcPr>
                    <w:tcW w:w="2835" w:type="dxa"/>
                    <w:tcBorders>
                      <w:top w:val="single" w:sz="4" w:space="0" w:color="auto"/>
                      <w:left w:val="single" w:sz="4" w:space="0" w:color="auto"/>
                      <w:bottom w:val="single" w:sz="4" w:space="0" w:color="auto"/>
                      <w:right w:val="single" w:sz="4" w:space="0" w:color="auto"/>
                    </w:tcBorders>
                  </w:tcPr>
                  <w:p>
                    <w:pPr>
                      <w:jc w:val="center"/>
                      <w:rPr>
                        <w:bCs/>
                        <w:sz w:val="20"/>
                      </w:rPr>
                    </w:pPr>
                    <w:r>
                      <w:rPr>
                        <w:bCs/>
                        <w:sz w:val="20"/>
                      </w:rPr>
                      <w:t>182 126,604</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 xml:space="preserve">1.3.3.1.57. Ekonomikos gaivinimo ir atsparumo didinimo priemonės lėšos </w:t>
                    </w:r>
                  </w:p>
                </w:tc>
                <w:tc>
                  <w:tcPr>
                    <w:tcW w:w="2835" w:type="dxa"/>
                    <w:tcBorders>
                      <w:top w:val="single" w:sz="4" w:space="0" w:color="auto"/>
                      <w:left w:val="single" w:sz="4" w:space="0" w:color="auto"/>
                      <w:bottom w:val="single" w:sz="4" w:space="0" w:color="auto"/>
                      <w:right w:val="single" w:sz="4" w:space="0" w:color="auto"/>
                    </w:tcBorders>
                  </w:tcPr>
                  <w:p>
                    <w:pPr>
                      <w:jc w:val="center"/>
                      <w:rPr>
                        <w:bCs/>
                        <w:sz w:val="20"/>
                      </w:rPr>
                    </w:pPr>
                    <w:r>
                      <w:rPr>
                        <w:bCs/>
                        <w:sz w:val="20"/>
                      </w:rPr>
                      <w:t>268 000</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1.3.3.1.68. Antrojo Šveicarijos įnašo finansinės paramos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29 086,699</w:t>
                    </w:r>
                  </w:p>
                </w:tc>
              </w:tr>
              <w:tr>
                <w:trPr>
                  <w:cantSplit/>
                  <w:trHeight w:val="228"/>
                </w:trPr>
                <w:tc>
                  <w:tcPr>
                    <w:tcW w:w="7513" w:type="dxa"/>
                    <w:tcBorders>
                      <w:top w:val="single" w:sz="4" w:space="0" w:color="auto"/>
                      <w:left w:val="single" w:sz="4" w:space="0" w:color="auto"/>
                      <w:bottom w:val="single" w:sz="4" w:space="0" w:color="auto"/>
                      <w:right w:val="single" w:sz="4" w:space="0" w:color="auto"/>
                    </w:tcBorders>
                    <w:vAlign w:val="center"/>
                  </w:tcPr>
                  <w:p>
                    <w:pPr>
                      <w:spacing w:line="276" w:lineRule="auto"/>
                      <w:ind w:left="1276" w:hanging="1276"/>
                      <w:jc w:val="both"/>
                      <w:rPr>
                        <w:b/>
                        <w:i/>
                        <w:iCs/>
                        <w:sz w:val="20"/>
                      </w:rPr>
                    </w:pPr>
                    <w:r>
                      <w:rPr>
                        <w:b/>
                        <w:sz w:val="20"/>
                      </w:rPr>
                      <w:t>1.4.</w:t>
                    </w:r>
                    <w:r>
                      <w:rPr>
                        <w:b/>
                        <w:i/>
                        <w:iCs/>
                        <w:sz w:val="20"/>
                      </w:rPr>
                      <w:t xml:space="preserve"> </w:t>
                    </w:r>
                    <w:r>
                      <w:rPr>
                        <w:b/>
                        <w:sz w:val="20"/>
                      </w:rPr>
                      <w:t>Biudžetinių įstaigų pajamų įmokos ir kitos pajamos</w:t>
                    </w:r>
                    <w:r>
                      <w:rPr>
                        <w:b/>
                        <w:i/>
                        <w:iCs/>
                        <w:sz w:val="20"/>
                      </w:rPr>
                      <w:t xml:space="preserve"> </w:t>
                    </w:r>
                  </w:p>
                </w:tc>
                <w:tc>
                  <w:tcPr>
                    <w:tcW w:w="2835" w:type="dxa"/>
                    <w:tcBorders>
                      <w:top w:val="single" w:sz="4" w:space="0" w:color="auto"/>
                      <w:left w:val="single" w:sz="4" w:space="0" w:color="auto"/>
                      <w:bottom w:val="single" w:sz="4" w:space="0" w:color="auto"/>
                      <w:right w:val="single" w:sz="4" w:space="0" w:color="auto"/>
                    </w:tcBorders>
                  </w:tcPr>
                  <w:p>
                    <w:pPr>
                      <w:jc w:val="center"/>
                      <w:rPr>
                        <w:b/>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2. Kitos lėšos</w:t>
                    </w:r>
                  </w:p>
                </w:tc>
                <w:tc>
                  <w:tcPr>
                    <w:tcW w:w="2835" w:type="dxa"/>
                    <w:tcBorders>
                      <w:top w:val="single" w:sz="4" w:space="0" w:color="auto"/>
                      <w:left w:val="single" w:sz="4" w:space="0" w:color="auto"/>
                      <w:bottom w:val="single" w:sz="4" w:space="0" w:color="auto"/>
                      <w:right w:val="single" w:sz="4" w:space="0" w:color="auto"/>
                    </w:tcBorders>
                  </w:tcPr>
                  <w:p>
                    <w:pPr>
                      <w:jc w:val="center"/>
                      <w:rPr>
                        <w:b/>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2.1.Savivaldybių biudžetų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2.2. Privačios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2.3. Kitos viešosios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shd w:val="clear" w:color="auto" w:fill="D9E2F3"/>
                    <w:vAlign w:val="center"/>
                  </w:tcPr>
                  <w:p>
                    <w:pPr>
                      <w:rPr>
                        <w:b/>
                        <w:sz w:val="20"/>
                      </w:rPr>
                    </w:pPr>
                    <w:r>
                      <w:rPr>
                        <w:b/>
                        <w:sz w:val="20"/>
                      </w:rPr>
                      <w:t>IŠ VISO:</w:t>
                    </w:r>
                  </w:p>
                </w:tc>
                <w:tc>
                  <w:tcPr>
                    <w:tcW w:w="2835" w:type="dxa"/>
                    <w:tcBorders>
                      <w:top w:val="single" w:sz="4" w:space="0" w:color="auto"/>
                      <w:left w:val="single" w:sz="4" w:space="0" w:color="auto"/>
                      <w:bottom w:val="single" w:sz="4" w:space="0" w:color="auto"/>
                      <w:right w:val="single" w:sz="4" w:space="0" w:color="auto"/>
                    </w:tcBorders>
                    <w:shd w:val="clear" w:color="auto" w:fill="D9E2F3"/>
                  </w:tcPr>
                  <w:p>
                    <w:pPr>
                      <w:ind w:left="720" w:hanging="360"/>
                      <w:jc w:val="center"/>
                      <w:rPr>
                        <w:b/>
                        <w:sz w:val="20"/>
                        <w:lang w:val="en-US"/>
                      </w:rPr>
                    </w:pPr>
                    <w:r>
                      <w:rPr>
                        <w:b/>
                        <w:sz w:val="20"/>
                        <w:lang w:val="en-US"/>
                      </w:rPr>
                      <w:t>797</w:t>
                      <w:tab/>
                    </w:r>
                    <w:r>
                      <w:rPr>
                        <w:b/>
                        <w:sz w:val="20"/>
                      </w:rPr>
                      <w:t>213,251“</w:t>
                    </w:r>
                  </w:p>
                </w:tc>
              </w:tr>
            </w:tbl>
            <w:p>
              <w:pPr>
                <w:tabs>
                  <w:tab w:val="left" w:pos="1134"/>
                </w:tabs>
                <w:ind w:left="851"/>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a81d119d9b11efa605b9842742bf37">
                <w:r w:rsidRPr="00532B9F">
                  <w:rPr>
                    <w:rFonts w:ascii="Times New Roman" w:eastAsia="MS Mincho" w:hAnsi="Times New Roman"/>
                    <w:sz w:val="20"/>
                    <w:i/>
                    <w:iCs/>
                    <w:color w:val="0000FF" w:themeColor="hyperlink"/>
                    <w:u w:val="single"/>
                  </w:rPr>
                  <w:t>V-1085</w:t>
                </w:r>
              </w:fldSimple>
              <w:r>
                <w:rPr>
                  <w:rFonts w:ascii="Times New Roman" w:eastAsia="MS Mincho" w:hAnsi="Times New Roman"/>
                  <w:sz w:val="20"/>
                  <w:i/>
                  <w:iCs/>
                </w:rPr>
                <w:t>,
2024-11-08,
paskelbta TAR 2024-11-08, i. k. 2024-19485            </w:t>
              </w:r>
            </w:p>
            <w:p/>
          </w:sdtContent>
        </w:sdt>
        <w:sdt>
          <w:sdtPr>
            <w:alias w:val="skyrius"/>
            <w:tag w:val="part_7f0fea1d1b17466b8f284a68eb26c1a9"/>
            <w:lock w:val="sdtLocked"/>
            <w:richText/>
          </w:sdtPr>
          <w:sdtContent>
            <w:p>
              <w:pPr>
                <w:ind w:left="-284"/>
                <w:jc w:val="center"/>
                <w:sectPr>
                  <w:headerReference w:type="even" r:id="rId20"/>
                  <w:headerReference w:type="default" r:id="rId21"/>
                  <w:footerReference w:type="even" r:id="rId22"/>
                  <w:footerReference w:type="default" r:id="rId23"/>
                  <w:headerReference w:type="first" r:id="rId24"/>
                  <w:footerReference w:type="first" r:id="rId25"/>
                  <w:pgSz w:w="11906" w:h="16838" w:code="9"/>
                  <w:pgMar w:top="1701" w:right="567" w:bottom="1134" w:left="709" w:header="1134" w:footer="1134" w:gutter="0"/>
                  <w:cols w:space="1296"/>
                  <w:titlePg/>
                  <w:docGrid w:linePitch="326"/>
                </w:sectPr>
              </w:pPr>
            </w:p>
            <w:p>
              <w:pPr>
                <w:ind w:left="-284"/>
                <w:jc w:val="center"/>
                <w:rPr>
                  <w:b/>
                  <w:bCs/>
                </w:rPr>
              </w:pPr>
              <w:sdt>
                <w:sdtPr>
                  <w:alias w:val="Numeris"/>
                  <w:tag w:val="nr_7f0fea1d1b17466b8f284a68eb26c1a9"/>
                  <w:lock w:val="sdtLocked"/>
                  <w:richText/>
                </w:sdtPr>
                <w:sdtContent>
                  <w:r>
                    <w:rPr>
                      <w:b/>
                      <w:bCs/>
                    </w:rPr>
                    <w:t>III</w:t>
                  </w:r>
                </w:sdtContent>
              </w:sdt>
              <w:r>
                <w:rPr>
                  <w:b/>
                  <w:bCs/>
                </w:rPr>
                <w:t xml:space="preserve"> SKYRIUS</w:t>
              </w:r>
            </w:p>
            <w:p>
              <w:pPr>
                <w:jc w:val="center"/>
                <w:rPr>
                  <w:b/>
                  <w:bCs/>
                </w:rPr>
              </w:pPr>
              <w:sdt>
                <w:sdtPr>
                  <w:alias w:val="Pavadinimas"/>
                  <w:tag w:val="title_7f0fea1d1b17466b8f284a68eb26c1a9"/>
                  <w:lock w:val="sdtLocked"/>
                  <w:richText/>
                </w:sdtPr>
                <w:sdtContent>
                  <w:r>
                    <w:rPr>
                      <w:b/>
                      <w:bCs/>
                    </w:rPr>
                    <w:t>PLĖTROS PROGRAMOS PAŽANGOS PRIEMONĖS VEIKLŲ SUVESTINĖ</w:t>
                  </w:r>
                </w:sdtContent>
              </w:sdt>
            </w:p>
            <w:p>
              <w:pPr>
                <w:jc w:val="center"/>
                <w:rPr>
                  <w:b/>
                  <w:bCs/>
                </w:rPr>
              </w:pPr>
            </w:p>
            <w:tbl>
              <w:tblPr>
                <w:tblW w:w="1502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10"/>
                <w:gridCol w:w="709"/>
                <w:gridCol w:w="1559"/>
                <w:gridCol w:w="709"/>
                <w:gridCol w:w="992"/>
                <w:gridCol w:w="709"/>
                <w:gridCol w:w="1276"/>
                <w:gridCol w:w="992"/>
                <w:gridCol w:w="2551"/>
                <w:gridCol w:w="851"/>
                <w:gridCol w:w="992"/>
                <w:gridCol w:w="1276"/>
              </w:tblGrid>
              <w:tr>
                <w:trPr>
                  <w:trHeight w:val="1425"/>
                </w:trPr>
                <w:tc>
                  <w:tcPr>
                    <w:tcW w:w="2410"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Veikla</w:t>
                    </w:r>
                  </w:p>
                </w:tc>
                <w:tc>
                  <w:tcPr>
                    <w:tcW w:w="70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Veiklos (poveik-lės, projekto) tipas</w:t>
                    </w:r>
                  </w:p>
                </w:tc>
                <w:tc>
                  <w:tcPr>
                    <w:tcW w:w="155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Galimi pareiškėjai</w:t>
                    </w:r>
                  </w:p>
                </w:tc>
                <w:tc>
                  <w:tcPr>
                    <w:tcW w:w="70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 xml:space="preserve">Projektų </w:t>
                    </w:r>
                  </w:p>
                  <w:p>
                    <w:pPr>
                      <w:ind w:left="-57" w:right="-57"/>
                      <w:jc w:val="center"/>
                      <w:rPr>
                        <w:b/>
                        <w:sz w:val="16"/>
                        <w:szCs w:val="16"/>
                      </w:rPr>
                    </w:pPr>
                    <w:r>
                      <w:rPr>
                        <w:b/>
                        <w:sz w:val="16"/>
                        <w:szCs w:val="16"/>
                      </w:rPr>
                      <w:t>atrankos būdas</w:t>
                    </w:r>
                  </w:p>
                </w:tc>
                <w:tc>
                  <w:tcPr>
                    <w:tcW w:w="992"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Tiesiogiai prisidedama prie HP</w:t>
                    </w:r>
                  </w:p>
                  <w:p>
                    <w:pPr>
                      <w:ind w:left="-57" w:right="-57"/>
                      <w:jc w:val="center"/>
                      <w:rPr>
                        <w:b/>
                        <w:sz w:val="16"/>
                        <w:szCs w:val="16"/>
                      </w:rPr>
                    </w:pPr>
                    <w:r>
                      <w:rPr>
                        <w:b/>
                        <w:sz w:val="16"/>
                        <w:szCs w:val="16"/>
                      </w:rPr>
                      <w:t>(Taip / Ne)</w:t>
                    </w:r>
                  </w:p>
                </w:tc>
                <w:tc>
                  <w:tcPr>
                    <w:tcW w:w="70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Finan-savimo forma</w:t>
                    </w:r>
                  </w:p>
                </w:tc>
                <w:tc>
                  <w:tcPr>
                    <w:tcW w:w="1276"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Finansavimo suma(tūkst. eurų)</w:t>
                    </w:r>
                  </w:p>
                </w:tc>
                <w:tc>
                  <w:tcPr>
                    <w:tcW w:w="992"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vertAlign w:val="superscript"/>
                      </w:rPr>
                    </w:pPr>
                    <w:r>
                      <w:rPr>
                        <w:b/>
                        <w:sz w:val="16"/>
                        <w:szCs w:val="16"/>
                      </w:rPr>
                      <w:t>Finansavimo šaltinis</w:t>
                    </w:r>
                    <w:r>
                      <w:rPr>
                        <w:b/>
                        <w:sz w:val="16"/>
                        <w:szCs w:val="16"/>
                        <w:vertAlign w:val="superscript"/>
                      </w:rPr>
                      <w:t xml:space="preserve"> </w:t>
                    </w:r>
                    <w:r>
                      <w:rPr>
                        <w:b/>
                        <w:sz w:val="16"/>
                        <w:szCs w:val="16"/>
                      </w:rPr>
                      <w:t>(-iai)</w:t>
                    </w:r>
                  </w:p>
                </w:tc>
                <w:tc>
                  <w:tcPr>
                    <w:tcW w:w="2551"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Rodiklio pavadinimas ir tipas</w:t>
                    </w:r>
                  </w:p>
                </w:tc>
                <w:tc>
                  <w:tcPr>
                    <w:tcW w:w="851"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Siektina galutinė rodiklio reikšmė, metai</w:t>
                    </w:r>
                  </w:p>
                </w:tc>
                <w:tc>
                  <w:tcPr>
                    <w:tcW w:w="992"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trike/>
                        <w:sz w:val="16"/>
                        <w:szCs w:val="16"/>
                      </w:rPr>
                    </w:pPr>
                    <w:r>
                      <w:rPr>
                        <w:b/>
                        <w:sz w:val="16"/>
                        <w:szCs w:val="16"/>
                      </w:rPr>
                      <w:t>Adminis-truojančioji institucija</w:t>
                    </w:r>
                  </w:p>
                </w:tc>
                <w:tc>
                  <w:tcPr>
                    <w:tcW w:w="1276"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Dalyvaujanti institucija</w:t>
                    </w:r>
                  </w:p>
                </w:tc>
              </w:tr>
              <w:tr>
                <w:trPr>
                  <w:trHeight w:val="279"/>
                </w:trPr>
                <w:tc>
                  <w:tcPr>
                    <w:tcW w:w="2410"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w:t>
                    </w:r>
                  </w:p>
                </w:tc>
                <w:tc>
                  <w:tcPr>
                    <w:tcW w:w="70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2</w:t>
                    </w:r>
                  </w:p>
                </w:tc>
                <w:tc>
                  <w:tcPr>
                    <w:tcW w:w="155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3</w:t>
                    </w:r>
                  </w:p>
                </w:tc>
                <w:tc>
                  <w:tcPr>
                    <w:tcW w:w="70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4</w:t>
                    </w:r>
                  </w:p>
                </w:tc>
                <w:tc>
                  <w:tcPr>
                    <w:tcW w:w="992"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5</w:t>
                    </w:r>
                  </w:p>
                </w:tc>
                <w:tc>
                  <w:tcPr>
                    <w:tcW w:w="70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6</w:t>
                    </w:r>
                  </w:p>
                </w:tc>
                <w:tc>
                  <w:tcPr>
                    <w:tcW w:w="1276"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7</w:t>
                    </w:r>
                  </w:p>
                </w:tc>
                <w:tc>
                  <w:tcPr>
                    <w:tcW w:w="992"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8</w:t>
                    </w:r>
                  </w:p>
                </w:tc>
                <w:tc>
                  <w:tcPr>
                    <w:tcW w:w="2551"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9</w:t>
                    </w:r>
                  </w:p>
                </w:tc>
                <w:tc>
                  <w:tcPr>
                    <w:tcW w:w="851"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10</w:t>
                    </w:r>
                  </w:p>
                </w:tc>
                <w:tc>
                  <w:tcPr>
                    <w:tcW w:w="992"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11</w:t>
                    </w:r>
                  </w:p>
                </w:tc>
                <w:tc>
                  <w:tcPr>
                    <w:tcW w:w="1276"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12</w:t>
                    </w:r>
                  </w:p>
                </w:tc>
              </w:tr>
              <w:tr>
                <w:trPr>
                  <w:trHeight w:val="382"/>
                </w:trPr>
                <w:tc>
                  <w:tcPr>
                    <w:tcW w:w="2410"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rPr>
                        <w:b/>
                        <w:bCs/>
                        <w:iCs/>
                        <w:sz w:val="20"/>
                      </w:rPr>
                    </w:pPr>
                    <w:r>
                      <w:rPr>
                        <w:b/>
                        <w:bCs/>
                        <w:iCs/>
                        <w:sz w:val="20"/>
                      </w:rPr>
                      <w:t>1. Ilgalaikės priežiūros paslaugų diegimas</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155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b/>
                        <w:bCs/>
                        <w:color w:val="000000"/>
                        <w:sz w:val="20"/>
                      </w:rPr>
                    </w:pPr>
                    <w:r>
                      <w:rPr>
                        <w:b/>
                        <w:bCs/>
                        <w:color w:val="000000"/>
                        <w:sz w:val="20"/>
                      </w:rPr>
                      <w:t>18 770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w:t>
                    </w:r>
                  </w:p>
                </w:tc>
                <w:tc>
                  <w:tcPr>
                    <w:tcW w:w="2551"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rPr>
                        <w:sz w:val="20"/>
                      </w:rPr>
                    </w:pPr>
                  </w:p>
                  <w:p>
                    <w:pPr>
                      <w:ind w:left="-57" w:right="-57"/>
                      <w:rPr>
                        <w:color w:val="000000"/>
                        <w:sz w:val="20"/>
                      </w:rPr>
                    </w:pPr>
                  </w:p>
                </w:tc>
                <w:tc>
                  <w:tcPr>
                    <w:tcW w:w="851"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1276"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r>
              <w:tr>
                <w:trPr>
                  <w:trHeight w:val="382"/>
                </w:trPr>
                <w:tc>
                  <w:tcPr>
                    <w:tcW w:w="2410" w:type="dxa"/>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8 900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EGADP</w:t>
                    </w:r>
                  </w:p>
                </w:tc>
                <w:tc>
                  <w:tcPr>
                    <w:tcW w:w="2551" w:type="dxa"/>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851"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415"/>
                </w:trPr>
                <w:tc>
                  <w:tcPr>
                    <w:tcW w:w="2410" w:type="dxa"/>
                    <w:vMerge/>
                    <w:tcBorders>
                      <w:left w:val="single" w:sz="4" w:space="0" w:color="auto"/>
                      <w:right w:val="single" w:sz="4" w:space="0" w:color="auto"/>
                    </w:tcBorders>
                    <w:shd w:val="clear" w:color="auto" w:fill="F2F2F2" w:themeFill="background1" w:themeFillShade="F2"/>
                  </w:tcPr>
                  <w:p>
                    <w:pPr>
                      <w:ind w:left="-57" w:right="-57"/>
                      <w:rPr>
                        <w:b/>
                        <w:bCs/>
                        <w:iCs/>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1 870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 xml:space="preserve">VB lėšos netinka-mam PVM apmokėti (toliau – PVM iš VB </w:t>
                    </w:r>
                  </w:p>
                </w:tc>
                <w:tc>
                  <w:tcPr>
                    <w:tcW w:w="2551" w:type="dxa"/>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851"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265"/>
                </w:trPr>
                <w:tc>
                  <w:tcPr>
                    <w:tcW w:w="2410"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rPr>
                        <w:b/>
                        <w:bCs/>
                        <w:iCs/>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55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8 000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VB</w:t>
                    </w:r>
                  </w:p>
                </w:tc>
                <w:tc>
                  <w:tcPr>
                    <w:tcW w:w="2551"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p>
                </w:tc>
                <w:tc>
                  <w:tcPr>
                    <w:tcW w:w="851"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1112"/>
                </w:trPr>
                <w:tc>
                  <w:tcPr>
                    <w:tcW w:w="2410" w:type="dxa"/>
                    <w:vMerge w:val="restart"/>
                    <w:tcBorders>
                      <w:top w:val="single" w:sz="4" w:space="0" w:color="auto"/>
                      <w:left w:val="single" w:sz="4" w:space="0" w:color="auto"/>
                      <w:right w:val="single" w:sz="4" w:space="0" w:color="auto"/>
                    </w:tcBorders>
                  </w:tcPr>
                  <w:p>
                    <w:pPr>
                      <w:ind w:left="-57" w:right="-57"/>
                      <w:rPr>
                        <w:b/>
                        <w:bCs/>
                        <w:sz w:val="20"/>
                      </w:rPr>
                    </w:pPr>
                    <w:r>
                      <w:rPr>
                        <w:sz w:val="20"/>
                      </w:rPr>
                      <w:t xml:space="preserve">1.1. Ilgalaikę priežiūrą reglamentuojančių teisės aktų  parengimas</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R</w:t>
                    </w:r>
                  </w:p>
                </w:tc>
                <w:tc>
                  <w:tcPr>
                    <w:tcW w:w="1559"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1276"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992" w:type="dxa"/>
                    <w:vMerge w:val="restart"/>
                    <w:tcBorders>
                      <w:top w:val="single" w:sz="4" w:space="0" w:color="auto"/>
                      <w:left w:val="single" w:sz="4" w:space="0" w:color="auto"/>
                      <w:right w:val="single" w:sz="4" w:space="0" w:color="auto"/>
                    </w:tcBorders>
                  </w:tcPr>
                  <w:p>
                    <w:pPr>
                      <w:ind w:left="-57" w:right="-57"/>
                      <w:rPr>
                        <w:sz w:val="20"/>
                      </w:rPr>
                    </w:pPr>
                    <w:r>
                      <w:rPr>
                        <w:sz w:val="20"/>
                      </w:rPr>
                      <w:t>-</w:t>
                    </w:r>
                  </w:p>
                </w:tc>
                <w:tc>
                  <w:tcPr>
                    <w:tcW w:w="2551" w:type="dxa"/>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rPr>
                        <w:sz w:val="20"/>
                      </w:rPr>
                    </w:pPr>
                    <w:r>
                      <w:rPr>
                        <w:sz w:val="20"/>
                      </w:rPr>
                      <w:t>P – Socialiniams partneriams pristatytas ir viešai konsultacijai pateiktas ilgalaikės priežiūros paslaugų teikimo ir finansavimo modelis, vnt.</w:t>
                    </w:r>
                  </w:p>
                </w:tc>
                <w:tc>
                  <w:tcPr>
                    <w:tcW w:w="851" w:type="dxa"/>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jc w:val="center"/>
                      <w:rPr>
                        <w:sz w:val="20"/>
                      </w:rPr>
                    </w:pPr>
                    <w:r>
                      <w:rPr>
                        <w:sz w:val="20"/>
                      </w:rPr>
                      <w:t>1</w:t>
                    </w:r>
                  </w:p>
                  <w:p>
                    <w:pPr>
                      <w:ind w:left="-57" w:right="-57"/>
                      <w:jc w:val="center"/>
                      <w:rPr>
                        <w:sz w:val="20"/>
                      </w:rPr>
                    </w:pPr>
                    <w:r>
                      <w:rPr>
                        <w:sz w:val="20"/>
                      </w:rPr>
                      <w:t>(2022 m. III ketv.)</w:t>
                    </w:r>
                  </w:p>
                </w:tc>
                <w:tc>
                  <w:tcPr>
                    <w:tcW w:w="992" w:type="dxa"/>
                    <w:vMerge w:val="restart"/>
                    <w:tcBorders>
                      <w:top w:val="single" w:sz="4" w:space="0" w:color="auto"/>
                      <w:left w:val="single" w:sz="4" w:space="0" w:color="auto"/>
                      <w:right w:val="single" w:sz="4" w:space="0" w:color="auto"/>
                    </w:tcBorders>
                  </w:tcPr>
                  <w:p>
                    <w:pPr>
                      <w:rPr>
                        <w:sz w:val="20"/>
                      </w:rPr>
                    </w:pPr>
                    <w:r>
                      <w:rPr>
                        <w:sz w:val="20"/>
                      </w:rPr>
                      <w:t>-</w:t>
                    </w:r>
                  </w:p>
                </w:tc>
                <w:tc>
                  <w:tcPr>
                    <w:tcW w:w="1276" w:type="dxa"/>
                    <w:vMerge w:val="restart"/>
                    <w:tcBorders>
                      <w:top w:val="single" w:sz="4" w:space="0" w:color="auto"/>
                      <w:left w:val="single" w:sz="4" w:space="0" w:color="auto"/>
                      <w:right w:val="single" w:sz="4" w:space="0" w:color="auto"/>
                    </w:tcBorders>
                  </w:tcPr>
                  <w:p>
                    <w:pPr>
                      <w:ind w:left="-57" w:right="-57"/>
                      <w:jc w:val="center"/>
                      <w:rPr>
                        <w:sz w:val="20"/>
                      </w:rPr>
                    </w:pPr>
                    <w:r>
                      <w:rPr>
                        <w:sz w:val="20"/>
                      </w:rPr>
                      <w:t>Sveikatos apsaugos ministerija (toliau – SAM);</w:t>
                    </w:r>
                  </w:p>
                  <w:p>
                    <w:pPr>
                      <w:ind w:left="-57" w:right="-57"/>
                      <w:jc w:val="center"/>
                      <w:rPr>
                        <w:sz w:val="20"/>
                      </w:rPr>
                    </w:pPr>
                    <w:r>
                      <w:rPr>
                        <w:sz w:val="20"/>
                      </w:rPr>
                      <w:t xml:space="preserve">Socialinės apsaugos ir darbo ministerija (toliau – SADM) </w:t>
                    </w:r>
                  </w:p>
                </w:tc>
              </w:tr>
              <w:tr>
                <w:trPr>
                  <w:trHeight w:val="599"/>
                </w:trPr>
                <w:tc>
                  <w:tcPr>
                    <w:tcW w:w="2410" w:type="dxa"/>
                    <w:vMerge/>
                    <w:tcBorders>
                      <w:left w:val="single" w:sz="4" w:space="0" w:color="auto"/>
                      <w:bottom w:val="single" w:sz="4" w:space="0" w:color="auto"/>
                      <w:right w:val="single" w:sz="4" w:space="0" w:color="auto"/>
                    </w:tcBorders>
                  </w:tcPr>
                  <w:p>
                    <w:pPr>
                      <w:ind w:left="-57" w:right="-57"/>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1559" w:type="dxa"/>
                    <w:vMerge/>
                    <w:tcBorders>
                      <w:left w:val="single" w:sz="4" w:space="0" w:color="auto"/>
                      <w:bottom w:val="single" w:sz="4" w:space="0" w:color="auto"/>
                      <w:right w:val="single" w:sz="4" w:space="0" w:color="auto"/>
                    </w:tcBorders>
                  </w:tcPr>
                  <w:p>
                    <w:pPr>
                      <w:ind w:left="-57" w:right="-57"/>
                      <w:jc w:val="center"/>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992" w:type="dxa"/>
                    <w:vMerge/>
                    <w:tcBorders>
                      <w:left w:val="single" w:sz="4" w:space="0" w:color="auto"/>
                      <w:bottom w:val="single" w:sz="4" w:space="0" w:color="auto"/>
                      <w:right w:val="single" w:sz="4" w:space="0" w:color="auto"/>
                    </w:tcBorders>
                  </w:tcPr>
                  <w:p>
                    <w:pPr>
                      <w:ind w:left="-57" w:right="-57"/>
                      <w:jc w:val="center"/>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1276" w:type="dxa"/>
                    <w:vMerge/>
                    <w:tcBorders>
                      <w:left w:val="single" w:sz="4" w:space="0" w:color="auto"/>
                      <w:bottom w:val="single" w:sz="4" w:space="0" w:color="auto"/>
                      <w:right w:val="single" w:sz="4" w:space="0" w:color="auto"/>
                    </w:tcBorders>
                  </w:tcPr>
                  <w:p>
                    <w:pPr>
                      <w:ind w:left="-57" w:right="-57"/>
                      <w:jc w:val="center"/>
                      <w:rPr>
                        <w:sz w:val="20"/>
                      </w:rPr>
                    </w:pPr>
                  </w:p>
                </w:tc>
                <w:tc>
                  <w:tcPr>
                    <w:tcW w:w="992" w:type="dxa"/>
                    <w:vMerge/>
                    <w:tcBorders>
                      <w:left w:val="single" w:sz="4" w:space="0" w:color="auto"/>
                      <w:bottom w:val="single" w:sz="4" w:space="0" w:color="auto"/>
                      <w:right w:val="single" w:sz="4" w:space="0" w:color="auto"/>
                    </w:tcBorders>
                  </w:tcPr>
                  <w:p>
                    <w:pPr>
                      <w:ind w:left="-57" w:right="-57"/>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rPr>
                        <w:sz w:val="20"/>
                      </w:rPr>
                    </w:pPr>
                    <w:r>
                      <w:rPr>
                        <w:sz w:val="20"/>
                      </w:rPr>
                      <w:t>P – Įsigalioję teisės aktai, reglamentuojantys ilgalaikės priežiūros paslaugų modelio įgyvendinimą, kompl.</w:t>
                    </w:r>
                  </w:p>
                </w:tc>
                <w:tc>
                  <w:tcPr>
                    <w:tcW w:w="851" w:type="dxa"/>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jc w:val="center"/>
                      <w:rPr>
                        <w:sz w:val="20"/>
                      </w:rPr>
                    </w:pPr>
                    <w:r>
                      <w:rPr>
                        <w:sz w:val="20"/>
                      </w:rPr>
                      <w:t>1</w:t>
                    </w:r>
                  </w:p>
                  <w:p>
                    <w:pPr>
                      <w:ind w:left="-57" w:right="-57"/>
                      <w:jc w:val="center"/>
                      <w:rPr>
                        <w:sz w:val="20"/>
                      </w:rPr>
                    </w:pPr>
                    <w:r>
                      <w:rPr>
                        <w:sz w:val="20"/>
                      </w:rPr>
                      <w:t>(2024 m. I ketv.)</w:t>
                    </w:r>
                  </w:p>
                </w:tc>
                <w:tc>
                  <w:tcPr>
                    <w:tcW w:w="992"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ind w:left="-57" w:right="-57"/>
                      <w:jc w:val="center"/>
                      <w:rPr>
                        <w:sz w:val="20"/>
                      </w:rPr>
                    </w:pPr>
                  </w:p>
                </w:tc>
              </w:tr>
              <w:tr>
                <w:trPr>
                  <w:trHeight w:val="926"/>
                </w:trPr>
                <w:tc>
                  <w:tcPr>
                    <w:tcW w:w="2410"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rPr>
                        <w:iCs/>
                        <w:sz w:val="20"/>
                      </w:rPr>
                    </w:pPr>
                    <w:r>
                      <w:rPr>
                        <w:iCs/>
                        <w:sz w:val="20"/>
                      </w:rPr>
                      <w:t>1.2.</w:t>
                    </w:r>
                    <w:r>
                      <w:rPr>
                        <w:iCs/>
                        <w:sz w:val="20"/>
                        <w:lang w:eastAsia="lt-LT"/>
                      </w:rPr>
                      <w:t xml:space="preserve"> </w:t>
                    </w:r>
                    <w:r>
                      <w:rPr>
                        <w:iCs/>
                        <w:sz w:val="20"/>
                      </w:rPr>
                      <w:t>Ilgalaikės priežiūros dienos centrų įrengimas</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I</w:t>
                    </w:r>
                  </w:p>
                </w:tc>
                <w:tc>
                  <w:tcPr>
                    <w:tcW w:w="1559"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Asmens sveikatos priežiūros įstaigos (toliau – ASPĮ); savivaldybių administracijos; savivaldybių įstaigos, teikiančios globos paslaugas</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P</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Taip</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D</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5 400</w:t>
                    </w:r>
                  </w:p>
                  <w:p>
                    <w:pPr>
                      <w:ind w:left="-57" w:right="-57"/>
                      <w:jc w:val="center"/>
                      <w:rPr>
                        <w:sz w:val="20"/>
                      </w:rPr>
                    </w:pPr>
                  </w:p>
                  <w:p>
                    <w:pPr>
                      <w:rPr>
                        <w:sz w:val="20"/>
                      </w:rPr>
                    </w:pPr>
                  </w:p>
                  <w:p>
                    <w:pPr>
                      <w:rPr>
                        <w:sz w:val="20"/>
                      </w:rPr>
                    </w:pPr>
                  </w:p>
                  <w:p>
                    <w:pPr>
                      <w:ind w:left="-57" w:right="-57"/>
                      <w:jc w:val="center"/>
                      <w:rPr>
                        <w:sz w:val="20"/>
                      </w:rPr>
                    </w:pPr>
                    <w:r>
                      <w:rPr>
                        <w:color w:val="000000"/>
                        <w:sz w:val="20"/>
                      </w:rPr>
                      <w:t>1 130</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EGADP</w:t>
                    </w:r>
                  </w:p>
                  <w:p>
                    <w:pPr>
                      <w:ind w:left="-57" w:right="-57"/>
                      <w:rPr>
                        <w:color w:val="000000"/>
                        <w:sz w:val="20"/>
                      </w:rPr>
                    </w:pPr>
                  </w:p>
                  <w:p>
                    <w:pPr>
                      <w:ind w:left="-57" w:right="-57"/>
                      <w:rPr>
                        <w:color w:val="000000"/>
                        <w:sz w:val="20"/>
                      </w:rPr>
                    </w:pPr>
                  </w:p>
                  <w:p>
                    <w:pPr>
                      <w:ind w:left="-57" w:right="-57"/>
                      <w:rPr>
                        <w:color w:val="000000"/>
                        <w:sz w:val="20"/>
                      </w:rPr>
                    </w:pPr>
                  </w:p>
                  <w:p>
                    <w:pPr>
                      <w:ind w:left="-57" w:right="-57"/>
                      <w:rPr>
                        <w:sz w:val="20"/>
                      </w:rPr>
                    </w:pPr>
                    <w:r>
                      <w:rPr>
                        <w:color w:val="000000"/>
                        <w:sz w:val="20"/>
                      </w:rPr>
                      <w:t>PVM iš VB</w:t>
                    </w: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P – Įkurtų specializuotų dienos priežiūros centrų, skirtų integruotoms ilgalaikės priežiūros paslaugoms teikti, skaičius, vnt.</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10</w:t>
                    </w:r>
                  </w:p>
                  <w:p>
                    <w:pPr>
                      <w:ind w:left="-57" w:right="-57"/>
                      <w:jc w:val="center"/>
                      <w:rPr>
                        <w:sz w:val="20"/>
                      </w:rPr>
                    </w:pPr>
                    <w:r>
                      <w:rPr>
                        <w:sz w:val="20"/>
                      </w:rPr>
                      <w:t>2024 m. (IV ketv.)</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VšĮ Centrinė projektų valdymo agentūra (toliau – CPVA)</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SAM; SADM</w:t>
                    </w:r>
                  </w:p>
                </w:tc>
              </w:tr>
              <w:tr>
                <w:trPr>
                  <w:trHeight w:val="962"/>
                </w:trPr>
                <w:tc>
                  <w:tcPr>
                    <w:tcW w:w="2410" w:type="dxa"/>
                    <w:vMerge/>
                    <w:tcBorders>
                      <w:left w:val="single" w:sz="4" w:space="0" w:color="auto"/>
                      <w:right w:val="single" w:sz="4" w:space="0" w:color="auto"/>
                    </w:tcBorders>
                    <w:shd w:val="clear" w:color="auto" w:fill="FFFFFF" w:themeFill="background1"/>
                  </w:tcPr>
                  <w:p>
                    <w:pPr>
                      <w:ind w:left="-57" w:right="-57"/>
                      <w:rPr>
                        <w:iCs/>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55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jc w:val="both"/>
                      <w:rPr>
                        <w:sz w:val="20"/>
                      </w:rPr>
                    </w:pPr>
                    <w:r>
                      <w:rPr>
                        <w:sz w:val="20"/>
                      </w:rPr>
                      <w:t>R – Naujos arba modernizuotos sveikatos priežiūros infrastruktūros talpumas, asmenys per metus</w:t>
                    </w:r>
                  </w:p>
                </w:tc>
                <w:tc>
                  <w:tcPr>
                    <w:tcW w:w="851" w:type="dxa"/>
                    <w:tcBorders>
                      <w:top w:val="single" w:sz="4" w:space="0" w:color="auto"/>
                      <w:left w:val="single" w:sz="4" w:space="0" w:color="auto"/>
                      <w:right w:val="single" w:sz="4" w:space="0" w:color="auto"/>
                    </w:tcBorders>
                    <w:shd w:val="clear" w:color="auto" w:fill="FFFFFF" w:themeFill="background1"/>
                  </w:tcPr>
                  <w:p>
                    <w:pPr>
                      <w:ind w:left="-57" w:right="-57"/>
                      <w:jc w:val="center"/>
                      <w:rPr>
                        <w:color w:val="000000"/>
                        <w:sz w:val="20"/>
                      </w:rPr>
                    </w:pPr>
                    <w:r>
                      <w:rPr>
                        <w:color w:val="000000"/>
                        <w:sz w:val="20"/>
                      </w:rPr>
                      <w:t>n/a</w:t>
                    </w: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1038"/>
                </w:trPr>
                <w:tc>
                  <w:tcPr>
                    <w:tcW w:w="2410" w:type="dxa"/>
                    <w:vMerge/>
                    <w:tcBorders>
                      <w:left w:val="single" w:sz="4" w:space="0" w:color="auto"/>
                      <w:right w:val="single" w:sz="4" w:space="0" w:color="auto"/>
                    </w:tcBorders>
                    <w:shd w:val="clear" w:color="auto" w:fill="FFFFFF" w:themeFill="background1"/>
                  </w:tcPr>
                  <w:p>
                    <w:pPr>
                      <w:ind w:left="-57" w:right="-57"/>
                      <w:rPr>
                        <w:iCs/>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55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jc w:val="both"/>
                      <w:rPr>
                        <w:color w:val="000000"/>
                        <w:sz w:val="20"/>
                      </w:rPr>
                    </w:pPr>
                    <w:r>
                      <w:rPr>
                        <w:sz w:val="20"/>
                      </w:rPr>
                      <w:t>R – Ambulatorines ilgalaikės priežiūros paslaugas gaunančių pacientų dalis, proc.</w:t>
                    </w:r>
                  </w:p>
                </w:tc>
                <w:tc>
                  <w:tcPr>
                    <w:tcW w:w="851" w:type="dxa"/>
                    <w:tcBorders>
                      <w:top w:val="single" w:sz="4" w:space="0" w:color="auto"/>
                      <w:left w:val="single" w:sz="4" w:space="0" w:color="auto"/>
                      <w:right w:val="single" w:sz="4" w:space="0" w:color="auto"/>
                    </w:tcBorders>
                    <w:shd w:val="clear" w:color="auto" w:fill="FFFFFF" w:themeFill="background1"/>
                  </w:tcPr>
                  <w:p>
                    <w:pPr>
                      <w:jc w:val="center"/>
                      <w:rPr>
                        <w:sz w:val="20"/>
                      </w:rPr>
                    </w:pPr>
                    <w:r>
                      <w:rPr>
                        <w:sz w:val="20"/>
                      </w:rPr>
                      <w:t>30</w:t>
                    </w:r>
                  </w:p>
                  <w:p>
                    <w:pPr>
                      <w:jc w:val="center"/>
                      <w:rPr>
                        <w:sz w:val="20"/>
                      </w:rPr>
                    </w:pPr>
                    <w:r>
                      <w:rPr>
                        <w:sz w:val="20"/>
                      </w:rPr>
                      <w:t>(2025 m. II ketv.)</w:t>
                    </w:r>
                  </w:p>
                  <w:p>
                    <w:pPr>
                      <w:ind w:left="-57" w:right="-57"/>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962"/>
                </w:trPr>
                <w:tc>
                  <w:tcPr>
                    <w:tcW w:w="2410" w:type="dxa"/>
                    <w:vMerge/>
                    <w:tcBorders>
                      <w:left w:val="single" w:sz="4" w:space="0" w:color="auto"/>
                      <w:right w:val="single" w:sz="4" w:space="0" w:color="auto"/>
                    </w:tcBorders>
                    <w:shd w:val="clear" w:color="auto" w:fill="FFFFFF" w:themeFill="background1"/>
                  </w:tcPr>
                  <w:p>
                    <w:pPr>
                      <w:ind w:left="-57" w:right="-57"/>
                      <w:rPr>
                        <w:iCs/>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55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jc w:val="both"/>
                      <w:rPr>
                        <w:sz w:val="20"/>
                      </w:rPr>
                    </w:pPr>
                    <w:r>
                      <w:rPr>
                        <w:color w:val="000000"/>
                        <w:sz w:val="20"/>
                      </w:rPr>
                      <w:t>R – Ambulatorines ilgalaikės priežiūros paslaugas gaunančių pacientų dalis, proc.</w:t>
                    </w:r>
                  </w:p>
                </w:tc>
                <w:tc>
                  <w:tcPr>
                    <w:tcW w:w="851" w:type="dxa"/>
                    <w:tcBorders>
                      <w:top w:val="single" w:sz="4" w:space="0" w:color="auto"/>
                      <w:left w:val="single" w:sz="4" w:space="0" w:color="auto"/>
                      <w:right w:val="single" w:sz="4" w:space="0" w:color="auto"/>
                    </w:tcBorders>
                    <w:shd w:val="clear" w:color="auto" w:fill="FFFFFF" w:themeFill="background1"/>
                  </w:tcPr>
                  <w:p>
                    <w:pPr>
                      <w:ind w:left="-57" w:right="-57"/>
                      <w:jc w:val="center"/>
                      <w:rPr>
                        <w:color w:val="000000"/>
                        <w:sz w:val="20"/>
                      </w:rPr>
                    </w:pPr>
                    <w:r>
                      <w:rPr>
                        <w:color w:val="000000"/>
                        <w:sz w:val="20"/>
                      </w:rPr>
                      <w:t>60</w:t>
                    </w:r>
                  </w:p>
                  <w:p>
                    <w:pPr>
                      <w:ind w:left="-57" w:right="-57"/>
                      <w:jc w:val="center"/>
                      <w:rPr>
                        <w:color w:val="000000"/>
                        <w:sz w:val="20"/>
                      </w:rPr>
                    </w:pPr>
                    <w:r>
                      <w:rPr>
                        <w:color w:val="000000"/>
                        <w:sz w:val="20"/>
                      </w:rPr>
                      <w:t>(2026 m. I ketv.)</w:t>
                    </w: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1042"/>
                </w:trPr>
                <w:tc>
                  <w:tcPr>
                    <w:tcW w:w="2410" w:type="dxa"/>
                    <w:vMerge w:val="restart"/>
                    <w:tcBorders>
                      <w:top w:val="single" w:sz="4" w:space="0" w:color="auto"/>
                      <w:left w:val="single" w:sz="4" w:space="0" w:color="auto"/>
                      <w:right w:val="single" w:sz="4" w:space="0" w:color="auto"/>
                    </w:tcBorders>
                  </w:tcPr>
                  <w:p>
                    <w:pPr>
                      <w:ind w:left="-57" w:right="-57"/>
                      <w:rPr>
                        <w:sz w:val="20"/>
                        <w:u w:val="single"/>
                      </w:rPr>
                    </w:pPr>
                    <w:r>
                      <w:rPr>
                        <w:iCs/>
                        <w:sz w:val="20"/>
                      </w:rPr>
                      <w:t xml:space="preserve">1.3. </w:t>
                    </w:r>
                    <w:r>
                      <w:rPr>
                        <w:sz w:val="20"/>
                      </w:rPr>
                      <w:t>Paslaugų teikimas ilgalaikės priežiūros dienos centruose</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I</w:t>
                    </w:r>
                  </w:p>
                  <w:p>
                    <w:pPr>
                      <w:rPr>
                        <w:sz w:val="20"/>
                      </w:rPr>
                    </w:pPr>
                  </w:p>
                  <w:p>
                    <w:pPr>
                      <w:rPr>
                        <w:sz w:val="20"/>
                      </w:rPr>
                    </w:pPr>
                  </w:p>
                </w:tc>
                <w:tc>
                  <w:tcPr>
                    <w:tcW w:w="1559" w:type="dxa"/>
                    <w:vMerge w:val="restart"/>
                    <w:tcBorders>
                      <w:top w:val="single" w:sz="4" w:space="0" w:color="auto"/>
                      <w:left w:val="single" w:sz="4" w:space="0" w:color="auto"/>
                      <w:right w:val="single" w:sz="4" w:space="0" w:color="auto"/>
                    </w:tcBorders>
                  </w:tcPr>
                  <w:p>
                    <w:pPr>
                      <w:ind w:left="-57" w:right="-57" w:firstLine="53"/>
                      <w:jc w:val="center"/>
                      <w:rPr>
                        <w:sz w:val="20"/>
                      </w:rPr>
                    </w:pPr>
                    <w:r>
                      <w:rPr>
                        <w:sz w:val="20"/>
                      </w:rPr>
                      <w:t>ASPĮ</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P</w:t>
                    </w: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D</w:t>
                    </w:r>
                  </w:p>
                </w:tc>
                <w:tc>
                  <w:tcPr>
                    <w:tcW w:w="1276" w:type="dxa"/>
                    <w:vMerge w:val="restart"/>
                    <w:tcBorders>
                      <w:top w:val="single" w:sz="4" w:space="0" w:color="auto"/>
                      <w:left w:val="single" w:sz="4" w:space="0" w:color="auto"/>
                      <w:right w:val="single" w:sz="4" w:space="0" w:color="auto"/>
                    </w:tcBorders>
                  </w:tcPr>
                  <w:p>
                    <w:pPr>
                      <w:jc w:val="center"/>
                      <w:rPr>
                        <w:color w:val="000000"/>
                        <w:sz w:val="20"/>
                      </w:rPr>
                    </w:pPr>
                    <w:r>
                      <w:rPr>
                        <w:color w:val="000000"/>
                        <w:sz w:val="20"/>
                      </w:rPr>
                      <w:t>8 000</w:t>
                    </w:r>
                  </w:p>
                  <w:p>
                    <w:pPr>
                      <w:jc w:val="center"/>
                      <w:rPr>
                        <w:sz w:val="20"/>
                      </w:rPr>
                    </w:pPr>
                  </w:p>
                  <w:p>
                    <w:pPr>
                      <w:jc w:val="center"/>
                      <w:rPr>
                        <w:sz w:val="20"/>
                      </w:rPr>
                    </w:pPr>
                  </w:p>
                  <w:p>
                    <w:pPr>
                      <w:jc w:val="center"/>
                      <w:rPr>
                        <w:sz w:val="20"/>
                      </w:rPr>
                    </w:pPr>
                  </w:p>
                  <w:p>
                    <w:pPr>
                      <w:jc w:val="center"/>
                      <w:rPr>
                        <w:sz w:val="20"/>
                      </w:rPr>
                    </w:pPr>
                  </w:p>
                  <w:p>
                    <w:pPr>
                      <w:jc w:val="center"/>
                      <w:rPr>
                        <w:color w:val="000000"/>
                        <w:sz w:val="20"/>
                      </w:rPr>
                    </w:pPr>
                  </w:p>
                  <w:p>
                    <w:pPr>
                      <w:jc w:val="center"/>
                      <w:rPr>
                        <w:sz w:val="20"/>
                      </w:rPr>
                    </w:pPr>
                  </w:p>
                </w:tc>
                <w:tc>
                  <w:tcPr>
                    <w:tcW w:w="992" w:type="dxa"/>
                    <w:vMerge w:val="restart"/>
                    <w:tcBorders>
                      <w:top w:val="single" w:sz="4" w:space="0" w:color="auto"/>
                      <w:left w:val="single" w:sz="4" w:space="0" w:color="auto"/>
                      <w:right w:val="single" w:sz="4" w:space="0" w:color="auto"/>
                    </w:tcBorders>
                  </w:tcPr>
                  <w:p>
                    <w:pPr>
                      <w:jc w:val="center"/>
                      <w:rPr>
                        <w:sz w:val="20"/>
                      </w:rPr>
                    </w:pPr>
                    <w:r>
                      <w:rPr>
                        <w:color w:val="000000"/>
                        <w:sz w:val="20"/>
                      </w:rPr>
                      <w:t>VB</w:t>
                    </w: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rPr>
                        <w:sz w:val="20"/>
                      </w:rPr>
                    </w:pPr>
                    <w:r>
                      <w:rPr>
                        <w:sz w:val="20"/>
                      </w:rPr>
                      <w:t>R – Ambulatorines ilgalaikės priežiūros paslaugas gaunančių pacientų dalis, proc.</w:t>
                    </w:r>
                  </w:p>
                </w:tc>
                <w:tc>
                  <w:tcPr>
                    <w:tcW w:w="851" w:type="dxa"/>
                    <w:tcBorders>
                      <w:top w:val="single" w:sz="4" w:space="0" w:color="auto"/>
                      <w:left w:val="single" w:sz="4" w:space="0" w:color="auto"/>
                      <w:right w:val="single" w:sz="4" w:space="0" w:color="auto"/>
                    </w:tcBorders>
                    <w:shd w:val="clear" w:color="auto" w:fill="FFFFFF" w:themeFill="background1"/>
                  </w:tcPr>
                  <w:p>
                    <w:pPr>
                      <w:jc w:val="center"/>
                      <w:rPr>
                        <w:sz w:val="20"/>
                      </w:rPr>
                    </w:pPr>
                    <w:r>
                      <w:rPr>
                        <w:sz w:val="20"/>
                      </w:rPr>
                      <w:t>30</w:t>
                    </w:r>
                  </w:p>
                  <w:p>
                    <w:pPr>
                      <w:jc w:val="center"/>
                      <w:rPr>
                        <w:sz w:val="20"/>
                      </w:rPr>
                    </w:pPr>
                    <w:r>
                      <w:rPr>
                        <w:sz w:val="20"/>
                      </w:rPr>
                      <w:t>(2025 m. II ketv.)</w:t>
                    </w:r>
                  </w:p>
                  <w:p>
                    <w:pPr>
                      <w:ind w:left="-57" w:right="-57"/>
                      <w:jc w:val="center"/>
                      <w:rPr>
                        <w:sz w:val="20"/>
                      </w:rPr>
                    </w:pP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CPVA</w:t>
                    </w:r>
                  </w:p>
                </w:tc>
                <w:tc>
                  <w:tcPr>
                    <w:tcW w:w="1276" w:type="dxa"/>
                    <w:vMerge w:val="restart"/>
                    <w:tcBorders>
                      <w:top w:val="single" w:sz="4" w:space="0" w:color="auto"/>
                      <w:left w:val="single" w:sz="4" w:space="0" w:color="auto"/>
                      <w:right w:val="single" w:sz="4" w:space="0" w:color="auto"/>
                    </w:tcBorders>
                  </w:tcPr>
                  <w:p>
                    <w:pPr>
                      <w:ind w:left="-57" w:right="-57"/>
                      <w:jc w:val="center"/>
                      <w:rPr>
                        <w:sz w:val="20"/>
                      </w:rPr>
                    </w:pPr>
                    <w:r>
                      <w:rPr>
                        <w:sz w:val="20"/>
                      </w:rPr>
                      <w:t>SAM; SADM</w:t>
                    </w:r>
                  </w:p>
                  <w:p>
                    <w:pPr>
                      <w:rPr>
                        <w:sz w:val="20"/>
                      </w:rPr>
                    </w:pPr>
                  </w:p>
                  <w:p>
                    <w:pPr>
                      <w:rPr>
                        <w:sz w:val="20"/>
                      </w:rPr>
                    </w:pPr>
                  </w:p>
                  <w:p>
                    <w:pPr>
                      <w:rPr>
                        <w:sz w:val="20"/>
                      </w:rPr>
                    </w:pPr>
                  </w:p>
                </w:tc>
              </w:tr>
              <w:tr>
                <w:trPr>
                  <w:trHeight w:val="1130"/>
                </w:trPr>
                <w:tc>
                  <w:tcPr>
                    <w:tcW w:w="2410" w:type="dxa"/>
                    <w:vMerge/>
                    <w:tcBorders>
                      <w:left w:val="single" w:sz="4" w:space="0" w:color="auto"/>
                      <w:bottom w:val="single" w:sz="4" w:space="0" w:color="auto"/>
                      <w:right w:val="single" w:sz="4" w:space="0" w:color="auto"/>
                    </w:tcBorders>
                  </w:tcPr>
                  <w:p>
                    <w:pPr>
                      <w:ind w:left="-57" w:right="-57"/>
                      <w:rPr>
                        <w:iCs/>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1559" w:type="dxa"/>
                    <w:vMerge/>
                    <w:tcBorders>
                      <w:left w:val="single" w:sz="4" w:space="0" w:color="auto"/>
                      <w:bottom w:val="single" w:sz="4" w:space="0" w:color="auto"/>
                      <w:right w:val="single" w:sz="4" w:space="0" w:color="auto"/>
                    </w:tcBorders>
                  </w:tcPr>
                  <w:p>
                    <w:pPr>
                      <w:ind w:left="-57" w:right="-57" w:firstLine="53"/>
                      <w:jc w:val="center"/>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992" w:type="dxa"/>
                    <w:vMerge/>
                    <w:tcBorders>
                      <w:left w:val="single" w:sz="4" w:space="0" w:color="auto"/>
                      <w:bottom w:val="single" w:sz="4" w:space="0" w:color="auto"/>
                      <w:right w:val="single" w:sz="4" w:space="0" w:color="auto"/>
                    </w:tcBorders>
                  </w:tcPr>
                  <w:p>
                    <w:pPr>
                      <w:ind w:left="-57" w:right="-57"/>
                      <w:jc w:val="center"/>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1276" w:type="dxa"/>
                    <w:vMerge/>
                    <w:tcBorders>
                      <w:left w:val="single" w:sz="4" w:space="0" w:color="auto"/>
                      <w:bottom w:val="single" w:sz="4" w:space="0" w:color="auto"/>
                      <w:right w:val="single" w:sz="4" w:space="0" w:color="auto"/>
                    </w:tcBorders>
                  </w:tcPr>
                  <w:p>
                    <w:pPr>
                      <w:jc w:val="center"/>
                      <w:rPr>
                        <w:color w:val="000000"/>
                        <w:sz w:val="20"/>
                      </w:rPr>
                    </w:pPr>
                  </w:p>
                </w:tc>
                <w:tc>
                  <w:tcPr>
                    <w:tcW w:w="992" w:type="dxa"/>
                    <w:vMerge/>
                    <w:tcBorders>
                      <w:left w:val="single" w:sz="4" w:space="0" w:color="auto"/>
                      <w:bottom w:val="single" w:sz="4" w:space="0" w:color="auto"/>
                      <w:right w:val="single" w:sz="4" w:space="0" w:color="auto"/>
                    </w:tcBorders>
                  </w:tcPr>
                  <w:p>
                    <w:pPr>
                      <w:jc w:val="center"/>
                      <w:rPr>
                        <w:color w:val="000000"/>
                        <w:sz w:val="20"/>
                      </w:rPr>
                    </w:pP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rPr>
                        <w:sz w:val="20"/>
                      </w:rPr>
                    </w:pPr>
                    <w:r>
                      <w:rPr>
                        <w:sz w:val="20"/>
                      </w:rPr>
                      <w:t>R – Ambulatorines ilgalaikės priežiūros paslaugas gaunančių pacientų dalis, proc.</w:t>
                    </w:r>
                  </w:p>
                </w:tc>
                <w:tc>
                  <w:tcPr>
                    <w:tcW w:w="851" w:type="dxa"/>
                    <w:tcBorders>
                      <w:top w:val="single" w:sz="4" w:space="0" w:color="auto"/>
                      <w:left w:val="single" w:sz="4" w:space="0" w:color="auto"/>
                      <w:right w:val="single" w:sz="4" w:space="0" w:color="auto"/>
                    </w:tcBorders>
                    <w:shd w:val="clear" w:color="auto" w:fill="FFFFFF" w:themeFill="background1"/>
                  </w:tcPr>
                  <w:p>
                    <w:pPr>
                      <w:ind w:left="-57" w:right="-57"/>
                      <w:jc w:val="center"/>
                      <w:rPr>
                        <w:sz w:val="20"/>
                      </w:rPr>
                    </w:pPr>
                    <w:r>
                      <w:rPr>
                        <w:sz w:val="20"/>
                      </w:rPr>
                      <w:t>60</w:t>
                    </w:r>
                  </w:p>
                  <w:p>
                    <w:pPr>
                      <w:ind w:left="-57" w:right="-57"/>
                      <w:jc w:val="center"/>
                      <w:rPr>
                        <w:sz w:val="20"/>
                      </w:rPr>
                    </w:pPr>
                    <w:r>
                      <w:rPr>
                        <w:sz w:val="20"/>
                      </w:rPr>
                      <w:t>(2026 m. I ketv.)</w:t>
                    </w:r>
                  </w:p>
                  <w:p>
                    <w:pPr>
                      <w:ind w:left="-57" w:right="-57"/>
                      <w:jc w:val="center"/>
                      <w:rPr>
                        <w:sz w:val="20"/>
                      </w:rPr>
                    </w:pPr>
                  </w:p>
                </w:tc>
                <w:tc>
                  <w:tcPr>
                    <w:tcW w:w="992" w:type="dxa"/>
                    <w:vMerge/>
                    <w:tcBorders>
                      <w:left w:val="single" w:sz="4" w:space="0" w:color="auto"/>
                      <w:bottom w:val="single" w:sz="4" w:space="0" w:color="auto"/>
                      <w:right w:val="single" w:sz="4" w:space="0" w:color="auto"/>
                    </w:tcBorders>
                  </w:tcPr>
                  <w:p>
                    <w:pPr>
                      <w:ind w:left="-57" w:right="-57"/>
                      <w:jc w:val="center"/>
                      <w:rPr>
                        <w:sz w:val="20"/>
                      </w:rPr>
                    </w:pPr>
                  </w:p>
                </w:tc>
                <w:tc>
                  <w:tcPr>
                    <w:tcW w:w="1276" w:type="dxa"/>
                    <w:vMerge/>
                    <w:tcBorders>
                      <w:left w:val="single" w:sz="4" w:space="0" w:color="auto"/>
                      <w:bottom w:val="single" w:sz="4" w:space="0" w:color="auto"/>
                      <w:right w:val="single" w:sz="4" w:space="0" w:color="auto"/>
                    </w:tcBorders>
                  </w:tcPr>
                  <w:p>
                    <w:pPr>
                      <w:ind w:left="-57" w:right="-57"/>
                      <w:jc w:val="center"/>
                      <w:rPr>
                        <w:sz w:val="20"/>
                      </w:rPr>
                    </w:pPr>
                  </w:p>
                </w:tc>
              </w:tr>
              <w:tr>
                <w:trPr>
                  <w:trHeight w:val="316"/>
                </w:trPr>
                <w:tc>
                  <w:tcPr>
                    <w:tcW w:w="2410" w:type="dxa"/>
                    <w:vMerge w:val="restart"/>
                    <w:tcBorders>
                      <w:top w:val="single" w:sz="4" w:space="0" w:color="auto"/>
                      <w:left w:val="single" w:sz="4" w:space="0" w:color="auto"/>
                      <w:right w:val="single" w:sz="4" w:space="0" w:color="auto"/>
                    </w:tcBorders>
                  </w:tcPr>
                  <w:p>
                    <w:pPr>
                      <w:ind w:left="-57" w:right="-57"/>
                      <w:rPr>
                        <w:iCs/>
                        <w:sz w:val="20"/>
                      </w:rPr>
                    </w:pPr>
                    <w:r>
                      <w:rPr>
                        <w:iCs/>
                        <w:sz w:val="20"/>
                      </w:rPr>
                      <w:t>1.4. Mobiliųjų komandų aprūpinimas įranga ir transporto priemonėmis</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I</w:t>
                    </w:r>
                  </w:p>
                </w:tc>
                <w:tc>
                  <w:tcPr>
                    <w:tcW w:w="1559" w:type="dxa"/>
                    <w:vMerge w:val="restart"/>
                    <w:tcBorders>
                      <w:top w:val="single" w:sz="4" w:space="0" w:color="auto"/>
                      <w:left w:val="single" w:sz="4" w:space="0" w:color="auto"/>
                      <w:right w:val="single" w:sz="4" w:space="0" w:color="auto"/>
                    </w:tcBorders>
                  </w:tcPr>
                  <w:p>
                    <w:pPr>
                      <w:ind w:left="-57" w:right="-57"/>
                      <w:jc w:val="center"/>
                      <w:rPr>
                        <w:sz w:val="20"/>
                      </w:rPr>
                    </w:pPr>
                    <w:r>
                      <w:rPr>
                        <w:sz w:val="20"/>
                      </w:rPr>
                      <w:t>ASPĮ;</w:t>
                    </w:r>
                  </w:p>
                  <w:p>
                    <w:pPr>
                      <w:ind w:left="-57" w:right="-57"/>
                      <w:jc w:val="center"/>
                      <w:rPr>
                        <w:color w:val="FF0000"/>
                        <w:sz w:val="20"/>
                      </w:rPr>
                    </w:pPr>
                    <w:r>
                      <w:rPr>
                        <w:sz w:val="20"/>
                      </w:rPr>
                      <w:t>savivaldybių administracijos</w:t>
                    </w:r>
                    <w:r>
                      <w:rPr>
                        <w:color w:val="FF0000"/>
                        <w:sz w:val="20"/>
                      </w:rPr>
                      <w:t xml:space="preserve"> </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P</w:t>
                    </w:r>
                  </w:p>
                </w:tc>
                <w:tc>
                  <w:tcPr>
                    <w:tcW w:w="992"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D</w:t>
                    </w:r>
                  </w:p>
                </w:tc>
                <w:tc>
                  <w:tcPr>
                    <w:tcW w:w="1276" w:type="dxa"/>
                    <w:tcBorders>
                      <w:top w:val="single" w:sz="4" w:space="0" w:color="auto"/>
                      <w:left w:val="single" w:sz="4" w:space="0" w:color="auto"/>
                      <w:right w:val="single" w:sz="4" w:space="0" w:color="auto"/>
                    </w:tcBorders>
                  </w:tcPr>
                  <w:p>
                    <w:pPr>
                      <w:ind w:left="-57" w:right="-57"/>
                      <w:jc w:val="center"/>
                      <w:rPr>
                        <w:sz w:val="20"/>
                      </w:rPr>
                    </w:pPr>
                    <w:r>
                      <w:rPr>
                        <w:sz w:val="20"/>
                      </w:rPr>
                      <w:t>3 500</w:t>
                    </w:r>
                  </w:p>
                </w:tc>
                <w:tc>
                  <w:tcPr>
                    <w:tcW w:w="992" w:type="dxa"/>
                    <w:tcBorders>
                      <w:top w:val="single" w:sz="4" w:space="0" w:color="auto"/>
                      <w:left w:val="single" w:sz="4" w:space="0" w:color="auto"/>
                      <w:bottom w:val="single" w:sz="4" w:space="0" w:color="auto"/>
                      <w:right w:val="single" w:sz="4" w:space="0" w:color="auto"/>
                    </w:tcBorders>
                  </w:tcPr>
                  <w:p>
                    <w:pPr>
                      <w:ind w:left="-57" w:right="-57"/>
                      <w:rPr>
                        <w:sz w:val="20"/>
                      </w:rPr>
                    </w:pPr>
                    <w:r>
                      <w:rPr>
                        <w:sz w:val="20"/>
                      </w:rPr>
                      <w:t>EGADP</w:t>
                    </w:r>
                  </w:p>
                </w:tc>
                <w:tc>
                  <w:tcPr>
                    <w:tcW w:w="2551" w:type="dxa"/>
                    <w:vMerge w:val="restart"/>
                    <w:tcBorders>
                      <w:top w:val="single" w:sz="4" w:space="0" w:color="auto"/>
                      <w:left w:val="single" w:sz="4" w:space="0" w:color="auto"/>
                      <w:right w:val="single" w:sz="4" w:space="0" w:color="auto"/>
                    </w:tcBorders>
                    <w:shd w:val="clear" w:color="auto" w:fill="auto"/>
                  </w:tcPr>
                  <w:p>
                    <w:pPr>
                      <w:ind w:left="-57" w:right="-57"/>
                      <w:rPr>
                        <w:sz w:val="20"/>
                      </w:rPr>
                    </w:pPr>
                    <w:r>
                      <w:rPr>
                        <w:sz w:val="20"/>
                      </w:rPr>
                      <w:t>P – Sukurtų ilgalaikės priežiūros specialistų komandų, teikiančių paslaugas gyventojų namuose, skaičius, vnt.</w:t>
                    </w:r>
                  </w:p>
                </w:tc>
                <w:tc>
                  <w:tcPr>
                    <w:tcW w:w="851"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90</w:t>
                    </w:r>
                  </w:p>
                  <w:p>
                    <w:pPr>
                      <w:ind w:left="-57" w:right="-57"/>
                      <w:jc w:val="center"/>
                      <w:rPr>
                        <w:sz w:val="20"/>
                      </w:rPr>
                    </w:pPr>
                    <w:r>
                      <w:rPr>
                        <w:sz w:val="20"/>
                      </w:rPr>
                      <w:t>(2024 m. IV ketv.)</w:t>
                    </w:r>
                  </w:p>
                </w:tc>
                <w:tc>
                  <w:tcPr>
                    <w:tcW w:w="992"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CPVA</w:t>
                    </w:r>
                  </w:p>
                </w:tc>
                <w:tc>
                  <w:tcPr>
                    <w:tcW w:w="1276"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SAM; SADM</w:t>
                    </w:r>
                  </w:p>
                </w:tc>
              </w:tr>
              <w:tr>
                <w:trPr>
                  <w:trHeight w:val="453"/>
                </w:trPr>
                <w:tc>
                  <w:tcPr>
                    <w:tcW w:w="2410" w:type="dxa"/>
                    <w:vMerge/>
                    <w:tcBorders>
                      <w:left w:val="single" w:sz="4" w:space="0" w:color="auto"/>
                      <w:right w:val="single" w:sz="4" w:space="0" w:color="auto"/>
                    </w:tcBorders>
                  </w:tcPr>
                  <w:p>
                    <w:pPr>
                      <w:ind w:left="-57" w:right="-57"/>
                      <w:rPr>
                        <w:iCs/>
                        <w:sz w:val="20"/>
                      </w:rPr>
                    </w:pPr>
                  </w:p>
                </w:tc>
                <w:tc>
                  <w:tcPr>
                    <w:tcW w:w="709" w:type="dxa"/>
                    <w:vMerge/>
                    <w:tcBorders>
                      <w:left w:val="single" w:sz="4" w:space="0" w:color="auto"/>
                      <w:right w:val="single" w:sz="4" w:space="0" w:color="auto"/>
                    </w:tcBorders>
                  </w:tcPr>
                  <w:p>
                    <w:pPr>
                      <w:ind w:left="-57" w:right="-57"/>
                      <w:jc w:val="center"/>
                      <w:rPr>
                        <w:color w:val="000000"/>
                        <w:sz w:val="20"/>
                      </w:rPr>
                    </w:pPr>
                  </w:p>
                </w:tc>
                <w:tc>
                  <w:tcPr>
                    <w:tcW w:w="1559" w:type="dxa"/>
                    <w:vMerge/>
                    <w:tcBorders>
                      <w:left w:val="single" w:sz="4" w:space="0" w:color="auto"/>
                      <w:right w:val="single" w:sz="4" w:space="0" w:color="auto"/>
                    </w:tcBorders>
                  </w:tcPr>
                  <w:p>
                    <w:pPr>
                      <w:ind w:left="-57" w:right="-57"/>
                      <w:jc w:val="center"/>
                      <w:rPr>
                        <w:color w:val="FF0000"/>
                        <w:sz w:val="20"/>
                      </w:rPr>
                    </w:pPr>
                  </w:p>
                </w:tc>
                <w:tc>
                  <w:tcPr>
                    <w:tcW w:w="709" w:type="dxa"/>
                    <w:vMerge/>
                    <w:tcBorders>
                      <w:left w:val="single" w:sz="4" w:space="0" w:color="auto"/>
                      <w:right w:val="single" w:sz="4" w:space="0" w:color="auto"/>
                    </w:tcBorders>
                  </w:tcPr>
                  <w:p>
                    <w:pPr>
                      <w:ind w:left="-57" w:right="-57"/>
                      <w:jc w:val="center"/>
                      <w:rPr>
                        <w:color w:val="000000"/>
                        <w:sz w:val="20"/>
                      </w:rPr>
                    </w:pPr>
                  </w:p>
                </w:tc>
                <w:tc>
                  <w:tcPr>
                    <w:tcW w:w="992" w:type="dxa"/>
                    <w:vMerge/>
                    <w:tcBorders>
                      <w:left w:val="single" w:sz="4" w:space="0" w:color="auto"/>
                      <w:right w:val="single" w:sz="4" w:space="0" w:color="auto"/>
                    </w:tcBorders>
                  </w:tcPr>
                  <w:p>
                    <w:pPr>
                      <w:ind w:left="-57" w:right="-57"/>
                      <w:jc w:val="center"/>
                      <w:rPr>
                        <w:color w:val="000000"/>
                        <w:sz w:val="20"/>
                      </w:rPr>
                    </w:pPr>
                  </w:p>
                </w:tc>
                <w:tc>
                  <w:tcPr>
                    <w:tcW w:w="709" w:type="dxa"/>
                    <w:vMerge/>
                    <w:tcBorders>
                      <w:left w:val="single" w:sz="4" w:space="0" w:color="auto"/>
                      <w:right w:val="single" w:sz="4" w:space="0" w:color="auto"/>
                    </w:tcBorders>
                  </w:tcPr>
                  <w:p>
                    <w:pPr>
                      <w:ind w:left="-57" w:right="-57"/>
                      <w:jc w:val="center"/>
                      <w:rPr>
                        <w:color w:val="000000"/>
                        <w:sz w:val="20"/>
                      </w:rPr>
                    </w:pPr>
                  </w:p>
                </w:tc>
                <w:tc>
                  <w:tcPr>
                    <w:tcW w:w="1276" w:type="dxa"/>
                    <w:tcBorders>
                      <w:left w:val="single" w:sz="4" w:space="0" w:color="auto"/>
                      <w:right w:val="single" w:sz="4" w:space="0" w:color="auto"/>
                    </w:tcBorders>
                  </w:tcPr>
                  <w:p>
                    <w:pPr>
                      <w:ind w:left="-57" w:right="-57"/>
                      <w:jc w:val="center"/>
                      <w:rPr>
                        <w:sz w:val="20"/>
                      </w:rPr>
                    </w:pPr>
                    <w:r>
                      <w:rPr>
                        <w:sz w:val="20"/>
                      </w:rPr>
                      <w:t>740</w:t>
                    </w:r>
                  </w:p>
                </w:tc>
                <w:tc>
                  <w:tcPr>
                    <w:tcW w:w="992" w:type="dxa"/>
                    <w:tcBorders>
                      <w:top w:val="single" w:sz="4" w:space="0" w:color="auto"/>
                      <w:left w:val="single" w:sz="4" w:space="0" w:color="auto"/>
                      <w:right w:val="single" w:sz="4" w:space="0" w:color="auto"/>
                    </w:tcBorders>
                  </w:tcPr>
                  <w:p>
                    <w:pPr>
                      <w:ind w:left="-57" w:right="-57"/>
                      <w:rPr>
                        <w:sz w:val="20"/>
                      </w:rPr>
                    </w:pPr>
                    <w:r>
                      <w:rPr>
                        <w:sz w:val="20"/>
                      </w:rPr>
                      <w:t>PVM iš VB</w:t>
                    </w:r>
                  </w:p>
                </w:tc>
                <w:tc>
                  <w:tcPr>
                    <w:tcW w:w="2551" w:type="dxa"/>
                    <w:vMerge/>
                    <w:tcBorders>
                      <w:left w:val="single" w:sz="4" w:space="0" w:color="auto"/>
                      <w:right w:val="single" w:sz="4" w:space="0" w:color="auto"/>
                    </w:tcBorders>
                    <w:shd w:val="clear" w:color="auto" w:fill="auto"/>
                  </w:tcPr>
                  <w:p>
                    <w:pPr>
                      <w:ind w:left="-57" w:right="-57"/>
                      <w:rPr>
                        <w:sz w:val="20"/>
                      </w:rPr>
                    </w:pPr>
                  </w:p>
                </w:tc>
                <w:tc>
                  <w:tcPr>
                    <w:tcW w:w="851" w:type="dxa"/>
                    <w:vMerge/>
                    <w:tcBorders>
                      <w:left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shd w:val="clear" w:color="auto" w:fill="auto"/>
                  </w:tcPr>
                  <w:p>
                    <w:pPr>
                      <w:ind w:left="-57" w:right="-57"/>
                      <w:jc w:val="center"/>
                      <w:rPr>
                        <w:sz w:val="20"/>
                      </w:rPr>
                    </w:pPr>
                  </w:p>
                </w:tc>
                <w:tc>
                  <w:tcPr>
                    <w:tcW w:w="1276" w:type="dxa"/>
                    <w:vMerge/>
                    <w:tcBorders>
                      <w:left w:val="single" w:sz="4" w:space="0" w:color="auto"/>
                      <w:right w:val="single" w:sz="4" w:space="0" w:color="auto"/>
                    </w:tcBorders>
                    <w:shd w:val="clear" w:color="auto" w:fill="auto"/>
                  </w:tcPr>
                  <w:p>
                    <w:pPr>
                      <w:ind w:left="-57" w:right="-57"/>
                      <w:jc w:val="center"/>
                      <w:rPr>
                        <w:sz w:val="20"/>
                      </w:rPr>
                    </w:pPr>
                  </w:p>
                </w:tc>
              </w:tr>
              <w:tr>
                <w:trPr>
                  <w:trHeight w:val="419"/>
                </w:trPr>
                <w:tc>
                  <w:tcPr>
                    <w:tcW w:w="2410" w:type="dxa"/>
                    <w:vMerge/>
                    <w:tcBorders>
                      <w:left w:val="single" w:sz="4" w:space="0" w:color="auto"/>
                      <w:bottom w:val="single" w:sz="4" w:space="0" w:color="auto"/>
                      <w:right w:val="single" w:sz="4" w:space="0" w:color="auto"/>
                    </w:tcBorders>
                  </w:tcPr>
                  <w:p>
                    <w:pPr>
                      <w:ind w:left="-57" w:right="-57"/>
                      <w:rPr>
                        <w:iCs/>
                        <w:sz w:val="20"/>
                      </w:rPr>
                    </w:pPr>
                  </w:p>
                </w:tc>
                <w:tc>
                  <w:tcPr>
                    <w:tcW w:w="709" w:type="dxa"/>
                    <w:vMerge/>
                    <w:tcBorders>
                      <w:left w:val="single" w:sz="4" w:space="0" w:color="auto"/>
                      <w:bottom w:val="single" w:sz="4" w:space="0" w:color="auto"/>
                      <w:right w:val="single" w:sz="4" w:space="0" w:color="auto"/>
                    </w:tcBorders>
                  </w:tcPr>
                  <w:p>
                    <w:pPr>
                      <w:ind w:left="-57" w:right="-57"/>
                      <w:jc w:val="center"/>
                      <w:rPr>
                        <w:color w:val="000000"/>
                        <w:sz w:val="20"/>
                      </w:rPr>
                    </w:pPr>
                  </w:p>
                </w:tc>
                <w:tc>
                  <w:tcPr>
                    <w:tcW w:w="1559" w:type="dxa"/>
                    <w:vMerge/>
                    <w:tcBorders>
                      <w:left w:val="single" w:sz="4" w:space="0" w:color="auto"/>
                      <w:bottom w:val="single" w:sz="4" w:space="0" w:color="auto"/>
                      <w:right w:val="single" w:sz="4" w:space="0" w:color="auto"/>
                    </w:tcBorders>
                  </w:tcPr>
                  <w:p>
                    <w:pPr>
                      <w:ind w:left="-57" w:right="-57"/>
                      <w:jc w:val="center"/>
                      <w:rPr>
                        <w:color w:val="FF0000"/>
                        <w:sz w:val="20"/>
                      </w:rPr>
                    </w:pPr>
                  </w:p>
                </w:tc>
                <w:tc>
                  <w:tcPr>
                    <w:tcW w:w="709" w:type="dxa"/>
                    <w:vMerge/>
                    <w:tcBorders>
                      <w:left w:val="single" w:sz="4" w:space="0" w:color="auto"/>
                      <w:bottom w:val="single" w:sz="4" w:space="0" w:color="auto"/>
                      <w:right w:val="single" w:sz="4" w:space="0" w:color="auto"/>
                    </w:tcBorders>
                  </w:tcPr>
                  <w:p>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tcPr>
                  <w:p>
                    <w:pPr>
                      <w:ind w:left="-57" w:right="-57"/>
                      <w:jc w:val="center"/>
                      <w:rPr>
                        <w:color w:val="000000"/>
                        <w:sz w:val="20"/>
                      </w:rPr>
                    </w:pPr>
                  </w:p>
                </w:tc>
                <w:tc>
                  <w:tcPr>
                    <w:tcW w:w="709" w:type="dxa"/>
                    <w:vMerge/>
                    <w:tcBorders>
                      <w:left w:val="single" w:sz="4" w:space="0" w:color="auto"/>
                      <w:bottom w:val="single" w:sz="4" w:space="0" w:color="auto"/>
                      <w:right w:val="single" w:sz="4" w:space="0" w:color="auto"/>
                    </w:tcBorders>
                  </w:tcPr>
                  <w:p>
                    <w:pPr>
                      <w:ind w:left="-57" w:right="-57"/>
                      <w:jc w:val="center"/>
                      <w:rPr>
                        <w:color w:val="000000"/>
                        <w:sz w:val="20"/>
                      </w:rPr>
                    </w:pPr>
                  </w:p>
                </w:tc>
                <w:tc>
                  <w:tcPr>
                    <w:tcW w:w="1276" w:type="dxa"/>
                    <w:vMerge w:val="restart"/>
                    <w:tcBorders>
                      <w:left w:val="single" w:sz="4" w:space="0" w:color="auto"/>
                      <w:bottom w:val="single" w:sz="4" w:space="0" w:color="auto"/>
                      <w:right w:val="single" w:sz="4" w:space="0" w:color="auto"/>
                    </w:tcBorders>
                    <w:vAlign w:val="center"/>
                  </w:tcPr>
                  <w:p>
                    <w:pPr>
                      <w:ind w:left="-57" w:right="-57"/>
                      <w:jc w:val="center"/>
                      <w:rPr>
                        <w:sz w:val="20"/>
                      </w:rPr>
                    </w:pPr>
                  </w:p>
                </w:tc>
                <w:tc>
                  <w:tcPr>
                    <w:tcW w:w="992" w:type="dxa"/>
                    <w:vMerge w:val="restart"/>
                    <w:tcBorders>
                      <w:top w:val="single" w:sz="4" w:space="0" w:color="auto"/>
                      <w:left w:val="single" w:sz="4" w:space="0" w:color="auto"/>
                      <w:bottom w:val="single" w:sz="4" w:space="0" w:color="auto"/>
                      <w:right w:val="single" w:sz="4" w:space="0" w:color="auto"/>
                    </w:tcBorders>
                    <w:vAlign w:val="center"/>
                  </w:tcPr>
                  <w:p>
                    <w:pPr>
                      <w:ind w:left="-57" w:right="-57"/>
                      <w:rPr>
                        <w:sz w:val="20"/>
                      </w:rPr>
                    </w:pPr>
                  </w:p>
                </w:tc>
                <w:tc>
                  <w:tcPr>
                    <w:tcW w:w="2551" w:type="dxa"/>
                    <w:vMerge/>
                    <w:tcBorders>
                      <w:left w:val="single" w:sz="4" w:space="0" w:color="auto"/>
                      <w:bottom w:val="single" w:sz="4" w:space="0" w:color="auto"/>
                      <w:right w:val="single" w:sz="4" w:space="0" w:color="auto"/>
                    </w:tcBorders>
                    <w:shd w:val="clear" w:color="auto" w:fill="auto"/>
                  </w:tcPr>
                  <w:p>
                    <w:pPr>
                      <w:ind w:left="-57" w:right="-57"/>
                      <w:rPr>
                        <w:sz w:val="20"/>
                      </w:rPr>
                    </w:pPr>
                  </w:p>
                </w:tc>
                <w:tc>
                  <w:tcPr>
                    <w:tcW w:w="851" w:type="dxa"/>
                    <w:vMerge/>
                    <w:tcBorders>
                      <w:left w:val="single" w:sz="4" w:space="0" w:color="auto"/>
                      <w:bottom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shd w:val="clear" w:color="auto" w:fill="auto"/>
                  </w:tcPr>
                  <w:p>
                    <w:pPr>
                      <w:ind w:left="-57" w:right="-57"/>
                      <w:jc w:val="center"/>
                      <w:rPr>
                        <w:sz w:val="20"/>
                      </w:rPr>
                    </w:pPr>
                  </w:p>
                </w:tc>
                <w:tc>
                  <w:tcPr>
                    <w:tcW w:w="1276" w:type="dxa"/>
                    <w:vMerge/>
                    <w:tcBorders>
                      <w:left w:val="single" w:sz="4" w:space="0" w:color="auto"/>
                      <w:right w:val="single" w:sz="4" w:space="0" w:color="auto"/>
                    </w:tcBorders>
                    <w:shd w:val="clear" w:color="auto" w:fill="auto"/>
                  </w:tcPr>
                  <w:p>
                    <w:pPr>
                      <w:ind w:left="-57" w:right="-57"/>
                      <w:jc w:val="center"/>
                      <w:rPr>
                        <w:sz w:val="20"/>
                      </w:rPr>
                    </w:pPr>
                  </w:p>
                </w:tc>
              </w:tr>
              <w:tr>
                <w:trPr>
                  <w:trHeight w:val="414"/>
                </w:trPr>
                <w:tc>
                  <w:tcPr>
                    <w:tcW w:w="2410"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c>
                  <w:tcPr>
                    <w:tcW w:w="992" w:type="dxa"/>
                    <w:vMerge/>
                    <w:tcBorders>
                      <w:left w:val="single" w:sz="4" w:space="0" w:color="auto"/>
                      <w:bottom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sz w:val="20"/>
                      </w:rPr>
                      <w:t>R – Ambulatorines ilgalaikės priežiūros paslaugas gaunančių pacientų dalis,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jc w:val="center"/>
                      <w:rPr>
                        <w:sz w:val="20"/>
                      </w:rPr>
                    </w:pPr>
                    <w:r>
                      <w:rPr>
                        <w:sz w:val="20"/>
                      </w:rPr>
                      <w:t>30</w:t>
                    </w:r>
                  </w:p>
                  <w:p>
                    <w:pPr>
                      <w:jc w:val="center"/>
                      <w:rPr>
                        <w:sz w:val="20"/>
                      </w:rPr>
                    </w:pPr>
                    <w:r>
                      <w:rPr>
                        <w:sz w:val="20"/>
                      </w:rPr>
                      <w:t>(2025 m. II ketv.)</w:t>
                    </w:r>
                  </w:p>
                  <w:p>
                    <w:pPr>
                      <w:ind w:left="-57" w:right="-57"/>
                      <w:jc w:val="cente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c>
                  <w:tcPr>
                    <w:tcW w:w="992" w:type="dxa"/>
                    <w:vMerge/>
                    <w:tcBorders>
                      <w:left w:val="single" w:sz="4" w:space="0" w:color="auto"/>
                      <w:bottom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R – Ambulatorines ilgalaikės priežiūros paslaugas gaunančių pacientų dalis,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60</w:t>
                    </w:r>
                  </w:p>
                  <w:p>
                    <w:pPr>
                      <w:ind w:left="-57" w:right="-57"/>
                      <w:jc w:val="center"/>
                      <w:rPr>
                        <w:color w:val="000000"/>
                        <w:sz w:val="20"/>
                      </w:rPr>
                    </w:pPr>
                    <w:r>
                      <w:rPr>
                        <w:color w:val="000000"/>
                        <w:sz w:val="20"/>
                      </w:rPr>
                      <w:t>(2026 m. I ketv)</w:t>
                    </w: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b/>
                        <w:bCs/>
                        <w:color w:val="000000"/>
                        <w:sz w:val="20"/>
                      </w:rPr>
                    </w:pPr>
                    <w:r>
                      <w:rPr>
                        <w:b/>
                        <w:bCs/>
                        <w:color w:val="000000"/>
                        <w:sz w:val="20"/>
                      </w:rPr>
                      <w:t>2. Pasirengimo grėsmėms stiprinimas</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1559"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b/>
                        <w:bCs/>
                        <w:color w:val="000000"/>
                        <w:sz w:val="20"/>
                      </w:rPr>
                    </w:pPr>
                    <w:r>
                      <w:rPr>
                        <w:b/>
                        <w:bCs/>
                        <w:color w:val="000000"/>
                        <w:sz w:val="20"/>
                      </w:rPr>
                      <w:t>253 823,507</w:t>
                    </w:r>
                  </w:p>
                  <w:p>
                    <w:pPr>
                      <w:rPr>
                        <w:color w:val="000000"/>
                        <w:sz w:val="20"/>
                      </w:rPr>
                    </w:pP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w:t>
                    </w: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R – Mirštamumas nuo miokardo infarkto per 30 dienų nuo hospitalizacijos,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9</w:t>
                    </w:r>
                  </w:p>
                  <w:p>
                    <w:pPr>
                      <w:ind w:left="-57" w:right="-57"/>
                      <w:jc w:val="center"/>
                      <w:rPr>
                        <w:color w:val="000000"/>
                        <w:sz w:val="20"/>
                      </w:rPr>
                    </w:pPr>
                    <w:r>
                      <w:rPr>
                        <w:color w:val="000000"/>
                        <w:sz w:val="20"/>
                      </w:rPr>
                      <w:t>(2030 m.)</w:t>
                    </w:r>
                  </w:p>
                  <w:p>
                    <w:pPr>
                      <w:ind w:left="-57" w:right="-57"/>
                      <w:jc w:val="center"/>
                      <w:rPr>
                        <w:color w:val="000000"/>
                        <w:sz w:val="20"/>
                      </w:rPr>
                    </w:pPr>
                  </w:p>
                  <w:p>
                    <w:pPr>
                      <w:ind w:left="-57" w:right="-57"/>
                      <w:jc w:val="center"/>
                      <w:rPr>
                        <w:color w:val="000000"/>
                        <w:sz w:val="20"/>
                      </w:rPr>
                    </w:pP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1276"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r>
              <w:tr>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p>
                    <w:pPr>
                      <w:jc w:val="center"/>
                      <w:rPr>
                        <w:color w:val="000000"/>
                        <w:sz w:val="20"/>
                      </w:rPr>
                    </w:pPr>
                    <w:r>
                      <w:rPr>
                        <w:color w:val="000000"/>
                        <w:sz w:val="20"/>
                      </w:rPr>
                      <w:t>148 153,509</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EGADP</w:t>
                    </w: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R – Mirštamumas nuo išeminio galvos smegenų insulto per 30 dienų po hospitalizacijos,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12</w:t>
                    </w:r>
                  </w:p>
                  <w:p>
                    <w:pPr>
                      <w:ind w:left="-57" w:right="-57"/>
                      <w:jc w:val="center"/>
                      <w:rPr>
                        <w:color w:val="000000"/>
                        <w:sz w:val="20"/>
                      </w:rPr>
                    </w:pPr>
                    <w:r>
                      <w:rPr>
                        <w:color w:val="000000"/>
                        <w:sz w:val="20"/>
                      </w:rPr>
                      <w:t>(2030 m.)</w:t>
                    </w: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p>
                    <w:pPr>
                      <w:jc w:val="center"/>
                      <w:rPr>
                        <w:color w:val="000000"/>
                        <w:sz w:val="20"/>
                      </w:rPr>
                    </w:pPr>
                    <w:r>
                      <w:rPr>
                        <w:color w:val="000000"/>
                        <w:sz w:val="20"/>
                      </w:rPr>
                      <w:t>31 111,338</w:t>
                    </w:r>
                  </w:p>
                  <w:p>
                    <w:pPr>
                      <w:jc w:val="center"/>
                      <w:rPr>
                        <w:color w:val="000000"/>
                        <w:sz w:val="20"/>
                      </w:rPr>
                    </w:pP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PVM iš VB</w:t>
                    </w: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R – Efektyvių organų donorų skaičius 1 mln. gyventojų</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30</w:t>
                    </w:r>
                  </w:p>
                  <w:p>
                    <w:pPr>
                      <w:ind w:left="-57" w:right="-57"/>
                      <w:jc w:val="center"/>
                      <w:rPr>
                        <w:color w:val="000000"/>
                        <w:sz w:val="20"/>
                      </w:rPr>
                    </w:pPr>
                    <w:r>
                      <w:rPr>
                        <w:color w:val="000000"/>
                        <w:sz w:val="20"/>
                      </w:rPr>
                      <w:t>(2030 m.)</w:t>
                    </w: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9 133,595</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2021–2027 m. IP (ERPF, Sostinės regionas)</w:t>
                    </w:r>
                  </w:p>
                </w:tc>
                <w:tc>
                  <w:tcPr>
                    <w:tcW w:w="2551"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 xml:space="preserve">R – Aktyviojo gydymo sveikatos priežiūros įstaigose nustatytų invazinių </w:t>
                    </w:r>
                    <w:r>
                      <w:rPr>
                        <w:i/>
                        <w:iCs/>
                        <w:color w:val="000000"/>
                        <w:sz w:val="20"/>
                      </w:rPr>
                      <w:t>Klebsiella pneumoniae</w:t>
                    </w:r>
                    <w:r>
                      <w:rPr>
                        <w:color w:val="000000"/>
                        <w:sz w:val="20"/>
                      </w:rPr>
                      <w:t xml:space="preserve">, atsparių  trečios kartos cefalosporinams, dalis (EARS-Net duomenimis), proc.</w:t>
                    </w:r>
                  </w:p>
                </w:tc>
                <w:tc>
                  <w:tcPr>
                    <w:tcW w:w="851"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30</w:t>
                    </w:r>
                  </w:p>
                  <w:p>
                    <w:pPr>
                      <w:ind w:left="-57" w:right="-57"/>
                      <w:jc w:val="center"/>
                      <w:rPr>
                        <w:color w:val="000000"/>
                        <w:sz w:val="20"/>
                      </w:rPr>
                    </w:pPr>
                    <w:r>
                      <w:rPr>
                        <w:color w:val="000000"/>
                        <w:sz w:val="20"/>
                      </w:rPr>
                      <w:t>(2030 m.)</w:t>
                    </w: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9 133,595</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 xml:space="preserve">2021–2027 m. IP (BF, Sostinės regionas) </w:t>
                    </w:r>
                  </w:p>
                </w:tc>
                <w:tc>
                  <w:tcPr>
                    <w:tcW w:w="2551" w:type="dxa"/>
                    <w:vMerge/>
                    <w:tcBorders>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851" w:type="dxa"/>
                    <w:vMerge/>
                    <w:tcBorders>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47 847,749</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2021–2027 m. IP (ERPF,</w:t>
                    </w:r>
                  </w:p>
                  <w:p>
                    <w:pPr>
                      <w:jc w:val="center"/>
                      <w:rPr>
                        <w:sz w:val="20"/>
                      </w:rPr>
                    </w:pPr>
                    <w:r>
                      <w:rPr>
                        <w:sz w:val="20"/>
                      </w:rPr>
                      <w:t>Vidurio ir vakarų Lietuvos (toliau – VVL) regionas)</w:t>
                    </w:r>
                  </w:p>
                </w:tc>
                <w:tc>
                  <w:tcPr>
                    <w:tcW w:w="2551" w:type="dxa"/>
                    <w:vMerge/>
                    <w:tcBorders>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851" w:type="dxa"/>
                    <w:vMerge/>
                    <w:tcBorders>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414"/>
                </w:trPr>
                <w:tc>
                  <w:tcPr>
                    <w:tcW w:w="2410"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8 443,721</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 xml:space="preserve">2021–2027 m. IP (BF, VVL regionas) </w:t>
                    </w:r>
                  </w:p>
                </w:tc>
                <w:tc>
                  <w:tcPr>
                    <w:tcW w:w="2551" w:type="dxa"/>
                    <w:vMerge/>
                    <w:tcBorders>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851" w:type="dxa"/>
                    <w:vMerge/>
                    <w:tcBorders>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2126"/>
                </w:trPr>
                <w:tc>
                  <w:tcPr>
                    <w:tcW w:w="2410" w:type="dxa"/>
                    <w:vMerge w:val="restart"/>
                    <w:tcBorders>
                      <w:top w:val="single" w:sz="4" w:space="0" w:color="auto"/>
                      <w:left w:val="single" w:sz="4" w:space="0" w:color="auto"/>
                      <w:right w:val="single" w:sz="4" w:space="0" w:color="auto"/>
                    </w:tcBorders>
                  </w:tcPr>
                  <w:p>
                    <w:pPr>
                      <w:ind w:left="-57" w:right="-57"/>
                      <w:rPr>
                        <w:iCs/>
                        <w:sz w:val="20"/>
                      </w:rPr>
                    </w:pPr>
                    <w:r>
                      <w:rPr>
                        <w:iCs/>
                        <w:sz w:val="20"/>
                      </w:rPr>
                      <w:t>2.1. Teisės aktų, skirtų įstaigų pasirengimui dirbti ekstremaliomis situacijomis didinti, parengimas</w:t>
                    </w:r>
                  </w:p>
                </w:tc>
                <w:tc>
                  <w:tcPr>
                    <w:tcW w:w="709" w:type="dxa"/>
                    <w:vMerge w:val="restart"/>
                    <w:tcBorders>
                      <w:top w:val="single" w:sz="4" w:space="0" w:color="auto"/>
                      <w:left w:val="single" w:sz="4" w:space="0" w:color="auto"/>
                      <w:right w:val="single" w:sz="4" w:space="0" w:color="auto"/>
                    </w:tcBorders>
                  </w:tcPr>
                  <w:p>
                    <w:pPr>
                      <w:ind w:left="-57" w:right="-57"/>
                      <w:rPr>
                        <w:iCs/>
                        <w:sz w:val="20"/>
                      </w:rPr>
                    </w:pPr>
                    <w:r>
                      <w:rPr>
                        <w:iCs/>
                        <w:sz w:val="20"/>
                      </w:rPr>
                      <w:t>R</w:t>
                    </w:r>
                  </w:p>
                </w:tc>
                <w:tc>
                  <w:tcPr>
                    <w:tcW w:w="1559" w:type="dxa"/>
                    <w:vMerge w:val="restart"/>
                    <w:tcBorders>
                      <w:top w:val="single" w:sz="4" w:space="0" w:color="auto"/>
                      <w:left w:val="single" w:sz="4" w:space="0" w:color="auto"/>
                      <w:right w:val="single" w:sz="4" w:space="0" w:color="auto"/>
                    </w:tcBorders>
                  </w:tcPr>
                  <w:p>
                    <w:pPr>
                      <w:ind w:left="-57" w:right="-57"/>
                      <w:jc w:val="center"/>
                      <w:rPr>
                        <w:color w:val="FF0000"/>
                        <w:sz w:val="20"/>
                      </w:rPr>
                    </w:pPr>
                    <w:r>
                      <w:rPr>
                        <w:sz w:val="20"/>
                      </w:rPr>
                      <w:t>-</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w:t>
                    </w:r>
                  </w:p>
                </w:tc>
                <w:tc>
                  <w:tcPr>
                    <w:tcW w:w="992"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w:t>
                    </w:r>
                  </w:p>
                </w:tc>
                <w:tc>
                  <w:tcPr>
                    <w:tcW w:w="1276" w:type="dxa"/>
                    <w:vMerge w:val="restart"/>
                    <w:tcBorders>
                      <w:top w:val="single" w:sz="4" w:space="0" w:color="auto"/>
                      <w:left w:val="single" w:sz="4" w:space="0" w:color="auto"/>
                      <w:right w:val="single" w:sz="4" w:space="0" w:color="auto"/>
                    </w:tcBorders>
                  </w:tcPr>
                  <w:p>
                    <w:pPr>
                      <w:jc w:val="center"/>
                      <w:rPr>
                        <w:sz w:val="20"/>
                      </w:rPr>
                    </w:pPr>
                    <w:r>
                      <w:rPr>
                        <w:sz w:val="20"/>
                      </w:rPr>
                      <w:t>-</w:t>
                    </w: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P – Sveikatos priežiūros įstaigų bendradarbiavimo gerinimo ir infrastruktūros pritaikymo ekstremalioms situacijoms modernizavimo veiksmų plano projektas pateiktas konsultacijoms su socialiniais partneriais ir kitomis suinteresuotomis šalimis, vnt.</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(2022 m. II ketv.)</w:t>
                    </w:r>
                  </w:p>
                </w:tc>
                <w:tc>
                  <w:tcPr>
                    <w:tcW w:w="992"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w:t>
                    </w:r>
                  </w:p>
                </w:tc>
                <w:tc>
                  <w:tcPr>
                    <w:tcW w:w="1276"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SAM</w:t>
                    </w:r>
                  </w:p>
                </w:tc>
              </w:tr>
              <w:tr>
                <w:trPr>
                  <w:trHeight w:val="1025"/>
                </w:trPr>
                <w:tc>
                  <w:tcPr>
                    <w:tcW w:w="2410" w:type="dxa"/>
                    <w:vMerge/>
                    <w:tcBorders>
                      <w:left w:val="single" w:sz="4" w:space="0" w:color="auto"/>
                      <w:right w:val="single" w:sz="4" w:space="0" w:color="auto"/>
                    </w:tcBorders>
                    <w:vAlign w:val="center"/>
                    <w:hideMark/>
                  </w:tcPr>
                  <w:p>
                    <w:pPr>
                      <w:rPr>
                        <w:color w:val="000000"/>
                        <w:sz w:val="20"/>
                      </w:rPr>
                    </w:pPr>
                  </w:p>
                </w:tc>
                <w:tc>
                  <w:tcPr>
                    <w:tcW w:w="709" w:type="dxa"/>
                    <w:vMerge/>
                    <w:tcBorders>
                      <w:left w:val="single" w:sz="4" w:space="0" w:color="auto"/>
                      <w:right w:val="single" w:sz="4" w:space="0" w:color="auto"/>
                    </w:tcBorders>
                    <w:vAlign w:val="center"/>
                  </w:tcPr>
                  <w:p>
                    <w:pPr>
                      <w:ind w:left="-57" w:right="-57"/>
                      <w:rPr>
                        <w:iCs/>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both"/>
                      <w:rPr>
                        <w:color w:val="000000"/>
                        <w:sz w:val="20"/>
                      </w:rPr>
                    </w:pPr>
                    <w:r>
                      <w:rPr>
                        <w:sz w:val="20"/>
                      </w:rPr>
                      <w:t xml:space="preserve">P  – Įsigaliojęs sveikatos priežiūros įstaigų bendradarbiavimo gerinimo ir infrastruktūros pritaikymo ekstremaliosioms situacijoms modernizavimo veiksmų planas, vnt. </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(2023 m. I ketv)</w:t>
                    </w:r>
                  </w:p>
                </w:tc>
                <w:tc>
                  <w:tcPr>
                    <w:tcW w:w="992" w:type="dxa"/>
                    <w:vMerge/>
                    <w:tcBorders>
                      <w:left w:val="single" w:sz="4" w:space="0" w:color="auto"/>
                      <w:right w:val="single" w:sz="4" w:space="0" w:color="auto"/>
                    </w:tcBorders>
                    <w:vAlign w:val="center"/>
                    <w:hideMark/>
                  </w:tcPr>
                  <w:p>
                    <w:pPr>
                      <w:rPr>
                        <w:color w:val="000000"/>
                        <w:sz w:val="20"/>
                      </w:rPr>
                    </w:pPr>
                  </w:p>
                </w:tc>
                <w:tc>
                  <w:tcPr>
                    <w:tcW w:w="1276" w:type="dxa"/>
                    <w:vMerge/>
                    <w:tcBorders>
                      <w:left w:val="single" w:sz="4" w:space="0" w:color="auto"/>
                      <w:right w:val="single" w:sz="4" w:space="0" w:color="auto"/>
                    </w:tcBorders>
                    <w:vAlign w:val="center"/>
                    <w:hideMark/>
                  </w:tcPr>
                  <w:p>
                    <w:pPr>
                      <w:rPr>
                        <w:color w:val="000000"/>
                        <w:sz w:val="20"/>
                      </w:rPr>
                    </w:pPr>
                  </w:p>
                </w:tc>
              </w:tr>
              <w:tr>
                <w:trPr>
                  <w:trHeight w:val="875"/>
                </w:trPr>
                <w:tc>
                  <w:tcPr>
                    <w:tcW w:w="2410" w:type="dxa"/>
                    <w:vMerge/>
                    <w:tcBorders>
                      <w:left w:val="single" w:sz="4" w:space="0" w:color="auto"/>
                      <w:right w:val="single" w:sz="4" w:space="0" w:color="auto"/>
                    </w:tcBorders>
                    <w:vAlign w:val="center"/>
                    <w:hideMark/>
                  </w:tcPr>
                  <w:p>
                    <w:pPr>
                      <w:rPr>
                        <w:color w:val="000000"/>
                        <w:sz w:val="20"/>
                      </w:rPr>
                    </w:pPr>
                  </w:p>
                </w:tc>
                <w:tc>
                  <w:tcPr>
                    <w:tcW w:w="709" w:type="dxa"/>
                    <w:vMerge/>
                    <w:tcBorders>
                      <w:left w:val="single" w:sz="4" w:space="0" w:color="auto"/>
                      <w:right w:val="single" w:sz="4" w:space="0" w:color="auto"/>
                    </w:tcBorders>
                    <w:vAlign w:val="center"/>
                  </w:tcPr>
                  <w:p>
                    <w:pPr>
                      <w:ind w:left="-57" w:right="-57"/>
                      <w:rPr>
                        <w:iCs/>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ind w:left="-57" w:right="-57"/>
                      <w:jc w:val="center"/>
                      <w:rPr>
                        <w:color w:val="000000"/>
                        <w:sz w:val="20"/>
                      </w:rPr>
                    </w:pPr>
                  </w:p>
                </w:tc>
                <w:tc>
                  <w:tcPr>
                    <w:tcW w:w="992" w:type="dxa"/>
                    <w:vMerge/>
                    <w:tcBorders>
                      <w:left w:val="single" w:sz="4" w:space="0" w:color="auto"/>
                      <w:right w:val="single" w:sz="4" w:space="0" w:color="auto"/>
                    </w:tcBorders>
                    <w:vAlign w:val="center"/>
                  </w:tcPr>
                  <w:p>
                    <w:pPr>
                      <w:ind w:left="-57" w:right="-57"/>
                      <w:jc w:val="cente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 xml:space="preserve">P – </w:t>
                    </w:r>
                    <w:r>
                      <w:rPr>
                        <w:sz w:val="20"/>
                        <w:lang w:eastAsia="lt-LT"/>
                      </w:rPr>
                      <w:t xml:space="preserve">Nustatyti infekcinių ligų centrų infrastruktūros reikalavimai, </w:t>
                    </w:r>
                    <w:r>
                      <w:rPr>
                        <w:color w:val="000000"/>
                        <w:sz w:val="20"/>
                      </w:rPr>
                      <w:t>kompl.</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(2022 m. I ketv.)</w:t>
                    </w:r>
                  </w:p>
                </w:tc>
                <w:tc>
                  <w:tcPr>
                    <w:tcW w:w="992" w:type="dxa"/>
                    <w:vMerge/>
                    <w:tcBorders>
                      <w:left w:val="single" w:sz="4" w:space="0" w:color="auto"/>
                      <w:right w:val="single" w:sz="4" w:space="0" w:color="auto"/>
                    </w:tcBorders>
                    <w:vAlign w:val="center"/>
                    <w:hideMark/>
                  </w:tcPr>
                  <w:p>
                    <w:pPr>
                      <w:rPr>
                        <w:color w:val="000000"/>
                        <w:sz w:val="20"/>
                      </w:rPr>
                    </w:pPr>
                  </w:p>
                </w:tc>
                <w:tc>
                  <w:tcPr>
                    <w:tcW w:w="1276" w:type="dxa"/>
                    <w:vMerge/>
                    <w:tcBorders>
                      <w:left w:val="single" w:sz="4" w:space="0" w:color="auto"/>
                      <w:right w:val="single" w:sz="4" w:space="0" w:color="auto"/>
                    </w:tcBorders>
                    <w:vAlign w:val="center"/>
                    <w:hideMark/>
                  </w:tcPr>
                  <w:p>
                    <w:pPr>
                      <w:rPr>
                        <w:color w:val="000000"/>
                        <w:sz w:val="20"/>
                      </w:rPr>
                    </w:pPr>
                  </w:p>
                </w:tc>
              </w:tr>
              <w:tr>
                <w:trPr>
                  <w:trHeight w:val="414"/>
                </w:trPr>
                <w:tc>
                  <w:tcPr>
                    <w:tcW w:w="2410" w:type="dxa"/>
                    <w:vMerge/>
                    <w:tcBorders>
                      <w:left w:val="single" w:sz="4" w:space="0" w:color="auto"/>
                      <w:right w:val="single" w:sz="4" w:space="0" w:color="auto"/>
                    </w:tcBorders>
                    <w:vAlign w:val="center"/>
                    <w:hideMark/>
                  </w:tcPr>
                  <w:p>
                    <w:pPr>
                      <w:rPr>
                        <w:color w:val="000000"/>
                        <w:sz w:val="20"/>
                      </w:rPr>
                    </w:pPr>
                  </w:p>
                </w:tc>
                <w:tc>
                  <w:tcPr>
                    <w:tcW w:w="709" w:type="dxa"/>
                    <w:vMerge/>
                    <w:tcBorders>
                      <w:left w:val="single" w:sz="4" w:space="0" w:color="auto"/>
                      <w:right w:val="single" w:sz="4" w:space="0" w:color="auto"/>
                    </w:tcBorders>
                    <w:vAlign w:val="center"/>
                  </w:tcPr>
                  <w:p>
                    <w:pPr>
                      <w:ind w:left="-57" w:right="-57"/>
                      <w:rPr>
                        <w:iCs/>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both"/>
                      <w:rPr>
                        <w:color w:val="000000"/>
                        <w:sz w:val="20"/>
                      </w:rPr>
                    </w:pPr>
                    <w:r>
                      <w:rPr>
                        <w:sz w:val="20"/>
                      </w:rPr>
                      <w:t xml:space="preserve">P – </w:t>
                    </w:r>
                    <w:r>
                      <w:rPr>
                        <w:sz w:val="20"/>
                        <w:lang w:eastAsia="lt-LT"/>
                      </w:rPr>
                      <w:t>Nustatyti ligoninių skubiosios medicinos pagalbos, reanimacijos ir intensyviosios terapijos skyrių infrastruktūros reikalavimai, kompl.</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(2022 m. II ketv.)</w:t>
                    </w:r>
                  </w:p>
                </w:tc>
                <w:tc>
                  <w:tcPr>
                    <w:tcW w:w="992" w:type="dxa"/>
                    <w:vMerge/>
                    <w:tcBorders>
                      <w:left w:val="single" w:sz="4" w:space="0" w:color="auto"/>
                      <w:right w:val="single" w:sz="4" w:space="0" w:color="auto"/>
                    </w:tcBorders>
                    <w:vAlign w:val="center"/>
                    <w:hideMark/>
                  </w:tcPr>
                  <w:p>
                    <w:pPr>
                      <w:rPr>
                        <w:color w:val="000000"/>
                        <w:sz w:val="20"/>
                      </w:rPr>
                    </w:pPr>
                  </w:p>
                </w:tc>
                <w:tc>
                  <w:tcPr>
                    <w:tcW w:w="1276" w:type="dxa"/>
                    <w:vMerge/>
                    <w:tcBorders>
                      <w:left w:val="single" w:sz="4" w:space="0" w:color="auto"/>
                      <w:right w:val="single" w:sz="4" w:space="0" w:color="auto"/>
                    </w:tcBorders>
                    <w:vAlign w:val="center"/>
                    <w:hideMark/>
                  </w:tcPr>
                  <w:p>
                    <w:pPr>
                      <w:rPr>
                        <w:color w:val="000000"/>
                        <w:sz w:val="20"/>
                      </w:rPr>
                    </w:pPr>
                  </w:p>
                </w:tc>
              </w:tr>
              <w:tr>
                <w:trPr>
                  <w:trHeight w:val="414"/>
                </w:trPr>
                <w:tc>
                  <w:tcPr>
                    <w:tcW w:w="2410"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ind w:left="-57" w:right="-57"/>
                      <w:rPr>
                        <w:iCs/>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 xml:space="preserve">P – </w:t>
                    </w:r>
                    <w:r>
                      <w:rPr>
                        <w:sz w:val="20"/>
                        <w:lang w:eastAsia="lt-LT"/>
                      </w:rPr>
                      <w:t xml:space="preserve">Atlikta ligoninių tinklo veiklos rezultatų analizė, parodanti, kaip pokyčiai, įskaitant investicijas pagal Ekonomikos gaivinimo ir atsparumo didinimo priemonę, prisideda prie galimybių geriau užtikrinti tam tikrą  gydomųjų lovų skaičių, jo nedidinant. Analizė taip pat turėtų būti perspektyvinė ir ją atliekant turėtų būti atsižvelgiama į prognozuojamą paklausą, vnt.</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(2023 m. III ketv)</w:t>
                    </w: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87"/>
                </w:trPr>
                <w:tc>
                  <w:tcPr>
                    <w:tcW w:w="2410" w:type="dxa"/>
                    <w:vMerge w:val="restart"/>
                    <w:tcBorders>
                      <w:top w:val="single" w:sz="4" w:space="0" w:color="auto"/>
                      <w:left w:val="single" w:sz="4" w:space="0" w:color="auto"/>
                      <w:right w:val="single" w:sz="4" w:space="0" w:color="auto"/>
                    </w:tcBorders>
                  </w:tcPr>
                  <w:p>
                    <w:pPr>
                      <w:rPr>
                        <w:color w:val="000000"/>
                        <w:sz w:val="20"/>
                      </w:rPr>
                    </w:pPr>
                    <w:r>
                      <w:rPr>
                        <w:color w:val="000000"/>
                        <w:sz w:val="20"/>
                      </w:rPr>
                      <w:t>2.2. Infekcinių ligų klasterių centrų įrengimas</w:t>
                    </w:r>
                  </w:p>
                </w:tc>
                <w:tc>
                  <w:tcPr>
                    <w:tcW w:w="709" w:type="dxa"/>
                    <w:vMerge w:val="restart"/>
                    <w:tcBorders>
                      <w:top w:val="single" w:sz="4" w:space="0" w:color="auto"/>
                      <w:left w:val="single" w:sz="4" w:space="0" w:color="auto"/>
                      <w:right w:val="single" w:sz="4" w:space="0" w:color="auto"/>
                    </w:tcBorders>
                  </w:tcPr>
                  <w:p>
                    <w:pPr>
                      <w:rPr>
                        <w:color w:val="000000"/>
                        <w:sz w:val="20"/>
                      </w:rPr>
                    </w:pPr>
                    <w:r>
                      <w:rPr>
                        <w:color w:val="000000"/>
                        <w:sz w:val="20"/>
                      </w:rPr>
                      <w:t>I</w:t>
                    </w:r>
                  </w:p>
                </w:tc>
                <w:tc>
                  <w:tcPr>
                    <w:tcW w:w="1559" w:type="dxa"/>
                    <w:vMerge w:val="restart"/>
                    <w:tcBorders>
                      <w:top w:val="single" w:sz="4" w:space="0" w:color="auto"/>
                      <w:left w:val="single" w:sz="4" w:space="0" w:color="auto"/>
                      <w:right w:val="single" w:sz="4" w:space="0" w:color="auto"/>
                    </w:tcBorders>
                  </w:tcPr>
                  <w:p>
                    <w:pPr>
                      <w:rPr>
                        <w:sz w:val="20"/>
                      </w:rPr>
                    </w:pPr>
                    <w:r>
                      <w:rPr>
                        <w:sz w:val="20"/>
                      </w:rPr>
                      <w:t>ASPĮ</w:t>
                    </w:r>
                  </w:p>
                </w:tc>
                <w:tc>
                  <w:tcPr>
                    <w:tcW w:w="709" w:type="dxa"/>
                    <w:vMerge w:val="restart"/>
                    <w:tcBorders>
                      <w:top w:val="single" w:sz="4" w:space="0" w:color="auto"/>
                      <w:left w:val="single" w:sz="4" w:space="0" w:color="auto"/>
                      <w:right w:val="single" w:sz="4" w:space="0" w:color="auto"/>
                    </w:tcBorders>
                  </w:tcPr>
                  <w:p>
                    <w:pPr>
                      <w:rPr>
                        <w:sz w:val="20"/>
                      </w:rPr>
                    </w:pPr>
                    <w:r>
                      <w:rPr>
                        <w:sz w:val="20"/>
                      </w:rPr>
                      <w:t>P</w:t>
                    </w:r>
                  </w:p>
                </w:tc>
                <w:tc>
                  <w:tcPr>
                    <w:tcW w:w="992" w:type="dxa"/>
                    <w:vMerge w:val="restart"/>
                    <w:tcBorders>
                      <w:top w:val="single" w:sz="4" w:space="0" w:color="auto"/>
                      <w:left w:val="single" w:sz="4" w:space="0" w:color="auto"/>
                      <w:right w:val="single" w:sz="4" w:space="0" w:color="auto"/>
                    </w:tcBorders>
                  </w:tcPr>
                  <w:p>
                    <w:pP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rPr>
                        <w:sz w:val="20"/>
                      </w:rPr>
                    </w:pPr>
                    <w:r>
                      <w:rPr>
                        <w:sz w:val="20"/>
                      </w:rPr>
                      <w:t>D</w:t>
                    </w:r>
                  </w:p>
                </w:tc>
                <w:tc>
                  <w:tcPr>
                    <w:tcW w:w="1276" w:type="dxa"/>
                    <w:tcBorders>
                      <w:top w:val="single" w:sz="4" w:space="0" w:color="auto"/>
                      <w:left w:val="single" w:sz="4" w:space="0" w:color="auto"/>
                      <w:bottom w:val="single" w:sz="4" w:space="0" w:color="auto"/>
                      <w:right w:val="single" w:sz="4" w:space="0" w:color="auto"/>
                    </w:tcBorders>
                  </w:tcPr>
                  <w:p>
                    <w:pPr>
                      <w:rPr>
                        <w:sz w:val="20"/>
                      </w:rPr>
                    </w:pPr>
                    <w:r>
                      <w:rPr>
                        <w:sz w:val="20"/>
                      </w:rPr>
                      <w:t>124 153,509</w:t>
                    </w:r>
                  </w:p>
                  <w:p>
                    <w:pPr>
                      <w:rPr>
                        <w:sz w:val="20"/>
                      </w:rPr>
                    </w:pP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EGADP</w:t>
                    </w:r>
                  </w:p>
                </w:tc>
                <w:tc>
                  <w:tcPr>
                    <w:tcW w:w="2551" w:type="dxa"/>
                    <w:vMerge w:val="restart"/>
                    <w:tcBorders>
                      <w:top w:val="single" w:sz="4" w:space="0" w:color="auto"/>
                      <w:left w:val="single" w:sz="4" w:space="0" w:color="auto"/>
                      <w:right w:val="single" w:sz="4" w:space="0" w:color="auto"/>
                    </w:tcBorders>
                    <w:shd w:val="clear" w:color="auto" w:fill="auto"/>
                  </w:tcPr>
                  <w:p>
                    <w:pPr>
                      <w:ind w:left="-57" w:right="-57"/>
                      <w:rPr>
                        <w:sz w:val="20"/>
                      </w:rPr>
                    </w:pPr>
                    <w:r>
                      <w:rPr>
                        <w:sz w:val="20"/>
                      </w:rPr>
                      <w:t>P – Modernizuotų sveikatos priežiūros įstaigų, įskaitant infekcinių ligų klasterio kompetencijos centrus, skaičius, vnt.</w:t>
                    </w:r>
                  </w:p>
                </w:tc>
                <w:tc>
                  <w:tcPr>
                    <w:tcW w:w="851"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5</w:t>
                    </w:r>
                  </w:p>
                  <w:p>
                    <w:pPr>
                      <w:ind w:left="-57" w:right="-57"/>
                      <w:jc w:val="center"/>
                      <w:rPr>
                        <w:sz w:val="20"/>
                      </w:rPr>
                    </w:pPr>
                    <w:r>
                      <w:rPr>
                        <w:sz w:val="20"/>
                      </w:rPr>
                      <w:t>(2025 m. IV ketv.)</w:t>
                    </w:r>
                  </w:p>
                </w:tc>
                <w:tc>
                  <w:tcPr>
                    <w:tcW w:w="992" w:type="dxa"/>
                    <w:vMerge w:val="restart"/>
                    <w:tcBorders>
                      <w:top w:val="single" w:sz="4" w:space="0" w:color="auto"/>
                      <w:left w:val="single" w:sz="4" w:space="0" w:color="auto"/>
                      <w:right w:val="single" w:sz="4" w:space="0" w:color="auto"/>
                    </w:tcBorders>
                  </w:tcPr>
                  <w:p>
                    <w:pPr>
                      <w:rPr>
                        <w:color w:val="000000"/>
                        <w:sz w:val="20"/>
                      </w:rPr>
                    </w:pPr>
                    <w:r>
                      <w:rPr>
                        <w:color w:val="000000"/>
                        <w:sz w:val="20"/>
                      </w:rPr>
                      <w:t>CPVA</w:t>
                    </w:r>
                  </w:p>
                </w:tc>
                <w:tc>
                  <w:tcPr>
                    <w:tcW w:w="1276" w:type="dxa"/>
                    <w:vMerge w:val="restart"/>
                    <w:tcBorders>
                      <w:top w:val="single" w:sz="4" w:space="0" w:color="auto"/>
                      <w:left w:val="single" w:sz="4" w:space="0" w:color="auto"/>
                      <w:right w:val="single" w:sz="4" w:space="0" w:color="auto"/>
                    </w:tcBorders>
                  </w:tcPr>
                  <w:p>
                    <w:pPr>
                      <w:rPr>
                        <w:color w:val="000000"/>
                        <w:sz w:val="20"/>
                      </w:rPr>
                    </w:pPr>
                    <w:r>
                      <w:rPr>
                        <w:color w:val="000000"/>
                        <w:sz w:val="20"/>
                      </w:rPr>
                      <w:t>SAM</w:t>
                    </w:r>
                  </w:p>
                </w:tc>
              </w:tr>
              <w:tr>
                <w:trPr>
                  <w:trHeight w:val="497"/>
                </w:trPr>
                <w:tc>
                  <w:tcPr>
                    <w:tcW w:w="2410"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559" w:type="dxa"/>
                    <w:vMerge/>
                    <w:tcBorders>
                      <w:left w:val="single" w:sz="4" w:space="0" w:color="auto"/>
                      <w:right w:val="single" w:sz="4" w:space="0" w:color="auto"/>
                    </w:tcBorders>
                    <w:vAlign w:val="center"/>
                  </w:tcPr>
                  <w:p>
                    <w:pPr>
                      <w:rPr>
                        <w:sz w:val="20"/>
                      </w:rPr>
                    </w:pPr>
                  </w:p>
                </w:tc>
                <w:tc>
                  <w:tcPr>
                    <w:tcW w:w="709" w:type="dxa"/>
                    <w:vMerge/>
                    <w:tcBorders>
                      <w:left w:val="single" w:sz="4" w:space="0" w:color="auto"/>
                      <w:right w:val="single" w:sz="4" w:space="0" w:color="auto"/>
                    </w:tcBorders>
                    <w:vAlign w:val="center"/>
                  </w:tcPr>
                  <w:p>
                    <w:pPr>
                      <w:rPr>
                        <w:sz w:val="20"/>
                      </w:rPr>
                    </w:pPr>
                  </w:p>
                </w:tc>
                <w:tc>
                  <w:tcPr>
                    <w:tcW w:w="992" w:type="dxa"/>
                    <w:vMerge/>
                    <w:tcBorders>
                      <w:left w:val="single" w:sz="4" w:space="0" w:color="auto"/>
                      <w:right w:val="single" w:sz="4" w:space="0" w:color="auto"/>
                    </w:tcBorders>
                    <w:vAlign w:val="center"/>
                  </w:tcPr>
                  <w:p>
                    <w:pPr>
                      <w:rPr>
                        <w:sz w:val="20"/>
                      </w:rPr>
                    </w:pPr>
                  </w:p>
                </w:tc>
                <w:tc>
                  <w:tcPr>
                    <w:tcW w:w="709" w:type="dxa"/>
                    <w:vMerge/>
                    <w:tcBorders>
                      <w:left w:val="single" w:sz="4" w:space="0" w:color="auto"/>
                      <w:right w:val="single" w:sz="4" w:space="0" w:color="auto"/>
                    </w:tcBorders>
                  </w:tcPr>
                  <w:p>
                    <w:pPr>
                      <w:rPr>
                        <w:sz w:val="20"/>
                      </w:rPr>
                    </w:pPr>
                  </w:p>
                </w:tc>
                <w:tc>
                  <w:tcPr>
                    <w:tcW w:w="1276" w:type="dxa"/>
                    <w:tcBorders>
                      <w:top w:val="single" w:sz="4" w:space="0" w:color="auto"/>
                      <w:left w:val="single" w:sz="4" w:space="0" w:color="auto"/>
                      <w:bottom w:val="single" w:sz="4" w:space="0" w:color="auto"/>
                      <w:right w:val="single" w:sz="4" w:space="0" w:color="auto"/>
                    </w:tcBorders>
                  </w:tcPr>
                  <w:p>
                    <w:pPr>
                      <w:rPr>
                        <w:sz w:val="20"/>
                      </w:rPr>
                    </w:pPr>
                    <w:r>
                      <w:rPr>
                        <w:sz w:val="20"/>
                      </w:rPr>
                      <w:t>26 071,338</w:t>
                    </w: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PVM iš VB</w:t>
                    </w:r>
                  </w:p>
                </w:tc>
                <w:tc>
                  <w:tcPr>
                    <w:tcW w:w="2551" w:type="dxa"/>
                    <w:vMerge/>
                    <w:tcBorders>
                      <w:left w:val="single" w:sz="4" w:space="0" w:color="auto"/>
                      <w:bottom w:val="single" w:sz="4" w:space="0" w:color="auto"/>
                      <w:right w:val="single" w:sz="4" w:space="0" w:color="auto"/>
                    </w:tcBorders>
                    <w:shd w:val="clear" w:color="auto" w:fill="auto"/>
                  </w:tcPr>
                  <w:p>
                    <w:pPr>
                      <w:ind w:left="-57" w:right="-57"/>
                      <w:rPr>
                        <w:sz w:val="20"/>
                      </w:rPr>
                    </w:pPr>
                  </w:p>
                </w:tc>
                <w:tc>
                  <w:tcPr>
                    <w:tcW w:w="851" w:type="dxa"/>
                    <w:vMerge/>
                    <w:tcBorders>
                      <w:left w:val="single" w:sz="4" w:space="0" w:color="auto"/>
                      <w:bottom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87"/>
                </w:trPr>
                <w:tc>
                  <w:tcPr>
                    <w:tcW w:w="2410" w:type="dxa"/>
                    <w:vMerge/>
                    <w:tcBorders>
                      <w:left w:val="single" w:sz="4" w:space="0" w:color="auto"/>
                      <w:bottom w:val="single" w:sz="4" w:space="0" w:color="auto"/>
                      <w:right w:val="single" w:sz="4" w:space="0" w:color="auto"/>
                    </w:tcBorders>
                    <w:vAlign w:val="center"/>
                  </w:tcPr>
                  <w:p>
                    <w:pPr>
                      <w:rPr>
                        <w:color w:val="000000"/>
                        <w:sz w:val="20"/>
                      </w:rPr>
                    </w:pPr>
                  </w:p>
                </w:tc>
                <w:tc>
                  <w:tcPr>
                    <w:tcW w:w="709" w:type="dxa"/>
                    <w:vMerge/>
                    <w:tcBorders>
                      <w:left w:val="single" w:sz="4" w:space="0" w:color="auto"/>
                      <w:bottom w:val="single" w:sz="4" w:space="0" w:color="auto"/>
                      <w:right w:val="single" w:sz="4" w:space="0" w:color="auto"/>
                    </w:tcBorders>
                    <w:vAlign w:val="center"/>
                  </w:tcPr>
                  <w:p>
                    <w:pPr>
                      <w:rPr>
                        <w:color w:val="000000"/>
                        <w:sz w:val="20"/>
                      </w:rPr>
                    </w:pPr>
                  </w:p>
                </w:tc>
                <w:tc>
                  <w:tcPr>
                    <w:tcW w:w="1559" w:type="dxa"/>
                    <w:vMerge/>
                    <w:tcBorders>
                      <w:left w:val="single" w:sz="4" w:space="0" w:color="auto"/>
                      <w:bottom w:val="single" w:sz="4" w:space="0" w:color="auto"/>
                      <w:right w:val="single" w:sz="4" w:space="0" w:color="auto"/>
                    </w:tcBorders>
                    <w:vAlign w:val="center"/>
                  </w:tcPr>
                  <w:p>
                    <w:pPr>
                      <w:rPr>
                        <w:sz w:val="20"/>
                      </w:rPr>
                    </w:pPr>
                  </w:p>
                </w:tc>
                <w:tc>
                  <w:tcPr>
                    <w:tcW w:w="709" w:type="dxa"/>
                    <w:vMerge/>
                    <w:tcBorders>
                      <w:left w:val="single" w:sz="4" w:space="0" w:color="auto"/>
                      <w:bottom w:val="single" w:sz="4" w:space="0" w:color="auto"/>
                      <w:right w:val="single" w:sz="4" w:space="0" w:color="auto"/>
                    </w:tcBorders>
                    <w:vAlign w:val="center"/>
                  </w:tcPr>
                  <w:p>
                    <w:pPr>
                      <w:rPr>
                        <w:sz w:val="20"/>
                      </w:rPr>
                    </w:pPr>
                  </w:p>
                </w:tc>
                <w:tc>
                  <w:tcPr>
                    <w:tcW w:w="992" w:type="dxa"/>
                    <w:vMerge/>
                    <w:tcBorders>
                      <w:left w:val="single" w:sz="4" w:space="0" w:color="auto"/>
                      <w:bottom w:val="single" w:sz="4" w:space="0" w:color="auto"/>
                      <w:right w:val="single" w:sz="4" w:space="0" w:color="auto"/>
                    </w:tcBorders>
                    <w:vAlign w:val="center"/>
                  </w:tcPr>
                  <w:p>
                    <w:pPr>
                      <w:rPr>
                        <w:sz w:val="20"/>
                      </w:rPr>
                    </w:pPr>
                  </w:p>
                </w:tc>
                <w:tc>
                  <w:tcPr>
                    <w:tcW w:w="709" w:type="dxa"/>
                    <w:vMerge/>
                    <w:tcBorders>
                      <w:left w:val="single" w:sz="4" w:space="0" w:color="auto"/>
                      <w:bottom w:val="single" w:sz="4" w:space="0" w:color="auto"/>
                      <w:right w:val="single" w:sz="4" w:space="0" w:color="auto"/>
                    </w:tcBorders>
                    <w:vAlign w:val="center"/>
                  </w:tcPr>
                  <w:p>
                    <w:pPr>
                      <w:rPr>
                        <w:sz w:val="20"/>
                      </w:rPr>
                    </w:pPr>
                  </w:p>
                </w:tc>
                <w:tc>
                  <w:tcPr>
                    <w:tcW w:w="1276" w:type="dxa"/>
                    <w:tcBorders>
                      <w:top w:val="single" w:sz="4" w:space="0" w:color="auto"/>
                      <w:left w:val="single" w:sz="4" w:space="0" w:color="auto"/>
                      <w:bottom w:val="single" w:sz="4" w:space="0" w:color="auto"/>
                      <w:right w:val="single" w:sz="4" w:space="0" w:color="auto"/>
                    </w:tcBorders>
                    <w:vAlign w:val="center"/>
                  </w:tcPr>
                  <w:p>
                    <w:pPr>
                      <w:rPr>
                        <w:sz w:val="20"/>
                      </w:rPr>
                    </w:pPr>
                  </w:p>
                </w:tc>
                <w:tc>
                  <w:tcPr>
                    <w:tcW w:w="992" w:type="dxa"/>
                    <w:tcBorders>
                      <w:top w:val="single" w:sz="4" w:space="0" w:color="auto"/>
                      <w:left w:val="single" w:sz="4" w:space="0" w:color="auto"/>
                      <w:bottom w:val="single" w:sz="4" w:space="0" w:color="auto"/>
                      <w:right w:val="single" w:sz="4" w:space="0" w:color="auto"/>
                    </w:tcBorders>
                    <w:vAlign w:val="center"/>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Naujos arba modernizuotos sveikatos priežiūros infrastruktūros talpumas, asmenys per metus</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n/a</w:t>
                    </w:r>
                  </w:p>
                </w:tc>
                <w:tc>
                  <w:tcPr>
                    <w:tcW w:w="992" w:type="dxa"/>
                    <w:vMerge/>
                    <w:tcBorders>
                      <w:left w:val="single" w:sz="4" w:space="0" w:color="auto"/>
                      <w:bottom w:val="single" w:sz="4" w:space="0" w:color="auto"/>
                      <w:right w:val="single" w:sz="4" w:space="0" w:color="auto"/>
                    </w:tcBorders>
                    <w:vAlign w:val="center"/>
                  </w:tcPr>
                  <w:p>
                    <w:pPr>
                      <w:rPr>
                        <w:color w:val="000000"/>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70"/>
                </w:trPr>
                <w:tc>
                  <w:tcPr>
                    <w:tcW w:w="2410" w:type="dxa"/>
                    <w:vMerge w:val="restart"/>
                    <w:tcBorders>
                      <w:top w:val="single" w:sz="4" w:space="0" w:color="auto"/>
                      <w:left w:val="single" w:sz="4" w:space="0" w:color="auto"/>
                      <w:right w:val="single" w:sz="4" w:space="0" w:color="auto"/>
                    </w:tcBorders>
                  </w:tcPr>
                  <w:p>
                    <w:pPr>
                      <w:ind w:left="-57" w:right="-57"/>
                      <w:rPr>
                        <w:iCs/>
                        <w:sz w:val="20"/>
                      </w:rPr>
                    </w:pPr>
                    <w:r>
                      <w:rPr>
                        <w:iCs/>
                        <w:sz w:val="20"/>
                      </w:rPr>
                      <w:t>2.3. Regioninių sveikatos priežiūros įstaigų infrastruktūros modernizavimas</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I</w:t>
                    </w:r>
                  </w:p>
                </w:tc>
                <w:tc>
                  <w:tcPr>
                    <w:tcW w:w="1559" w:type="dxa"/>
                    <w:vMerge w:val="restart"/>
                    <w:tcBorders>
                      <w:top w:val="single" w:sz="4" w:space="0" w:color="auto"/>
                      <w:left w:val="single" w:sz="4" w:space="0" w:color="auto"/>
                      <w:right w:val="single" w:sz="4" w:space="0" w:color="auto"/>
                    </w:tcBorders>
                  </w:tcPr>
                  <w:p>
                    <w:pPr>
                      <w:ind w:left="-57" w:right="-57"/>
                      <w:jc w:val="center"/>
                      <w:rPr>
                        <w:sz w:val="20"/>
                      </w:rPr>
                    </w:pPr>
                    <w:r>
                      <w:rPr>
                        <w:sz w:val="20"/>
                      </w:rPr>
                      <w:t>ASPĮ</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P</w:t>
                    </w: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D</w:t>
                    </w:r>
                  </w:p>
                </w:tc>
                <w:tc>
                  <w:tcPr>
                    <w:tcW w:w="1276" w:type="dxa"/>
                    <w:tcBorders>
                      <w:top w:val="single" w:sz="4" w:space="0" w:color="auto"/>
                      <w:left w:val="single" w:sz="4" w:space="0" w:color="auto"/>
                      <w:right w:val="single" w:sz="4" w:space="0" w:color="auto"/>
                    </w:tcBorders>
                  </w:tcPr>
                  <w:p>
                    <w:pPr>
                      <w:ind w:left="-57" w:right="-57"/>
                      <w:jc w:val="center"/>
                      <w:rPr>
                        <w:sz w:val="20"/>
                      </w:rPr>
                    </w:pPr>
                    <w:r>
                      <w:rPr>
                        <w:sz w:val="20"/>
                      </w:rPr>
                      <w:t>24 000</w:t>
                    </w:r>
                  </w:p>
                  <w:p>
                    <w:pPr>
                      <w:ind w:left="-57" w:right="-57"/>
                      <w:jc w:val="center"/>
                      <w:rPr>
                        <w:sz w:val="20"/>
                      </w:rPr>
                    </w:pPr>
                  </w:p>
                </w:tc>
                <w:tc>
                  <w:tcPr>
                    <w:tcW w:w="992" w:type="dxa"/>
                    <w:tcBorders>
                      <w:top w:val="single" w:sz="4" w:space="0" w:color="auto"/>
                      <w:left w:val="single" w:sz="4" w:space="0" w:color="auto"/>
                      <w:bottom w:val="single" w:sz="4" w:space="0" w:color="auto"/>
                      <w:right w:val="single" w:sz="4" w:space="0" w:color="auto"/>
                    </w:tcBorders>
                  </w:tcPr>
                  <w:p>
                    <w:pPr>
                      <w:ind w:left="-57" w:right="-57"/>
                      <w:rPr>
                        <w:sz w:val="20"/>
                      </w:rPr>
                    </w:pPr>
                    <w:r>
                      <w:rPr>
                        <w:sz w:val="20"/>
                      </w:rPr>
                      <w:t>EGADP</w:t>
                    </w:r>
                  </w:p>
                </w:tc>
                <w:tc>
                  <w:tcPr>
                    <w:tcW w:w="2551" w:type="dxa"/>
                    <w:vMerge w:val="restart"/>
                    <w:tcBorders>
                      <w:top w:val="single" w:sz="4" w:space="0" w:color="auto"/>
                      <w:left w:val="single" w:sz="4" w:space="0" w:color="auto"/>
                      <w:right w:val="single" w:sz="4" w:space="0" w:color="auto"/>
                    </w:tcBorders>
                    <w:shd w:val="clear" w:color="auto" w:fill="auto"/>
                  </w:tcPr>
                  <w:p>
                    <w:pPr>
                      <w:ind w:left="-57" w:right="-57"/>
                      <w:rPr>
                        <w:sz w:val="20"/>
                      </w:rPr>
                    </w:pPr>
                    <w:r>
                      <w:rPr>
                        <w:sz w:val="20"/>
                      </w:rPr>
                      <w:t>P – Modernizuotos ligoninių skubiosios medicinos pagalbos ir reanimacijos bei intensyviosios terapijos skyrių sveikatos priežiūros infrastruktūros objektų skaičius, vnt.</w:t>
                    </w:r>
                  </w:p>
                </w:tc>
                <w:tc>
                  <w:tcPr>
                    <w:tcW w:w="851"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7</w:t>
                    </w:r>
                  </w:p>
                  <w:p>
                    <w:pPr>
                      <w:ind w:left="-57" w:right="-57"/>
                      <w:jc w:val="center"/>
                      <w:rPr>
                        <w:sz w:val="20"/>
                      </w:rPr>
                    </w:pPr>
                    <w:r>
                      <w:rPr>
                        <w:sz w:val="20"/>
                      </w:rPr>
                      <w:t>(2025 m. IV ketv.)</w:t>
                    </w:r>
                  </w:p>
                </w:tc>
                <w:tc>
                  <w:tcPr>
                    <w:tcW w:w="992"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CPVA</w:t>
                    </w:r>
                  </w:p>
                </w:tc>
                <w:tc>
                  <w:tcPr>
                    <w:tcW w:w="1276"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SAM</w:t>
                    </w:r>
                  </w:p>
                </w:tc>
              </w:tr>
              <w:tr>
                <w:trPr>
                  <w:trHeight w:val="801"/>
                </w:trPr>
                <w:tc>
                  <w:tcPr>
                    <w:tcW w:w="2410" w:type="dxa"/>
                    <w:vMerge/>
                    <w:tcBorders>
                      <w:top w:val="single" w:sz="4" w:space="0" w:color="auto"/>
                      <w:left w:val="single" w:sz="4" w:space="0" w:color="auto"/>
                      <w:bottom w:val="single" w:sz="4" w:space="0" w:color="auto"/>
                      <w:right w:val="single" w:sz="4" w:space="0" w:color="auto"/>
                    </w:tcBorders>
                  </w:tcPr>
                  <w:p>
                    <w:pPr>
                      <w:ind w:left="-57" w:right="-57"/>
                      <w:rPr>
                        <w:iCs/>
                        <w:sz w:val="20"/>
                      </w:rPr>
                    </w:pPr>
                  </w:p>
                </w:tc>
                <w:tc>
                  <w:tcPr>
                    <w:tcW w:w="709" w:type="dxa"/>
                    <w:vMerge/>
                    <w:tcBorders>
                      <w:top w:val="single" w:sz="4" w:space="0" w:color="auto"/>
                      <w:left w:val="single" w:sz="4" w:space="0" w:color="auto"/>
                      <w:bottom w:val="single" w:sz="4" w:space="0" w:color="auto"/>
                      <w:right w:val="single" w:sz="4" w:space="0" w:color="auto"/>
                    </w:tcBorders>
                  </w:tcPr>
                  <w:p>
                    <w:pPr>
                      <w:ind w:left="-57" w:right="-57"/>
                      <w:jc w:val="center"/>
                      <w:rPr>
                        <w:color w:val="000000"/>
                        <w:sz w:val="20"/>
                      </w:rPr>
                    </w:pPr>
                  </w:p>
                </w:tc>
                <w:tc>
                  <w:tcPr>
                    <w:tcW w:w="1559" w:type="dxa"/>
                    <w:vMerge/>
                    <w:tcBorders>
                      <w:top w:val="single" w:sz="4" w:space="0" w:color="auto"/>
                      <w:left w:val="single" w:sz="4" w:space="0" w:color="auto"/>
                      <w:bottom w:val="single" w:sz="4" w:space="0" w:color="auto"/>
                      <w:right w:val="single" w:sz="4" w:space="0" w:color="auto"/>
                    </w:tcBorders>
                  </w:tcPr>
                  <w:p>
                    <w:pPr>
                      <w:ind w:left="-57" w:right="-57"/>
                      <w:jc w:val="center"/>
                      <w:rPr>
                        <w:sz w:val="20"/>
                      </w:rPr>
                    </w:pPr>
                  </w:p>
                </w:tc>
                <w:tc>
                  <w:tcPr>
                    <w:tcW w:w="709" w:type="dxa"/>
                    <w:vMerge/>
                    <w:tcBorders>
                      <w:top w:val="single" w:sz="4" w:space="0" w:color="auto"/>
                      <w:left w:val="single" w:sz="4" w:space="0" w:color="auto"/>
                      <w:bottom w:val="single" w:sz="4" w:space="0" w:color="auto"/>
                      <w:right w:val="single" w:sz="4" w:space="0" w:color="auto"/>
                    </w:tcBorders>
                  </w:tcPr>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tcPr>
                  <w:p>
                    <w:pPr>
                      <w:ind w:left="-57" w:right="-57"/>
                      <w:jc w:val="center"/>
                      <w:rPr>
                        <w:sz w:val="20"/>
                      </w:rPr>
                    </w:pPr>
                  </w:p>
                </w:tc>
                <w:tc>
                  <w:tcPr>
                    <w:tcW w:w="709" w:type="dxa"/>
                    <w:vMerge/>
                    <w:tcBorders>
                      <w:top w:val="single" w:sz="4" w:space="0" w:color="auto"/>
                      <w:left w:val="single" w:sz="4" w:space="0" w:color="auto"/>
                      <w:bottom w:val="single" w:sz="4" w:space="0" w:color="auto"/>
                      <w:right w:val="single" w:sz="4" w:space="0" w:color="auto"/>
                    </w:tcBorders>
                  </w:tcPr>
                  <w:p>
                    <w:pPr>
                      <w:ind w:left="-57" w:right="-57"/>
                      <w:jc w:val="center"/>
                      <w:rPr>
                        <w:sz w:val="20"/>
                      </w:rPr>
                    </w:pPr>
                  </w:p>
                </w:tc>
                <w:tc>
                  <w:tcPr>
                    <w:tcW w:w="1276" w:type="dxa"/>
                    <w:vMerge w:val="restart"/>
                    <w:tcBorders>
                      <w:top w:val="single" w:sz="4" w:space="0" w:color="auto"/>
                      <w:left w:val="single" w:sz="4" w:space="0" w:color="auto"/>
                      <w:bottom w:val="single" w:sz="4" w:space="0" w:color="auto"/>
                      <w:right w:val="single" w:sz="4" w:space="0" w:color="auto"/>
                    </w:tcBorders>
                  </w:tcPr>
                  <w:p>
                    <w:pPr>
                      <w:ind w:left="-57" w:right="-57"/>
                      <w:jc w:val="center"/>
                      <w:rPr>
                        <w:sz w:val="20"/>
                      </w:rPr>
                    </w:pPr>
                    <w:r>
                      <w:rPr>
                        <w:color w:val="000000"/>
                        <w:sz w:val="20"/>
                      </w:rPr>
                      <w:t>5 040</w:t>
                    </w:r>
                  </w:p>
                </w:tc>
                <w:tc>
                  <w:tcPr>
                    <w:tcW w:w="992" w:type="dxa"/>
                    <w:vMerge w:val="restart"/>
                    <w:tcBorders>
                      <w:top w:val="single" w:sz="4" w:space="0" w:color="auto"/>
                      <w:left w:val="single" w:sz="4" w:space="0" w:color="auto"/>
                      <w:bottom w:val="single" w:sz="4" w:space="0" w:color="auto"/>
                      <w:right w:val="single" w:sz="4" w:space="0" w:color="auto"/>
                    </w:tcBorders>
                  </w:tcPr>
                  <w:p>
                    <w:pPr>
                      <w:ind w:left="-57" w:right="-57"/>
                      <w:rPr>
                        <w:sz w:val="20"/>
                      </w:rPr>
                    </w:pPr>
                    <w:r>
                      <w:rPr>
                        <w:color w:val="000000"/>
                        <w:sz w:val="20"/>
                      </w:rPr>
                      <w:t>PVM iš VB</w:t>
                    </w:r>
                  </w:p>
                </w:tc>
                <w:tc>
                  <w:tcPr>
                    <w:tcW w:w="2551" w:type="dxa"/>
                    <w:vMerge/>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p>
                </w:tc>
                <w:tc>
                  <w:tcPr>
                    <w:tcW w:w="851" w:type="dxa"/>
                    <w:vMerge/>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tcPr>
                  <w:p>
                    <w:pPr>
                      <w:ind w:left="-57" w:right="-57"/>
                      <w:jc w:val="center"/>
                      <w:rPr>
                        <w:color w:val="000000"/>
                        <w:sz w:val="20"/>
                      </w:rPr>
                    </w:pPr>
                  </w:p>
                </w:tc>
                <w:tc>
                  <w:tcPr>
                    <w:tcW w:w="1276" w:type="dxa"/>
                    <w:vMerge/>
                    <w:tcBorders>
                      <w:top w:val="single" w:sz="4" w:space="0" w:color="auto"/>
                      <w:left w:val="single" w:sz="4" w:space="0" w:color="auto"/>
                      <w:bottom w:val="single" w:sz="4" w:space="0" w:color="auto"/>
                      <w:right w:val="single" w:sz="4" w:space="0" w:color="auto"/>
                    </w:tcBorders>
                  </w:tcPr>
                  <w:p>
                    <w:pPr>
                      <w:ind w:left="-57" w:right="-57"/>
                      <w:jc w:val="center"/>
                      <w:rPr>
                        <w:color w:val="000000"/>
                        <w:sz w:val="20"/>
                      </w:rPr>
                    </w:pPr>
                  </w:p>
                </w:tc>
              </w:tr>
              <w:tr>
                <w:trPr>
                  <w:trHeight w:val="719"/>
                </w:trPr>
                <w:tc>
                  <w:tcPr>
                    <w:tcW w:w="2410" w:type="dxa"/>
                    <w:vMerge/>
                    <w:tcBorders>
                      <w:left w:val="single" w:sz="4" w:space="0" w:color="auto"/>
                      <w:right w:val="single" w:sz="4" w:space="0" w:color="auto"/>
                    </w:tcBorders>
                    <w:vAlign w:val="center"/>
                    <w:hideMark/>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R – Naujos arba modernizuotos sveikatos priežiūros infrastruktūros talpumas, asmenys per metus</w:t>
                    </w:r>
                  </w:p>
                </w:tc>
                <w:tc>
                  <w:tcPr>
                    <w:tcW w:w="851" w:type="dxa"/>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n/a</w:t>
                    </w:r>
                  </w:p>
                </w:tc>
                <w:tc>
                  <w:tcPr>
                    <w:tcW w:w="992" w:type="dxa"/>
                    <w:vMerge/>
                    <w:tcBorders>
                      <w:left w:val="single" w:sz="4" w:space="0" w:color="auto"/>
                      <w:right w:val="single" w:sz="4" w:space="0" w:color="auto"/>
                    </w:tcBorders>
                    <w:vAlign w:val="center"/>
                    <w:hideMark/>
                  </w:tcPr>
                  <w:p>
                    <w:pPr>
                      <w:rPr>
                        <w:color w:val="000000"/>
                        <w:sz w:val="20"/>
                      </w:rPr>
                    </w:pPr>
                  </w:p>
                </w:tc>
                <w:tc>
                  <w:tcPr>
                    <w:tcW w:w="1276" w:type="dxa"/>
                    <w:vMerge/>
                    <w:tcBorders>
                      <w:left w:val="single" w:sz="4" w:space="0" w:color="auto"/>
                      <w:right w:val="single" w:sz="4" w:space="0" w:color="auto"/>
                    </w:tcBorders>
                    <w:vAlign w:val="center"/>
                    <w:hideMark/>
                  </w:tcPr>
                  <w:p>
                    <w:pPr>
                      <w:rPr>
                        <w:color w:val="000000"/>
                        <w:sz w:val="20"/>
                      </w:rPr>
                    </w:pPr>
                  </w:p>
                </w:tc>
              </w:tr>
              <w:tr>
                <w:trPr>
                  <w:trHeight w:val="1025"/>
                </w:trPr>
                <w:tc>
                  <w:tcPr>
                    <w:tcW w:w="2410" w:type="dxa"/>
                    <w:vMerge w:val="restart"/>
                  </w:tcPr>
                  <w:p>
                    <w:pPr>
                      <w:rPr>
                        <w:sz w:val="20"/>
                      </w:rPr>
                    </w:pPr>
                    <w:r>
                      <w:rPr>
                        <w:sz w:val="20"/>
                      </w:rPr>
                      <w:t>2.4 Regionų ir savivaldybių sveikatos priežiūros įstaigų  infrastruktūros modernizavimas,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p>
                    <w:pPr>
                      <w:rPr>
                        <w:sz w:val="20"/>
                      </w:rPr>
                    </w:pP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Borders>
                      <w:left w:val="single" w:sz="4" w:space="0" w:color="auto"/>
                      <w:bottom w:val="single" w:sz="4" w:space="0" w:color="auto"/>
                      <w:right w:val="single" w:sz="4" w:space="0" w:color="auto"/>
                    </w:tcBorders>
                    <w:shd w:val="clear" w:color="auto" w:fill="auto"/>
                  </w:tcPr>
                  <w:p>
                    <w:pPr>
                      <w:rPr>
                        <w:sz w:val="20"/>
                      </w:rPr>
                    </w:pPr>
                    <w:r>
                      <w:rPr>
                        <w:color w:val="000000"/>
                        <w:sz w:val="20"/>
                      </w:rPr>
                      <w:t>9 133,595</w:t>
                    </w:r>
                  </w:p>
                </w:tc>
                <w:tc>
                  <w:tcPr>
                    <w:tcW w:w="992" w:type="dxa"/>
                  </w:tcPr>
                  <w:p>
                    <w:pPr>
                      <w:rPr>
                        <w:sz w:val="20"/>
                      </w:rPr>
                    </w:pPr>
                    <w:r>
                      <w:rPr>
                        <w:sz w:val="20"/>
                      </w:rPr>
                      <w:t>2021–2027 m. IP (ERPF)</w:t>
                    </w:r>
                  </w:p>
                  <w:p>
                    <w:pPr>
                      <w:rPr>
                        <w:sz w:val="20"/>
                      </w:rPr>
                    </w:pPr>
                  </w:p>
                </w:tc>
                <w:tc>
                  <w:tcPr>
                    <w:tcW w:w="2551" w:type="dxa"/>
                  </w:tcPr>
                  <w:p>
                    <w:pPr>
                      <w:ind w:left="-57" w:right="-57"/>
                      <w:rPr>
                        <w:sz w:val="20"/>
                      </w:rPr>
                    </w:pPr>
                    <w:r>
                      <w:rPr>
                        <w:sz w:val="20"/>
                      </w:rPr>
                      <w:t>P</w:t>
                    </w:r>
                    <w:r>
                      <w:t xml:space="preserve"> </w:t>
                    </w:r>
                    <w:r>
                      <w:rPr>
                        <w:color w:val="000000"/>
                        <w:szCs w:val="24"/>
                      </w:rPr>
                      <w:t xml:space="preserve">– </w:t>
                    </w:r>
                    <w:r>
                      <w:rPr>
                        <w:sz w:val="20"/>
                      </w:rPr>
                      <w:t xml:space="preserve">Naujos arba modernizuotos sveikatos priežiūros infrastruktūros talpumas, asmenys per metus </w:t>
                    </w:r>
                  </w:p>
                </w:tc>
                <w:tc>
                  <w:tcPr>
                    <w:tcW w:w="851" w:type="dxa"/>
                    <w:shd w:val="clear" w:color="auto" w:fill="auto"/>
                  </w:tcPr>
                  <w:p>
                    <w:pPr>
                      <w:ind w:left="-57" w:right="-57"/>
                      <w:jc w:val="center"/>
                      <w:rPr>
                        <w:sz w:val="20"/>
                      </w:rPr>
                    </w:pPr>
                    <w:r>
                      <w:rPr>
                        <w:sz w:val="20"/>
                      </w:rPr>
                      <w:t>96 410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983"/>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Pr>
                  <w:p>
                    <w:pPr>
                      <w:rPr>
                        <w:color w:val="000000"/>
                        <w:sz w:val="20"/>
                      </w:rPr>
                    </w:pPr>
                  </w:p>
                </w:tc>
                <w:tc>
                  <w:tcPr>
                    <w:tcW w:w="709" w:type="dxa"/>
                    <w:vMerge/>
                  </w:tcPr>
                  <w:p>
                    <w:pPr>
                      <w:rPr>
                        <w:color w:val="000000"/>
                        <w:sz w:val="20"/>
                      </w:rPr>
                    </w:pPr>
                  </w:p>
                </w:tc>
                <w:tc>
                  <w:tcPr>
                    <w:tcW w:w="1276" w:type="dxa"/>
                    <w:tcBorders>
                      <w:left w:val="single" w:sz="4" w:space="0" w:color="auto"/>
                      <w:bottom w:val="single" w:sz="4" w:space="0" w:color="auto"/>
                      <w:right w:val="single" w:sz="4" w:space="0" w:color="auto"/>
                    </w:tcBorders>
                    <w:shd w:val="clear" w:color="auto" w:fill="auto"/>
                  </w:tcPr>
                  <w:p>
                    <w:pPr>
                      <w:rPr>
                        <w:color w:val="000000"/>
                        <w:sz w:val="20"/>
                      </w:rPr>
                    </w:pPr>
                    <w:r>
                      <w:rPr>
                        <w:color w:val="000000"/>
                        <w:sz w:val="20"/>
                      </w:rPr>
                      <w:t>9 133,595</w:t>
                    </w:r>
                  </w:p>
                </w:tc>
                <w:tc>
                  <w:tcPr>
                    <w:tcW w:w="992" w:type="dxa"/>
                  </w:tcPr>
                  <w:p>
                    <w:pPr>
                      <w:rPr>
                        <w:sz w:val="20"/>
                      </w:rPr>
                    </w:pPr>
                    <w:r>
                      <w:rPr>
                        <w:sz w:val="20"/>
                      </w:rPr>
                      <w:t>2021–2027 m. IP (BF)</w:t>
                    </w:r>
                  </w:p>
                </w:tc>
                <w:tc>
                  <w:tcPr>
                    <w:tcW w:w="2551" w:type="dxa"/>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w:t>
                    </w:r>
                  </w:p>
                  <w:p>
                    <w:pPr>
                      <w:ind w:left="-57" w:right="-57"/>
                      <w:rPr>
                        <w:sz w:val="20"/>
                      </w:rPr>
                    </w:pPr>
                    <w:r>
                      <w:rPr>
                        <w:sz w:val="20"/>
                      </w:rPr>
                      <w:t xml:space="preserve">asmenys per metus </w:t>
                    </w:r>
                  </w:p>
                </w:tc>
                <w:tc>
                  <w:tcPr>
                    <w:tcW w:w="851" w:type="dxa"/>
                    <w:shd w:val="clear" w:color="auto" w:fill="auto"/>
                  </w:tcPr>
                  <w:p>
                    <w:pPr>
                      <w:ind w:left="-57" w:right="-57"/>
                      <w:jc w:val="center"/>
                      <w:rPr>
                        <w:sz w:val="20"/>
                      </w:rPr>
                    </w:pPr>
                    <w:r>
                      <w:rPr>
                        <w:sz w:val="20"/>
                      </w:rPr>
                      <w:t>91 590</w:t>
                    </w:r>
                  </w:p>
                  <w:p>
                    <w:pPr>
                      <w:ind w:left="-57" w:right="-57"/>
                      <w:jc w:val="center"/>
                      <w:rPr>
                        <w:sz w:val="20"/>
                      </w:rPr>
                    </w:pPr>
                    <w:r>
                      <w:rPr>
                        <w:sz w:val="20"/>
                      </w:rPr>
                      <w:t>(2029 m.)</w:t>
                    </w:r>
                  </w:p>
                </w:tc>
                <w:tc>
                  <w:tcPr>
                    <w:tcW w:w="992" w:type="dxa"/>
                    <w:vMerge/>
                  </w:tcPr>
                  <w:p>
                    <w:pPr>
                      <w:rPr>
                        <w:color w:val="000000"/>
                        <w:sz w:val="20"/>
                      </w:rPr>
                    </w:pPr>
                  </w:p>
                </w:tc>
                <w:tc>
                  <w:tcPr>
                    <w:tcW w:w="1276" w:type="dxa"/>
                    <w:vMerge/>
                    <w:tcBorders>
                      <w:left w:val="single" w:sz="4" w:space="0" w:color="auto"/>
                      <w:right w:val="single" w:sz="4" w:space="0" w:color="auto"/>
                    </w:tcBorders>
                  </w:tcPr>
                  <w:p>
                    <w:pPr>
                      <w:rPr>
                        <w:color w:val="000000"/>
                        <w:sz w:val="20"/>
                      </w:rPr>
                    </w:pPr>
                  </w:p>
                </w:tc>
              </w:tr>
              <w:tr>
                <w:trPr>
                  <w:trHeight w:val="1023"/>
                </w:trPr>
                <w:tc>
                  <w:tcPr>
                    <w:tcW w:w="2410" w:type="dxa"/>
                    <w:vMerge w:val="restart"/>
                  </w:tcPr>
                  <w:p>
                    <w:pPr>
                      <w:rPr>
                        <w:sz w:val="20"/>
                      </w:rPr>
                    </w:pPr>
                    <w:r>
                      <w:rPr>
                        <w:sz w:val="20"/>
                      </w:rPr>
                      <w:t>2.5. Regionų ir savivaldybių sveikatos priežiūros įstaigų  infrastruktūros modernizavimas,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p>
                    <w:pPr>
                      <w:rPr>
                        <w:sz w:val="20"/>
                      </w:rPr>
                    </w:pP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shd w:val="clear" w:color="auto" w:fill="auto"/>
                  </w:tcPr>
                  <w:p>
                    <w:pPr>
                      <w:rPr>
                        <w:sz w:val="20"/>
                      </w:rPr>
                    </w:pPr>
                    <w:r>
                      <w:rPr>
                        <w:sz w:val="20"/>
                      </w:rPr>
                      <w:t>44 022,749</w:t>
                    </w:r>
                  </w:p>
                </w:tc>
                <w:tc>
                  <w:tcPr>
                    <w:tcW w:w="992" w:type="dxa"/>
                  </w:tcPr>
                  <w:p>
                    <w:pPr>
                      <w:rPr>
                        <w:sz w:val="20"/>
                      </w:rPr>
                    </w:pPr>
                    <w:r>
                      <w:rPr>
                        <w:sz w:val="20"/>
                      </w:rPr>
                      <w:t>2021–2027 m. IP (ERPF)</w:t>
                    </w:r>
                  </w:p>
                </w:tc>
                <w:tc>
                  <w:tcPr>
                    <w:tcW w:w="2551" w:type="dxa"/>
                    <w:shd w:val="clear" w:color="auto" w:fill="auto"/>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 </w:t>
                    </w:r>
                  </w:p>
                </w:tc>
                <w:tc>
                  <w:tcPr>
                    <w:tcW w:w="851" w:type="dxa"/>
                    <w:shd w:val="clear" w:color="auto" w:fill="auto"/>
                  </w:tcPr>
                  <w:p>
                    <w:pPr>
                      <w:ind w:left="-57" w:right="-57"/>
                      <w:jc w:val="center"/>
                      <w:rPr>
                        <w:sz w:val="20"/>
                      </w:rPr>
                    </w:pPr>
                    <w:r>
                      <w:rPr>
                        <w:sz w:val="20"/>
                      </w:rPr>
                      <w:t>295 640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585"/>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shd w:val="clear" w:color="auto" w:fill="auto"/>
                  </w:tcPr>
                  <w:p>
                    <w:pPr>
                      <w:rPr>
                        <w:sz w:val="20"/>
                      </w:rPr>
                    </w:pPr>
                    <w:r>
                      <w:rPr>
                        <w:sz w:val="20"/>
                      </w:rPr>
                      <w:t>7 768,721</w:t>
                    </w:r>
                  </w:p>
                </w:tc>
                <w:tc>
                  <w:tcPr>
                    <w:tcW w:w="992" w:type="dxa"/>
                  </w:tcPr>
                  <w:p>
                    <w:pPr>
                      <w:rPr>
                        <w:sz w:val="20"/>
                      </w:rPr>
                    </w:pPr>
                    <w:r>
                      <w:rPr>
                        <w:sz w:val="20"/>
                      </w:rPr>
                      <w:t>2021–2027 m. IP (BF)</w:t>
                    </w: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w:t>
                    </w:r>
                  </w:p>
                </w:tc>
                <w:tc>
                  <w:tcPr>
                    <w:tcW w:w="851" w:type="dxa"/>
                    <w:shd w:val="clear" w:color="auto" w:fill="auto"/>
                  </w:tcPr>
                  <w:p>
                    <w:pPr>
                      <w:ind w:left="-57" w:right="-57"/>
                      <w:jc w:val="center"/>
                      <w:rPr>
                        <w:sz w:val="20"/>
                      </w:rPr>
                    </w:pPr>
                    <w:r>
                      <w:rPr>
                        <w:sz w:val="20"/>
                      </w:rPr>
                      <w:t>280 860</w:t>
                    </w:r>
                  </w:p>
                  <w:p>
                    <w:pPr>
                      <w:ind w:left="-57" w:right="-57"/>
                      <w:jc w:val="center"/>
                      <w:rPr>
                        <w:sz w:val="20"/>
                      </w:rPr>
                    </w:pPr>
                    <w:r>
                      <w:rPr>
                        <w:sz w:val="20"/>
                      </w:rPr>
                      <w:t>(2029 m.)</w:t>
                    </w:r>
                  </w:p>
                  <w:p>
                    <w:pPr>
                      <w:ind w:left="-57" w:right="-57"/>
                      <w:jc w:val="center"/>
                      <w:rPr>
                        <w:sz w:val="20"/>
                      </w:rPr>
                    </w:pP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960"/>
                </w:trPr>
                <w:tc>
                  <w:tcPr>
                    <w:tcW w:w="2410" w:type="dxa"/>
                    <w:vMerge w:val="restart"/>
                  </w:tcPr>
                  <w:p>
                    <w:pPr>
                      <w:rPr>
                        <w:sz w:val="20"/>
                      </w:rPr>
                    </w:pPr>
                    <w:r>
                      <w:rPr>
                        <w:sz w:val="20"/>
                      </w:rPr>
                      <w:t>2.6. Skubios telemedicinos paslaugų diegimas,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rPr>
                    </w:pPr>
                    <w:r>
                      <w:rPr>
                        <w:sz w:val="20"/>
                      </w:rPr>
                      <w:t>3 825</w:t>
                    </w:r>
                  </w:p>
                  <w:p>
                    <w:pPr>
                      <w:rPr>
                        <w:sz w:val="20"/>
                      </w:rPr>
                    </w:pPr>
                  </w:p>
                </w:tc>
                <w:tc>
                  <w:tcPr>
                    <w:tcW w:w="992" w:type="dxa"/>
                  </w:tcPr>
                  <w:p>
                    <w:pPr>
                      <w:rPr>
                        <w:sz w:val="20"/>
                      </w:rPr>
                    </w:pPr>
                    <w:r>
                      <w:rPr>
                        <w:sz w:val="20"/>
                      </w:rPr>
                      <w:t>2021–2027 m. IP (ERPF)</w:t>
                    </w:r>
                  </w:p>
                </w:tc>
                <w:tc>
                  <w:tcPr>
                    <w:tcW w:w="2551" w:type="dxa"/>
                    <w:vMerge w:val="restart"/>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vMerge w:val="restart"/>
                    <w:shd w:val="clear" w:color="auto" w:fill="auto"/>
                  </w:tcPr>
                  <w:p>
                    <w:pPr>
                      <w:ind w:left="-57" w:right="-57"/>
                      <w:jc w:val="center"/>
                      <w:rPr>
                        <w:sz w:val="20"/>
                      </w:rPr>
                    </w:pPr>
                    <w:r>
                      <w:rPr>
                        <w:sz w:val="20"/>
                      </w:rPr>
                      <w:t xml:space="preserve">3 600 </w:t>
                    </w:r>
                  </w:p>
                  <w:p>
                    <w:pPr>
                      <w:ind w:left="-57" w:right="-57"/>
                      <w:jc w:val="center"/>
                      <w:rPr>
                        <w:sz w:val="20"/>
                      </w:rPr>
                    </w:pPr>
                    <w:r>
                      <w:rPr>
                        <w:sz w:val="20"/>
                      </w:rPr>
                      <w:t>(2029 m.)</w:t>
                    </w:r>
                  </w:p>
                </w:tc>
                <w:tc>
                  <w:tcPr>
                    <w:tcW w:w="992" w:type="dxa"/>
                    <w:vMerge w:val="restart"/>
                  </w:tcPr>
                  <w:p>
                    <w:pPr>
                      <w:ind w:firstLine="53"/>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230"/>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Pr>
                  <w:p>
                    <w:pPr>
                      <w:rPr>
                        <w:color w:val="000000"/>
                        <w:sz w:val="20"/>
                      </w:rPr>
                    </w:pPr>
                  </w:p>
                </w:tc>
                <w:tc>
                  <w:tcPr>
                    <w:tcW w:w="709" w:type="dxa"/>
                    <w:vMerge/>
                  </w:tcPr>
                  <w:p>
                    <w:pPr>
                      <w:rPr>
                        <w:color w:val="000000"/>
                        <w:sz w:val="20"/>
                      </w:rPr>
                    </w:pPr>
                  </w:p>
                </w:tc>
                <w:tc>
                  <w:tcPr>
                    <w:tcW w:w="1276" w:type="dxa"/>
                    <w:vMerge w:val="restart"/>
                  </w:tcPr>
                  <w:p>
                    <w:pPr>
                      <w:rPr>
                        <w:sz w:val="20"/>
                      </w:rPr>
                    </w:pPr>
                    <w:r>
                      <w:rPr>
                        <w:sz w:val="20"/>
                      </w:rPr>
                      <w:t>675</w:t>
                    </w:r>
                  </w:p>
                  <w:p>
                    <w:pPr>
                      <w:rPr>
                        <w:color w:val="000000"/>
                        <w:sz w:val="20"/>
                      </w:rPr>
                    </w:pPr>
                  </w:p>
                </w:tc>
                <w:tc>
                  <w:tcPr>
                    <w:tcW w:w="992" w:type="dxa"/>
                    <w:vMerge w:val="restart"/>
                  </w:tcPr>
                  <w:p>
                    <w:pPr>
                      <w:rPr>
                        <w:color w:val="000000"/>
                        <w:sz w:val="20"/>
                      </w:rPr>
                    </w:pPr>
                    <w:r>
                      <w:rPr>
                        <w:sz w:val="20"/>
                      </w:rPr>
                      <w:t>2021–2027 m. IP (BF)</w:t>
                    </w:r>
                  </w:p>
                </w:tc>
                <w:tc>
                  <w:tcPr>
                    <w:tcW w:w="2551" w:type="dxa"/>
                    <w:vMerge/>
                  </w:tcPr>
                  <w:p>
                    <w:pPr>
                      <w:ind w:left="-57" w:right="-57"/>
                      <w:rPr>
                        <w:color w:val="FF0000"/>
                        <w:sz w:val="20"/>
                      </w:rPr>
                    </w:pPr>
                  </w:p>
                </w:tc>
                <w:tc>
                  <w:tcPr>
                    <w:tcW w:w="851" w:type="dxa"/>
                    <w:vMerge/>
                    <w:shd w:val="clear" w:color="auto" w:fill="auto"/>
                  </w:tcPr>
                  <w:p>
                    <w:pPr>
                      <w:ind w:left="-57" w:right="-57"/>
                      <w:jc w:val="center"/>
                      <w:rPr>
                        <w:color w:val="FF0000"/>
                        <w:sz w:val="20"/>
                      </w:rPr>
                    </w:pPr>
                  </w:p>
                </w:tc>
                <w:tc>
                  <w:tcPr>
                    <w:tcW w:w="992" w:type="dxa"/>
                    <w:vMerge/>
                  </w:tcPr>
                  <w:p>
                    <w:pPr>
                      <w:rPr>
                        <w:color w:val="000000"/>
                        <w:sz w:val="20"/>
                      </w:rPr>
                    </w:pPr>
                  </w:p>
                </w:tc>
                <w:tc>
                  <w:tcPr>
                    <w:tcW w:w="1276" w:type="dxa"/>
                    <w:vMerge/>
                    <w:tcBorders>
                      <w:left w:val="single" w:sz="4" w:space="0" w:color="auto"/>
                      <w:right w:val="single" w:sz="4" w:space="0" w:color="auto"/>
                    </w:tcBorders>
                  </w:tcPr>
                  <w:p>
                    <w:pPr>
                      <w:rPr>
                        <w:color w:val="000000"/>
                        <w:sz w:val="20"/>
                      </w:rPr>
                    </w:pPr>
                  </w:p>
                </w:tc>
              </w:tr>
              <w:tr>
                <w:trPr>
                  <w:trHeight w:val="970"/>
                </w:trPr>
                <w:tc>
                  <w:tcPr>
                    <w:tcW w:w="2410" w:type="dxa"/>
                    <w:vMerge/>
                    <w:vAlign w:val="center"/>
                  </w:tcPr>
                  <w:p>
                    <w:pPr>
                      <w:rPr>
                        <w:color w:val="000000"/>
                        <w:sz w:val="20"/>
                      </w:rPr>
                    </w:pPr>
                  </w:p>
                </w:tc>
                <w:tc>
                  <w:tcPr>
                    <w:tcW w:w="709" w:type="dxa"/>
                    <w:vMerge/>
                    <w:vAlign w:val="center"/>
                  </w:tcPr>
                  <w:p>
                    <w:pPr>
                      <w:rPr>
                        <w:color w:val="000000"/>
                        <w:sz w:val="20"/>
                      </w:rPr>
                    </w:pPr>
                  </w:p>
                </w:tc>
                <w:tc>
                  <w:tcPr>
                    <w:tcW w:w="1559" w:type="dxa"/>
                    <w:vMerge/>
                    <w:vAlign w:val="center"/>
                  </w:tcPr>
                  <w:p>
                    <w:pPr>
                      <w:rPr>
                        <w:color w:val="000000"/>
                        <w:sz w:val="20"/>
                      </w:rPr>
                    </w:pPr>
                  </w:p>
                </w:tc>
                <w:tc>
                  <w:tcPr>
                    <w:tcW w:w="709" w:type="dxa"/>
                    <w:vMerge/>
                    <w:vAlign w:val="center"/>
                  </w:tcPr>
                  <w:p>
                    <w:pPr>
                      <w:rPr>
                        <w:color w:val="000000"/>
                        <w:sz w:val="20"/>
                      </w:rPr>
                    </w:pPr>
                  </w:p>
                </w:tc>
                <w:tc>
                  <w:tcPr>
                    <w:tcW w:w="992" w:type="dxa"/>
                    <w:vMerge/>
                    <w:vAlign w:val="center"/>
                  </w:tcPr>
                  <w:p>
                    <w:pPr>
                      <w:rPr>
                        <w:color w:val="000000"/>
                        <w:sz w:val="20"/>
                      </w:rPr>
                    </w:pPr>
                  </w:p>
                </w:tc>
                <w:tc>
                  <w:tcPr>
                    <w:tcW w:w="709" w:type="dxa"/>
                    <w:vMerge/>
                    <w:vAlign w:val="center"/>
                  </w:tcPr>
                  <w:p>
                    <w:pPr>
                      <w:rPr>
                        <w:color w:val="000000"/>
                        <w:sz w:val="20"/>
                      </w:rPr>
                    </w:pPr>
                  </w:p>
                </w:tc>
                <w:tc>
                  <w:tcPr>
                    <w:tcW w:w="1276" w:type="dxa"/>
                    <w:vMerge/>
                    <w:vAlign w:val="center"/>
                  </w:tcPr>
                  <w:p>
                    <w:pPr>
                      <w:rPr>
                        <w:color w:val="000000"/>
                        <w:sz w:val="20"/>
                      </w:rPr>
                    </w:pPr>
                  </w:p>
                </w:tc>
                <w:tc>
                  <w:tcPr>
                    <w:tcW w:w="992" w:type="dxa"/>
                    <w:vMerge/>
                    <w:vAlign w:val="center"/>
                  </w:tcPr>
                  <w:p>
                    <w:pPr>
                      <w:rPr>
                        <w:color w:val="000000"/>
                        <w:sz w:val="20"/>
                      </w:rPr>
                    </w:pPr>
                  </w:p>
                </w:tc>
                <w:tc>
                  <w:tcPr>
                    <w:tcW w:w="2551" w:type="dxa"/>
                    <w:shd w:val="clear" w:color="auto" w:fill="auto"/>
                  </w:tcPr>
                  <w:p>
                    <w:pPr>
                      <w:ind w:left="-57" w:right="-57"/>
                      <w:rPr>
                        <w:color w:val="FF0000"/>
                        <w:sz w:val="20"/>
                      </w:rPr>
                    </w:pPr>
                    <w:r>
                      <w:rPr>
                        <w:sz w:val="20"/>
                      </w:rPr>
                      <w:t xml:space="preserve">R </w:t>
                    </w:r>
                    <w:r>
                      <w:rPr>
                        <w:color w:val="000000"/>
                        <w:szCs w:val="24"/>
                      </w:rPr>
                      <w:t xml:space="preserve">– </w:t>
                    </w:r>
                    <w:r>
                      <w:rPr>
                        <w:sz w:val="20"/>
                      </w:rPr>
                      <w:t>Naujos arba modernizuotos sveikatos priežiūros infrastruktūros naudotojų skaičius per metus</w:t>
                    </w:r>
                  </w:p>
                </w:tc>
                <w:tc>
                  <w:tcPr>
                    <w:tcW w:w="851" w:type="dxa"/>
                    <w:shd w:val="clear" w:color="auto" w:fill="auto"/>
                  </w:tcPr>
                  <w:p>
                    <w:pPr>
                      <w:ind w:left="-57" w:right="-57"/>
                      <w:jc w:val="center"/>
                      <w:rPr>
                        <w:sz w:val="20"/>
                      </w:rPr>
                    </w:pPr>
                    <w:r>
                      <w:rPr>
                        <w:sz w:val="20"/>
                      </w:rPr>
                      <w:t>2880</w:t>
                    </w:r>
                  </w:p>
                  <w:p>
                    <w:pPr>
                      <w:ind w:left="-57" w:right="-57"/>
                      <w:jc w:val="center"/>
                      <w:rPr>
                        <w:sz w:val="20"/>
                      </w:rPr>
                    </w:pPr>
                    <w:r>
                      <w:rPr>
                        <w:sz w:val="20"/>
                      </w:rPr>
                      <w:t>(2029 m.)</w:t>
                    </w:r>
                  </w:p>
                  <w:p>
                    <w:pPr>
                      <w:ind w:left="-57" w:right="-57"/>
                      <w:jc w:val="center"/>
                      <w:rPr>
                        <w:sz w:val="20"/>
                      </w:rPr>
                    </w:pPr>
                  </w:p>
                  <w:p>
                    <w:pPr>
                      <w:ind w:left="-57" w:right="-57"/>
                      <w:jc w:val="center"/>
                      <w:rPr>
                        <w:sz w:val="20"/>
                      </w:rPr>
                    </w:pPr>
                  </w:p>
                </w:tc>
                <w:tc>
                  <w:tcPr>
                    <w:tcW w:w="992" w:type="dxa"/>
                    <w:vMerge/>
                    <w:tcBorders>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shd w:val="clear" w:color="auto" w:fill="F2F2F2" w:themeFill="background1" w:themeFillShade="F2"/>
                  </w:tcPr>
                  <w:p>
                    <w:pPr>
                      <w:rPr>
                        <w:color w:val="000000"/>
                        <w:sz w:val="20"/>
                      </w:rPr>
                    </w:pPr>
                    <w:r>
                      <w:rPr>
                        <w:b/>
                        <w:bCs/>
                        <w:sz w:val="20"/>
                      </w:rPr>
                      <w:t>3.</w:t>
                    </w:r>
                    <w:r>
                      <w:rPr>
                        <w:b/>
                        <w:bCs/>
                        <w:color w:val="000000"/>
                        <w:sz w:val="20"/>
                      </w:rPr>
                      <w:t xml:space="preserve"> Pažangių ir įrodymais pagrįstų technologijų sveikatos sektoriuje diegimas</w:t>
                    </w:r>
                  </w:p>
                </w:tc>
                <w:tc>
                  <w:tcPr>
                    <w:tcW w:w="709" w:type="dxa"/>
                    <w:vMerge w:val="restart"/>
                    <w:shd w:val="clear" w:color="auto" w:fill="F2F2F2" w:themeFill="background1" w:themeFillShade="F2"/>
                  </w:tcPr>
                  <w:p>
                    <w:pPr>
                      <w:rPr>
                        <w:color w:val="000000"/>
                        <w:sz w:val="20"/>
                      </w:rPr>
                    </w:pPr>
                    <w:r>
                      <w:rPr>
                        <w:sz w:val="20"/>
                      </w:rPr>
                      <w:t>-</w:t>
                    </w:r>
                  </w:p>
                </w:tc>
                <w:tc>
                  <w:tcPr>
                    <w:tcW w:w="1559" w:type="dxa"/>
                    <w:vMerge w:val="restart"/>
                    <w:shd w:val="clear" w:color="auto" w:fill="F2F2F2" w:themeFill="background1" w:themeFillShade="F2"/>
                  </w:tcPr>
                  <w:p>
                    <w:pPr>
                      <w:rPr>
                        <w:color w:val="000000"/>
                        <w:sz w:val="20"/>
                      </w:rPr>
                    </w:pPr>
                    <w:r>
                      <w:rPr>
                        <w:sz w:val="20"/>
                      </w:rPr>
                      <w:t>-</w:t>
                    </w:r>
                  </w:p>
                </w:tc>
                <w:tc>
                  <w:tcPr>
                    <w:tcW w:w="709" w:type="dxa"/>
                    <w:vMerge w:val="restart"/>
                    <w:shd w:val="clear" w:color="auto" w:fill="F2F2F2" w:themeFill="background1" w:themeFillShade="F2"/>
                  </w:tcPr>
                  <w:p>
                    <w:pPr>
                      <w:rPr>
                        <w:color w:val="000000"/>
                        <w:sz w:val="20"/>
                      </w:rPr>
                    </w:pPr>
                    <w:r>
                      <w:rPr>
                        <w:sz w:val="20"/>
                      </w:rPr>
                      <w:t>-</w:t>
                    </w:r>
                  </w:p>
                </w:tc>
                <w:tc>
                  <w:tcPr>
                    <w:tcW w:w="992" w:type="dxa"/>
                    <w:vMerge w:val="restart"/>
                    <w:shd w:val="clear" w:color="auto" w:fill="F2F2F2" w:themeFill="background1" w:themeFillShade="F2"/>
                  </w:tcPr>
                  <w:p>
                    <w:pPr>
                      <w:rPr>
                        <w:color w:val="000000"/>
                        <w:sz w:val="20"/>
                      </w:rPr>
                    </w:pPr>
                    <w:r>
                      <w:rPr>
                        <w:sz w:val="20"/>
                      </w:rPr>
                      <w:t>-</w:t>
                    </w:r>
                  </w:p>
                </w:tc>
                <w:tc>
                  <w:tcPr>
                    <w:tcW w:w="709" w:type="dxa"/>
                    <w:vMerge w:val="restart"/>
                    <w:shd w:val="clear" w:color="auto" w:fill="F2F2F2" w:themeFill="background1" w:themeFillShade="F2"/>
                  </w:tcPr>
                  <w:p>
                    <w:pPr>
                      <w:rPr>
                        <w:color w:val="000000"/>
                        <w:sz w:val="20"/>
                      </w:rPr>
                    </w:pPr>
                    <w:r>
                      <w:rPr>
                        <w:sz w:val="20"/>
                      </w:rPr>
                      <w:t>-</w:t>
                    </w:r>
                  </w:p>
                </w:tc>
                <w:tc>
                  <w:tcPr>
                    <w:tcW w:w="1276" w:type="dxa"/>
                    <w:shd w:val="clear" w:color="auto" w:fill="F2F2F2" w:themeFill="background1" w:themeFillShade="F2"/>
                  </w:tcPr>
                  <w:p>
                    <w:pPr>
                      <w:rPr>
                        <w:color w:val="000000"/>
                        <w:sz w:val="20"/>
                      </w:rPr>
                    </w:pPr>
                    <w:r>
                      <w:rPr>
                        <w:b/>
                        <w:bCs/>
                        <w:sz w:val="20"/>
                      </w:rPr>
                      <w:t>52 970,227</w:t>
                    </w:r>
                  </w:p>
                </w:tc>
                <w:tc>
                  <w:tcPr>
                    <w:tcW w:w="992" w:type="dxa"/>
                    <w:shd w:val="clear" w:color="auto" w:fill="F2F2F2" w:themeFill="background1" w:themeFillShade="F2"/>
                  </w:tcPr>
                  <w:p>
                    <w:pPr>
                      <w:rPr>
                        <w:color w:val="000000"/>
                        <w:sz w:val="20"/>
                      </w:rPr>
                    </w:pPr>
                    <w:r>
                      <w:rPr>
                        <w:sz w:val="20"/>
                      </w:rPr>
                      <w:t>-</w:t>
                    </w:r>
                  </w:p>
                </w:tc>
                <w:tc>
                  <w:tcPr>
                    <w:tcW w:w="2551" w:type="dxa"/>
                    <w:shd w:val="clear" w:color="auto" w:fill="F2F2F2" w:themeFill="background1" w:themeFillShade="F2"/>
                  </w:tcPr>
                  <w:p>
                    <w:pPr>
                      <w:ind w:left="-57" w:right="-57"/>
                      <w:rPr>
                        <w:color w:val="FF0000"/>
                        <w:sz w:val="20"/>
                      </w:rPr>
                    </w:pPr>
                    <w:r>
                      <w:rPr>
                        <w:sz w:val="20"/>
                      </w:rPr>
                      <w:t xml:space="preserve">R </w:t>
                    </w:r>
                    <w:r>
                      <w:rPr>
                        <w:color w:val="000000"/>
                        <w:szCs w:val="24"/>
                      </w:rPr>
                      <w:t>–</w:t>
                    </w:r>
                    <w:r>
                      <w:rPr>
                        <w:sz w:val="20"/>
                      </w:rPr>
                      <w:t xml:space="preserve"> Bendras 5 metų išgyvenamumas sergant krūties vėžiu (dalis nuo visų atvejų),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83</w:t>
                    </w:r>
                  </w:p>
                  <w:p>
                    <w:pPr>
                      <w:ind w:left="-57" w:right="-57"/>
                      <w:jc w:val="center"/>
                      <w:rPr>
                        <w:color w:val="FF0000"/>
                        <w:sz w:val="20"/>
                      </w:rPr>
                    </w:pPr>
                    <w:r>
                      <w:rPr>
                        <w:sz w:val="20"/>
                      </w:rPr>
                      <w:t>(2030 m.)</w:t>
                    </w:r>
                  </w:p>
                </w:tc>
                <w:tc>
                  <w:tcPr>
                    <w:tcW w:w="992" w:type="dxa"/>
                    <w:vMerge w:val="restart"/>
                    <w:shd w:val="clear" w:color="auto" w:fill="F2F2F2" w:themeFill="background1" w:themeFillShade="F2"/>
                  </w:tcPr>
                  <w:p>
                    <w:pPr>
                      <w:rPr>
                        <w:color w:val="000000"/>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19 500</w:t>
                    </w:r>
                  </w:p>
                </w:tc>
                <w:tc>
                  <w:tcPr>
                    <w:tcW w:w="992" w:type="dxa"/>
                    <w:shd w:val="clear" w:color="auto" w:fill="F2F2F2" w:themeFill="background1" w:themeFillShade="F2"/>
                  </w:tcPr>
                  <w:p>
                    <w:pPr>
                      <w:rPr>
                        <w:sz w:val="20"/>
                      </w:rPr>
                    </w:pPr>
                    <w:r>
                      <w:rPr>
                        <w:sz w:val="20"/>
                      </w:rPr>
                      <w:t>EGADP</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5 metų išgyvenamumas sergant gimdos kaklelio vėžiu (dalis nuo visų atvejų),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67,9</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4 090</w:t>
                    </w:r>
                  </w:p>
                </w:tc>
                <w:tc>
                  <w:tcPr>
                    <w:tcW w:w="992" w:type="dxa"/>
                    <w:shd w:val="clear" w:color="auto" w:fill="F2F2F2" w:themeFill="background1" w:themeFillShade="F2"/>
                  </w:tcPr>
                  <w:p>
                    <w:pPr>
                      <w:rPr>
                        <w:sz w:val="20"/>
                      </w:rPr>
                    </w:pPr>
                    <w:r>
                      <w:rPr>
                        <w:sz w:val="20"/>
                      </w:rPr>
                      <w:t>PVM iš VB</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Vyrų 5 metų išgyvenamumas sergant storosios žarnos vėžiu (dalis nuo visų atvejų),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55</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8 823,193</w:t>
                    </w:r>
                  </w:p>
                </w:tc>
                <w:tc>
                  <w:tcPr>
                    <w:tcW w:w="992" w:type="dxa"/>
                    <w:shd w:val="clear" w:color="auto" w:fill="F2F2F2" w:themeFill="background1" w:themeFillShade="F2"/>
                  </w:tcPr>
                  <w:p>
                    <w:pPr>
                      <w:rPr>
                        <w:sz w:val="20"/>
                      </w:rPr>
                    </w:pPr>
                    <w:r>
                      <w:rPr>
                        <w:sz w:val="20"/>
                      </w:rPr>
                      <w:t xml:space="preserve">2021–2027 m. IP (ESF+, VVL regionas) </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Moterų 5 metų išgyvenamumas sergant storosios žarnos vėžiu (dalis nuo visų atvejų), proc. </w:t>
                    </w:r>
                  </w:p>
                </w:tc>
                <w:tc>
                  <w:tcPr>
                    <w:tcW w:w="851" w:type="dxa"/>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sz w:val="20"/>
                      </w:rPr>
                    </w:pPr>
                    <w:r>
                      <w:rPr>
                        <w:sz w:val="20"/>
                      </w:rPr>
                      <w:t>62,5</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1 557,034</w:t>
                    </w:r>
                  </w:p>
                </w:tc>
                <w:tc>
                  <w:tcPr>
                    <w:tcW w:w="992" w:type="dxa"/>
                    <w:shd w:val="clear" w:color="auto" w:fill="F2F2F2" w:themeFill="background1" w:themeFillShade="F2"/>
                  </w:tcPr>
                  <w:p>
                    <w:pPr>
                      <w:rPr>
                        <w:sz w:val="20"/>
                      </w:rPr>
                    </w:pPr>
                    <w:r>
                      <w:rPr>
                        <w:sz w:val="20"/>
                      </w:rPr>
                      <w:t xml:space="preserve">2021–2027 m. IP (BF, VVL regionas) </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Mirštamumas nuo miokardo infarkto per 30 dienų nuo hospitalizacijos, proc.</w:t>
                    </w:r>
                  </w:p>
                </w:tc>
                <w:tc>
                  <w:tcPr>
                    <w:tcW w:w="851" w:type="dxa"/>
                    <w:tcBorders>
                      <w:top w:val="single" w:sz="4" w:space="0" w:color="auto"/>
                      <w:left w:val="single" w:sz="4" w:space="0" w:color="auto"/>
                    </w:tcBorders>
                    <w:shd w:val="clear" w:color="auto" w:fill="F2F2F2" w:themeFill="background1" w:themeFillShade="F2"/>
                  </w:tcPr>
                  <w:p>
                    <w:pPr>
                      <w:ind w:left="-57" w:right="-57"/>
                      <w:jc w:val="center"/>
                      <w:rPr>
                        <w:sz w:val="20"/>
                      </w:rPr>
                    </w:pPr>
                    <w:r>
                      <w:rPr>
                        <w:sz w:val="20"/>
                      </w:rPr>
                      <w:t>9</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19 000</w:t>
                    </w:r>
                  </w:p>
                </w:tc>
                <w:tc>
                  <w:tcPr>
                    <w:tcW w:w="992" w:type="dxa"/>
                    <w:shd w:val="clear" w:color="auto" w:fill="F2F2F2" w:themeFill="background1" w:themeFillShade="F2"/>
                  </w:tcPr>
                  <w:p>
                    <w:pPr>
                      <w:rPr>
                        <w:sz w:val="20"/>
                      </w:rPr>
                    </w:pPr>
                    <w:r>
                      <w:rPr>
                        <w:sz w:val="20"/>
                      </w:rPr>
                      <w:t>VB</w:t>
                    </w:r>
                  </w:p>
                </w:tc>
                <w:tc>
                  <w:tcPr>
                    <w:tcW w:w="2551" w:type="dxa"/>
                    <w:tcBorders>
                      <w:top w:val="single" w:sz="4" w:space="0" w:color="auto"/>
                      <w:bottom w:val="single" w:sz="4" w:space="0" w:color="auto"/>
                      <w:right w:val="single" w:sz="4" w:space="0" w:color="auto"/>
                    </w:tcBorders>
                    <w:shd w:val="clear" w:color="auto" w:fill="F2F2F2" w:themeFill="background1" w:themeFillShade="F2"/>
                  </w:tcPr>
                  <w:p>
                    <w:pPr>
                      <w:ind w:left="-57" w:right="-57"/>
                      <w:rPr>
                        <w:sz w:val="20"/>
                      </w:rPr>
                    </w:pPr>
                    <w:r>
                      <w:rPr>
                        <w:sz w:val="20"/>
                      </w:rPr>
                      <w:t xml:space="preserve">R </w:t>
                    </w:r>
                    <w:r>
                      <w:rPr>
                        <w:color w:val="000000"/>
                        <w:szCs w:val="24"/>
                      </w:rPr>
                      <w:t xml:space="preserve">– </w:t>
                    </w:r>
                    <w:r>
                      <w:rPr>
                        <w:sz w:val="20"/>
                      </w:rPr>
                      <w:t>Mirštamumas nuo išeminio galvos smegenų insulto per 30 dienų po hospitalizacijos, proc.</w:t>
                    </w:r>
                  </w:p>
                </w:tc>
                <w:tc>
                  <w:tcPr>
                    <w:tcW w:w="851" w:type="dxa"/>
                    <w:tcBorders>
                      <w:top w:val="single" w:sz="4" w:space="0" w:color="auto"/>
                      <w:left w:val="single" w:sz="4" w:space="0" w:color="auto"/>
                      <w:bottom w:val="single" w:sz="4" w:space="0" w:color="auto"/>
                    </w:tcBorders>
                    <w:shd w:val="clear" w:color="auto" w:fill="F2F2F2" w:themeFill="background1" w:themeFillShade="F2"/>
                  </w:tcPr>
                  <w:p>
                    <w:pPr>
                      <w:ind w:left="-57" w:right="-57"/>
                      <w:jc w:val="center"/>
                      <w:rPr>
                        <w:sz w:val="20"/>
                      </w:rPr>
                    </w:pPr>
                    <w:r>
                      <w:rPr>
                        <w:sz w:val="20"/>
                      </w:rPr>
                      <w:t>12</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75"/>
                </w:trPr>
                <w:tc>
                  <w:tcPr>
                    <w:tcW w:w="2410" w:type="dxa"/>
                    <w:vMerge w:val="restart"/>
                  </w:tcPr>
                  <w:p>
                    <w:pPr>
                      <w:rPr>
                        <w:color w:val="000000"/>
                        <w:sz w:val="20"/>
                      </w:rPr>
                    </w:pPr>
                    <w:r>
                      <w:rPr>
                        <w:sz w:val="20"/>
                      </w:rPr>
                      <w:t>3.1. Pažangios terapijos centro statyba</w:t>
                    </w:r>
                  </w:p>
                </w:tc>
                <w:tc>
                  <w:tcPr>
                    <w:tcW w:w="709" w:type="dxa"/>
                    <w:vMerge w:val="restart"/>
                  </w:tcPr>
                  <w:p>
                    <w:pPr>
                      <w:rPr>
                        <w:color w:val="000000"/>
                        <w:sz w:val="20"/>
                      </w:rPr>
                    </w:pPr>
                    <w:r>
                      <w:rPr>
                        <w:sz w:val="20"/>
                      </w:rPr>
                      <w:t>I</w:t>
                    </w:r>
                  </w:p>
                </w:tc>
                <w:tc>
                  <w:tcPr>
                    <w:tcW w:w="1559" w:type="dxa"/>
                    <w:vMerge w:val="restart"/>
                  </w:tcPr>
                  <w:p>
                    <w:pPr>
                      <w:rPr>
                        <w:color w:val="000000"/>
                        <w:sz w:val="20"/>
                      </w:rPr>
                    </w:pPr>
                    <w:r>
                      <w:rPr>
                        <w:sz w:val="20"/>
                      </w:rPr>
                      <w:t>VšĮ Vilniaus universiteto ligoninė Santaros klinikos</w:t>
                    </w:r>
                  </w:p>
                </w:tc>
                <w:tc>
                  <w:tcPr>
                    <w:tcW w:w="709" w:type="dxa"/>
                    <w:vMerge w:val="restart"/>
                  </w:tcPr>
                  <w:p>
                    <w:pPr>
                      <w:rPr>
                        <w:color w:val="000000"/>
                        <w:sz w:val="20"/>
                      </w:rPr>
                    </w:pPr>
                    <w:r>
                      <w:rPr>
                        <w:sz w:val="20"/>
                      </w:rPr>
                      <w:t>P</w:t>
                    </w:r>
                  </w:p>
                </w:tc>
                <w:tc>
                  <w:tcPr>
                    <w:tcW w:w="992" w:type="dxa"/>
                    <w:vMerge w:val="restart"/>
                    <w:tcBorders>
                      <w:left w:val="single" w:sz="4" w:space="0" w:color="auto"/>
                      <w:right w:val="single" w:sz="4" w:space="0" w:color="auto"/>
                    </w:tcBorders>
                  </w:tcPr>
                  <w:p>
                    <w:pPr>
                      <w:jc w:val="center"/>
                      <w:rPr>
                        <w:color w:val="000000"/>
                        <w:sz w:val="20"/>
                      </w:rPr>
                    </w:pPr>
                    <w:r>
                      <w:rPr>
                        <w:color w:val="000000"/>
                        <w:sz w:val="20"/>
                      </w:rPr>
                      <w:t>Taip</w:t>
                    </w:r>
                  </w:p>
                </w:tc>
                <w:tc>
                  <w:tcPr>
                    <w:tcW w:w="709" w:type="dxa"/>
                    <w:vMerge w:val="restart"/>
                    <w:tcBorders>
                      <w:left w:val="single" w:sz="4" w:space="0" w:color="auto"/>
                      <w:right w:val="single" w:sz="4" w:space="0" w:color="auto"/>
                    </w:tcBorders>
                  </w:tcPr>
                  <w:p>
                    <w:pPr>
                      <w:jc w:val="center"/>
                      <w:rPr>
                        <w:color w:val="000000"/>
                        <w:sz w:val="20"/>
                      </w:rPr>
                    </w:pPr>
                    <w:r>
                      <w:rPr>
                        <w:color w:val="000000"/>
                        <w:sz w:val="20"/>
                      </w:rPr>
                      <w:t>D</w:t>
                    </w:r>
                  </w:p>
                </w:tc>
                <w:tc>
                  <w:tcPr>
                    <w:tcW w:w="1276" w:type="dxa"/>
                    <w:tcBorders>
                      <w:left w:val="single" w:sz="4" w:space="0" w:color="auto"/>
                      <w:right w:val="single" w:sz="4" w:space="0" w:color="auto"/>
                    </w:tcBorders>
                    <w:vAlign w:val="center"/>
                  </w:tcPr>
                  <w:p>
                    <w:pPr>
                      <w:rPr>
                        <w:color w:val="000000"/>
                        <w:sz w:val="20"/>
                      </w:rPr>
                    </w:pPr>
                    <w:r>
                      <w:rPr>
                        <w:color w:val="000000"/>
                        <w:sz w:val="20"/>
                      </w:rPr>
                      <w:t>13 200</w:t>
                    </w:r>
                  </w:p>
                </w:tc>
                <w:tc>
                  <w:tcPr>
                    <w:tcW w:w="992" w:type="dxa"/>
                    <w:tcBorders>
                      <w:left w:val="single" w:sz="4" w:space="0" w:color="auto"/>
                      <w:right w:val="single" w:sz="4" w:space="0" w:color="auto"/>
                    </w:tcBorders>
                    <w:vAlign w:val="center"/>
                  </w:tcPr>
                  <w:p>
                    <w:pPr>
                      <w:rPr>
                        <w:color w:val="000000"/>
                        <w:sz w:val="20"/>
                      </w:rPr>
                    </w:pPr>
                    <w:r>
                      <w:rPr>
                        <w:color w:val="000000"/>
                        <w:sz w:val="20"/>
                      </w:rPr>
                      <w:t>EGADP</w:t>
                    </w:r>
                  </w:p>
                </w:tc>
                <w:tc>
                  <w:tcPr>
                    <w:tcW w:w="2551" w:type="dxa"/>
                    <w:vMerge w:val="restart"/>
                    <w:tcBorders>
                      <w:top w:val="single" w:sz="4" w:space="0" w:color="auto"/>
                      <w:left w:val="single" w:sz="4" w:space="0" w:color="auto"/>
                      <w:right w:val="single" w:sz="4" w:space="0" w:color="auto"/>
                    </w:tcBorders>
                    <w:shd w:val="clear" w:color="auto" w:fill="auto"/>
                  </w:tcPr>
                  <w:p>
                    <w:pPr>
                      <w:ind w:left="-57" w:right="-57"/>
                      <w:rPr>
                        <w:sz w:val="20"/>
                      </w:rPr>
                    </w:pPr>
                    <w:r>
                      <w:rPr>
                        <w:sz w:val="20"/>
                      </w:rPr>
                      <w:t>P – Pažangiosios terapijos centro pastato statybos darbų viešojo pirkimo procedūrų užbaigimas, vnt.</w:t>
                    </w:r>
                  </w:p>
                </w:tc>
                <w:tc>
                  <w:tcPr>
                    <w:tcW w:w="851"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(2022 m. IV ketv.)</w:t>
                    </w:r>
                  </w:p>
                </w:tc>
                <w:tc>
                  <w:tcPr>
                    <w:tcW w:w="992" w:type="dxa"/>
                    <w:vMerge w:val="restart"/>
                    <w:tcBorders>
                      <w:left w:val="single" w:sz="4" w:space="0" w:color="auto"/>
                      <w:right w:val="single" w:sz="4" w:space="0" w:color="auto"/>
                    </w:tcBorders>
                  </w:tcPr>
                  <w:p>
                    <w:pPr>
                      <w:jc w:val="center"/>
                      <w:rPr>
                        <w:color w:val="000000"/>
                        <w:sz w:val="20"/>
                      </w:rPr>
                    </w:pPr>
                    <w:r>
                      <w:rPr>
                        <w:color w:val="000000"/>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349"/>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tcBorders>
                      <w:left w:val="single" w:sz="4" w:space="0" w:color="auto"/>
                      <w:right w:val="single" w:sz="4" w:space="0" w:color="auto"/>
                    </w:tcBorders>
                    <w:vAlign w:val="center"/>
                  </w:tcPr>
                  <w:p>
                    <w:pPr>
                      <w:rPr>
                        <w:color w:val="000000"/>
                        <w:sz w:val="20"/>
                      </w:rPr>
                    </w:pPr>
                    <w:r>
                      <w:rPr>
                        <w:color w:val="000000"/>
                        <w:sz w:val="20"/>
                      </w:rPr>
                      <w:t>2 770</w:t>
                    </w:r>
                  </w:p>
                </w:tc>
                <w:tc>
                  <w:tcPr>
                    <w:tcW w:w="992" w:type="dxa"/>
                    <w:tcBorders>
                      <w:left w:val="single" w:sz="4" w:space="0" w:color="auto"/>
                      <w:right w:val="single" w:sz="4" w:space="0" w:color="auto"/>
                    </w:tcBorders>
                    <w:vAlign w:val="center"/>
                  </w:tcPr>
                  <w:p>
                    <w:pPr>
                      <w:rPr>
                        <w:color w:val="000000"/>
                        <w:sz w:val="20"/>
                      </w:rPr>
                    </w:pPr>
                    <w:r>
                      <w:rPr>
                        <w:color w:val="000000"/>
                        <w:sz w:val="20"/>
                      </w:rPr>
                      <w:t>PVM iš VB</w:t>
                    </w:r>
                  </w:p>
                </w:tc>
                <w:tc>
                  <w:tcPr>
                    <w:tcW w:w="2551" w:type="dxa"/>
                    <w:vMerge/>
                    <w:tcBorders>
                      <w:left w:val="single" w:sz="4" w:space="0" w:color="auto"/>
                      <w:right w:val="single" w:sz="4" w:space="0" w:color="auto"/>
                    </w:tcBorders>
                    <w:shd w:val="clear" w:color="auto" w:fill="auto"/>
                  </w:tcPr>
                  <w:p>
                    <w:pPr>
                      <w:ind w:left="-57" w:right="-57"/>
                      <w:rPr>
                        <w:color w:val="FF0000"/>
                        <w:sz w:val="20"/>
                      </w:rPr>
                    </w:pPr>
                  </w:p>
                </w:tc>
                <w:tc>
                  <w:tcPr>
                    <w:tcW w:w="851" w:type="dxa"/>
                    <w:vMerge/>
                    <w:tcBorders>
                      <w:left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230"/>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val="restart"/>
                    <w:tcBorders>
                      <w:left w:val="single" w:sz="4" w:space="0" w:color="auto"/>
                      <w:right w:val="single" w:sz="4" w:space="0" w:color="auto"/>
                    </w:tcBorders>
                    <w:vAlign w:val="center"/>
                  </w:tcPr>
                  <w:p>
                    <w:pPr>
                      <w:rPr>
                        <w:color w:val="000000"/>
                        <w:sz w:val="20"/>
                      </w:rPr>
                    </w:pPr>
                  </w:p>
                </w:tc>
                <w:tc>
                  <w:tcPr>
                    <w:tcW w:w="992" w:type="dxa"/>
                    <w:vMerge w:val="restart"/>
                    <w:tcBorders>
                      <w:left w:val="single" w:sz="4" w:space="0" w:color="auto"/>
                      <w:right w:val="single" w:sz="4" w:space="0" w:color="auto"/>
                    </w:tcBorders>
                    <w:vAlign w:val="center"/>
                  </w:tcPr>
                  <w:p>
                    <w:pPr>
                      <w:rPr>
                        <w:color w:val="000000"/>
                        <w:sz w:val="20"/>
                      </w:rPr>
                    </w:pPr>
                  </w:p>
                </w:tc>
                <w:tc>
                  <w:tcPr>
                    <w:tcW w:w="2551" w:type="dxa"/>
                    <w:vMerge/>
                    <w:tcBorders>
                      <w:left w:val="single" w:sz="4" w:space="0" w:color="auto"/>
                      <w:bottom w:val="single" w:sz="4" w:space="0" w:color="auto"/>
                      <w:right w:val="single" w:sz="4" w:space="0" w:color="auto"/>
                    </w:tcBorders>
                    <w:shd w:val="clear" w:color="auto" w:fill="auto"/>
                  </w:tcPr>
                  <w:p>
                    <w:pPr>
                      <w:ind w:left="-57" w:right="-57"/>
                      <w:rPr>
                        <w:color w:val="FF0000"/>
                        <w:sz w:val="20"/>
                      </w:rPr>
                    </w:pPr>
                  </w:p>
                </w:tc>
                <w:tc>
                  <w:tcPr>
                    <w:tcW w:w="851" w:type="dxa"/>
                    <w:vMerge/>
                    <w:tcBorders>
                      <w:left w:val="single" w:sz="4" w:space="0" w:color="auto"/>
                      <w:bottom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FF0000"/>
                        <w:sz w:val="20"/>
                      </w:rPr>
                    </w:pPr>
                    <w:r>
                      <w:rPr>
                        <w:sz w:val="20"/>
                      </w:rPr>
                      <w:t>P – Sukurtas pažangios terapijos centras, vnt.</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(2025 m. IV ketv.)</w:t>
                    </w: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61"/>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color w:val="FF0000"/>
                        <w:sz w:val="20"/>
                      </w:rPr>
                    </w:pPr>
                    <w:r>
                      <w:rPr>
                        <w:sz w:val="20"/>
                      </w:rPr>
                      <w:t>R – Naujos arba modernizuotos sveikatos priežiūros infrastruktūros talpumas, asmenys per metus</w:t>
                    </w:r>
                  </w:p>
                </w:tc>
                <w:tc>
                  <w:tcPr>
                    <w:tcW w:w="851" w:type="dxa"/>
                    <w:tcBorders>
                      <w:top w:val="single" w:sz="4" w:space="0" w:color="auto"/>
                      <w:left w:val="single" w:sz="4" w:space="0" w:color="auto"/>
                      <w:right w:val="single" w:sz="4" w:space="0" w:color="auto"/>
                    </w:tcBorders>
                    <w:shd w:val="clear" w:color="auto" w:fill="auto"/>
                  </w:tcPr>
                  <w:p>
                    <w:pPr>
                      <w:ind w:left="-57" w:right="-57"/>
                      <w:jc w:val="center"/>
                      <w:rPr>
                        <w:color w:val="FF0000"/>
                        <w:sz w:val="20"/>
                      </w:rPr>
                    </w:pPr>
                    <w:r>
                      <w:rPr>
                        <w:sz w:val="20"/>
                      </w:rPr>
                      <w:t>n/a</w:t>
                    </w:r>
                  </w:p>
                  <w:p>
                    <w:pPr>
                      <w:ind w:left="-57" w:right="-57"/>
                      <w:jc w:val="center"/>
                      <w:rPr>
                        <w:color w:val="FF0000"/>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520"/>
                </w:trPr>
                <w:tc>
                  <w:tcPr>
                    <w:tcW w:w="2410" w:type="dxa"/>
                    <w:vMerge w:val="restart"/>
                  </w:tcPr>
                  <w:p>
                    <w:pPr>
                      <w:rPr>
                        <w:color w:val="000000"/>
                        <w:sz w:val="20"/>
                      </w:rPr>
                    </w:pPr>
                    <w:r>
                      <w:rPr>
                        <w:sz w:val="20"/>
                      </w:rPr>
                      <w:t>3.2. Genomo tyrimams atlikti reikalingos įrangos įsigijimas ir tyrimų atlikimas</w:t>
                    </w:r>
                  </w:p>
                </w:tc>
                <w:tc>
                  <w:tcPr>
                    <w:tcW w:w="709" w:type="dxa"/>
                    <w:vMerge w:val="restart"/>
                  </w:tcPr>
                  <w:p>
                    <w:pPr>
                      <w:rPr>
                        <w:color w:val="000000"/>
                        <w:sz w:val="20"/>
                      </w:rPr>
                    </w:pPr>
                    <w:r>
                      <w:rPr>
                        <w:sz w:val="20"/>
                      </w:rPr>
                      <w:t>I</w:t>
                    </w:r>
                  </w:p>
                </w:tc>
                <w:tc>
                  <w:tcPr>
                    <w:tcW w:w="1559" w:type="dxa"/>
                    <w:vMerge w:val="restart"/>
                  </w:tcPr>
                  <w:p>
                    <w:pPr>
                      <w:rPr>
                        <w:color w:val="000000"/>
                        <w:sz w:val="20"/>
                      </w:rPr>
                    </w:pPr>
                    <w:r>
                      <w:rPr>
                        <w:sz w:val="20"/>
                      </w:rPr>
                      <w:t>ASPĮ</w:t>
                    </w:r>
                  </w:p>
                </w:tc>
                <w:tc>
                  <w:tcPr>
                    <w:tcW w:w="709" w:type="dxa"/>
                    <w:vMerge w:val="restart"/>
                  </w:tcPr>
                  <w:p>
                    <w:pPr>
                      <w:rPr>
                        <w:color w:val="000000"/>
                        <w:sz w:val="20"/>
                      </w:rPr>
                    </w:pPr>
                    <w:r>
                      <w:rPr>
                        <w:sz w:val="20"/>
                      </w:rPr>
                      <w:t>P</w:t>
                    </w:r>
                  </w:p>
                </w:tc>
                <w:tc>
                  <w:tcPr>
                    <w:tcW w:w="992" w:type="dxa"/>
                    <w:vMerge w:val="restart"/>
                  </w:tcPr>
                  <w:p>
                    <w:pPr>
                      <w:rPr>
                        <w:color w:val="000000"/>
                        <w:sz w:val="20"/>
                      </w:rPr>
                    </w:pPr>
                    <w:r>
                      <w:rPr>
                        <w:sz w:val="20"/>
                      </w:rPr>
                      <w:t>Taip</w:t>
                    </w:r>
                  </w:p>
                </w:tc>
                <w:tc>
                  <w:tcPr>
                    <w:tcW w:w="709" w:type="dxa"/>
                    <w:vMerge w:val="restart"/>
                  </w:tcPr>
                  <w:p>
                    <w:pPr>
                      <w:rPr>
                        <w:color w:val="000000"/>
                        <w:sz w:val="20"/>
                      </w:rPr>
                    </w:pPr>
                    <w:r>
                      <w:rPr>
                        <w:sz w:val="20"/>
                      </w:rPr>
                      <w:t>D</w:t>
                    </w:r>
                  </w:p>
                </w:tc>
                <w:tc>
                  <w:tcPr>
                    <w:tcW w:w="1276" w:type="dxa"/>
                  </w:tcPr>
                  <w:p>
                    <w:pPr>
                      <w:rPr>
                        <w:color w:val="000000"/>
                        <w:sz w:val="20"/>
                      </w:rPr>
                    </w:pPr>
                    <w:r>
                      <w:rPr>
                        <w:sz w:val="20"/>
                      </w:rPr>
                      <w:t>6 300</w:t>
                    </w:r>
                  </w:p>
                </w:tc>
                <w:tc>
                  <w:tcPr>
                    <w:tcW w:w="992" w:type="dxa"/>
                  </w:tcPr>
                  <w:p>
                    <w:pPr>
                      <w:rPr>
                        <w:color w:val="000000"/>
                        <w:sz w:val="20"/>
                      </w:rPr>
                    </w:pPr>
                    <w:r>
                      <w:rPr>
                        <w:sz w:val="20"/>
                      </w:rPr>
                      <w:t>EGADP</w:t>
                    </w:r>
                  </w:p>
                </w:tc>
                <w:tc>
                  <w:tcPr>
                    <w:tcW w:w="2551" w:type="dxa"/>
                    <w:vMerge w:val="restart"/>
                    <w:shd w:val="clear" w:color="auto" w:fill="auto"/>
                  </w:tcPr>
                  <w:p>
                    <w:pPr>
                      <w:ind w:left="-57" w:right="-57"/>
                      <w:rPr>
                        <w:sz w:val="20"/>
                      </w:rPr>
                    </w:pPr>
                    <w:r>
                      <w:rPr>
                        <w:sz w:val="20"/>
                      </w:rPr>
                      <w:t xml:space="preserve">P – </w:t>
                    </w:r>
                    <w:r>
                      <w:rPr>
                        <w:color w:val="000000"/>
                        <w:sz w:val="20"/>
                        <w:lang w:eastAsia="lt-LT"/>
                      </w:rPr>
                      <w:t>Patvirtinti teisės aktai dėl genomo tyrimų</w:t>
                    </w:r>
                    <w:r>
                      <w:rPr>
                        <w:sz w:val="20"/>
                      </w:rPr>
                      <w:t>, vnt.</w:t>
                    </w:r>
                  </w:p>
                </w:tc>
                <w:tc>
                  <w:tcPr>
                    <w:tcW w:w="851" w:type="dxa"/>
                    <w:vMerge w:val="restart"/>
                    <w:shd w:val="clear" w:color="auto" w:fill="auto"/>
                  </w:tcPr>
                  <w:p>
                    <w:pPr>
                      <w:ind w:left="-57" w:right="-57"/>
                      <w:jc w:val="center"/>
                      <w:rPr>
                        <w:sz w:val="20"/>
                      </w:rPr>
                    </w:pPr>
                    <w:r>
                      <w:rPr>
                        <w:sz w:val="20"/>
                      </w:rPr>
                      <w:t>1</w:t>
                    </w:r>
                  </w:p>
                  <w:p>
                    <w:pPr>
                      <w:ind w:left="-57" w:right="-57"/>
                      <w:jc w:val="center"/>
                      <w:rPr>
                        <w:sz w:val="20"/>
                      </w:rPr>
                    </w:pPr>
                    <w:r>
                      <w:rPr>
                        <w:sz w:val="20"/>
                      </w:rPr>
                      <w:t>(2023 m. II ketv.)</w:t>
                    </w:r>
                  </w:p>
                </w:tc>
                <w:tc>
                  <w:tcPr>
                    <w:tcW w:w="992" w:type="dxa"/>
                    <w:vMerge w:val="restart"/>
                  </w:tcPr>
                  <w:p>
                    <w:pPr>
                      <w:rPr>
                        <w:color w:val="000000"/>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230"/>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vAlign w:val="center"/>
                  </w:tcPr>
                  <w:p>
                    <w:pPr>
                      <w:rPr>
                        <w:color w:val="000000"/>
                        <w:sz w:val="20"/>
                      </w:rPr>
                    </w:pPr>
                  </w:p>
                </w:tc>
                <w:tc>
                  <w:tcPr>
                    <w:tcW w:w="709" w:type="dxa"/>
                    <w:vMerge/>
                    <w:vAlign w:val="center"/>
                  </w:tcPr>
                  <w:p>
                    <w:pPr>
                      <w:rPr>
                        <w:color w:val="000000"/>
                        <w:sz w:val="20"/>
                      </w:rPr>
                    </w:pPr>
                  </w:p>
                </w:tc>
                <w:tc>
                  <w:tcPr>
                    <w:tcW w:w="1276" w:type="dxa"/>
                    <w:vMerge w:val="restart"/>
                  </w:tcPr>
                  <w:p>
                    <w:pPr>
                      <w:rPr>
                        <w:color w:val="000000"/>
                        <w:sz w:val="20"/>
                      </w:rPr>
                    </w:pPr>
                    <w:r>
                      <w:rPr>
                        <w:sz w:val="20"/>
                      </w:rPr>
                      <w:t>1 320</w:t>
                    </w:r>
                  </w:p>
                </w:tc>
                <w:tc>
                  <w:tcPr>
                    <w:tcW w:w="992" w:type="dxa"/>
                    <w:vMerge w:val="restart"/>
                  </w:tcPr>
                  <w:p>
                    <w:pPr>
                      <w:rPr>
                        <w:color w:val="000000"/>
                        <w:sz w:val="20"/>
                      </w:rPr>
                    </w:pPr>
                    <w:r>
                      <w:rPr>
                        <w:iCs/>
                        <w:sz w:val="20"/>
                      </w:rPr>
                      <w:t>PVM iš VB</w:t>
                    </w:r>
                  </w:p>
                </w:tc>
                <w:tc>
                  <w:tcPr>
                    <w:tcW w:w="2551" w:type="dxa"/>
                    <w:vMerge/>
                    <w:tcBorders>
                      <w:bottom w:val="single" w:sz="4" w:space="0" w:color="auto"/>
                    </w:tcBorders>
                    <w:shd w:val="clear" w:color="auto" w:fill="auto"/>
                  </w:tcPr>
                  <w:p>
                    <w:pPr>
                      <w:ind w:left="-57" w:right="-57"/>
                      <w:rPr>
                        <w:sz w:val="20"/>
                      </w:rPr>
                    </w:pPr>
                  </w:p>
                </w:tc>
                <w:tc>
                  <w:tcPr>
                    <w:tcW w:w="851" w:type="dxa"/>
                    <w:vMerge/>
                    <w:tcBorders>
                      <w:bottom w:val="single" w:sz="4" w:space="0" w:color="auto"/>
                    </w:tcBorders>
                    <w:shd w:val="clear" w:color="auto" w:fill="auto"/>
                  </w:tcPr>
                  <w:p>
                    <w:pPr>
                      <w:ind w:left="-57" w:right="-57"/>
                      <w:jc w:val="center"/>
                      <w:rPr>
                        <w:sz w:val="20"/>
                      </w:rPr>
                    </w:pPr>
                  </w:p>
                </w:tc>
                <w:tc>
                  <w:tcPr>
                    <w:tcW w:w="992" w:type="dxa"/>
                    <w:vMerge/>
                    <w:tcBorders>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1"/>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 xml:space="preserve">P – </w:t>
                    </w:r>
                    <w:r>
                      <w:rPr>
                        <w:sz w:val="20"/>
                        <w:lang w:eastAsia="lt-LT"/>
                      </w:rPr>
                      <w:t>Atliktų viso žmogaus genomo sekos nustatymo tyrimų skaičius, vnt.</w:t>
                    </w:r>
                  </w:p>
                </w:tc>
                <w:tc>
                  <w:tcPr>
                    <w:tcW w:w="851" w:type="dxa"/>
                    <w:shd w:val="clear" w:color="auto" w:fill="auto"/>
                  </w:tcPr>
                  <w:p>
                    <w:pPr>
                      <w:jc w:val="center"/>
                      <w:rPr>
                        <w:sz w:val="20"/>
                      </w:rPr>
                    </w:pPr>
                    <w:r>
                      <w:rPr>
                        <w:sz w:val="20"/>
                      </w:rPr>
                      <w:t>750</w:t>
                    </w:r>
                  </w:p>
                  <w:p>
                    <w:pPr>
                      <w:jc w:val="center"/>
                      <w:rPr>
                        <w:sz w:val="20"/>
                      </w:rPr>
                    </w:pPr>
                    <w:r>
                      <w:rPr>
                        <w:sz w:val="20"/>
                      </w:rPr>
                      <w:t>(2025 m.</w:t>
                    </w:r>
                  </w:p>
                  <w:p>
                    <w:pPr>
                      <w:ind w:left="-57" w:right="-57"/>
                      <w:jc w:val="center"/>
                      <w:rPr>
                        <w:sz w:val="20"/>
                      </w:rPr>
                    </w:pPr>
                    <w:r>
                      <w:rPr>
                        <w:sz w:val="20"/>
                      </w:rPr>
                      <w:t>II ketv.)</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jc w:val="center"/>
                      <w:rPr>
                        <w:color w:val="000000"/>
                        <w:sz w:val="20"/>
                      </w:rPr>
                    </w:pPr>
                  </w:p>
                </w:tc>
              </w:tr>
              <w:tr>
                <w:trPr>
                  <w:trHeight w:val="841"/>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 xml:space="preserve">P – Atliktų viso žmogaus genomo sekos nustatymo tyrimų skaičius, vnt. </w:t>
                    </w:r>
                  </w:p>
                </w:tc>
                <w:tc>
                  <w:tcPr>
                    <w:tcW w:w="851" w:type="dxa"/>
                    <w:shd w:val="clear" w:color="auto" w:fill="auto"/>
                  </w:tcPr>
                  <w:p>
                    <w:pPr>
                      <w:ind w:left="-57" w:right="-57"/>
                      <w:jc w:val="center"/>
                      <w:rPr>
                        <w:sz w:val="20"/>
                      </w:rPr>
                    </w:pPr>
                    <w:r>
                      <w:rPr>
                        <w:sz w:val="20"/>
                      </w:rPr>
                      <w:t>1 570</w:t>
                    </w:r>
                  </w:p>
                  <w:p>
                    <w:pPr>
                      <w:ind w:left="-57" w:right="-57"/>
                      <w:jc w:val="center"/>
                      <w:rPr>
                        <w:sz w:val="20"/>
                      </w:rPr>
                    </w:pPr>
                    <w:r>
                      <w:rPr>
                        <w:sz w:val="20"/>
                      </w:rPr>
                      <w:t>(2026 m. I ketv.)</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jc w:val="center"/>
                      <w:rPr>
                        <w:color w:val="000000"/>
                        <w:sz w:val="20"/>
                      </w:rPr>
                    </w:pPr>
                  </w:p>
                </w:tc>
              </w:tr>
              <w:tr>
                <w:trPr>
                  <w:trHeight w:val="1176"/>
                </w:trPr>
                <w:tc>
                  <w:tcPr>
                    <w:tcW w:w="2410" w:type="dxa"/>
                    <w:vMerge w:val="restart"/>
                  </w:tcPr>
                  <w:p>
                    <w:pPr>
                      <w:rPr>
                        <w:iCs/>
                        <w:sz w:val="20"/>
                      </w:rPr>
                    </w:pPr>
                    <w:r>
                      <w:rPr>
                        <w:iCs/>
                        <w:sz w:val="20"/>
                      </w:rPr>
                      <w:t>3.3. Inovatyvių specializuotų sveikatos priežiūros paslaugų teikimo ir organizavimo modelių kūrimas ir išbandymas, Vidurio ir vakarų Lietuvos regionas</w:t>
                    </w:r>
                  </w:p>
                </w:tc>
                <w:tc>
                  <w:tcPr>
                    <w:tcW w:w="709" w:type="dxa"/>
                    <w:vMerge w:val="restart"/>
                  </w:tcPr>
                  <w:p>
                    <w:pPr>
                      <w:rPr>
                        <w:sz w:val="20"/>
                      </w:rPr>
                    </w:pPr>
                    <w:r>
                      <w:rPr>
                        <w:sz w:val="20"/>
                      </w:rPr>
                      <w:t>I</w:t>
                    </w:r>
                  </w:p>
                </w:tc>
                <w:tc>
                  <w:tcPr>
                    <w:tcW w:w="1559" w:type="dxa"/>
                    <w:vMerge w:val="restart"/>
                  </w:tcPr>
                  <w:p>
                    <w:pPr>
                      <w:jc w:val="center"/>
                      <w:rPr>
                        <w:sz w:val="20"/>
                      </w:rPr>
                    </w:pPr>
                    <w:r>
                      <w:rPr>
                        <w:sz w:val="20"/>
                      </w:rPr>
                      <w:t>ASPĮ</w:t>
                    </w:r>
                    <w:r>
                      <w:rPr>
                        <w:color w:val="000000"/>
                        <w:sz w:val="20"/>
                      </w:rPr>
                      <w:t xml:space="preserve"> </w:t>
                    </w:r>
                  </w:p>
                  <w:p>
                    <w:pPr>
                      <w:rPr>
                        <w:strike/>
                        <w:sz w:val="20"/>
                      </w:rPr>
                    </w:pPr>
                  </w:p>
                  <w:p>
                    <w:pPr>
                      <w:jc w:val="center"/>
                      <w:rPr>
                        <w:sz w:val="20"/>
                      </w:rPr>
                    </w:pP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vMerge w:val="restart"/>
                  </w:tcPr>
                  <w:p>
                    <w:pPr>
                      <w:rPr>
                        <w:sz w:val="20"/>
                      </w:rPr>
                    </w:pPr>
                    <w:r>
                      <w:rPr>
                        <w:sz w:val="20"/>
                      </w:rPr>
                      <w:t>5 525</w:t>
                    </w:r>
                  </w:p>
                  <w:p>
                    <w:pPr>
                      <w:rPr>
                        <w:sz w:val="20"/>
                      </w:rPr>
                    </w:pPr>
                  </w:p>
                  <w:p>
                    <w:pPr>
                      <w:rPr>
                        <w:sz w:val="20"/>
                      </w:rPr>
                    </w:pPr>
                  </w:p>
                </w:tc>
                <w:tc>
                  <w:tcPr>
                    <w:tcW w:w="992" w:type="dxa"/>
                    <w:vMerge w:val="restart"/>
                  </w:tcPr>
                  <w:p>
                    <w:pPr>
                      <w:rPr>
                        <w:sz w:val="20"/>
                      </w:rPr>
                    </w:pPr>
                    <w:r>
                      <w:rPr>
                        <w:sz w:val="20"/>
                      </w:rPr>
                      <w:t>2021–2027 m. IP (ESF</w:t>
                    </w:r>
                    <w:r>
                      <w:rPr>
                        <w:sz w:val="20"/>
                        <w:lang w:val="en-US"/>
                      </w:rPr>
                      <w:t>+</w:t>
                    </w:r>
                    <w:r>
                      <w:rPr>
                        <w:sz w:val="20"/>
                      </w:rPr>
                      <w:t xml:space="preserve">) </w:t>
                    </w: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 xml:space="preserve">P </w:t>
                    </w:r>
                    <w:r>
                      <w:rPr>
                        <w:color w:val="000000"/>
                        <w:sz w:val="20"/>
                      </w:rPr>
                      <w:t xml:space="preserve">– </w:t>
                    </w:r>
                    <w:r>
                      <w:rPr>
                        <w:sz w:val="20"/>
                      </w:rPr>
                      <w:t>Paramą gavusių nacionalinio, regionų ar vietos lygmens viešojo administravimo ar viešąsias paslaugas teikiančių įstaigų skaičius, subjektų skaičius</w:t>
                    </w:r>
                  </w:p>
                </w:tc>
                <w:tc>
                  <w:tcPr>
                    <w:tcW w:w="851" w:type="dxa"/>
                    <w:shd w:val="clear" w:color="auto" w:fill="auto"/>
                  </w:tcPr>
                  <w:p>
                    <w:pPr>
                      <w:ind w:left="-57" w:right="-57"/>
                      <w:jc w:val="center"/>
                      <w:rPr>
                        <w:sz w:val="20"/>
                      </w:rPr>
                    </w:pPr>
                    <w:r>
                      <w:rPr>
                        <w:sz w:val="20"/>
                      </w:rPr>
                      <w:t>2</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918"/>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P – Specialistai, dalyvavę kvalifikacijos tobulinimo ar perkvalifikavimo veiklose, asmenys</w:t>
                    </w:r>
                  </w:p>
                </w:tc>
                <w:tc>
                  <w:tcPr>
                    <w:tcW w:w="851" w:type="dxa"/>
                    <w:shd w:val="clear" w:color="auto" w:fill="auto"/>
                  </w:tcPr>
                  <w:p>
                    <w:pPr>
                      <w:ind w:left="-57" w:right="-57"/>
                      <w:jc w:val="center"/>
                      <w:rPr>
                        <w:sz w:val="20"/>
                      </w:rPr>
                    </w:pPr>
                    <w:r>
                      <w:rPr>
                        <w:sz w:val="20"/>
                      </w:rPr>
                      <w:t>600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92"/>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rPr>
                    </w:pPr>
                    <w:r>
                      <w:rPr>
                        <w:sz w:val="20"/>
                      </w:rPr>
                      <w:t>975</w:t>
                    </w:r>
                  </w:p>
                </w:tc>
                <w:tc>
                  <w:tcPr>
                    <w:tcW w:w="992" w:type="dxa"/>
                    <w:vMerge w:val="restart"/>
                  </w:tcPr>
                  <w:p>
                    <w:pPr>
                      <w:rPr>
                        <w:sz w:val="20"/>
                      </w:rPr>
                    </w:pPr>
                    <w:r>
                      <w:rPr>
                        <w:sz w:val="20"/>
                      </w:rPr>
                      <w:t xml:space="preserve">2021–2027 m. IP (BF) </w:t>
                    </w:r>
                  </w:p>
                </w:tc>
                <w:tc>
                  <w:tcPr>
                    <w:tcW w:w="2551" w:type="dxa"/>
                    <w:shd w:val="clear" w:color="auto" w:fill="FFFFFF" w:themeFill="background1"/>
                  </w:tcPr>
                  <w:p>
                    <w:pPr>
                      <w:ind w:left="-57" w:right="-57"/>
                      <w:rPr>
                        <w:sz w:val="20"/>
                      </w:rPr>
                    </w:pPr>
                    <w:r>
                      <w:rPr>
                        <w:sz w:val="20"/>
                      </w:rPr>
                      <w:t>R – Pacientų pasitenkinimas gautomis paslaugomis, proc.</w:t>
                    </w:r>
                  </w:p>
                </w:tc>
                <w:tc>
                  <w:tcPr>
                    <w:tcW w:w="851" w:type="dxa"/>
                    <w:tcBorders>
                      <w:top w:val="single" w:sz="4" w:space="0" w:color="auto"/>
                      <w:left w:val="single" w:sz="4" w:space="0" w:color="auto"/>
                    </w:tcBorders>
                  </w:tcPr>
                  <w:p>
                    <w:pPr>
                      <w:ind w:left="-57" w:right="-57"/>
                      <w:jc w:val="center"/>
                      <w:rPr>
                        <w:sz w:val="20"/>
                      </w:rPr>
                    </w:pPr>
                    <w:r>
                      <w:rPr>
                        <w:sz w:val="20"/>
                      </w:rPr>
                      <w:t>70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92"/>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FFFFFF" w:themeFill="background1"/>
                  </w:tcPr>
                  <w:p>
                    <w:pPr>
                      <w:ind w:left="-57" w:right="-57"/>
                      <w:rPr>
                        <w:sz w:val="20"/>
                      </w:rPr>
                    </w:pPr>
                    <w:r>
                      <w:rPr>
                        <w:sz w:val="20"/>
                      </w:rPr>
                      <w:t xml:space="preserve">R – </w:t>
                    </w:r>
                    <w:r>
                      <w:rPr>
                        <w:sz w:val="20"/>
                        <w:lang w:eastAsia="lt-LT"/>
                      </w:rPr>
                      <w:t>Specialistų, kurie po dalyvavimo veiklose įgijo ar patobulino kvalifikaciją, dalis, proc.</w:t>
                    </w:r>
                  </w:p>
                </w:tc>
                <w:tc>
                  <w:tcPr>
                    <w:tcW w:w="851" w:type="dxa"/>
                    <w:shd w:val="clear" w:color="auto" w:fill="FFFFFF" w:themeFill="background1"/>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1264"/>
                </w:trPr>
                <w:tc>
                  <w:tcPr>
                    <w:tcW w:w="2410" w:type="dxa"/>
                  </w:tcPr>
                  <w:p>
                    <w:pPr>
                      <w:rPr>
                        <w:iCs/>
                        <w:sz w:val="20"/>
                      </w:rPr>
                    </w:pPr>
                    <w:r>
                      <w:rPr>
                        <w:iCs/>
                        <w:sz w:val="20"/>
                      </w:rPr>
                      <w:t>3.4. Sudėtingų sveikatos priežiūros diagnostikos ir gydymo paslaugų infrastruktūros modernizavimas</w:t>
                    </w:r>
                  </w:p>
                </w:tc>
                <w:tc>
                  <w:tcPr>
                    <w:tcW w:w="709" w:type="dxa"/>
                  </w:tcPr>
                  <w:p>
                    <w:pPr>
                      <w:rPr>
                        <w:color w:val="000000"/>
                        <w:sz w:val="20"/>
                      </w:rPr>
                    </w:pPr>
                    <w:r>
                      <w:rPr>
                        <w:sz w:val="20"/>
                      </w:rPr>
                      <w:t>I</w:t>
                    </w:r>
                  </w:p>
                </w:tc>
                <w:tc>
                  <w:tcPr>
                    <w:tcW w:w="1559" w:type="dxa"/>
                  </w:tcPr>
                  <w:p>
                    <w:pPr>
                      <w:rPr>
                        <w:color w:val="000000"/>
                        <w:sz w:val="20"/>
                      </w:rPr>
                    </w:pPr>
                    <w:r>
                      <w:rPr>
                        <w:sz w:val="20"/>
                      </w:rPr>
                      <w:t>ASPĮ</w:t>
                    </w:r>
                  </w:p>
                </w:tc>
                <w:tc>
                  <w:tcPr>
                    <w:tcW w:w="709" w:type="dxa"/>
                  </w:tcPr>
                  <w:p>
                    <w:pPr>
                      <w:rPr>
                        <w:color w:val="000000"/>
                        <w:sz w:val="20"/>
                      </w:rPr>
                    </w:pPr>
                    <w:r>
                      <w:rPr>
                        <w:sz w:val="20"/>
                      </w:rPr>
                      <w:t>P</w:t>
                    </w:r>
                  </w:p>
                </w:tc>
                <w:tc>
                  <w:tcPr>
                    <w:tcW w:w="992" w:type="dxa"/>
                  </w:tcPr>
                  <w:p>
                    <w:pPr>
                      <w:rPr>
                        <w:color w:val="000000"/>
                        <w:sz w:val="20"/>
                      </w:rPr>
                    </w:pPr>
                    <w:r>
                      <w:rPr>
                        <w:sz w:val="20"/>
                      </w:rPr>
                      <w:t>Taip</w:t>
                    </w:r>
                  </w:p>
                </w:tc>
                <w:tc>
                  <w:tcPr>
                    <w:tcW w:w="709" w:type="dxa"/>
                  </w:tcPr>
                  <w:p>
                    <w:pPr>
                      <w:rPr>
                        <w:color w:val="000000"/>
                        <w:sz w:val="20"/>
                      </w:rPr>
                    </w:pPr>
                    <w:r>
                      <w:rPr>
                        <w:sz w:val="20"/>
                      </w:rPr>
                      <w:t>D</w:t>
                    </w:r>
                  </w:p>
                </w:tc>
                <w:tc>
                  <w:tcPr>
                    <w:tcW w:w="1276" w:type="dxa"/>
                  </w:tcPr>
                  <w:p>
                    <w:pPr>
                      <w:rPr>
                        <w:sz w:val="20"/>
                      </w:rPr>
                    </w:pPr>
                    <w:r>
                      <w:rPr>
                        <w:sz w:val="20"/>
                      </w:rPr>
                      <w:t>19 000</w:t>
                    </w:r>
                  </w:p>
                </w:tc>
                <w:tc>
                  <w:tcPr>
                    <w:tcW w:w="992" w:type="dxa"/>
                  </w:tcPr>
                  <w:p>
                    <w:pPr>
                      <w:rPr>
                        <w:sz w:val="20"/>
                      </w:rPr>
                    </w:pPr>
                    <w:r>
                      <w:rPr>
                        <w:sz w:val="20"/>
                      </w:rPr>
                      <w:t>VB</w:t>
                    </w:r>
                  </w:p>
                </w:tc>
                <w:tc>
                  <w:tcPr>
                    <w:tcW w:w="2551" w:type="dxa"/>
                    <w:shd w:val="clear" w:color="auto" w:fill="auto"/>
                  </w:tcPr>
                  <w:p>
                    <w:pPr>
                      <w:ind w:left="-57" w:right="-57"/>
                      <w:rPr>
                        <w:sz w:val="20"/>
                      </w:rPr>
                    </w:pPr>
                    <w:r>
                      <w:rPr>
                        <w:sz w:val="20"/>
                      </w:rPr>
                      <w:t>P – Modernizuotų asmens sveikatos priežiūros įstaigų skaičius</w:t>
                    </w:r>
                  </w:p>
                </w:tc>
                <w:tc>
                  <w:tcPr>
                    <w:tcW w:w="851" w:type="dxa"/>
                    <w:shd w:val="clear" w:color="auto" w:fill="auto"/>
                  </w:tcPr>
                  <w:p>
                    <w:pPr>
                      <w:ind w:left="-57" w:right="-57"/>
                      <w:jc w:val="center"/>
                      <w:rPr>
                        <w:sz w:val="20"/>
                      </w:rPr>
                    </w:pPr>
                    <w:r>
                      <w:rPr>
                        <w:sz w:val="20"/>
                      </w:rPr>
                      <w:t>6</w:t>
                    </w:r>
                  </w:p>
                  <w:p>
                    <w:pPr>
                      <w:ind w:left="-57" w:right="-57"/>
                      <w:jc w:val="center"/>
                      <w:rPr>
                        <w:sz w:val="20"/>
                      </w:rPr>
                    </w:pPr>
                    <w:r>
                      <w:rPr>
                        <w:sz w:val="20"/>
                      </w:rPr>
                      <w:t>(2030 m.)</w:t>
                    </w:r>
                  </w:p>
                </w:tc>
                <w:tc>
                  <w:tcPr>
                    <w:tcW w:w="992" w:type="dxa"/>
                  </w:tcPr>
                  <w:p>
                    <w:pPr>
                      <w:rPr>
                        <w:sz w:val="20"/>
                      </w:rPr>
                    </w:pPr>
                    <w:r>
                      <w:rPr>
                        <w:sz w:val="20"/>
                      </w:rPr>
                      <w:t>SAM</w:t>
                    </w:r>
                  </w:p>
                  <w:p>
                    <w:pPr>
                      <w:rPr>
                        <w:sz w:val="20"/>
                      </w:rPr>
                    </w:pPr>
                  </w:p>
                </w:tc>
                <w:tc>
                  <w:tcPr>
                    <w:tcW w:w="1276" w:type="dxa"/>
                    <w:tcBorders>
                      <w:left w:val="single" w:sz="4" w:space="0" w:color="auto"/>
                      <w:right w:val="single" w:sz="4" w:space="0" w:color="auto"/>
                    </w:tcBorders>
                  </w:tcPr>
                  <w:p>
                    <w:pPr>
                      <w:jc w:val="center"/>
                      <w:rPr>
                        <w:color w:val="000000"/>
                        <w:sz w:val="20"/>
                      </w:rPr>
                    </w:pPr>
                    <w:r>
                      <w:rPr>
                        <w:color w:val="000000"/>
                        <w:sz w:val="20"/>
                      </w:rPr>
                      <w:t>SAM</w:t>
                    </w:r>
                  </w:p>
                </w:tc>
              </w:tr>
              <w:tr>
                <w:trPr>
                  <w:trHeight w:val="1264"/>
                </w:trPr>
                <w:tc>
                  <w:tcPr>
                    <w:tcW w:w="2410" w:type="dxa"/>
                    <w:tcBorders>
                      <w:top w:val="single" w:sz="4" w:space="0" w:color="auto"/>
                      <w:left w:val="single" w:sz="4" w:space="0" w:color="auto"/>
                      <w:bottom w:val="single" w:sz="4" w:space="0" w:color="auto"/>
                      <w:right w:val="single" w:sz="4" w:space="0" w:color="auto"/>
                    </w:tcBorders>
                    <w:shd w:val="clear" w:color="auto" w:fill="auto"/>
                  </w:tcPr>
                  <w:p>
                    <w:pPr>
                      <w:rPr>
                        <w:iCs/>
                        <w:sz w:val="20"/>
                      </w:rPr>
                    </w:pPr>
                    <w:r>
                      <w:rPr>
                        <w:iCs/>
                        <w:sz w:val="20"/>
                      </w:rPr>
                      <w:t>3.5. Inovatyvių specializuotų sveikatos priežiūros paslaugų teikimo ir organizavimo modelių kūrimas ir išbandymas, Vidurio ir vakarų Lietuvos regionas</w:t>
                    </w:r>
                  </w:p>
                </w:tc>
                <w:tc>
                  <w:tcPr>
                    <w:tcW w:w="709"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I</w:t>
                    </w:r>
                  </w:p>
                </w:tc>
                <w:tc>
                  <w:tcPr>
                    <w:tcW w:w="1559"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Valstybinė ligonių kasa prie Sveikatos apsaugos ministerijos, Lietuvos medicinos biblioteka (toliau – LMB)</w:t>
                    </w:r>
                  </w:p>
                  <w:p>
                    <w:pPr>
                      <w:rPr>
                        <w:sz w:val="20"/>
                      </w:rPr>
                    </w:pPr>
                  </w:p>
                  <w:p>
                    <w:pPr>
                      <w:rPr>
                        <w:sz w:val="20"/>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P</w:t>
                    </w:r>
                  </w:p>
                </w:tc>
                <w:tc>
                  <w:tcPr>
                    <w:tcW w:w="992"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Taip</w:t>
                    </w:r>
                  </w:p>
                </w:tc>
                <w:tc>
                  <w:tcPr>
                    <w:tcW w:w="709"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D</w:t>
                    </w:r>
                  </w:p>
                </w:tc>
                <w:tc>
                  <w:tcPr>
                    <w:tcW w:w="1276"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3 298,193</w:t>
                    </w:r>
                  </w:p>
                  <w:p>
                    <w:pPr>
                      <w:rPr>
                        <w:sz w:val="20"/>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 xml:space="preserve">2021–2027 m. IP (ESF+) </w:t>
                    </w: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P – Paramą gavusių nacionalinio, regionų ar vietos lygmens viešojo administravimo ar viešąsias paslaugas teikiančių įstaigų skaičius, subjektų skaičius</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13</w:t>
                    </w:r>
                  </w:p>
                  <w:p>
                    <w:pPr>
                      <w:ind w:left="-57" w:right="-57"/>
                      <w:jc w:val="center"/>
                      <w:rPr>
                        <w:sz w:val="20"/>
                      </w:rPr>
                    </w:pPr>
                    <w:r>
                      <w:rPr>
                        <w:sz w:val="20"/>
                      </w:rPr>
                      <w:t>(2029 m.)</w:t>
                    </w:r>
                  </w:p>
                </w:tc>
                <w:tc>
                  <w:tcPr>
                    <w:tcW w:w="992"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CPVA</w:t>
                    </w:r>
                  </w:p>
                </w:tc>
                <w:tc>
                  <w:tcPr>
                    <w:tcW w:w="1276" w:type="dxa"/>
                    <w:tcBorders>
                      <w:top w:val="single" w:sz="4" w:space="0" w:color="auto"/>
                      <w:left w:val="single" w:sz="4" w:space="0" w:color="auto"/>
                      <w:bottom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1264"/>
                </w:trPr>
                <w:tc>
                  <w:tcPr>
                    <w:tcW w:w="2410" w:type="dxa"/>
                    <w:tcBorders>
                      <w:top w:val="single" w:sz="4" w:space="0" w:color="auto"/>
                      <w:left w:val="single" w:sz="4" w:space="0" w:color="auto"/>
                      <w:bottom w:val="single" w:sz="4" w:space="0" w:color="auto"/>
                      <w:right w:val="single" w:sz="4" w:space="0" w:color="auto"/>
                    </w:tcBorders>
                  </w:tcPr>
                  <w:p>
                    <w:pPr>
                      <w:rPr>
                        <w:iCs/>
                        <w:sz w:val="20"/>
                      </w:rPr>
                    </w:pPr>
                  </w:p>
                </w:tc>
                <w:tc>
                  <w:tcPr>
                    <w:tcW w:w="709" w:type="dxa"/>
                    <w:tcBorders>
                      <w:top w:val="single" w:sz="4" w:space="0" w:color="auto"/>
                      <w:left w:val="single" w:sz="4" w:space="0" w:color="auto"/>
                      <w:bottom w:val="single" w:sz="4" w:space="0" w:color="auto"/>
                      <w:right w:val="single" w:sz="4" w:space="0" w:color="auto"/>
                    </w:tcBorders>
                  </w:tcPr>
                  <w:p>
                    <w:pPr>
                      <w:rPr>
                        <w:sz w:val="20"/>
                      </w:rPr>
                    </w:pPr>
                  </w:p>
                </w:tc>
                <w:tc>
                  <w:tcPr>
                    <w:tcW w:w="1559" w:type="dxa"/>
                    <w:tcBorders>
                      <w:top w:val="single" w:sz="4" w:space="0" w:color="auto"/>
                      <w:left w:val="single" w:sz="4" w:space="0" w:color="auto"/>
                      <w:bottom w:val="single" w:sz="4" w:space="0" w:color="auto"/>
                      <w:right w:val="single" w:sz="4" w:space="0" w:color="auto"/>
                    </w:tcBorders>
                  </w:tcPr>
                  <w:p>
                    <w:pPr>
                      <w:rPr>
                        <w:sz w:val="20"/>
                      </w:rPr>
                    </w:pPr>
                  </w:p>
                </w:tc>
                <w:tc>
                  <w:tcPr>
                    <w:tcW w:w="709" w:type="dxa"/>
                    <w:tcBorders>
                      <w:top w:val="single" w:sz="4" w:space="0" w:color="auto"/>
                      <w:left w:val="single" w:sz="4" w:space="0" w:color="auto"/>
                      <w:bottom w:val="single" w:sz="4" w:space="0" w:color="auto"/>
                      <w:right w:val="single" w:sz="4" w:space="0" w:color="auto"/>
                    </w:tcBorders>
                  </w:tcPr>
                  <w:p>
                    <w:pPr>
                      <w:rPr>
                        <w:sz w:val="20"/>
                      </w:rPr>
                    </w:pPr>
                  </w:p>
                </w:tc>
                <w:tc>
                  <w:tcPr>
                    <w:tcW w:w="992" w:type="dxa"/>
                    <w:tcBorders>
                      <w:top w:val="single" w:sz="4" w:space="0" w:color="auto"/>
                      <w:left w:val="single" w:sz="4" w:space="0" w:color="auto"/>
                      <w:bottom w:val="single" w:sz="4" w:space="0" w:color="auto"/>
                      <w:right w:val="single" w:sz="4" w:space="0" w:color="auto"/>
                    </w:tcBorders>
                  </w:tcPr>
                  <w:p>
                    <w:pPr>
                      <w:rPr>
                        <w:sz w:val="20"/>
                      </w:rPr>
                    </w:pPr>
                  </w:p>
                </w:tc>
                <w:tc>
                  <w:tcPr>
                    <w:tcW w:w="709" w:type="dxa"/>
                    <w:tcBorders>
                      <w:top w:val="single" w:sz="4" w:space="0" w:color="auto"/>
                      <w:left w:val="single" w:sz="4" w:space="0" w:color="auto"/>
                      <w:bottom w:val="single" w:sz="4" w:space="0" w:color="auto"/>
                      <w:right w:val="single" w:sz="4" w:space="0" w:color="auto"/>
                    </w:tcBorders>
                  </w:tcPr>
                  <w:p>
                    <w:pPr>
                      <w:rPr>
                        <w:sz w:val="20"/>
                      </w:rPr>
                    </w:pPr>
                  </w:p>
                </w:tc>
                <w:tc>
                  <w:tcPr>
                    <w:tcW w:w="1276" w:type="dxa"/>
                    <w:tcBorders>
                      <w:top w:val="single" w:sz="4" w:space="0" w:color="auto"/>
                      <w:left w:val="single" w:sz="4" w:space="0" w:color="auto"/>
                      <w:bottom w:val="single" w:sz="4" w:space="0" w:color="auto"/>
                      <w:right w:val="single" w:sz="4" w:space="0" w:color="auto"/>
                    </w:tcBorders>
                  </w:tcPr>
                  <w:p>
                    <w:pPr>
                      <w:rPr>
                        <w:sz w:val="20"/>
                      </w:rPr>
                    </w:pPr>
                    <w:r>
                      <w:rPr>
                        <w:sz w:val="20"/>
                      </w:rPr>
                      <w:t>582,034</w:t>
                    </w: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2021–2027 m. IP (BF) </w:t>
                    </w: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Pacientų pasitenkinimas gautomis paslaugomis,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70</w:t>
                    </w:r>
                  </w:p>
                  <w:p>
                    <w:pPr>
                      <w:ind w:left="-57" w:right="-57"/>
                      <w:jc w:val="center"/>
                      <w:rPr>
                        <w:sz w:val="20"/>
                      </w:rPr>
                    </w:pPr>
                    <w:r>
                      <w:rPr>
                        <w:sz w:val="20"/>
                      </w:rPr>
                      <w:t>(2029 m.)</w:t>
                    </w:r>
                  </w:p>
                </w:tc>
                <w:tc>
                  <w:tcPr>
                    <w:tcW w:w="992" w:type="dxa"/>
                    <w:tcBorders>
                      <w:top w:val="single" w:sz="4" w:space="0" w:color="auto"/>
                      <w:left w:val="single" w:sz="4" w:space="0" w:color="auto"/>
                      <w:bottom w:val="single" w:sz="4" w:space="0" w:color="auto"/>
                      <w:right w:val="single" w:sz="4" w:space="0" w:color="auto"/>
                    </w:tcBorders>
                  </w:tcPr>
                  <w:p>
                    <w:pPr>
                      <w:rPr>
                        <w:sz w:val="20"/>
                      </w:rPr>
                    </w:pPr>
                  </w:p>
                </w:tc>
                <w:tc>
                  <w:tcPr>
                    <w:tcW w:w="1276" w:type="dxa"/>
                    <w:tcBorders>
                      <w:top w:val="single" w:sz="4" w:space="0" w:color="auto"/>
                      <w:left w:val="single" w:sz="4" w:space="0" w:color="auto"/>
                      <w:bottom w:val="single" w:sz="4" w:space="0" w:color="auto"/>
                      <w:right w:val="single" w:sz="4" w:space="0" w:color="auto"/>
                    </w:tcBorders>
                  </w:tcPr>
                  <w:p>
                    <w:pPr>
                      <w:jc w:val="center"/>
                      <w:rPr>
                        <w:color w:val="000000"/>
                        <w:sz w:val="20"/>
                      </w:rPr>
                    </w:pPr>
                  </w:p>
                </w:tc>
              </w:tr>
              <w:tr>
                <w:trPr>
                  <w:trHeight w:val="414"/>
                </w:trPr>
                <w:tc>
                  <w:tcPr>
                    <w:tcW w:w="2410" w:type="dxa"/>
                    <w:vMerge w:val="restart"/>
                    <w:tcBorders>
                      <w:top w:val="single" w:sz="4" w:space="0" w:color="auto"/>
                      <w:left w:val="single" w:sz="4" w:space="0" w:color="auto"/>
                      <w:right w:val="single" w:sz="4" w:space="0" w:color="auto"/>
                    </w:tcBorders>
                    <w:shd w:val="clear" w:color="auto" w:fill="F2F2F2" w:themeFill="background1" w:themeFillShade="F2"/>
                  </w:tcPr>
                  <w:p>
                    <w:pPr>
                      <w:rPr>
                        <w:b/>
                        <w:bCs/>
                        <w:sz w:val="20"/>
                      </w:rPr>
                    </w:pPr>
                    <w:r>
                      <w:rPr>
                        <w:b/>
                        <w:bCs/>
                        <w:sz w:val="20"/>
                      </w:rPr>
                      <w:t>4. Sveikatos sektoriaus skaitmeninimas</w:t>
                    </w:r>
                  </w:p>
                  <w:p>
                    <w:pPr>
                      <w:rPr>
                        <w:sz w:val="20"/>
                      </w:rPr>
                    </w:pP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1559"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b/>
                        <w:bCs/>
                        <w:sz w:val="20"/>
                      </w:rPr>
                    </w:pPr>
                    <w:r>
                      <w:rPr>
                        <w:b/>
                        <w:bCs/>
                        <w:sz w:val="20"/>
                      </w:rPr>
                      <w:t>108 115,153</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w:t>
                    </w:r>
                  </w:p>
                </w:tc>
                <w:tc>
                  <w:tcPr>
                    <w:tcW w:w="2551"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both"/>
                      <w:rPr>
                        <w:sz w:val="20"/>
                      </w:rPr>
                    </w:pPr>
                    <w:r>
                      <w:rPr>
                        <w:sz w:val="20"/>
                      </w:rPr>
                      <w:t>R – Mirštamumas nuo miokardo infarkto per 30 dienų nuo hospitalizacijos, proc.</w:t>
                    </w:r>
                  </w:p>
                </w:tc>
                <w:tc>
                  <w:tcPr>
                    <w:tcW w:w="851"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sz w:val="20"/>
                      </w:rPr>
                    </w:pPr>
                    <w:r>
                      <w:rPr>
                        <w:sz w:val="20"/>
                      </w:rPr>
                      <w:t>9</w:t>
                    </w:r>
                  </w:p>
                  <w:p>
                    <w:pPr>
                      <w:ind w:left="-57" w:right="-57"/>
                      <w:jc w:val="center"/>
                      <w:rPr>
                        <w:sz w:val="20"/>
                      </w:rPr>
                    </w:pPr>
                    <w:r>
                      <w:rPr>
                        <w:sz w:val="20"/>
                      </w:rPr>
                      <w:t>(2030 m.)</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p>
                  <w:p>
                    <w:pPr>
                      <w:rPr>
                        <w:sz w:val="20"/>
                      </w:rPr>
                    </w:pPr>
                  </w:p>
                </w:tc>
                <w:tc>
                  <w:tcPr>
                    <w:tcW w:w="1276" w:type="dxa"/>
                    <w:vMerge w:val="restart"/>
                    <w:tcBorders>
                      <w:top w:val="single" w:sz="4" w:space="0" w:color="auto"/>
                      <w:left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1559"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89 346,491</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EGADP</w:t>
                    </w:r>
                  </w:p>
                </w:tc>
                <w:tc>
                  <w:tcPr>
                    <w:tcW w:w="2551" w:type="dxa"/>
                    <w:vMerge/>
                    <w:tcBorders>
                      <w:left w:val="single" w:sz="4" w:space="0" w:color="auto"/>
                      <w:right w:val="single" w:sz="4" w:space="0" w:color="auto"/>
                    </w:tcBorders>
                    <w:shd w:val="clear" w:color="auto" w:fill="F2F2F2" w:themeFill="background1" w:themeFillShade="F2"/>
                  </w:tcPr>
                  <w:p>
                    <w:pPr>
                      <w:ind w:left="-57" w:right="-57"/>
                      <w:jc w:val="both"/>
                      <w:rPr>
                        <w:sz w:val="20"/>
                      </w:rPr>
                    </w:pPr>
                  </w:p>
                </w:tc>
                <w:tc>
                  <w:tcPr>
                    <w:tcW w:w="851" w:type="dxa"/>
                    <w:vMerge/>
                    <w:tcBorders>
                      <w:left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jc w:val="center"/>
                      <w:rPr>
                        <w:color w:val="000000"/>
                        <w:sz w:val="20"/>
                      </w:rPr>
                    </w:pPr>
                  </w:p>
                </w:tc>
              </w:tr>
              <w:tr>
                <w:trPr>
                  <w:trHeight w:val="230"/>
                </w:trPr>
                <w:tc>
                  <w:tcPr>
                    <w:tcW w:w="2410"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1559"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18 768,662</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PVM iš VB</w:t>
                    </w:r>
                  </w:p>
                </w:tc>
                <w:tc>
                  <w:tcPr>
                    <w:tcW w:w="2551"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p>
                </w:tc>
                <w:tc>
                  <w:tcPr>
                    <w:tcW w:w="851"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410"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559"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r>
                      <w:rPr>
                        <w:sz w:val="20"/>
                      </w:rPr>
                      <w:t xml:space="preserve">R – Mirštamumas nuo išeminio galvos smegenų insulto per 30 dienų po hospitalizacijos, proc. </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12</w:t>
                    </w:r>
                  </w:p>
                  <w:p>
                    <w:pPr>
                      <w:ind w:left="-57" w:right="-57"/>
                      <w:jc w:val="center"/>
                      <w:rPr>
                        <w:sz w:val="20"/>
                      </w:rPr>
                    </w:pPr>
                    <w:r>
                      <w:rPr>
                        <w:sz w:val="20"/>
                      </w:rPr>
                      <w:t>(2030 m.)</w:t>
                    </w: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410"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559"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shd w:val="clear" w:color="auto" w:fill="F2F2F2" w:themeFill="background1" w:themeFillShade="F2"/>
                  </w:tcPr>
                  <w:p>
                    <w:pPr>
                      <w:rPr>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r>
                      <w:rPr>
                        <w:sz w:val="20"/>
                      </w:rPr>
                      <w:t>R – Gyventojų, dėl laukimo laiko (ilgų eilių) atidėjusių kreipimąsi dėl sveikatos priežiūros paslaugų, dalis,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(2030 m.)</w:t>
                    </w:r>
                  </w:p>
                  <w:p>
                    <w:pPr>
                      <w:ind w:left="-57" w:right="-57"/>
                      <w:jc w:val="center"/>
                      <w:rPr>
                        <w:sz w:val="20"/>
                      </w:rPr>
                    </w:pPr>
                  </w:p>
                  <w:p>
                    <w:pPr>
                      <w:ind w:left="-57" w:right="-57"/>
                      <w:jc w:val="cente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bottom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410" w:type="dxa"/>
                    <w:vMerge w:val="restart"/>
                  </w:tcPr>
                  <w:p>
                    <w:pPr>
                      <w:rPr>
                        <w:sz w:val="20"/>
                      </w:rPr>
                    </w:pPr>
                    <w:r>
                      <w:rPr>
                        <w:sz w:val="20"/>
                      </w:rPr>
                      <w:t>4.1. Teisės aktų ir kitų sveikatos skaitmeninimo srities dokumentų parengimas</w:t>
                    </w:r>
                  </w:p>
                </w:tc>
                <w:tc>
                  <w:tcPr>
                    <w:tcW w:w="709" w:type="dxa"/>
                    <w:vMerge w:val="restart"/>
                  </w:tcPr>
                  <w:p>
                    <w:pPr>
                      <w:rPr>
                        <w:sz w:val="20"/>
                      </w:rPr>
                    </w:pPr>
                    <w:r>
                      <w:rPr>
                        <w:sz w:val="20"/>
                      </w:rPr>
                      <w:t>R</w:t>
                    </w:r>
                  </w:p>
                </w:tc>
                <w:tc>
                  <w:tcPr>
                    <w:tcW w:w="1559" w:type="dxa"/>
                    <w:vMerge w:val="restart"/>
                  </w:tcPr>
                  <w:p>
                    <w:pPr>
                      <w:rPr>
                        <w:sz w:val="20"/>
                      </w:rPr>
                    </w:pPr>
                    <w:r>
                      <w:rPr>
                        <w:sz w:val="20"/>
                      </w:rPr>
                      <w:t>-</w:t>
                    </w:r>
                  </w:p>
                </w:tc>
                <w:tc>
                  <w:tcPr>
                    <w:tcW w:w="709" w:type="dxa"/>
                    <w:vMerge w:val="restart"/>
                  </w:tcPr>
                  <w:p>
                    <w:pPr>
                      <w:rPr>
                        <w:sz w:val="20"/>
                      </w:rPr>
                    </w:pPr>
                    <w:r>
                      <w:rPr>
                        <w:sz w:val="20"/>
                      </w:rPr>
                      <w:t>-</w:t>
                    </w:r>
                  </w:p>
                </w:tc>
                <w:tc>
                  <w:tcPr>
                    <w:tcW w:w="992" w:type="dxa"/>
                    <w:vMerge w:val="restart"/>
                  </w:tcPr>
                  <w:p>
                    <w:pPr>
                      <w:rPr>
                        <w:sz w:val="20"/>
                      </w:rPr>
                    </w:pPr>
                    <w:r>
                      <w:rPr>
                        <w:sz w:val="20"/>
                      </w:rPr>
                      <w:t>Taip</w:t>
                    </w:r>
                  </w:p>
                </w:tc>
                <w:tc>
                  <w:tcPr>
                    <w:tcW w:w="709" w:type="dxa"/>
                    <w:vMerge w:val="restart"/>
                  </w:tcPr>
                  <w:p>
                    <w:pPr>
                      <w:rPr>
                        <w:sz w:val="20"/>
                      </w:rPr>
                    </w:pPr>
                    <w:r>
                      <w:rPr>
                        <w:sz w:val="20"/>
                      </w:rPr>
                      <w:t>-</w:t>
                    </w:r>
                  </w:p>
                </w:tc>
                <w:tc>
                  <w:tcPr>
                    <w:tcW w:w="1276" w:type="dxa"/>
                    <w:vMerge w:val="restart"/>
                  </w:tcPr>
                  <w:p>
                    <w:pPr>
                      <w:rPr>
                        <w:sz w:val="20"/>
                      </w:rPr>
                    </w:pPr>
                    <w:r>
                      <w:rPr>
                        <w:sz w:val="20"/>
                      </w:rPr>
                      <w:t>-</w:t>
                    </w:r>
                  </w:p>
                </w:tc>
                <w:tc>
                  <w:tcPr>
                    <w:tcW w:w="992" w:type="dxa"/>
                    <w:vMerge w:val="restart"/>
                  </w:tcPr>
                  <w:p>
                    <w:pPr>
                      <w:rPr>
                        <w:sz w:val="20"/>
                      </w:rPr>
                    </w:pPr>
                    <w:r>
                      <w:rPr>
                        <w:sz w:val="20"/>
                      </w:rPr>
                      <w:t>-</w:t>
                    </w:r>
                  </w:p>
                </w:tc>
                <w:tc>
                  <w:tcPr>
                    <w:tcW w:w="2551" w:type="dxa"/>
                    <w:shd w:val="clear" w:color="auto" w:fill="auto"/>
                  </w:tcPr>
                  <w:p>
                    <w:pPr>
                      <w:ind w:left="-57" w:right="-57"/>
                      <w:jc w:val="both"/>
                      <w:rPr>
                        <w:sz w:val="20"/>
                      </w:rPr>
                    </w:pPr>
                    <w:r>
                      <w:rPr>
                        <w:sz w:val="20"/>
                      </w:rPr>
                      <w:t>P – Įsigalioję teisės aktai, reglamentuojantys pakartotinį sveikatos duomenų naudojimą, kompl.</w:t>
                    </w:r>
                  </w:p>
                </w:tc>
                <w:tc>
                  <w:tcPr>
                    <w:tcW w:w="851" w:type="dxa"/>
                    <w:tcBorders>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(2022 m. III ketv.)</w:t>
                    </w:r>
                  </w:p>
                  <w:p>
                    <w:pPr>
                      <w:ind w:right="-57"/>
                      <w:rPr>
                        <w:sz w:val="20"/>
                      </w:rPr>
                    </w:pPr>
                  </w:p>
                </w:tc>
                <w:tc>
                  <w:tcPr>
                    <w:tcW w:w="992" w:type="dxa"/>
                    <w:vMerge w:val="restart"/>
                    <w:tcBorders>
                      <w:left w:val="single" w:sz="4" w:space="0" w:color="auto"/>
                      <w:right w:val="single" w:sz="4" w:space="0" w:color="auto"/>
                    </w:tcBorders>
                    <w:shd w:val="clear" w:color="auto" w:fill="auto"/>
                  </w:tcPr>
                  <w:p>
                    <w:pPr>
                      <w:rPr>
                        <w:sz w:val="20"/>
                      </w:rPr>
                    </w:pP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p>
                    <w:pPr>
                      <w:rPr>
                        <w:color w:val="000000"/>
                        <w:sz w:val="20"/>
                      </w:rPr>
                    </w:pPr>
                  </w:p>
                </w:tc>
              </w:tr>
              <w:tr>
                <w:trPr>
                  <w:trHeight w:val="414"/>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rPr>
                    </w:pPr>
                    <w:r>
                      <w:rPr>
                        <w:sz w:val="20"/>
                      </w:rPr>
                      <w:t xml:space="preserve">P – Sudarytas  sveikatos priežiūros sistemos informacinių išteklių žemėlapis ir atlikta informacinių sistemų brandos analizė, įvertinant integralumą su kitomis informacinėmis sistemomis, siekiant sveikatos priežiūros sistemos skaitmeninimo, vnt.</w:t>
                    </w:r>
                  </w:p>
                </w:tc>
                <w:tc>
                  <w:tcPr>
                    <w:tcW w:w="851" w:type="dxa"/>
                    <w:tcBorders>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(2022 m. III ketv.)</w:t>
                    </w:r>
                  </w:p>
                </w:tc>
                <w:tc>
                  <w:tcPr>
                    <w:tcW w:w="992" w:type="dxa"/>
                    <w:vMerge/>
                    <w:tcBorders>
                      <w:left w:val="single" w:sz="4" w:space="0" w:color="auto"/>
                      <w:right w:val="single" w:sz="4" w:space="0" w:color="auto"/>
                    </w:tcBorders>
                    <w:shd w:val="clear" w:color="auto" w:fill="auto"/>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rPr>
                    </w:pPr>
                    <w:r>
                      <w:rPr>
                        <w:sz w:val="20"/>
                        <w:lang w:eastAsia="lt-LT"/>
                      </w:rPr>
                      <w:t xml:space="preserve">P </w:t>
                    </w:r>
                    <w:r>
                      <w:rPr>
                        <w:sz w:val="20"/>
                      </w:rPr>
                      <w:t>–</w:t>
                    </w:r>
                    <w:r>
                      <w:rPr>
                        <w:sz w:val="20"/>
                        <w:lang w:eastAsia="lt-LT"/>
                      </w:rPr>
                      <w:t xml:space="preserve"> Skaitmeninės sveikatos sistemos plėtros veiksmų planas, vnt.</w:t>
                    </w:r>
                  </w:p>
                </w:tc>
                <w:tc>
                  <w:tcPr>
                    <w:tcW w:w="851" w:type="dxa"/>
                    <w:tcBorders>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w:t>
                    </w:r>
                    <w:r>
                      <w:rPr>
                        <w:sz w:val="20"/>
                        <w:lang w:val="en-US"/>
                      </w:rPr>
                      <w:t>6</w:t>
                    </w:r>
                    <w:r>
                      <w:rPr>
                        <w:sz w:val="20"/>
                      </w:rPr>
                      <w:t xml:space="preserve"> m. II ketv.)</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414"/>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lang w:eastAsia="lt-LT"/>
                      </w:rPr>
                    </w:pPr>
                    <w:r>
                      <w:rPr>
                        <w:sz w:val="20"/>
                        <w:lang w:eastAsia="lt-LT"/>
                      </w:rPr>
                      <w:t xml:space="preserve">P </w:t>
                    </w:r>
                    <w:r>
                      <w:rPr>
                        <w:sz w:val="20"/>
                      </w:rPr>
                      <w:t xml:space="preserve">– </w:t>
                    </w:r>
                    <w:r>
                      <w:rPr>
                        <w:sz w:val="20"/>
                        <w:lang w:eastAsia="lt-LT"/>
                      </w:rPr>
                      <w:t xml:space="preserve"> Patvirtintas Skaitmeninės sveikatos sistemos plėtros veiksmų planas, vnt.</w:t>
                    </w:r>
                  </w:p>
                </w:tc>
                <w:tc>
                  <w:tcPr>
                    <w:tcW w:w="851" w:type="dxa"/>
                    <w:tcBorders>
                      <w:right w:val="single" w:sz="4" w:space="0" w:color="auto"/>
                    </w:tcBorders>
                    <w:shd w:val="clear" w:color="auto" w:fill="auto"/>
                  </w:tcPr>
                  <w:p>
                    <w:pPr>
                      <w:jc w:val="center"/>
                      <w:rPr>
                        <w:sz w:val="20"/>
                        <w:lang w:val="en-US"/>
                      </w:rPr>
                    </w:pPr>
                    <w:r>
                      <w:rPr>
                        <w:sz w:val="20"/>
                        <w:lang w:val="en-US"/>
                      </w:rPr>
                      <w:t>1</w:t>
                    </w:r>
                  </w:p>
                  <w:p>
                    <w:pPr>
                      <w:ind w:left="-57" w:right="-57"/>
                      <w:jc w:val="center"/>
                      <w:rPr>
                        <w:sz w:val="20"/>
                      </w:rPr>
                    </w:pPr>
                    <w:r>
                      <w:rPr>
                        <w:sz w:val="20"/>
                      </w:rPr>
                      <w:t>(2024 m. I ketv.)</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37"/>
                </w:trPr>
                <w:tc>
                  <w:tcPr>
                    <w:tcW w:w="2410" w:type="dxa"/>
                    <w:vMerge w:val="restart"/>
                    <w:shd w:val="clear" w:color="auto" w:fill="auto"/>
                  </w:tcPr>
                  <w:p>
                    <w:pPr>
                      <w:rPr>
                        <w:sz w:val="20"/>
                      </w:rPr>
                    </w:pPr>
                    <w:r>
                      <w:rPr>
                        <w:sz w:val="20"/>
                      </w:rPr>
                      <w:t>4.2. Sveikatos priežiūros specialistų kompetencijų platformos sukūrimas</w:t>
                    </w:r>
                  </w:p>
                </w:tc>
                <w:tc>
                  <w:tcPr>
                    <w:tcW w:w="709" w:type="dxa"/>
                    <w:vMerge w:val="restart"/>
                    <w:shd w:val="clear" w:color="auto" w:fill="auto"/>
                  </w:tcPr>
                  <w:p>
                    <w:pPr>
                      <w:rPr>
                        <w:sz w:val="20"/>
                      </w:rPr>
                    </w:pPr>
                    <w:r>
                      <w:rPr>
                        <w:sz w:val="20"/>
                      </w:rPr>
                      <w:t>I</w:t>
                    </w:r>
                  </w:p>
                </w:tc>
                <w:tc>
                  <w:tcPr>
                    <w:tcW w:w="1559" w:type="dxa"/>
                    <w:vMerge w:val="restart"/>
                    <w:shd w:val="clear" w:color="auto" w:fill="auto"/>
                  </w:tcPr>
                  <w:p>
                    <w:pPr>
                      <w:rPr>
                        <w:sz w:val="20"/>
                      </w:rPr>
                    </w:pPr>
                    <w:r>
                      <w:rPr>
                        <w:sz w:val="20"/>
                      </w:rPr>
                      <w:t>Valstybinė akreditavimo sveikatos priežiūros veiklai tarnyba prie Sveikatos apsaugos ministerijos (toliau – VASPVT)</w:t>
                    </w:r>
                  </w:p>
                </w:tc>
                <w:tc>
                  <w:tcPr>
                    <w:tcW w:w="709" w:type="dxa"/>
                    <w:vMerge w:val="restart"/>
                    <w:shd w:val="clear" w:color="auto" w:fill="auto"/>
                  </w:tcPr>
                  <w:p>
                    <w:pPr>
                      <w:rPr>
                        <w:sz w:val="20"/>
                      </w:rPr>
                    </w:pPr>
                    <w:r>
                      <w:rPr>
                        <w:sz w:val="20"/>
                      </w:rPr>
                      <w:t>P</w:t>
                    </w:r>
                  </w:p>
                </w:tc>
                <w:tc>
                  <w:tcPr>
                    <w:tcW w:w="992" w:type="dxa"/>
                    <w:vMerge w:val="restart"/>
                    <w:shd w:val="clear" w:color="auto" w:fill="auto"/>
                  </w:tcPr>
                  <w:p>
                    <w:pPr>
                      <w:rPr>
                        <w:sz w:val="20"/>
                      </w:rPr>
                    </w:pPr>
                    <w:r>
                      <w:rPr>
                        <w:sz w:val="20"/>
                      </w:rPr>
                      <w:t>Taip</w:t>
                    </w:r>
                  </w:p>
                </w:tc>
                <w:tc>
                  <w:tcPr>
                    <w:tcW w:w="709" w:type="dxa"/>
                    <w:vMerge w:val="restart"/>
                    <w:shd w:val="clear" w:color="auto" w:fill="auto"/>
                  </w:tcPr>
                  <w:p>
                    <w:pPr>
                      <w:rPr>
                        <w:sz w:val="20"/>
                      </w:rPr>
                    </w:pPr>
                    <w:r>
                      <w:rPr>
                        <w:sz w:val="20"/>
                      </w:rPr>
                      <w:t>D</w:t>
                    </w:r>
                  </w:p>
                </w:tc>
                <w:tc>
                  <w:tcPr>
                    <w:tcW w:w="1276" w:type="dxa"/>
                    <w:shd w:val="clear" w:color="auto" w:fill="auto"/>
                  </w:tcPr>
                  <w:p>
                    <w:pPr>
                      <w:rPr>
                        <w:sz w:val="20"/>
                      </w:rPr>
                    </w:pPr>
                    <w:r>
                      <w:rPr>
                        <w:sz w:val="20"/>
                      </w:rPr>
                      <w:t>2 011</w:t>
                    </w:r>
                  </w:p>
                </w:tc>
                <w:tc>
                  <w:tcPr>
                    <w:tcW w:w="992" w:type="dxa"/>
                    <w:shd w:val="clear" w:color="auto" w:fill="auto"/>
                  </w:tcPr>
                  <w:p>
                    <w:pPr>
                      <w:rPr>
                        <w:sz w:val="20"/>
                      </w:rPr>
                    </w:pPr>
                    <w:r>
                      <w:rPr>
                        <w:sz w:val="20"/>
                      </w:rPr>
                      <w:t>EGADP</w:t>
                    </w:r>
                  </w:p>
                </w:tc>
                <w:tc>
                  <w:tcPr>
                    <w:tcW w:w="2551" w:type="dxa"/>
                    <w:vMerge w:val="restart"/>
                    <w:shd w:val="clear" w:color="auto" w:fill="auto"/>
                  </w:tcPr>
                  <w:p>
                    <w:pPr>
                      <w:rPr>
                        <w:sz w:val="20"/>
                      </w:rPr>
                    </w:pPr>
                    <w:r>
                      <w:rPr>
                        <w:sz w:val="20"/>
                      </w:rPr>
                      <w:t xml:space="preserve">P – </w:t>
                    </w:r>
                    <w:r>
                      <w:rPr>
                        <w:sz w:val="20"/>
                        <w:lang w:eastAsia="lt-LT"/>
                      </w:rPr>
                      <w:t>Atviros viešųjų pirkimų procedūros, skirtos sveikatos priežiūros specialistų gebėjimų platformos informacinių technologijų priemonei įdiegti, užbaigimas, vnt.</w:t>
                    </w:r>
                  </w:p>
                </w:tc>
                <w:tc>
                  <w:tcPr>
                    <w:tcW w:w="851" w:type="dxa"/>
                    <w:vMerge w:val="restart"/>
                    <w:shd w:val="clear" w:color="auto" w:fill="auto"/>
                  </w:tcPr>
                  <w:p>
                    <w:pPr>
                      <w:ind w:left="-57" w:right="-57"/>
                      <w:jc w:val="center"/>
                      <w:rPr>
                        <w:sz w:val="20"/>
                      </w:rPr>
                    </w:pPr>
                    <w:r>
                      <w:rPr>
                        <w:sz w:val="20"/>
                      </w:rPr>
                      <w:t>1</w:t>
                    </w:r>
                  </w:p>
                  <w:p>
                    <w:pPr>
                      <w:ind w:left="-57" w:right="-57"/>
                      <w:jc w:val="center"/>
                      <w:rPr>
                        <w:sz w:val="20"/>
                      </w:rPr>
                    </w:pPr>
                    <w:r>
                      <w:rPr>
                        <w:sz w:val="20"/>
                      </w:rPr>
                      <w:t>(2022 m. IV ketv.)</w:t>
                    </w:r>
                  </w:p>
                  <w:p>
                    <w:pPr>
                      <w:ind w:left="-57" w:right="-57"/>
                      <w:jc w:val="center"/>
                      <w:rPr>
                        <w:sz w:val="20"/>
                      </w:rPr>
                    </w:pP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414"/>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val="restart"/>
                    <w:shd w:val="clear" w:color="auto" w:fill="auto"/>
                  </w:tcPr>
                  <w:p>
                    <w:pPr>
                      <w:rPr>
                        <w:sz w:val="20"/>
                      </w:rPr>
                    </w:pPr>
                    <w:r>
                      <w:rPr>
                        <w:sz w:val="20"/>
                      </w:rPr>
                      <w:t>422</w:t>
                    </w:r>
                  </w:p>
                </w:tc>
                <w:tc>
                  <w:tcPr>
                    <w:tcW w:w="992" w:type="dxa"/>
                    <w:vMerge w:val="restart"/>
                    <w:shd w:val="clear" w:color="auto" w:fill="auto"/>
                  </w:tcPr>
                  <w:p>
                    <w:pPr>
                      <w:rPr>
                        <w:sz w:val="20"/>
                      </w:rPr>
                    </w:pPr>
                    <w:r>
                      <w:rPr>
                        <w:iCs/>
                        <w:sz w:val="20"/>
                      </w:rPr>
                      <w:t>PVM iš VB</w:t>
                    </w:r>
                  </w:p>
                </w:tc>
                <w:tc>
                  <w:tcPr>
                    <w:tcW w:w="2551" w:type="dxa"/>
                    <w:vMerge/>
                    <w:shd w:val="clear" w:color="auto" w:fill="auto"/>
                  </w:tcPr>
                  <w:p>
                    <w:pPr>
                      <w:ind w:left="-57" w:right="-57"/>
                      <w:rPr>
                        <w:sz w:val="20"/>
                      </w:rPr>
                    </w:pPr>
                  </w:p>
                </w:tc>
                <w:tc>
                  <w:tcPr>
                    <w:tcW w:w="851" w:type="dxa"/>
                    <w:vMerge/>
                    <w:shd w:val="clear" w:color="auto" w:fill="CCC0D9" w:themeFill="accent4" w:themeFillTint="66"/>
                  </w:tcPr>
                  <w:p>
                    <w:pPr>
                      <w:ind w:left="-57" w:right="-57"/>
                      <w:jc w:val="center"/>
                      <w:rPr>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P – Sveikatos priežiūros specialistų kompetencijų platformos sukūrimas, vnt.</w:t>
                    </w:r>
                  </w:p>
                </w:tc>
                <w:tc>
                  <w:tcPr>
                    <w:tcW w:w="851" w:type="dxa"/>
                    <w:shd w:val="clear" w:color="auto" w:fill="auto"/>
                  </w:tcPr>
                  <w:p>
                    <w:pPr>
                      <w:ind w:left="-57" w:right="-57"/>
                      <w:jc w:val="center"/>
                      <w:rPr>
                        <w:sz w:val="20"/>
                      </w:rPr>
                    </w:pPr>
                    <w:r>
                      <w:rPr>
                        <w:sz w:val="20"/>
                      </w:rPr>
                      <w:t>1</w:t>
                    </w:r>
                  </w:p>
                  <w:p>
                    <w:pPr>
                      <w:ind w:left="-57" w:right="-57"/>
                      <w:jc w:val="center"/>
                      <w:rPr>
                        <w:sz w:val="20"/>
                      </w:rPr>
                    </w:pPr>
                    <w:r>
                      <w:rPr>
                        <w:sz w:val="20"/>
                      </w:rPr>
                      <w:t>(2024 m. IV ketv.)</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 xml:space="preserve">P – </w:t>
                    </w:r>
                    <w:r>
                      <w:rPr>
                        <w:sz w:val="20"/>
                        <w:lang w:eastAsia="lt-LT"/>
                      </w:rPr>
                      <w:t>Informacinės sistemos (platformos), skirtos sveikatos priežiūros specialistų licencijoms registruoti ir skaitmeninei stebėsenai vykdyti, sukūrimas, vnt.</w:t>
                    </w:r>
                  </w:p>
                </w:tc>
                <w:tc>
                  <w:tcPr>
                    <w:tcW w:w="851" w:type="dxa"/>
                    <w:shd w:val="clear" w:color="auto" w:fill="auto"/>
                  </w:tcPr>
                  <w:p>
                    <w:pPr>
                      <w:ind w:left="-57" w:right="-57"/>
                      <w:jc w:val="center"/>
                      <w:rPr>
                        <w:sz w:val="20"/>
                      </w:rPr>
                    </w:pPr>
                    <w:r>
                      <w:rPr>
                        <w:sz w:val="20"/>
                      </w:rPr>
                      <w:t>1</w:t>
                    </w:r>
                  </w:p>
                  <w:p>
                    <w:pPr>
                      <w:ind w:left="-57" w:right="-57"/>
                      <w:jc w:val="center"/>
                      <w:rPr>
                        <w:sz w:val="20"/>
                      </w:rPr>
                    </w:pPr>
                    <w:r>
                      <w:rPr>
                        <w:sz w:val="20"/>
                      </w:rPr>
                      <w:t>(2024 m. I ketv.)</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R – Sveikatos priežiūros specialistų, kurių licencija įregistruota ir jos priežiūra vykdoma skaitmeniniu būdu, dalis, proc.</w:t>
                    </w:r>
                  </w:p>
                </w:tc>
                <w:tc>
                  <w:tcPr>
                    <w:tcW w:w="851" w:type="dxa"/>
                    <w:shd w:val="clear" w:color="auto" w:fill="auto"/>
                  </w:tcPr>
                  <w:p>
                    <w:pPr>
                      <w:ind w:left="-57" w:right="-57"/>
                      <w:jc w:val="center"/>
                      <w:rPr>
                        <w:sz w:val="20"/>
                      </w:rPr>
                    </w:pPr>
                    <w:r>
                      <w:rPr>
                        <w:sz w:val="20"/>
                      </w:rPr>
                      <w:t>90</w:t>
                    </w:r>
                  </w:p>
                  <w:p>
                    <w:pPr>
                      <w:ind w:left="-57" w:right="-57"/>
                      <w:jc w:val="center"/>
                      <w:rPr>
                        <w:sz w:val="20"/>
                      </w:rPr>
                    </w:pPr>
                    <w:r>
                      <w:rPr>
                        <w:sz w:val="20"/>
                      </w:rPr>
                      <w:t>(2030 m.)</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R – Naujų ir patobulintų viešųjų skaitmeninių paslaugų, produktų ir procesų naudotojai, naudotojų skaičius per metus.</w:t>
                    </w:r>
                  </w:p>
                </w:tc>
                <w:tc>
                  <w:tcPr>
                    <w:tcW w:w="851" w:type="dxa"/>
                    <w:shd w:val="clear" w:color="auto" w:fill="auto"/>
                  </w:tcPr>
                  <w:p>
                    <w:pPr>
                      <w:ind w:left="-57" w:right="-57"/>
                      <w:jc w:val="center"/>
                      <w:rPr>
                        <w:sz w:val="20"/>
                      </w:rPr>
                    </w:pPr>
                    <w:r>
                      <w:rPr>
                        <w:sz w:val="20"/>
                      </w:rPr>
                      <w:t>n/a</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555"/>
                </w:trPr>
                <w:tc>
                  <w:tcPr>
                    <w:tcW w:w="2410" w:type="dxa"/>
                    <w:vMerge w:val="restart"/>
                  </w:tcPr>
                  <w:p>
                    <w:pPr>
                      <w:rPr>
                        <w:sz w:val="20"/>
                      </w:rPr>
                    </w:pPr>
                    <w:r>
                      <w:rPr>
                        <w:sz w:val="20"/>
                      </w:rPr>
                      <w:t>4.3. S</w:t>
                    </w:r>
                    <w:r>
                      <w:rPr>
                        <w:sz w:val="20"/>
                        <w:lang w:eastAsia="lt-LT"/>
                      </w:rPr>
                      <w:t>veikatos priežiūros paslaugų kokybės vertinimo modelio (rodiklių švieslentės) sukūrimas</w:t>
                    </w:r>
                  </w:p>
                </w:tc>
                <w:tc>
                  <w:tcPr>
                    <w:tcW w:w="709" w:type="dxa"/>
                    <w:vMerge w:val="restart"/>
                  </w:tcPr>
                  <w:p>
                    <w:pPr>
                      <w:rPr>
                        <w:sz w:val="20"/>
                      </w:rPr>
                    </w:pPr>
                    <w:r>
                      <w:rPr>
                        <w:sz w:val="20"/>
                      </w:rPr>
                      <w:t>I</w:t>
                    </w:r>
                  </w:p>
                </w:tc>
                <w:tc>
                  <w:tcPr>
                    <w:tcW w:w="1559" w:type="dxa"/>
                    <w:vMerge w:val="restart"/>
                  </w:tcPr>
                  <w:p>
                    <w:pPr>
                      <w:rPr>
                        <w:sz w:val="20"/>
                      </w:rPr>
                    </w:pPr>
                    <w:r>
                      <w:rPr>
                        <w:sz w:val="20"/>
                      </w:rPr>
                      <w:t>Valstybinė ligonių kasa prie Sveikatos apsaugos ministerijos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rPr>
                    </w:pPr>
                    <w:r>
                      <w:rPr>
                        <w:sz w:val="20"/>
                      </w:rPr>
                      <w:t>2 500</w:t>
                    </w:r>
                  </w:p>
                </w:tc>
                <w:tc>
                  <w:tcPr>
                    <w:tcW w:w="992" w:type="dxa"/>
                  </w:tcPr>
                  <w:p>
                    <w:pPr>
                      <w:rPr>
                        <w:sz w:val="20"/>
                      </w:rPr>
                    </w:pPr>
                    <w:r>
                      <w:rPr>
                        <w:sz w:val="20"/>
                      </w:rPr>
                      <w:t>EGADP</w:t>
                    </w:r>
                  </w:p>
                </w:tc>
                <w:tc>
                  <w:tcPr>
                    <w:tcW w:w="2551" w:type="dxa"/>
                    <w:vMerge w:val="restart"/>
                    <w:shd w:val="clear" w:color="auto" w:fill="auto"/>
                  </w:tcPr>
                  <w:p>
                    <w:pPr>
                      <w:ind w:left="-57" w:right="-57"/>
                      <w:jc w:val="both"/>
                      <w:rPr>
                        <w:sz w:val="20"/>
                      </w:rPr>
                    </w:pPr>
                    <w:r>
                      <w:rPr>
                        <w:sz w:val="20"/>
                      </w:rPr>
                      <w:t xml:space="preserve">R – </w:t>
                    </w:r>
                    <w:r>
                      <w:rPr>
                        <w:sz w:val="20"/>
                        <w:lang w:eastAsia="lt-LT"/>
                      </w:rPr>
                      <w:t>Sveikatos priežiūros įstaigų, įtrauktų į veiklos rezultatų rodiklių rinkiniu grindžiamą Lietuvos nacionalinės sveikatos sistemos švieslentę dalis, proc. (tarpinis)</w:t>
                    </w:r>
                  </w:p>
                </w:tc>
                <w:tc>
                  <w:tcPr>
                    <w:tcW w:w="851" w:type="dxa"/>
                    <w:vMerge w:val="restart"/>
                    <w:shd w:val="clear" w:color="auto" w:fill="auto"/>
                  </w:tcPr>
                  <w:p>
                    <w:pPr>
                      <w:jc w:val="center"/>
                      <w:rPr>
                        <w:sz w:val="20"/>
                      </w:rPr>
                    </w:pPr>
                    <w:r>
                      <w:rPr>
                        <w:sz w:val="20"/>
                      </w:rPr>
                      <w:t>70</w:t>
                    </w:r>
                  </w:p>
                  <w:p>
                    <w:pPr>
                      <w:jc w:val="center"/>
                      <w:rPr>
                        <w:sz w:val="20"/>
                      </w:rPr>
                    </w:pPr>
                    <w:r>
                      <w:rPr>
                        <w:sz w:val="20"/>
                      </w:rPr>
                      <w:t>(2023 m. II ketv.)</w:t>
                    </w:r>
                  </w:p>
                  <w:p>
                    <w:pPr>
                      <w:ind w:right="-57"/>
                      <w:rPr>
                        <w:sz w:val="20"/>
                      </w:rPr>
                    </w:pP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vAlign w:val="center"/>
                  </w:tcPr>
                  <w:p>
                    <w:pPr>
                      <w:rPr>
                        <w:color w:val="000000"/>
                        <w:sz w:val="20"/>
                      </w:rPr>
                    </w:pPr>
                  </w:p>
                </w:tc>
              </w:tr>
              <w:tr>
                <w:trPr>
                  <w:trHeight w:val="693"/>
                </w:trPr>
                <w:tc>
                  <w:tcPr>
                    <w:tcW w:w="2410" w:type="dxa"/>
                    <w:vMerge/>
                    <w:tcBorders>
                      <w:bottom w:val="single" w:sz="4" w:space="0" w:color="auto"/>
                    </w:tcBorders>
                  </w:tcPr>
                  <w:p>
                    <w:pPr>
                      <w:rPr>
                        <w:iCs/>
                        <w:sz w:val="20"/>
                      </w:rPr>
                    </w:pPr>
                  </w:p>
                </w:tc>
                <w:tc>
                  <w:tcPr>
                    <w:tcW w:w="709" w:type="dxa"/>
                    <w:vMerge/>
                    <w:tcBorders>
                      <w:bottom w:val="single" w:sz="4" w:space="0" w:color="auto"/>
                    </w:tcBorders>
                  </w:tcPr>
                  <w:p>
                    <w:pPr>
                      <w:rPr>
                        <w:sz w:val="20"/>
                      </w:rPr>
                    </w:pPr>
                  </w:p>
                </w:tc>
                <w:tc>
                  <w:tcPr>
                    <w:tcW w:w="1559" w:type="dxa"/>
                    <w:vMerge/>
                    <w:tcBorders>
                      <w:bottom w:val="single" w:sz="4" w:space="0" w:color="auto"/>
                    </w:tcBorders>
                  </w:tcPr>
                  <w:p>
                    <w:pPr>
                      <w:rPr>
                        <w:sz w:val="20"/>
                      </w:rPr>
                    </w:pPr>
                  </w:p>
                </w:tc>
                <w:tc>
                  <w:tcPr>
                    <w:tcW w:w="709" w:type="dxa"/>
                    <w:vMerge/>
                    <w:tcBorders>
                      <w:bottom w:val="single" w:sz="4" w:space="0" w:color="auto"/>
                    </w:tcBorders>
                  </w:tcPr>
                  <w:p>
                    <w:pPr>
                      <w:rPr>
                        <w:sz w:val="20"/>
                      </w:rPr>
                    </w:pPr>
                  </w:p>
                </w:tc>
                <w:tc>
                  <w:tcPr>
                    <w:tcW w:w="992" w:type="dxa"/>
                    <w:vMerge/>
                    <w:tcBorders>
                      <w:bottom w:val="single" w:sz="4" w:space="0" w:color="auto"/>
                    </w:tcBorders>
                  </w:tcPr>
                  <w:p>
                    <w:pPr>
                      <w:rPr>
                        <w:sz w:val="20"/>
                      </w:rPr>
                    </w:pPr>
                  </w:p>
                </w:tc>
                <w:tc>
                  <w:tcPr>
                    <w:tcW w:w="709" w:type="dxa"/>
                    <w:vMerge/>
                    <w:tcBorders>
                      <w:bottom w:val="single" w:sz="4" w:space="0" w:color="auto"/>
                    </w:tcBorders>
                  </w:tcPr>
                  <w:p>
                    <w:pPr>
                      <w:rPr>
                        <w:sz w:val="20"/>
                      </w:rPr>
                    </w:pPr>
                  </w:p>
                </w:tc>
                <w:tc>
                  <w:tcPr>
                    <w:tcW w:w="1276" w:type="dxa"/>
                    <w:vMerge w:val="restart"/>
                    <w:tcBorders>
                      <w:bottom w:val="single" w:sz="4" w:space="0" w:color="auto"/>
                    </w:tcBorders>
                  </w:tcPr>
                  <w:p>
                    <w:pPr>
                      <w:rPr>
                        <w:sz w:val="20"/>
                      </w:rPr>
                    </w:pPr>
                    <w:r>
                      <w:rPr>
                        <w:sz w:val="20"/>
                      </w:rPr>
                      <w:t>530</w:t>
                    </w:r>
                  </w:p>
                </w:tc>
                <w:tc>
                  <w:tcPr>
                    <w:tcW w:w="992" w:type="dxa"/>
                    <w:vMerge w:val="restart"/>
                    <w:tcBorders>
                      <w:bottom w:val="single" w:sz="4" w:space="0" w:color="auto"/>
                    </w:tcBorders>
                  </w:tcPr>
                  <w:p>
                    <w:pPr>
                      <w:rPr>
                        <w:sz w:val="20"/>
                      </w:rPr>
                    </w:pPr>
                    <w:r>
                      <w:rPr>
                        <w:iCs/>
                        <w:sz w:val="20"/>
                      </w:rPr>
                      <w:t>PVM iš VB</w:t>
                    </w:r>
                  </w:p>
                </w:tc>
                <w:tc>
                  <w:tcPr>
                    <w:tcW w:w="2551" w:type="dxa"/>
                    <w:vMerge/>
                    <w:tcBorders>
                      <w:bottom w:val="single" w:sz="4" w:space="0" w:color="auto"/>
                    </w:tcBorders>
                    <w:shd w:val="clear" w:color="auto" w:fill="auto"/>
                  </w:tcPr>
                  <w:p>
                    <w:pPr>
                      <w:ind w:left="-57" w:right="-57"/>
                      <w:rPr>
                        <w:sz w:val="20"/>
                      </w:rPr>
                    </w:pPr>
                  </w:p>
                </w:tc>
                <w:tc>
                  <w:tcPr>
                    <w:tcW w:w="851" w:type="dxa"/>
                    <w:vMerge/>
                    <w:tcBorders>
                      <w:bottom w:val="single" w:sz="4" w:space="0" w:color="auto"/>
                    </w:tcBorders>
                    <w:shd w:val="clear" w:color="auto" w:fill="auto"/>
                  </w:tcPr>
                  <w:p>
                    <w:pPr>
                      <w:ind w:left="-57" w:right="-57"/>
                      <w:jc w:val="center"/>
                      <w:rPr>
                        <w:sz w:val="20"/>
                      </w:rPr>
                    </w:pPr>
                  </w:p>
                </w:tc>
                <w:tc>
                  <w:tcPr>
                    <w:tcW w:w="992" w:type="dxa"/>
                    <w:vMerge/>
                    <w:tcBorders>
                      <w:bottom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414"/>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rPr>
                    </w:pPr>
                    <w:r>
                      <w:rPr>
                        <w:sz w:val="20"/>
                      </w:rPr>
                      <w:t xml:space="preserve">R – Sveikatos priežiūros įstaigų, įtrauktų į veiklos rezultatų rodiklių rinkiniu grindžiamą Lietuvos nacionalinės sveikatos sistemos švieslentę, dalis, proc. </w:t>
                    </w:r>
                  </w:p>
                </w:tc>
                <w:tc>
                  <w:tcPr>
                    <w:tcW w:w="851" w:type="dxa"/>
                    <w:shd w:val="clear" w:color="auto" w:fill="auto"/>
                  </w:tcPr>
                  <w:p>
                    <w:pPr>
                      <w:ind w:left="-57" w:right="-57"/>
                      <w:jc w:val="center"/>
                      <w:rPr>
                        <w:sz w:val="20"/>
                      </w:rPr>
                    </w:pPr>
                    <w:r>
                      <w:rPr>
                        <w:sz w:val="20"/>
                      </w:rPr>
                      <w:t>100</w:t>
                    </w:r>
                  </w:p>
                  <w:p>
                    <w:pPr>
                      <w:ind w:left="-57" w:right="-57"/>
                      <w:jc w:val="center"/>
                      <w:rPr>
                        <w:sz w:val="20"/>
                      </w:rPr>
                    </w:pPr>
                    <w:r>
                      <w:rPr>
                        <w:sz w:val="20"/>
                      </w:rPr>
                      <w:t>(2025 m. II ketv.)</w:t>
                    </w: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rPr>
                    </w:pPr>
                    <w:r>
                      <w:rPr>
                        <w:sz w:val="20"/>
                      </w:rPr>
                      <w:t>R – Naujų ir patobulintų viešųjų skaitmeninių paslaugų, produktų ir procesų naudotojai, naudotojų skaičius per metus.</w:t>
                    </w:r>
                  </w:p>
                </w:tc>
                <w:tc>
                  <w:tcPr>
                    <w:tcW w:w="851" w:type="dxa"/>
                    <w:shd w:val="clear" w:color="auto" w:fill="auto"/>
                  </w:tcPr>
                  <w:p>
                    <w:pPr>
                      <w:ind w:left="-57" w:right="-57"/>
                      <w:jc w:val="center"/>
                      <w:rPr>
                        <w:sz w:val="20"/>
                      </w:rPr>
                    </w:pPr>
                    <w:r>
                      <w:rPr>
                        <w:sz w:val="20"/>
                      </w:rPr>
                      <w:t>n/a</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6"/>
                </w:trPr>
                <w:tc>
                  <w:tcPr>
                    <w:tcW w:w="2410" w:type="dxa"/>
                    <w:vMerge w:val="restart"/>
                    <w:tcBorders>
                      <w:top w:val="single" w:sz="4" w:space="0" w:color="auto"/>
                      <w:left w:val="single" w:sz="4" w:space="0" w:color="auto"/>
                      <w:right w:val="single" w:sz="4" w:space="0" w:color="auto"/>
                    </w:tcBorders>
                  </w:tcPr>
                  <w:p>
                    <w:pPr>
                      <w:rPr>
                        <w:iCs/>
                        <w:sz w:val="20"/>
                      </w:rPr>
                    </w:pPr>
                    <w:r>
                      <w:rPr>
                        <w:iCs/>
                        <w:sz w:val="20"/>
                      </w:rPr>
                      <w:t>4.4. Sveikatos sektoriaus skaitmeninimo projektai</w:t>
                    </w:r>
                  </w:p>
                </w:tc>
                <w:tc>
                  <w:tcPr>
                    <w:tcW w:w="709" w:type="dxa"/>
                    <w:vMerge w:val="restart"/>
                    <w:tcBorders>
                      <w:top w:val="single" w:sz="4" w:space="0" w:color="auto"/>
                      <w:left w:val="single" w:sz="4" w:space="0" w:color="auto"/>
                      <w:right w:val="single" w:sz="4" w:space="0" w:color="auto"/>
                    </w:tcBorders>
                  </w:tcPr>
                  <w:p>
                    <w:pPr>
                      <w:rPr>
                        <w:sz w:val="20"/>
                      </w:rPr>
                    </w:pPr>
                    <w:r>
                      <w:rPr>
                        <w:sz w:val="20"/>
                      </w:rPr>
                      <w:t>I</w:t>
                    </w:r>
                  </w:p>
                </w:tc>
                <w:tc>
                  <w:tcPr>
                    <w:tcW w:w="1559" w:type="dxa"/>
                    <w:vMerge w:val="restart"/>
                    <w:tcBorders>
                      <w:top w:val="single" w:sz="4" w:space="0" w:color="auto"/>
                      <w:left w:val="single" w:sz="4" w:space="0" w:color="auto"/>
                      <w:right w:val="single" w:sz="4" w:space="0" w:color="auto"/>
                    </w:tcBorders>
                  </w:tcPr>
                  <w:p>
                    <w:pPr>
                      <w:rPr>
                        <w:sz w:val="20"/>
                      </w:rPr>
                    </w:pPr>
                    <w:r>
                      <w:rPr>
                        <w:sz w:val="20"/>
                      </w:rPr>
                      <w:t>VĮ Registrų centras, SAM pavaldžios įstaigos</w:t>
                    </w:r>
                  </w:p>
                </w:tc>
                <w:tc>
                  <w:tcPr>
                    <w:tcW w:w="709" w:type="dxa"/>
                    <w:vMerge w:val="restart"/>
                    <w:tcBorders>
                      <w:top w:val="single" w:sz="4" w:space="0" w:color="auto"/>
                      <w:left w:val="single" w:sz="4" w:space="0" w:color="auto"/>
                      <w:right w:val="single" w:sz="4" w:space="0" w:color="auto"/>
                    </w:tcBorders>
                  </w:tcPr>
                  <w:p>
                    <w:pPr>
                      <w:rPr>
                        <w:sz w:val="20"/>
                      </w:rPr>
                    </w:pPr>
                    <w:r>
                      <w:rPr>
                        <w:sz w:val="20"/>
                      </w:rPr>
                      <w:t>P</w:t>
                    </w:r>
                  </w:p>
                </w:tc>
                <w:tc>
                  <w:tcPr>
                    <w:tcW w:w="992" w:type="dxa"/>
                    <w:vMerge w:val="restart"/>
                    <w:tcBorders>
                      <w:top w:val="single" w:sz="4" w:space="0" w:color="auto"/>
                      <w:left w:val="single" w:sz="4" w:space="0" w:color="auto"/>
                      <w:right w:val="single" w:sz="4" w:space="0" w:color="auto"/>
                    </w:tcBorders>
                  </w:tcPr>
                  <w:p>
                    <w:pP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rPr>
                        <w:sz w:val="20"/>
                      </w:rPr>
                    </w:pPr>
                    <w:r>
                      <w:rPr>
                        <w:sz w:val="20"/>
                      </w:rPr>
                      <w:t>D</w:t>
                    </w:r>
                  </w:p>
                </w:tc>
                <w:tc>
                  <w:tcPr>
                    <w:tcW w:w="1276" w:type="dxa"/>
                    <w:tcBorders>
                      <w:top w:val="single" w:sz="4" w:space="0" w:color="auto"/>
                      <w:left w:val="single" w:sz="4" w:space="0" w:color="auto"/>
                      <w:bottom w:val="single" w:sz="4" w:space="0" w:color="auto"/>
                      <w:right w:val="single" w:sz="4" w:space="0" w:color="auto"/>
                    </w:tcBorders>
                  </w:tcPr>
                  <w:p>
                    <w:pPr>
                      <w:rPr>
                        <w:sz w:val="20"/>
                      </w:rPr>
                    </w:pPr>
                    <w:r>
                      <w:rPr>
                        <w:sz w:val="20"/>
                      </w:rPr>
                      <w:t>84 835,491</w:t>
                    </w: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EGADP</w:t>
                    </w: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Šalies gyventojų, kuriems teikiamos su sveikata susijusios elektroninės paslaugos, dalis,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98</w:t>
                    </w:r>
                  </w:p>
                  <w:p>
                    <w:pPr>
                      <w:ind w:left="-57" w:right="-57"/>
                      <w:jc w:val="center"/>
                      <w:rPr>
                        <w:sz w:val="20"/>
                      </w:rPr>
                    </w:pPr>
                    <w:r>
                      <w:rPr>
                        <w:sz w:val="20"/>
                      </w:rPr>
                      <w:t>(2030 m.)</w:t>
                    </w:r>
                  </w:p>
                  <w:p>
                    <w:pPr>
                      <w:ind w:left="-57" w:right="-57"/>
                      <w:jc w:val="center"/>
                      <w:rPr>
                        <w:sz w:val="20"/>
                      </w:rPr>
                    </w:pPr>
                  </w:p>
                </w:tc>
                <w:tc>
                  <w:tcPr>
                    <w:tcW w:w="992" w:type="dxa"/>
                    <w:vMerge w:val="restart"/>
                    <w:tcBorders>
                      <w:top w:val="single" w:sz="4" w:space="0" w:color="auto"/>
                      <w:left w:val="single" w:sz="4" w:space="0" w:color="auto"/>
                      <w:right w:val="single" w:sz="4" w:space="0" w:color="auto"/>
                    </w:tcBorders>
                  </w:tcPr>
                  <w:p>
                    <w:pPr>
                      <w:rPr>
                        <w:sz w:val="20"/>
                      </w:rPr>
                    </w:pPr>
                    <w:r>
                      <w:rPr>
                        <w:sz w:val="20"/>
                      </w:rPr>
                      <w:t>CPVA</w:t>
                    </w:r>
                  </w:p>
                </w:tc>
                <w:tc>
                  <w:tcPr>
                    <w:tcW w:w="1276" w:type="dxa"/>
                    <w:vMerge w:val="restart"/>
                    <w:tcBorders>
                      <w:top w:val="single" w:sz="4" w:space="0" w:color="auto"/>
                      <w:left w:val="single" w:sz="4" w:space="0" w:color="auto"/>
                      <w:right w:val="single" w:sz="4" w:space="0" w:color="auto"/>
                    </w:tcBorders>
                  </w:tcPr>
                  <w:p>
                    <w:pPr>
                      <w:rPr>
                        <w:color w:val="000000"/>
                        <w:sz w:val="20"/>
                      </w:rPr>
                    </w:pPr>
                    <w:r>
                      <w:rPr>
                        <w:color w:val="000000"/>
                        <w:sz w:val="20"/>
                      </w:rPr>
                      <w:t>SAM</w:t>
                    </w:r>
                  </w:p>
                </w:tc>
              </w:tr>
              <w:tr>
                <w:trPr>
                  <w:trHeight w:val="1150"/>
                </w:trPr>
                <w:tc>
                  <w:tcPr>
                    <w:tcW w:w="2410" w:type="dxa"/>
                    <w:vMerge/>
                    <w:tcBorders>
                      <w:left w:val="single" w:sz="4" w:space="0" w:color="auto"/>
                      <w:right w:val="single" w:sz="4" w:space="0" w:color="auto"/>
                    </w:tcBorders>
                  </w:tcPr>
                  <w:p>
                    <w:pPr>
                      <w:rPr>
                        <w:iCs/>
                        <w:sz w:val="20"/>
                      </w:rPr>
                    </w:pPr>
                  </w:p>
                </w:tc>
                <w:tc>
                  <w:tcPr>
                    <w:tcW w:w="709" w:type="dxa"/>
                    <w:vMerge/>
                    <w:tcBorders>
                      <w:left w:val="single" w:sz="4" w:space="0" w:color="auto"/>
                      <w:right w:val="single" w:sz="4" w:space="0" w:color="auto"/>
                    </w:tcBorders>
                  </w:tcPr>
                  <w:p>
                    <w:pPr>
                      <w:rPr>
                        <w:sz w:val="20"/>
                      </w:rPr>
                    </w:pPr>
                  </w:p>
                </w:tc>
                <w:tc>
                  <w:tcPr>
                    <w:tcW w:w="1559"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276" w:type="dxa"/>
                    <w:vMerge w:val="restart"/>
                    <w:tcBorders>
                      <w:top w:val="single" w:sz="4" w:space="0" w:color="auto"/>
                      <w:left w:val="single" w:sz="4" w:space="0" w:color="auto"/>
                      <w:right w:val="single" w:sz="4" w:space="0" w:color="auto"/>
                    </w:tcBorders>
                  </w:tcPr>
                  <w:p>
                    <w:pPr>
                      <w:rPr>
                        <w:sz w:val="20"/>
                      </w:rPr>
                    </w:pPr>
                    <w:r>
                      <w:rPr>
                        <w:sz w:val="20"/>
                      </w:rPr>
                      <w:t>17 816,662</w:t>
                    </w:r>
                  </w:p>
                </w:tc>
                <w:tc>
                  <w:tcPr>
                    <w:tcW w:w="992" w:type="dxa"/>
                    <w:vMerge w:val="restart"/>
                    <w:tcBorders>
                      <w:top w:val="single" w:sz="4" w:space="0" w:color="auto"/>
                      <w:left w:val="single" w:sz="4" w:space="0" w:color="auto"/>
                      <w:right w:val="single" w:sz="4" w:space="0" w:color="auto"/>
                    </w:tcBorders>
                  </w:tcPr>
                  <w:p>
                    <w:pPr>
                      <w:rPr>
                        <w:sz w:val="20"/>
                      </w:rPr>
                    </w:pPr>
                    <w:r>
                      <w:rPr>
                        <w:sz w:val="20"/>
                      </w:rPr>
                      <w:t>PVM iš VB</w:t>
                    </w: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R – Ambulatorinių ir stacionarinių asmens sveikatos priežiūros įstaigų, naudojančių e. sveikatos produktus, dalis, proc. (tarpinis)</w:t>
                    </w:r>
                  </w:p>
                </w:tc>
                <w:tc>
                  <w:tcPr>
                    <w:tcW w:w="851" w:type="dxa"/>
                    <w:tcBorders>
                      <w:top w:val="single" w:sz="4" w:space="0" w:color="auto"/>
                      <w:left w:val="single" w:sz="4" w:space="0" w:color="auto"/>
                      <w:right w:val="single" w:sz="4" w:space="0" w:color="auto"/>
                    </w:tcBorders>
                    <w:shd w:val="clear" w:color="auto" w:fill="auto"/>
                  </w:tcPr>
                  <w:p>
                    <w:pPr>
                      <w:jc w:val="center"/>
                      <w:rPr>
                        <w:sz w:val="20"/>
                      </w:rPr>
                    </w:pPr>
                    <w:r>
                      <w:rPr>
                        <w:sz w:val="20"/>
                      </w:rPr>
                      <w:t>60</w:t>
                    </w:r>
                  </w:p>
                  <w:p>
                    <w:pPr>
                      <w:jc w:val="center"/>
                      <w:rPr>
                        <w:sz w:val="20"/>
                      </w:rPr>
                    </w:pPr>
                    <w:r>
                      <w:rPr>
                        <w:sz w:val="20"/>
                      </w:rPr>
                      <w:t>(2023 m. IV ketv.)</w:t>
                    </w:r>
                  </w:p>
                  <w:p>
                    <w:pPr>
                      <w:ind w:left="-57" w:right="-57"/>
                      <w:rPr>
                        <w:sz w:val="20"/>
                      </w:rPr>
                    </w:pP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6"/>
                </w:trPr>
                <w:tc>
                  <w:tcPr>
                    <w:tcW w:w="2410" w:type="dxa"/>
                    <w:vMerge/>
                    <w:tcBorders>
                      <w:left w:val="single" w:sz="4" w:space="0" w:color="auto"/>
                      <w:bottom w:val="single" w:sz="4" w:space="0" w:color="auto"/>
                      <w:right w:val="single" w:sz="4" w:space="0" w:color="auto"/>
                    </w:tcBorders>
                  </w:tcPr>
                  <w:p>
                    <w:pPr>
                      <w:rPr>
                        <w:iCs/>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559"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Ambulatorinių ir stacionarinių asmens sveikatos priežiūros įstaigų, naudojančių e. sveikatos produktus, dalis,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jc w:val="center"/>
                      <w:rPr>
                        <w:sz w:val="20"/>
                      </w:rPr>
                    </w:pPr>
                    <w:r>
                      <w:rPr>
                        <w:sz w:val="20"/>
                      </w:rPr>
                      <w:t>70</w:t>
                    </w:r>
                  </w:p>
                  <w:p>
                    <w:pPr>
                      <w:ind w:left="-57" w:right="-57"/>
                      <w:jc w:val="center"/>
                      <w:rPr>
                        <w:sz w:val="20"/>
                      </w:rPr>
                    </w:pPr>
                    <w:r>
                      <w:rPr>
                        <w:sz w:val="20"/>
                      </w:rPr>
                      <w:t>(2025 m. IV ketv.)</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6"/>
                </w:trPr>
                <w:tc>
                  <w:tcPr>
                    <w:tcW w:w="2410" w:type="dxa"/>
                    <w:vMerge/>
                    <w:tcBorders>
                      <w:left w:val="single" w:sz="4" w:space="0" w:color="auto"/>
                      <w:bottom w:val="single" w:sz="4" w:space="0" w:color="auto"/>
                      <w:right w:val="single" w:sz="4" w:space="0" w:color="auto"/>
                    </w:tcBorders>
                  </w:tcPr>
                  <w:p>
                    <w:pPr>
                      <w:rPr>
                        <w:iCs/>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559"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 xml:space="preserve">R – Ambulatorinių ir stacionarinių asmens sveikatos priežiūros įstaigų, naudojančių e. sveikatos produktus, dalis, proc. </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98</w:t>
                    </w:r>
                  </w:p>
                  <w:p>
                    <w:pPr>
                      <w:ind w:left="-57" w:right="-57"/>
                      <w:jc w:val="center"/>
                      <w:rPr>
                        <w:sz w:val="20"/>
                      </w:rPr>
                    </w:pPr>
                    <w:r>
                      <w:rPr>
                        <w:sz w:val="20"/>
                      </w:rPr>
                      <w:t>(2030 m.)</w:t>
                    </w:r>
                  </w:p>
                  <w:p>
                    <w:pPr>
                      <w:ind w:left="-57" w:right="-57"/>
                      <w:jc w:val="center"/>
                      <w:rPr>
                        <w:sz w:val="20"/>
                      </w:rPr>
                    </w:pP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6"/>
                </w:trPr>
                <w:tc>
                  <w:tcPr>
                    <w:tcW w:w="2410" w:type="dxa"/>
                    <w:vMerge/>
                    <w:tcBorders>
                      <w:left w:val="single" w:sz="4" w:space="0" w:color="auto"/>
                      <w:bottom w:val="single" w:sz="4" w:space="0" w:color="auto"/>
                      <w:right w:val="single" w:sz="4" w:space="0" w:color="auto"/>
                    </w:tcBorders>
                  </w:tcPr>
                  <w:p>
                    <w:pPr>
                      <w:rPr>
                        <w:iCs/>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559"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Naujų ir patobulintų viešųjų skaitmeninių paslaugų, produktų ir procesų naudotojai, naudotojų skaičius per metus.</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n/a</w:t>
                    </w:r>
                  </w:p>
                </w:tc>
                <w:tc>
                  <w:tcPr>
                    <w:tcW w:w="992"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414"/>
                </w:trPr>
                <w:tc>
                  <w:tcPr>
                    <w:tcW w:w="2410" w:type="dxa"/>
                    <w:shd w:val="clear" w:color="auto" w:fill="F2F2F2" w:themeFill="background1" w:themeFillShade="F2"/>
                  </w:tcPr>
                  <w:p>
                    <w:pPr>
                      <w:rPr>
                        <w:b/>
                        <w:bCs/>
                        <w:iCs/>
                        <w:sz w:val="20"/>
                      </w:rPr>
                    </w:pPr>
                    <w:r>
                      <w:rPr>
                        <w:b/>
                        <w:bCs/>
                        <w:sz w:val="20"/>
                      </w:rPr>
                      <w:t>5. Pažangos priemonėje planuojamų veiklų investavimo krypčių ir pagrįstumo vertinimas</w:t>
                    </w:r>
                  </w:p>
                </w:tc>
                <w:tc>
                  <w:tcPr>
                    <w:tcW w:w="709" w:type="dxa"/>
                    <w:shd w:val="clear" w:color="auto" w:fill="F2F2F2" w:themeFill="background1" w:themeFillShade="F2"/>
                  </w:tcPr>
                  <w:p>
                    <w:pPr>
                      <w:rPr>
                        <w:sz w:val="20"/>
                      </w:rPr>
                    </w:pPr>
                    <w:r>
                      <w:rPr>
                        <w:sz w:val="20"/>
                      </w:rPr>
                      <w:t>A</w:t>
                    </w:r>
                  </w:p>
                </w:tc>
                <w:tc>
                  <w:tcPr>
                    <w:tcW w:w="1559" w:type="dxa"/>
                    <w:shd w:val="clear" w:color="auto" w:fill="F2F2F2" w:themeFill="background1" w:themeFillShade="F2"/>
                  </w:tcPr>
                  <w:p>
                    <w:pPr>
                      <w:rPr>
                        <w:sz w:val="20"/>
                      </w:rPr>
                    </w:pPr>
                    <w:r>
                      <w:rPr>
                        <w:sz w:val="20"/>
                      </w:rPr>
                      <w:t>SAM</w:t>
                    </w:r>
                  </w:p>
                </w:tc>
                <w:tc>
                  <w:tcPr>
                    <w:tcW w:w="709" w:type="dxa"/>
                    <w:shd w:val="clear" w:color="auto" w:fill="F2F2F2" w:themeFill="background1" w:themeFillShade="F2"/>
                  </w:tcPr>
                  <w:p>
                    <w:pPr>
                      <w:rPr>
                        <w:sz w:val="20"/>
                      </w:rPr>
                    </w:pPr>
                    <w:r>
                      <w:rPr>
                        <w:sz w:val="20"/>
                      </w:rPr>
                      <w:t>P</w:t>
                    </w:r>
                  </w:p>
                </w:tc>
                <w:tc>
                  <w:tcPr>
                    <w:tcW w:w="992" w:type="dxa"/>
                    <w:shd w:val="clear" w:color="auto" w:fill="F2F2F2" w:themeFill="background1" w:themeFillShade="F2"/>
                  </w:tcPr>
                  <w:p>
                    <w:pPr>
                      <w:rPr>
                        <w:sz w:val="20"/>
                      </w:rPr>
                    </w:pPr>
                    <w:r>
                      <w:rPr>
                        <w:sz w:val="20"/>
                      </w:rPr>
                      <w:t>Ne</w:t>
                    </w:r>
                  </w:p>
                </w:tc>
                <w:tc>
                  <w:tcPr>
                    <w:tcW w:w="709" w:type="dxa"/>
                    <w:shd w:val="clear" w:color="auto" w:fill="F2F2F2" w:themeFill="background1" w:themeFillShade="F2"/>
                  </w:tcPr>
                  <w:p>
                    <w:pPr>
                      <w:rPr>
                        <w:sz w:val="20"/>
                      </w:rPr>
                    </w:pPr>
                    <w:r>
                      <w:rPr>
                        <w:sz w:val="20"/>
                      </w:rPr>
                      <w:t>D</w:t>
                    </w:r>
                  </w:p>
                </w:tc>
                <w:tc>
                  <w:tcPr>
                    <w:tcW w:w="1276" w:type="dxa"/>
                    <w:shd w:val="clear" w:color="auto" w:fill="F2F2F2" w:themeFill="background1" w:themeFillShade="F2"/>
                  </w:tcPr>
                  <w:p>
                    <w:pPr>
                      <w:rPr>
                        <w:b/>
                        <w:bCs/>
                        <w:sz w:val="20"/>
                      </w:rPr>
                    </w:pPr>
                    <w:r>
                      <w:rPr>
                        <w:b/>
                        <w:bCs/>
                        <w:sz w:val="20"/>
                        <w:lang w:val="en-US"/>
                      </w:rPr>
                      <w:t>169,719</w:t>
                    </w:r>
                  </w:p>
                </w:tc>
                <w:tc>
                  <w:tcPr>
                    <w:tcW w:w="992" w:type="dxa"/>
                    <w:shd w:val="clear" w:color="auto" w:fill="F2F2F2" w:themeFill="background1" w:themeFillShade="F2"/>
                  </w:tcPr>
                  <w:p>
                    <w:pPr>
                      <w:rPr>
                        <w:sz w:val="20"/>
                      </w:rPr>
                    </w:pPr>
                    <w:r>
                      <w:rPr>
                        <w:sz w:val="20"/>
                      </w:rPr>
                      <w:t>VB</w:t>
                    </w:r>
                  </w:p>
                </w:tc>
                <w:tc>
                  <w:tcPr>
                    <w:tcW w:w="2551" w:type="dxa"/>
                    <w:shd w:val="clear" w:color="auto" w:fill="F2F2F2" w:themeFill="background1" w:themeFillShade="F2"/>
                  </w:tcPr>
                  <w:p>
                    <w:pPr>
                      <w:ind w:left="-57" w:right="-57"/>
                      <w:rPr>
                        <w:color w:val="FF0000"/>
                        <w:sz w:val="20"/>
                      </w:rPr>
                    </w:pPr>
                    <w:r>
                      <w:rPr>
                        <w:sz w:val="20"/>
                      </w:rPr>
                      <w:t xml:space="preserve">P – Atliktų sveikatos sektoriaus analizių skaičius </w:t>
                    </w:r>
                  </w:p>
                </w:tc>
                <w:tc>
                  <w:tcPr>
                    <w:tcW w:w="851" w:type="dxa"/>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(2022 m.)</w:t>
                    </w:r>
                  </w:p>
                  <w:p>
                    <w:pPr>
                      <w:ind w:left="-57" w:right="-57"/>
                      <w:jc w:val="center"/>
                      <w:rPr>
                        <w:sz w:val="20"/>
                      </w:rPr>
                    </w:pPr>
                  </w:p>
                  <w:p>
                    <w:pPr>
                      <w:ind w:left="-57" w:right="-57"/>
                      <w:jc w:val="center"/>
                      <w:rPr>
                        <w:sz w:val="20"/>
                      </w:rPr>
                    </w:pPr>
                  </w:p>
                </w:tc>
                <w:tc>
                  <w:tcPr>
                    <w:tcW w:w="992" w:type="dxa"/>
                    <w:shd w:val="clear" w:color="auto" w:fill="F2F2F2" w:themeFill="background1" w:themeFillShade="F2"/>
                  </w:tcPr>
                  <w:p>
                    <w:pPr>
                      <w:rPr>
                        <w:sz w:val="20"/>
                      </w:rPr>
                    </w:pPr>
                    <w:r>
                      <w:rPr>
                        <w:sz w:val="20"/>
                      </w:rPr>
                      <w:t>SAM</w:t>
                    </w:r>
                  </w:p>
                </w:tc>
                <w:tc>
                  <w:tcPr>
                    <w:tcW w:w="1276" w:type="dxa"/>
                    <w:tcBorders>
                      <w:left w:val="single" w:sz="4" w:space="0" w:color="auto"/>
                      <w:right w:val="single" w:sz="4" w:space="0" w:color="auto"/>
                    </w:tcBorders>
                    <w:shd w:val="clear" w:color="auto" w:fill="F2F2F2" w:themeFill="background1" w:themeFillShade="F2"/>
                  </w:tcPr>
                  <w:p>
                    <w:pPr>
                      <w:jc w:val="center"/>
                      <w:rPr>
                        <w:color w:val="000000"/>
                        <w:sz w:val="20"/>
                      </w:rPr>
                    </w:pPr>
                    <w:r>
                      <w:rPr>
                        <w:color w:val="000000"/>
                        <w:sz w:val="20"/>
                      </w:rPr>
                      <w:t>-</w:t>
                    </w:r>
                  </w:p>
                </w:tc>
              </w:tr>
              <w:tr>
                <w:trPr>
                  <w:trHeight w:val="414"/>
                </w:trPr>
                <w:tc>
                  <w:tcPr>
                    <w:tcW w:w="2410" w:type="dxa"/>
                    <w:vMerge w:val="restart"/>
                    <w:shd w:val="clear" w:color="auto" w:fill="F2F2F2" w:themeFill="background1" w:themeFillShade="F2"/>
                  </w:tcPr>
                  <w:p>
                    <w:pPr>
                      <w:ind w:firstLine="53"/>
                      <w:rPr>
                        <w:iCs/>
                        <w:sz w:val="20"/>
                      </w:rPr>
                    </w:pPr>
                    <w:r>
                      <w:rPr>
                        <w:b/>
                        <w:bCs/>
                        <w:iCs/>
                        <w:sz w:val="20"/>
                      </w:rPr>
                      <w:t>6. Bazinių sveikatos priežiūros paslaugų užtikrinimas</w:t>
                    </w:r>
                  </w:p>
                </w:tc>
                <w:tc>
                  <w:tcPr>
                    <w:tcW w:w="709" w:type="dxa"/>
                    <w:vMerge w:val="restart"/>
                    <w:shd w:val="clear" w:color="auto" w:fill="F2F2F2" w:themeFill="background1" w:themeFillShade="F2"/>
                  </w:tcPr>
                  <w:p>
                    <w:pPr>
                      <w:rPr>
                        <w:sz w:val="20"/>
                      </w:rPr>
                    </w:pPr>
                    <w:r>
                      <w:rPr>
                        <w:sz w:val="20"/>
                      </w:rPr>
                      <w:t>-</w:t>
                    </w:r>
                  </w:p>
                </w:tc>
                <w:tc>
                  <w:tcPr>
                    <w:tcW w:w="1559"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sz w:val="20"/>
                      </w:rPr>
                    </w:pPr>
                    <w:r>
                      <w:rPr>
                        <w:b/>
                        <w:bCs/>
                        <w:sz w:val="20"/>
                      </w:rPr>
                      <w:t>191 754,999</w:t>
                    </w:r>
                  </w:p>
                </w:tc>
                <w:tc>
                  <w:tcPr>
                    <w:tcW w:w="992" w:type="dxa"/>
                    <w:shd w:val="clear" w:color="auto" w:fill="F2F2F2" w:themeFill="background1" w:themeFillShade="F2"/>
                  </w:tcPr>
                  <w:p>
                    <w:pPr>
                      <w:rPr>
                        <w:sz w:val="20"/>
                      </w:rPr>
                    </w:pPr>
                    <w:r>
                      <w:rPr>
                        <w:sz w:val="20"/>
                      </w:rPr>
                      <w:t>-</w:t>
                    </w:r>
                  </w:p>
                </w:tc>
                <w:tc>
                  <w:tcPr>
                    <w:tcW w:w="2551" w:type="dxa"/>
                    <w:shd w:val="clear" w:color="auto" w:fill="F2F2F2" w:themeFill="background1" w:themeFillShade="F2"/>
                  </w:tcPr>
                  <w:p>
                    <w:pPr>
                      <w:ind w:left="-57" w:right="-57"/>
                      <w:rPr>
                        <w:sz w:val="20"/>
                      </w:rPr>
                    </w:pPr>
                    <w:r>
                      <w:rPr>
                        <w:sz w:val="20"/>
                      </w:rPr>
                      <w:t xml:space="preserve">R </w:t>
                    </w:r>
                    <w:r>
                      <w:rPr>
                        <w:szCs w:val="24"/>
                      </w:rPr>
                      <w:t>–</w:t>
                    </w:r>
                    <w:r>
                      <w:rPr>
                        <w:sz w:val="20"/>
                      </w:rPr>
                      <w:t xml:space="preserve"> Šeimos gydytojo ir jo komandos narių suteiktų sveikatos priežiūros paslaugų santykis</w:t>
                    </w:r>
                  </w:p>
                </w:tc>
                <w:tc>
                  <w:tcPr>
                    <w:tcW w:w="851" w:type="dxa"/>
                    <w:shd w:val="clear" w:color="auto" w:fill="F2F2F2" w:themeFill="background1" w:themeFillShade="F2"/>
                  </w:tcPr>
                  <w:p>
                    <w:pPr>
                      <w:ind w:left="-57" w:right="-57"/>
                      <w:jc w:val="center"/>
                      <w:rPr>
                        <w:sz w:val="20"/>
                      </w:rPr>
                    </w:pPr>
                    <w:r>
                      <w:rPr>
                        <w:sz w:val="20"/>
                      </w:rPr>
                      <w:t>40/60</w:t>
                    </w:r>
                  </w:p>
                  <w:p>
                    <w:pPr>
                      <w:ind w:left="-57" w:right="-57"/>
                      <w:jc w:val="center"/>
                      <w:rPr>
                        <w:sz w:val="20"/>
                      </w:rPr>
                    </w:pPr>
                    <w:r>
                      <w:rPr>
                        <w:sz w:val="20"/>
                      </w:rPr>
                      <w:t>(2026 m.)</w:t>
                    </w:r>
                  </w:p>
                </w:tc>
                <w:tc>
                  <w:tcPr>
                    <w:tcW w:w="992" w:type="dxa"/>
                    <w:vMerge w:val="restart"/>
                    <w:shd w:val="clear" w:color="auto" w:fill="F2F2F2" w:themeFill="background1" w:themeFillShade="F2"/>
                  </w:tcPr>
                  <w:p>
                    <w:pPr>
                      <w:rPr>
                        <w:sz w:val="20"/>
                      </w:rPr>
                    </w:pP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16 079,260</w:t>
                    </w:r>
                  </w:p>
                </w:tc>
                <w:tc>
                  <w:tcPr>
                    <w:tcW w:w="992" w:type="dxa"/>
                    <w:shd w:val="clear" w:color="auto" w:fill="F2F2F2" w:themeFill="background1" w:themeFillShade="F2"/>
                  </w:tcPr>
                  <w:p>
                    <w:pPr>
                      <w:rPr>
                        <w:sz w:val="20"/>
                      </w:rPr>
                    </w:pPr>
                    <w:r>
                      <w:rPr>
                        <w:sz w:val="20"/>
                      </w:rPr>
                      <w:t>2021–2027 m. IP (ERPF, Sostinės regionas)</w:t>
                    </w:r>
                  </w:p>
                </w:tc>
                <w:tc>
                  <w:tcPr>
                    <w:tcW w:w="2551" w:type="dxa"/>
                    <w:shd w:val="clear" w:color="auto" w:fill="F2F2F2" w:themeFill="background1" w:themeFillShade="F2"/>
                  </w:tcPr>
                  <w:p>
                    <w:pPr>
                      <w:ind w:left="-57" w:right="-57"/>
                      <w:rPr>
                        <w:sz w:val="20"/>
                      </w:rPr>
                    </w:pPr>
                    <w:r>
                      <w:rPr>
                        <w:sz w:val="20"/>
                      </w:rPr>
                      <w:t xml:space="preserve">R </w:t>
                    </w:r>
                    <w:r>
                      <w:rPr>
                        <w:szCs w:val="24"/>
                      </w:rPr>
                      <w:t>–</w:t>
                    </w:r>
                    <w:r>
                      <w:rPr>
                        <w:sz w:val="20"/>
                      </w:rPr>
                      <w:t xml:space="preserve"> Asmenų, kuriems onkologinė liga diagnozuota ankstyvoje stadijoje (I–II st.), dalis, proc.</w:t>
                    </w:r>
                  </w:p>
                </w:tc>
                <w:tc>
                  <w:tcPr>
                    <w:tcW w:w="851" w:type="dxa"/>
                    <w:shd w:val="clear" w:color="auto" w:fill="F2F2F2" w:themeFill="background1" w:themeFillShade="F2"/>
                  </w:tcPr>
                  <w:p>
                    <w:pPr>
                      <w:ind w:left="-57" w:right="-57"/>
                      <w:jc w:val="center"/>
                      <w:rPr>
                        <w:sz w:val="20"/>
                      </w:rPr>
                    </w:pPr>
                    <w:r>
                      <w:rPr>
                        <w:sz w:val="20"/>
                      </w:rPr>
                      <w:t>60,0</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 xml:space="preserve">16 079,260 </w:t>
                    </w:r>
                  </w:p>
                </w:tc>
                <w:tc>
                  <w:tcPr>
                    <w:tcW w:w="992" w:type="dxa"/>
                    <w:shd w:val="clear" w:color="auto" w:fill="F2F2F2" w:themeFill="background1" w:themeFillShade="F2"/>
                  </w:tcPr>
                  <w:p>
                    <w:pPr>
                      <w:rPr>
                        <w:sz w:val="20"/>
                      </w:rPr>
                    </w:pPr>
                    <w:r>
                      <w:rPr>
                        <w:sz w:val="20"/>
                      </w:rPr>
                      <w:t>2021–2027 m. IP (BF, Sostinės regionas)</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Gyventojų, dėl laukimo laiko (ilgų eilių) atidėjusių kreipimąsi dėl sveikatos priežiūros paslaugų, dalis,  proc.</w:t>
                    </w:r>
                  </w:p>
                </w:tc>
                <w:tc>
                  <w:tcPr>
                    <w:tcW w:w="851" w:type="dxa"/>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575"/>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 xml:space="preserve">95 490,258 </w:t>
                    </w:r>
                  </w:p>
                </w:tc>
                <w:tc>
                  <w:tcPr>
                    <w:tcW w:w="992" w:type="dxa"/>
                    <w:shd w:val="clear" w:color="auto" w:fill="F2F2F2" w:themeFill="background1" w:themeFillShade="F2"/>
                  </w:tcPr>
                  <w:p>
                    <w:pPr>
                      <w:rPr>
                        <w:sz w:val="20"/>
                      </w:rPr>
                    </w:pPr>
                    <w:r>
                      <w:rPr>
                        <w:sz w:val="20"/>
                      </w:rPr>
                      <w:t>2021–2027 m. IP (ERPF, VVL regionas)</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Stacionarinio aktyviojo gydymo atvejų skaičiaus sumažėjimas lyginant su 2019 m., atvejų skaičius</w:t>
                    </w:r>
                  </w:p>
                </w:tc>
                <w:tc>
                  <w:tcPr>
                    <w:tcW w:w="851" w:type="dxa"/>
                    <w:shd w:val="clear" w:color="auto" w:fill="F2F2F2" w:themeFill="background1" w:themeFillShade="F2"/>
                  </w:tcPr>
                  <w:p>
                    <w:pPr>
                      <w:ind w:left="-57" w:right="-57"/>
                      <w:jc w:val="center"/>
                      <w:rPr>
                        <w:sz w:val="20"/>
                      </w:rPr>
                    </w:pPr>
                    <w:r>
                      <w:rPr>
                        <w:sz w:val="20"/>
                      </w:rPr>
                      <w:t>431 714</w:t>
                    </w:r>
                  </w:p>
                  <w:p>
                    <w:pPr>
                      <w:ind w:left="-57" w:right="-57"/>
                      <w:jc w:val="center"/>
                      <w:rPr>
                        <w:sz w:val="20"/>
                      </w:rPr>
                    </w:pPr>
                    <w:r>
                      <w:rPr>
                        <w:sz w:val="20"/>
                      </w:rPr>
                      <w:t>(2030 m.)</w:t>
                    </w:r>
                  </w:p>
                  <w:p>
                    <w:pPr>
                      <w:ind w:left="-57" w:right="-57"/>
                      <w:jc w:val="center"/>
                      <w:rPr>
                        <w:sz w:val="20"/>
                      </w:rPr>
                    </w:pPr>
                  </w:p>
                  <w:p>
                    <w:pPr>
                      <w:ind w:left="-57" w:right="-57"/>
                      <w:jc w:val="center"/>
                      <w:rPr>
                        <w:sz w:val="20"/>
                      </w:rPr>
                    </w:pPr>
                  </w:p>
                  <w:p>
                    <w:pPr>
                      <w:ind w:right="-57"/>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575"/>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33 366,750</w:t>
                    </w:r>
                  </w:p>
                </w:tc>
                <w:tc>
                  <w:tcPr>
                    <w:tcW w:w="992" w:type="dxa"/>
                    <w:shd w:val="clear" w:color="auto" w:fill="F2F2F2" w:themeFill="background1" w:themeFillShade="F2"/>
                  </w:tcPr>
                  <w:p>
                    <w:pPr>
                      <w:rPr>
                        <w:sz w:val="20"/>
                      </w:rPr>
                    </w:pPr>
                    <w:r>
                      <w:rPr>
                        <w:sz w:val="20"/>
                      </w:rPr>
                      <w:t>2021–2027 m. IP (ESF+, VVL regionas)</w:t>
                    </w:r>
                  </w:p>
                </w:tc>
                <w:tc>
                  <w:tcPr>
                    <w:tcW w:w="2551" w:type="dxa"/>
                    <w:shd w:val="clear" w:color="auto" w:fill="F2F2F2" w:themeFill="background1" w:themeFillShade="F2"/>
                  </w:tcPr>
                  <w:p>
                    <w:pPr>
                      <w:ind w:left="-57" w:right="-57"/>
                      <w:rPr>
                        <w:sz w:val="20"/>
                      </w:rPr>
                    </w:pPr>
                    <w:r>
                      <w:rPr>
                        <w:sz w:val="20"/>
                      </w:rPr>
                      <w:t>R – Dienos stacionaro atvejų skaičiaus padidėjimas lyginant su 2019 m., atvejų skaičius</w:t>
                    </w:r>
                  </w:p>
                  <w:p>
                    <w:pPr>
                      <w:ind w:right="-57"/>
                      <w:rPr>
                        <w:sz w:val="20"/>
                      </w:rPr>
                    </w:pPr>
                  </w:p>
                </w:tc>
                <w:tc>
                  <w:tcPr>
                    <w:tcW w:w="851" w:type="dxa"/>
                    <w:shd w:val="clear" w:color="auto" w:fill="F2F2F2" w:themeFill="background1" w:themeFillShade="F2"/>
                  </w:tcPr>
                  <w:p>
                    <w:pPr>
                      <w:ind w:left="-57" w:right="-57"/>
                      <w:jc w:val="center"/>
                      <w:rPr>
                        <w:sz w:val="20"/>
                      </w:rPr>
                    </w:pPr>
                    <w:r>
                      <w:rPr>
                        <w:sz w:val="20"/>
                      </w:rPr>
                      <w:t>362 243</w:t>
                    </w:r>
                  </w:p>
                  <w:p>
                    <w:pPr>
                      <w:ind w:left="-57" w:right="-57"/>
                      <w:jc w:val="center"/>
                      <w:rPr>
                        <w:sz w:val="20"/>
                      </w:rPr>
                    </w:pPr>
                    <w:r>
                      <w:rPr>
                        <w:sz w:val="20"/>
                      </w:rPr>
                      <w:t>(2030 m.)</w:t>
                    </w:r>
                  </w:p>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 xml:space="preserve">22 739,471 </w:t>
                    </w:r>
                  </w:p>
                </w:tc>
                <w:tc>
                  <w:tcPr>
                    <w:tcW w:w="992" w:type="dxa"/>
                    <w:shd w:val="clear" w:color="auto" w:fill="F2F2F2" w:themeFill="background1" w:themeFillShade="F2"/>
                  </w:tcPr>
                  <w:p>
                    <w:pPr>
                      <w:rPr>
                        <w:sz w:val="20"/>
                      </w:rPr>
                    </w:pPr>
                    <w:r>
                      <w:rPr>
                        <w:sz w:val="20"/>
                      </w:rPr>
                      <w:t>2021–2027 m. IP (BF, VVL regionas)</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Dienos chirurgijos atvejų skaičiaus padidėjimas lyginant su 2019 m., atvejų skaičius</w:t>
                    </w:r>
                  </w:p>
                </w:tc>
                <w:tc>
                  <w:tcPr>
                    <w:tcW w:w="851" w:type="dxa"/>
                    <w:shd w:val="clear" w:color="auto" w:fill="F2F2F2" w:themeFill="background1" w:themeFillShade="F2"/>
                  </w:tcPr>
                  <w:p>
                    <w:pPr>
                      <w:ind w:left="-57" w:right="-57"/>
                      <w:jc w:val="center"/>
                      <w:rPr>
                        <w:sz w:val="20"/>
                      </w:rPr>
                    </w:pPr>
                    <w:r>
                      <w:rPr>
                        <w:sz w:val="20"/>
                      </w:rPr>
                      <w:t>73 020</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817"/>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8 000</w:t>
                    </w:r>
                  </w:p>
                </w:tc>
                <w:tc>
                  <w:tcPr>
                    <w:tcW w:w="992" w:type="dxa"/>
                    <w:shd w:val="clear" w:color="auto" w:fill="F2F2F2" w:themeFill="background1" w:themeFillShade="F2"/>
                  </w:tcPr>
                  <w:p>
                    <w:pPr>
                      <w:rPr>
                        <w:sz w:val="20"/>
                      </w:rPr>
                    </w:pPr>
                    <w:r>
                      <w:rPr>
                        <w:sz w:val="20"/>
                      </w:rPr>
                      <w:t>VB</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Aktyviojo gydymo lovų užimtumas, proc.</w:t>
                    </w:r>
                  </w:p>
                </w:tc>
                <w:tc>
                  <w:tcPr>
                    <w:tcW w:w="851" w:type="dxa"/>
                    <w:shd w:val="clear" w:color="auto" w:fill="F2F2F2" w:themeFill="background1" w:themeFillShade="F2"/>
                  </w:tcPr>
                  <w:p>
                    <w:pPr>
                      <w:ind w:left="-57" w:right="-57"/>
                      <w:jc w:val="center"/>
                      <w:rPr>
                        <w:sz w:val="20"/>
                      </w:rPr>
                    </w:pPr>
                    <w:r>
                      <w:rPr>
                        <w:sz w:val="20"/>
                      </w:rPr>
                      <w:t>82</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val="restart"/>
                  </w:tcPr>
                  <w:p>
                    <w:pPr>
                      <w:rPr>
                        <w:iCs/>
                        <w:sz w:val="20"/>
                      </w:rPr>
                    </w:pPr>
                    <w:r>
                      <w:rPr>
                        <w:sz w:val="20"/>
                      </w:rPr>
                      <w:t>6.1. Teisės aktų ir kitų dokumentų, reglamentuojančių bazinių sveikatos priežiūros paslaugų teikimo ir organizavimo reikalavimus</w:t>
                    </w:r>
                    <w:r>
                      <w:rPr>
                        <w:i/>
                        <w:iCs/>
                        <w:sz w:val="20"/>
                      </w:rPr>
                      <w:t xml:space="preserve">, </w:t>
                    </w:r>
                    <w:r>
                      <w:rPr>
                        <w:sz w:val="20"/>
                      </w:rPr>
                      <w:t>rengimas</w:t>
                    </w:r>
                  </w:p>
                </w:tc>
                <w:tc>
                  <w:tcPr>
                    <w:tcW w:w="709" w:type="dxa"/>
                    <w:vMerge w:val="restart"/>
                  </w:tcPr>
                  <w:p>
                    <w:pPr>
                      <w:rPr>
                        <w:sz w:val="20"/>
                      </w:rPr>
                    </w:pPr>
                    <w:r>
                      <w:rPr>
                        <w:sz w:val="20"/>
                      </w:rPr>
                      <w:t>R</w:t>
                    </w:r>
                  </w:p>
                </w:tc>
                <w:tc>
                  <w:tcPr>
                    <w:tcW w:w="1559" w:type="dxa"/>
                    <w:vMerge w:val="restart"/>
                  </w:tcPr>
                  <w:p>
                    <w:pPr>
                      <w:rPr>
                        <w:sz w:val="20"/>
                      </w:rPr>
                    </w:pPr>
                    <w:r>
                      <w:rPr>
                        <w:sz w:val="20"/>
                      </w:rPr>
                      <w:t>-</w:t>
                    </w:r>
                  </w:p>
                </w:tc>
                <w:tc>
                  <w:tcPr>
                    <w:tcW w:w="709" w:type="dxa"/>
                    <w:vMerge w:val="restart"/>
                  </w:tcPr>
                  <w:p>
                    <w:pPr>
                      <w:rPr>
                        <w:sz w:val="20"/>
                      </w:rPr>
                    </w:pPr>
                    <w:r>
                      <w:rPr>
                        <w:sz w:val="20"/>
                      </w:rPr>
                      <w:t>-</w:t>
                    </w:r>
                  </w:p>
                </w:tc>
                <w:tc>
                  <w:tcPr>
                    <w:tcW w:w="992" w:type="dxa"/>
                    <w:vMerge w:val="restart"/>
                  </w:tcPr>
                  <w:p>
                    <w:pPr>
                      <w:rPr>
                        <w:sz w:val="20"/>
                      </w:rPr>
                    </w:pPr>
                    <w:r>
                      <w:rPr>
                        <w:sz w:val="20"/>
                      </w:rPr>
                      <w:t>Taip</w:t>
                    </w:r>
                  </w:p>
                </w:tc>
                <w:tc>
                  <w:tcPr>
                    <w:tcW w:w="709" w:type="dxa"/>
                    <w:vMerge w:val="restart"/>
                  </w:tcPr>
                  <w:p>
                    <w:pPr>
                      <w:rPr>
                        <w:sz w:val="20"/>
                      </w:rPr>
                    </w:pPr>
                    <w:r>
                      <w:rPr>
                        <w:sz w:val="20"/>
                      </w:rPr>
                      <w:t>-</w:t>
                    </w:r>
                  </w:p>
                </w:tc>
                <w:tc>
                  <w:tcPr>
                    <w:tcW w:w="1276" w:type="dxa"/>
                    <w:vMerge w:val="restart"/>
                  </w:tcPr>
                  <w:p>
                    <w:pPr>
                      <w:rPr>
                        <w:sz w:val="20"/>
                      </w:rPr>
                    </w:pPr>
                    <w:r>
                      <w:rPr>
                        <w:sz w:val="20"/>
                      </w:rPr>
                      <w:t>-</w:t>
                    </w:r>
                  </w:p>
                </w:tc>
                <w:tc>
                  <w:tcPr>
                    <w:tcW w:w="992" w:type="dxa"/>
                    <w:vMerge w:val="restart"/>
                  </w:tcPr>
                  <w:p>
                    <w:pPr>
                      <w:rPr>
                        <w:sz w:val="20"/>
                      </w:rPr>
                    </w:pPr>
                    <w:r>
                      <w:rPr>
                        <w:sz w:val="20"/>
                      </w:rPr>
                      <w:t>-</w:t>
                    </w:r>
                  </w:p>
                </w:tc>
                <w:tc>
                  <w:tcPr>
                    <w:tcW w:w="2551" w:type="dxa"/>
                  </w:tcPr>
                  <w:p>
                    <w:pPr>
                      <w:ind w:left="-57" w:right="-57"/>
                      <w:jc w:val="both"/>
                      <w:rPr>
                        <w:sz w:val="20"/>
                      </w:rPr>
                    </w:pPr>
                    <w:r>
                      <w:rPr>
                        <w:sz w:val="20"/>
                      </w:rPr>
                      <w:t xml:space="preserve">P – Įsigalioję teisės aktai dėl kompetencijos centrų ir regioninio bendradarbiavimo modeliu pagrįsto asmens sveikatos priežiūros įstaigų tinklo sukūrimo ir reglamentavimo, kompl. </w:t>
                    </w:r>
                  </w:p>
                </w:tc>
                <w:tc>
                  <w:tcPr>
                    <w:tcW w:w="851" w:type="dxa"/>
                  </w:tcPr>
                  <w:p>
                    <w:pPr>
                      <w:ind w:left="-57" w:right="-57"/>
                      <w:jc w:val="center"/>
                      <w:rPr>
                        <w:sz w:val="20"/>
                      </w:rPr>
                    </w:pPr>
                    <w:r>
                      <w:rPr>
                        <w:sz w:val="20"/>
                      </w:rPr>
                      <w:t>1</w:t>
                    </w:r>
                  </w:p>
                  <w:p>
                    <w:pPr>
                      <w:ind w:left="-57" w:right="-57"/>
                      <w:jc w:val="center"/>
                      <w:rPr>
                        <w:sz w:val="20"/>
                      </w:rPr>
                    </w:pPr>
                    <w:r>
                      <w:rPr>
                        <w:sz w:val="20"/>
                      </w:rPr>
                      <w:t>(2023 m. III ketv.)</w:t>
                    </w:r>
                  </w:p>
                  <w:p>
                    <w:pPr>
                      <w:ind w:left="-57" w:right="-57"/>
                      <w:jc w:val="center"/>
                      <w:rPr>
                        <w:i/>
                        <w:iCs/>
                        <w:sz w:val="20"/>
                      </w:rPr>
                    </w:pPr>
                  </w:p>
                  <w:p>
                    <w:pPr>
                      <w:ind w:left="-57" w:right="-57"/>
                      <w:jc w:val="center"/>
                      <w:rPr>
                        <w:i/>
                        <w:iCs/>
                        <w:sz w:val="20"/>
                      </w:rPr>
                    </w:pPr>
                  </w:p>
                  <w:p>
                    <w:pPr>
                      <w:ind w:left="-57" w:right="-57"/>
                      <w:jc w:val="center"/>
                      <w:rPr>
                        <w:sz w:val="20"/>
                      </w:rPr>
                    </w:pPr>
                  </w:p>
                </w:tc>
                <w:tc>
                  <w:tcPr>
                    <w:tcW w:w="992" w:type="dxa"/>
                  </w:tcPr>
                  <w:p>
                    <w:pPr>
                      <w:rPr>
                        <w:sz w:val="20"/>
                      </w:rPr>
                    </w:pPr>
                    <w:r>
                      <w:rPr>
                        <w:sz w:val="20"/>
                      </w:rPr>
                      <w:t>-</w:t>
                    </w:r>
                  </w:p>
                </w:tc>
                <w:tc>
                  <w:tcPr>
                    <w:tcW w:w="1276" w:type="dxa"/>
                    <w:vMerge w:val="restart"/>
                    <w:tcBorders>
                      <w:left w:val="single" w:sz="4" w:space="0" w:color="auto"/>
                      <w:right w:val="single" w:sz="4" w:space="0" w:color="auto"/>
                    </w:tcBorders>
                  </w:tcPr>
                  <w:p>
                    <w:pPr>
                      <w:jc w:val="center"/>
                      <w:rPr>
                        <w:sz w:val="20"/>
                      </w:rPr>
                    </w:pPr>
                    <w:r>
                      <w:rPr>
                        <w:sz w:val="20"/>
                      </w:rPr>
                      <w:t>SAM</w:t>
                    </w: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tcPr>
                  <w:p>
                    <w:pPr>
                      <w:ind w:left="-57" w:right="-57"/>
                      <w:jc w:val="both"/>
                      <w:rPr>
                        <w:sz w:val="20"/>
                      </w:rPr>
                    </w:pPr>
                    <w:r>
                      <w:rPr>
                        <w:sz w:val="20"/>
                      </w:rPr>
                      <w:t>P – Sprendimo dėl reguliavimo, investavimo ir komunikacijos veiksmų, siekiant sukurti tvarų sveikatos priežiūros įstaigų tinklą, priėmimas</w:t>
                    </w:r>
                  </w:p>
                </w:tc>
                <w:tc>
                  <w:tcPr>
                    <w:tcW w:w="851" w:type="dxa"/>
                  </w:tcPr>
                  <w:p>
                    <w:pPr>
                      <w:ind w:left="-57" w:right="-57"/>
                      <w:jc w:val="center"/>
                      <w:rPr>
                        <w:sz w:val="20"/>
                      </w:rPr>
                    </w:pPr>
                    <w:r>
                      <w:rPr>
                        <w:sz w:val="20"/>
                      </w:rPr>
                      <w:t>1</w:t>
                    </w:r>
                  </w:p>
                  <w:p>
                    <w:pPr>
                      <w:ind w:left="-57" w:right="-57"/>
                      <w:jc w:val="center"/>
                      <w:rPr>
                        <w:sz w:val="20"/>
                      </w:rPr>
                    </w:pPr>
                    <w:r>
                      <w:rPr>
                        <w:sz w:val="20"/>
                      </w:rPr>
                      <w:t>(2023 m. I ketv.)</w:t>
                    </w:r>
                  </w:p>
                </w:tc>
                <w:tc>
                  <w:tcPr>
                    <w:tcW w:w="992" w:type="dxa"/>
                  </w:tcPr>
                  <w:p>
                    <w:pPr>
                      <w:rPr>
                        <w:sz w:val="20"/>
                      </w:rPr>
                    </w:pPr>
                    <w:r>
                      <w:rPr>
                        <w:sz w:val="20"/>
                      </w:rPr>
                      <w:t>-</w:t>
                    </w:r>
                  </w:p>
                </w:tc>
                <w:tc>
                  <w:tcPr>
                    <w:tcW w:w="1276" w:type="dxa"/>
                    <w:vMerge/>
                    <w:tcBorders>
                      <w:left w:val="single" w:sz="4" w:space="0" w:color="auto"/>
                      <w:right w:val="single" w:sz="4" w:space="0" w:color="auto"/>
                    </w:tcBorders>
                  </w:tcPr>
                  <w:p>
                    <w:pPr>
                      <w:jc w:val="center"/>
                      <w:rPr>
                        <w:sz w:val="20"/>
                      </w:rPr>
                    </w:pP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tcPr>
                  <w:p>
                    <w:pPr>
                      <w:ind w:left="-57" w:right="-57"/>
                      <w:jc w:val="both"/>
                      <w:rPr>
                        <w:sz w:val="20"/>
                      </w:rPr>
                    </w:pPr>
                    <w:r>
                      <w:rPr>
                        <w:sz w:val="20"/>
                      </w:rPr>
                      <w:t>P – Patvirtintas atnaujintas Šeimos medicinos plėtros 2016–2025 m. veiksmų planas</w:t>
                    </w:r>
                  </w:p>
                </w:tc>
                <w:tc>
                  <w:tcPr>
                    <w:tcW w:w="851" w:type="dxa"/>
                  </w:tcPr>
                  <w:p>
                    <w:pPr>
                      <w:ind w:left="-57" w:right="-57"/>
                      <w:jc w:val="center"/>
                      <w:rPr>
                        <w:sz w:val="20"/>
                      </w:rPr>
                    </w:pPr>
                    <w:r>
                      <w:rPr>
                        <w:sz w:val="20"/>
                      </w:rPr>
                      <w:t>1</w:t>
                    </w:r>
                  </w:p>
                  <w:p>
                    <w:pPr>
                      <w:ind w:left="-57" w:right="-57"/>
                      <w:jc w:val="center"/>
                      <w:rPr>
                        <w:sz w:val="20"/>
                      </w:rPr>
                    </w:pPr>
                    <w:r>
                      <w:rPr>
                        <w:sz w:val="20"/>
                      </w:rPr>
                      <w:t>(2022 m. IV ketv.)</w:t>
                    </w:r>
                  </w:p>
                </w:tc>
                <w:tc>
                  <w:tcPr>
                    <w:tcW w:w="992" w:type="dxa"/>
                  </w:tcPr>
                  <w:p>
                    <w:pPr>
                      <w:rPr>
                        <w:sz w:val="20"/>
                      </w:rPr>
                    </w:pPr>
                    <w:r>
                      <w:rPr>
                        <w:sz w:val="20"/>
                      </w:rPr>
                      <w:t>-</w:t>
                    </w:r>
                  </w:p>
                </w:tc>
                <w:tc>
                  <w:tcPr>
                    <w:tcW w:w="1276" w:type="dxa"/>
                    <w:vMerge/>
                    <w:tcBorders>
                      <w:left w:val="single" w:sz="4" w:space="0" w:color="auto"/>
                      <w:right w:val="single" w:sz="4" w:space="0" w:color="auto"/>
                    </w:tcBorders>
                  </w:tcPr>
                  <w:p>
                    <w:pPr>
                      <w:jc w:val="center"/>
                      <w:rPr>
                        <w:sz w:val="20"/>
                      </w:rPr>
                    </w:pPr>
                  </w:p>
                </w:tc>
              </w:tr>
              <w:tr>
                <w:trPr>
                  <w:trHeight w:val="920"/>
                </w:trPr>
                <w:tc>
                  <w:tcPr>
                    <w:tcW w:w="2410" w:type="dxa"/>
                    <w:vMerge w:val="restart"/>
                  </w:tcPr>
                  <w:p>
                    <w:pPr>
                      <w:rPr>
                        <w:sz w:val="20"/>
                      </w:rPr>
                    </w:pPr>
                    <w:r>
                      <w:rPr>
                        <w:sz w:val="20"/>
                      </w:rPr>
                      <w:t>6.2. Sveikatos centro pirminės ambulatorinės asmens sveikatos priežiūros paslaugoms teikti reikiamos infrastruktūros modernizavimas,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5 700,000</w:t>
                    </w:r>
                  </w:p>
                </w:tc>
                <w:tc>
                  <w:tcPr>
                    <w:tcW w:w="992" w:type="dxa"/>
                  </w:tcPr>
                  <w:p>
                    <w:pPr>
                      <w:rPr>
                        <w:sz w:val="20"/>
                      </w:rPr>
                    </w:pPr>
                    <w:r>
                      <w:rPr>
                        <w:sz w:val="20"/>
                      </w:rPr>
                      <w:t>2021–2027 m. IP (ERPF)</w:t>
                    </w:r>
                  </w:p>
                </w:tc>
                <w:tc>
                  <w:tcPr>
                    <w:tcW w:w="2551" w:type="dxa"/>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358 500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46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5 700,000</w:t>
                    </w:r>
                  </w:p>
                </w:tc>
                <w:tc>
                  <w:tcPr>
                    <w:tcW w:w="992" w:type="dxa"/>
                    <w:vMerge w:val="restart"/>
                  </w:tcPr>
                  <w:p>
                    <w:pPr>
                      <w:rPr>
                        <w:sz w:val="20"/>
                      </w:rPr>
                    </w:pPr>
                    <w:r>
                      <w:rPr>
                        <w:sz w:val="20"/>
                      </w:rPr>
                      <w:t>2021–2027 m. IP (BF)</w:t>
                    </w:r>
                  </w:p>
                </w:tc>
                <w:tc>
                  <w:tcPr>
                    <w:tcW w:w="2551" w:type="dxa"/>
                  </w:tcPr>
                  <w:p>
                    <w:pPr>
                      <w:ind w:left="-57" w:right="-57"/>
                      <w:rPr>
                        <w:sz w:val="20"/>
                      </w:rPr>
                    </w:pPr>
                    <w:r>
                      <w:rPr>
                        <w:sz w:val="20"/>
                      </w:rPr>
                      <w:t>R – Naujos arba modernizuotos sveikatos priežiūros infrastruktūros naudotojų skaičius per metus</w:t>
                    </w:r>
                  </w:p>
                </w:tc>
                <w:tc>
                  <w:tcPr>
                    <w:tcW w:w="851" w:type="dxa"/>
                  </w:tcPr>
                  <w:p>
                    <w:pPr>
                      <w:ind w:left="-57" w:right="-57"/>
                      <w:jc w:val="center"/>
                      <w:rPr>
                        <w:sz w:val="20"/>
                      </w:rPr>
                    </w:pPr>
                    <w:r>
                      <w:rPr>
                        <w:sz w:val="20"/>
                      </w:rPr>
                      <w:t>295 085</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46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986"/>
                </w:trPr>
                <w:tc>
                  <w:tcPr>
                    <w:tcW w:w="2410" w:type="dxa"/>
                    <w:vMerge w:val="restart"/>
                  </w:tcPr>
                  <w:p>
                    <w:pPr>
                      <w:rPr>
                        <w:sz w:val="20"/>
                      </w:rPr>
                    </w:pPr>
                    <w:r>
                      <w:rPr>
                        <w:sz w:val="20"/>
                      </w:rPr>
                      <w:t>6.3.</w:t>
                    </w:r>
                    <w:r>
                      <w:t xml:space="preserve"> </w:t>
                    </w:r>
                    <w:r>
                      <w:rPr>
                        <w:sz w:val="20"/>
                      </w:rPr>
                      <w:t>Sveikatos centro antrinio lygio ambulatorinės specializuotos asmens sveikatos priežiūros, ambulatorinės chirurgijos, dienos chirurgijos, dienos stacionaro bei skubiosios pagalbos paslaugoms teikti reikiamos infrastruktūros modernizavimas,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7 603,764</w:t>
                    </w:r>
                  </w:p>
                </w:tc>
                <w:tc>
                  <w:tcPr>
                    <w:tcW w:w="992" w:type="dxa"/>
                  </w:tcPr>
                  <w:p>
                    <w:pPr>
                      <w:rPr>
                        <w:sz w:val="20"/>
                      </w:rPr>
                    </w:pPr>
                    <w:r>
                      <w:rPr>
                        <w:sz w:val="20"/>
                      </w:rPr>
                      <w:t>2021–2027 m. IP (ERPF)</w:t>
                    </w:r>
                  </w:p>
                </w:tc>
                <w:tc>
                  <w:tcPr>
                    <w:tcW w:w="2551" w:type="dxa"/>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53 500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7 603,764</w:t>
                    </w:r>
                  </w:p>
                </w:tc>
                <w:tc>
                  <w:tcPr>
                    <w:tcW w:w="992" w:type="dxa"/>
                    <w:vMerge w:val="restart"/>
                  </w:tcPr>
                  <w:p>
                    <w:pPr>
                      <w:rPr>
                        <w:sz w:val="20"/>
                      </w:rPr>
                    </w:pPr>
                    <w:r>
                      <w:rPr>
                        <w:sz w:val="20"/>
                      </w:rPr>
                      <w:t>2021–2027 m. IP (BF)</w:t>
                    </w:r>
                  </w:p>
                </w:tc>
                <w:tc>
                  <w:tcPr>
                    <w:tcW w:w="2551" w:type="dxa"/>
                  </w:tcPr>
                  <w:p>
                    <w:pPr>
                      <w:ind w:left="-57" w:right="-57"/>
                      <w:rPr>
                        <w:sz w:val="20"/>
                      </w:rPr>
                    </w:pPr>
                    <w:r>
                      <w:rPr>
                        <w:sz w:val="20"/>
                      </w:rPr>
                      <w:t>R – Naujos arba modernizuotos sveikatos priežiūros infrastruktūros naudotojų skaičius per metus</w:t>
                    </w:r>
                  </w:p>
                </w:tc>
                <w:tc>
                  <w:tcPr>
                    <w:tcW w:w="851" w:type="dxa"/>
                  </w:tcPr>
                  <w:p>
                    <w:pPr>
                      <w:ind w:left="-57" w:right="-57"/>
                      <w:jc w:val="center"/>
                      <w:rPr>
                        <w:sz w:val="20"/>
                      </w:rPr>
                    </w:pPr>
                    <w:r>
                      <w:rPr>
                        <w:sz w:val="20"/>
                      </w:rPr>
                      <w:t>44 100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Borders>
                      <w:bottom w:val="single" w:sz="4" w:space="0" w:color="auto"/>
                    </w:tcBorders>
                  </w:tcPr>
                  <w:p>
                    <w:pPr>
                      <w:rPr>
                        <w:sz w:val="20"/>
                        <w:lang w:val="en-US"/>
                      </w:rPr>
                    </w:pPr>
                  </w:p>
                </w:tc>
                <w:tc>
                  <w:tcPr>
                    <w:tcW w:w="992" w:type="dxa"/>
                    <w:vMerge/>
                    <w:tcBorders>
                      <w:bottom w:val="single" w:sz="4" w:space="0" w:color="auto"/>
                    </w:tcBorders>
                  </w:tcPr>
                  <w:p>
                    <w:pPr>
                      <w:rPr>
                        <w:sz w:val="20"/>
                      </w:rPr>
                    </w:pPr>
                  </w:p>
                </w:tc>
                <w:tc>
                  <w:tcPr>
                    <w:tcW w:w="2551" w:type="dxa"/>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920"/>
                </w:trPr>
                <w:tc>
                  <w:tcPr>
                    <w:tcW w:w="2410" w:type="dxa"/>
                    <w:vMerge w:val="restart"/>
                  </w:tcPr>
                  <w:p>
                    <w:pPr>
                      <w:rPr>
                        <w:sz w:val="20"/>
                      </w:rPr>
                    </w:pPr>
                    <w:r>
                      <w:rPr>
                        <w:sz w:val="20"/>
                      </w:rPr>
                      <w:t>6.4. Sveikatos centro pirminės ambulatorinės asmens sveikatos priežiūros paslaugoms teikti reikiamos infrastruktūros modernizavimas,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31 110,000</w:t>
                    </w:r>
                  </w:p>
                </w:tc>
                <w:tc>
                  <w:tcPr>
                    <w:tcW w:w="992" w:type="dxa"/>
                  </w:tcPr>
                  <w:p>
                    <w:pPr>
                      <w:rPr>
                        <w:sz w:val="20"/>
                      </w:rPr>
                    </w:pPr>
                    <w:r>
                      <w:rPr>
                        <w:sz w:val="20"/>
                      </w:rPr>
                      <w:t>2021–2027 m. IP (ERPF)</w:t>
                    </w:r>
                  </w:p>
                </w:tc>
                <w:tc>
                  <w:tcPr>
                    <w:tcW w:w="2551" w:type="dxa"/>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1 113 600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46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rPr>
                      <w:t>5 490,000</w:t>
                    </w:r>
                  </w:p>
                </w:tc>
                <w:tc>
                  <w:tcPr>
                    <w:tcW w:w="992" w:type="dxa"/>
                    <w:vMerge w:val="restart"/>
                  </w:tcPr>
                  <w:p>
                    <w:pPr>
                      <w:rPr>
                        <w:sz w:val="20"/>
                      </w:rPr>
                    </w:pPr>
                    <w:r>
                      <w:rPr>
                        <w:sz w:val="20"/>
                      </w:rPr>
                      <w:t>2021–2027 m. IP (BF)</w:t>
                    </w:r>
                  </w:p>
                </w:tc>
                <w:tc>
                  <w:tcPr>
                    <w:tcW w:w="2551" w:type="dxa"/>
                  </w:tcPr>
                  <w:p>
                    <w:pPr>
                      <w:ind w:left="-57" w:right="-57"/>
                      <w:rPr>
                        <w:sz w:val="20"/>
                      </w:rPr>
                    </w:pPr>
                    <w:r>
                      <w:rPr>
                        <w:sz w:val="20"/>
                      </w:rPr>
                      <w:t>R – Naujos arba modernizuotos sveikatos priežiūros infrastruktūros naudotojų skaičius per metus</w:t>
                    </w:r>
                  </w:p>
                </w:tc>
                <w:tc>
                  <w:tcPr>
                    <w:tcW w:w="851" w:type="dxa"/>
                  </w:tcPr>
                  <w:p>
                    <w:pPr>
                      <w:ind w:left="-57" w:right="-57"/>
                      <w:jc w:val="center"/>
                      <w:rPr>
                        <w:sz w:val="20"/>
                      </w:rPr>
                    </w:pPr>
                    <w:r>
                      <w:rPr>
                        <w:sz w:val="20"/>
                      </w:rPr>
                      <w:t>917 565</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46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1120"/>
                </w:trPr>
                <w:tc>
                  <w:tcPr>
                    <w:tcW w:w="2410" w:type="dxa"/>
                    <w:vMerge w:val="restart"/>
                  </w:tcPr>
                  <w:p>
                    <w:pPr>
                      <w:rPr>
                        <w:sz w:val="20"/>
                      </w:rPr>
                    </w:pPr>
                    <w:r>
                      <w:rPr>
                        <w:sz w:val="20"/>
                      </w:rPr>
                      <w:t>6.5. Sveikatos centro antrinio lygio ambulatorinės specializuotos asmens sveikatos priežiūros, ambulatorinės chirurgijos, dienos chirurgijos, dienos stacionaro bei skubiosios pagalbos paslaugoms teikti reikiamos infrastruktūros modernizavimas,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50 398,601</w:t>
                    </w:r>
                  </w:p>
                </w:tc>
                <w:tc>
                  <w:tcPr>
                    <w:tcW w:w="992" w:type="dxa"/>
                  </w:tcPr>
                  <w:p>
                    <w:pPr>
                      <w:rPr>
                        <w:sz w:val="20"/>
                      </w:rPr>
                    </w:pPr>
                    <w:r>
                      <w:rPr>
                        <w:sz w:val="20"/>
                      </w:rPr>
                      <w:t>2021–2027 m. IP (ERPF)</w:t>
                    </w:r>
                  </w:p>
                </w:tc>
                <w:tc>
                  <w:tcPr>
                    <w:tcW w:w="2551" w:type="dxa"/>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 </w:t>
                    </w:r>
                  </w:p>
                </w:tc>
                <w:tc>
                  <w:tcPr>
                    <w:tcW w:w="851" w:type="dxa"/>
                  </w:tcPr>
                  <w:p>
                    <w:pPr>
                      <w:ind w:left="-57" w:right="-57"/>
                      <w:jc w:val="center"/>
                      <w:rPr>
                        <w:sz w:val="20"/>
                      </w:rPr>
                    </w:pPr>
                    <w:r>
                      <w:rPr>
                        <w:sz w:val="20"/>
                      </w:rPr>
                      <w:t>166 400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8 893,871</w:t>
                    </w:r>
                  </w:p>
                </w:tc>
                <w:tc>
                  <w:tcPr>
                    <w:tcW w:w="992" w:type="dxa"/>
                    <w:vMerge w:val="restart"/>
                  </w:tcPr>
                  <w:p>
                    <w:pPr>
                      <w:rPr>
                        <w:sz w:val="20"/>
                      </w:rPr>
                    </w:pPr>
                    <w:r>
                      <w:rPr>
                        <w:sz w:val="20"/>
                      </w:rPr>
                      <w:t>2021–2027 m. IP (BF)</w:t>
                    </w: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w:t>
                    </w:r>
                  </w:p>
                </w:tc>
                <w:tc>
                  <w:tcPr>
                    <w:tcW w:w="851" w:type="dxa"/>
                    <w:shd w:val="clear" w:color="auto" w:fill="auto"/>
                  </w:tcPr>
                  <w:p>
                    <w:pPr>
                      <w:ind w:left="-57" w:right="-57"/>
                      <w:jc w:val="center"/>
                      <w:rPr>
                        <w:sz w:val="20"/>
                        <w:lang w:val="en-US"/>
                      </w:rPr>
                    </w:pPr>
                    <w:r>
                      <w:rPr>
                        <w:sz w:val="20"/>
                        <w:lang w:val="en-US"/>
                      </w:rPr>
                      <w:t>137 100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Borders>
                      <w:bottom w:val="single" w:sz="4" w:space="0" w:color="auto"/>
                    </w:tcBorders>
                  </w:tcPr>
                  <w:p>
                    <w:pPr>
                      <w:rPr>
                        <w:sz w:val="20"/>
                        <w:lang w:val="en-US"/>
                      </w:rPr>
                    </w:pPr>
                  </w:p>
                </w:tc>
                <w:tc>
                  <w:tcPr>
                    <w:tcW w:w="992" w:type="dxa"/>
                    <w:vMerge/>
                    <w:tcBorders>
                      <w:bottom w:val="single" w:sz="4" w:space="0" w:color="auto"/>
                    </w:tcBorders>
                  </w:tcPr>
                  <w:p>
                    <w:pPr>
                      <w:rPr>
                        <w:sz w:val="20"/>
                      </w:rPr>
                    </w:pPr>
                  </w:p>
                </w:tc>
                <w:tc>
                  <w:tcPr>
                    <w:tcW w:w="2551" w:type="dxa"/>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58"/>
                </w:trPr>
                <w:tc>
                  <w:tcPr>
                    <w:tcW w:w="2410" w:type="dxa"/>
                    <w:vMerge w:val="restart"/>
                  </w:tcPr>
                  <w:p>
                    <w:pPr>
                      <w:rPr>
                        <w:sz w:val="20"/>
                      </w:rPr>
                    </w:pPr>
                    <w:r>
                      <w:rPr>
                        <w:sz w:val="20"/>
                      </w:rPr>
                      <w:t>6.6. Dienos stacionaro ir dienos chirurgijos paslaugų plėtra regiono lygiu, Sostinės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tc>
                <w:tc>
                  <w:tcPr>
                    <w:tcW w:w="709" w:type="dxa"/>
                    <w:vMerge w:val="restart"/>
                  </w:tcPr>
                  <w:p>
                    <w:pPr>
                      <w:rPr>
                        <w:sz w:val="20"/>
                      </w:rPr>
                    </w:pPr>
                    <w:r>
                      <w:rPr>
                        <w:sz w:val="20"/>
                      </w:rPr>
                      <w:t>K</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2 775,496</w:t>
                    </w:r>
                  </w:p>
                </w:tc>
                <w:tc>
                  <w:tcPr>
                    <w:tcW w:w="992" w:type="dxa"/>
                  </w:tcPr>
                  <w:p>
                    <w:pPr>
                      <w:rPr>
                        <w:sz w:val="20"/>
                      </w:rPr>
                    </w:pPr>
                    <w:r>
                      <w:rPr>
                        <w:sz w:val="20"/>
                      </w:rPr>
                      <w:t>2021–2027 m. IP (ERPF)</w:t>
                    </w:r>
                  </w:p>
                  <w:p>
                    <w:pPr>
                      <w:rPr>
                        <w:sz w:val="20"/>
                      </w:rPr>
                    </w:pPr>
                  </w:p>
                </w:tc>
                <w:tc>
                  <w:tcPr>
                    <w:tcW w:w="2551" w:type="dxa"/>
                    <w:shd w:val="clear" w:color="auto" w:fill="auto"/>
                  </w:tcPr>
                  <w:p>
                    <w:pPr>
                      <w:ind w:left="-57" w:right="-57"/>
                      <w:rPr>
                        <w:sz w:val="20"/>
                      </w:rPr>
                    </w:pPr>
                    <w:r>
                      <w:rPr>
                        <w:sz w:val="20"/>
                      </w:rPr>
                      <w:t xml:space="preserve">P </w:t>
                    </w:r>
                    <w:r>
                      <w:rPr>
                        <w:color w:val="000000"/>
                        <w:szCs w:val="24"/>
                      </w:rPr>
                      <w:t xml:space="preserve">– </w:t>
                    </w:r>
                    <w:r>
                      <w:rPr>
                        <w:sz w:val="20"/>
                      </w:rPr>
                      <w:t xml:space="preserve">Naujos arba modernizuotos sveikatos priežiūros infrastruktūros talpumas, asmenys per metus </w:t>
                    </w:r>
                  </w:p>
                </w:tc>
                <w:tc>
                  <w:tcPr>
                    <w:tcW w:w="851" w:type="dxa"/>
                    <w:shd w:val="clear" w:color="auto" w:fill="auto"/>
                  </w:tcPr>
                  <w:p>
                    <w:pPr>
                      <w:ind w:left="-57" w:right="-57"/>
                      <w:jc w:val="center"/>
                      <w:rPr>
                        <w:sz w:val="20"/>
                      </w:rPr>
                    </w:pPr>
                    <w:r>
                      <w:rPr>
                        <w:sz w:val="20"/>
                      </w:rPr>
                      <w:t>10 090</w:t>
                    </w:r>
                  </w:p>
                  <w:p>
                    <w:pPr>
                      <w:ind w:left="-57" w:right="-57"/>
                      <w:jc w:val="center"/>
                      <w:rPr>
                        <w:sz w:val="20"/>
                      </w:rPr>
                    </w:pPr>
                    <w:r>
                      <w:rPr>
                        <w:sz w:val="20"/>
                      </w:rPr>
                      <w:t>(2029 m.)</w:t>
                    </w:r>
                  </w:p>
                  <w:p>
                    <w:pPr>
                      <w:ind w:right="-57"/>
                      <w:rPr>
                        <w:sz w:val="20"/>
                      </w:rPr>
                    </w:pP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928"/>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2 775,496</w:t>
                    </w:r>
                  </w:p>
                  <w:p>
                    <w:pPr>
                      <w:rPr>
                        <w:sz w:val="20"/>
                      </w:rPr>
                    </w:pPr>
                  </w:p>
                </w:tc>
                <w:tc>
                  <w:tcPr>
                    <w:tcW w:w="992" w:type="dxa"/>
                    <w:vMerge w:val="restart"/>
                  </w:tcPr>
                  <w:p>
                    <w:pPr>
                      <w:rPr>
                        <w:sz w:val="20"/>
                      </w:rPr>
                    </w:pPr>
                    <w:r>
                      <w:rPr>
                        <w:sz w:val="20"/>
                      </w:rPr>
                      <w:t>2021–2027 m. IP (BF)</w:t>
                    </w:r>
                  </w:p>
                  <w:p>
                    <w:pPr>
                      <w:rPr>
                        <w:sz w:val="20"/>
                      </w:rPr>
                    </w:pPr>
                  </w:p>
                  <w:p>
                    <w:pPr>
                      <w:rPr>
                        <w:sz w:val="20"/>
                      </w:rPr>
                    </w:pP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shd w:val="clear" w:color="auto" w:fill="auto"/>
                  </w:tcPr>
                  <w:p>
                    <w:pPr>
                      <w:ind w:left="-57" w:right="-57"/>
                      <w:jc w:val="center"/>
                      <w:rPr>
                        <w:sz w:val="20"/>
                      </w:rPr>
                    </w:pPr>
                    <w:r>
                      <w:rPr>
                        <w:sz w:val="20"/>
                      </w:rPr>
                      <w:t>9 890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477"/>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Išvengiamų hospitalizacijų skaičius 1000 gyventojų</w:t>
                    </w:r>
                  </w:p>
                  <w:p>
                    <w:pPr>
                      <w:ind w:left="-57" w:right="-57"/>
                      <w:rPr>
                        <w:sz w:val="20"/>
                      </w:rPr>
                    </w:pP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869"/>
                </w:trPr>
                <w:tc>
                  <w:tcPr>
                    <w:tcW w:w="2410" w:type="dxa"/>
                    <w:vMerge w:val="restart"/>
                  </w:tcPr>
                  <w:p>
                    <w:pPr>
                      <w:rPr>
                        <w:iCs/>
                        <w:sz w:val="20"/>
                      </w:rPr>
                    </w:pPr>
                    <w:r>
                      <w:rPr>
                        <w:sz w:val="20"/>
                      </w:rPr>
                      <w:t>6.7. . Dienos stacionaro ir dienos chirurgijos paslaugų plėtra regiono lygiu,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tc>
                <w:tc>
                  <w:tcPr>
                    <w:tcW w:w="709" w:type="dxa"/>
                    <w:vMerge w:val="restart"/>
                  </w:tcPr>
                  <w:p>
                    <w:pPr>
                      <w:rPr>
                        <w:sz w:val="20"/>
                      </w:rPr>
                    </w:pPr>
                    <w:r>
                      <w:rPr>
                        <w:sz w:val="20"/>
                      </w:rPr>
                      <w:t>K</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rPr>
                    </w:pPr>
                    <w:r>
                      <w:rPr>
                        <w:sz w:val="20"/>
                      </w:rPr>
                      <w:t>13 981,657</w:t>
                    </w:r>
                  </w:p>
                </w:tc>
                <w:tc>
                  <w:tcPr>
                    <w:tcW w:w="992" w:type="dxa"/>
                  </w:tcPr>
                  <w:p>
                    <w:pPr>
                      <w:rPr>
                        <w:sz w:val="20"/>
                      </w:rPr>
                    </w:pPr>
                    <w:r>
                      <w:rPr>
                        <w:sz w:val="20"/>
                      </w:rPr>
                      <w:t>2021–2027 m. IP (ERPF)</w:t>
                    </w:r>
                  </w:p>
                  <w:p>
                    <w:pPr>
                      <w:rPr>
                        <w:sz w:val="20"/>
                      </w:rPr>
                    </w:pPr>
                  </w:p>
                </w:tc>
                <w:tc>
                  <w:tcPr>
                    <w:tcW w:w="2551" w:type="dxa"/>
                    <w:shd w:val="clear" w:color="auto" w:fill="auto"/>
                  </w:tcPr>
                  <w:p>
                    <w:pPr>
                      <w:ind w:left="-57" w:right="-57"/>
                      <w:rPr>
                        <w:sz w:val="20"/>
                      </w:rPr>
                    </w:pPr>
                    <w:r>
                      <w:rPr>
                        <w:sz w:val="20"/>
                      </w:rPr>
                      <w:t xml:space="preserve">P </w:t>
                    </w:r>
                    <w:r>
                      <w:rPr>
                        <w:color w:val="000000"/>
                        <w:szCs w:val="24"/>
                      </w:rPr>
                      <w:t xml:space="preserve">– </w:t>
                    </w:r>
                    <w:r>
                      <w:rPr>
                        <w:sz w:val="20"/>
                      </w:rPr>
                      <w:t>Naujos arba modernizuotos sveikatos priežiūros infrastruktūros talpumas, asmenys per metus</w:t>
                    </w:r>
                  </w:p>
                </w:tc>
                <w:tc>
                  <w:tcPr>
                    <w:tcW w:w="851" w:type="dxa"/>
                    <w:shd w:val="clear" w:color="auto" w:fill="auto"/>
                  </w:tcPr>
                  <w:p>
                    <w:pPr>
                      <w:ind w:left="-57" w:right="-57"/>
                      <w:jc w:val="center"/>
                      <w:rPr>
                        <w:sz w:val="20"/>
                      </w:rPr>
                    </w:pPr>
                    <w:r>
                      <w:rPr>
                        <w:sz w:val="20"/>
                      </w:rPr>
                      <w:t>34 310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1019"/>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rPr>
                    </w:pPr>
                    <w:r>
                      <w:rPr>
                        <w:sz w:val="20"/>
                      </w:rPr>
                      <w:t>2 467,350</w:t>
                    </w:r>
                  </w:p>
                </w:tc>
                <w:tc>
                  <w:tcPr>
                    <w:tcW w:w="992" w:type="dxa"/>
                    <w:vMerge w:val="restart"/>
                  </w:tcPr>
                  <w:p>
                    <w:pPr>
                      <w:rPr>
                        <w:sz w:val="20"/>
                      </w:rPr>
                    </w:pPr>
                    <w:r>
                      <w:rPr>
                        <w:sz w:val="20"/>
                      </w:rPr>
                      <w:t xml:space="preserve">2021–2027 m.  IP (BF)</w:t>
                    </w:r>
                  </w:p>
                  <w:p>
                    <w:pPr>
                      <w:rPr>
                        <w:sz w:val="20"/>
                      </w:rPr>
                    </w:pPr>
                  </w:p>
                  <w:p>
                    <w:pPr>
                      <w:rPr>
                        <w:sz w:val="20"/>
                      </w:rPr>
                    </w:pP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shd w:val="clear" w:color="auto" w:fill="auto"/>
                  </w:tcPr>
                  <w:p>
                    <w:pPr>
                      <w:ind w:left="-57" w:right="-57"/>
                      <w:jc w:val="center"/>
                      <w:rPr>
                        <w:sz w:val="20"/>
                      </w:rPr>
                    </w:pPr>
                    <w:r>
                      <w:rPr>
                        <w:sz w:val="20"/>
                      </w:rPr>
                      <w:t>33 630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63"/>
                </w:trPr>
                <w:tc>
                  <w:tcPr>
                    <w:tcW w:w="2410" w:type="dxa"/>
                    <w:vMerge/>
                    <w:tcBorders>
                      <w:bottom w:val="single" w:sz="4" w:space="0" w:color="auto"/>
                    </w:tcBorders>
                  </w:tcPr>
                  <w:p>
                    <w:pPr>
                      <w:rPr>
                        <w:iCs/>
                        <w:sz w:val="20"/>
                      </w:rPr>
                    </w:pPr>
                  </w:p>
                </w:tc>
                <w:tc>
                  <w:tcPr>
                    <w:tcW w:w="709" w:type="dxa"/>
                    <w:vMerge/>
                    <w:tcBorders>
                      <w:bottom w:val="single" w:sz="4" w:space="0" w:color="auto"/>
                    </w:tcBorders>
                  </w:tcPr>
                  <w:p>
                    <w:pPr>
                      <w:rPr>
                        <w:sz w:val="20"/>
                      </w:rPr>
                    </w:pPr>
                  </w:p>
                </w:tc>
                <w:tc>
                  <w:tcPr>
                    <w:tcW w:w="1559" w:type="dxa"/>
                    <w:vMerge/>
                    <w:tcBorders>
                      <w:bottom w:val="single" w:sz="4" w:space="0" w:color="auto"/>
                    </w:tcBorders>
                  </w:tcPr>
                  <w:p>
                    <w:pPr>
                      <w:rPr>
                        <w:sz w:val="20"/>
                      </w:rPr>
                    </w:pPr>
                  </w:p>
                </w:tc>
                <w:tc>
                  <w:tcPr>
                    <w:tcW w:w="709" w:type="dxa"/>
                    <w:vMerge/>
                    <w:tcBorders>
                      <w:bottom w:val="single" w:sz="4" w:space="0" w:color="auto"/>
                    </w:tcBorders>
                  </w:tcPr>
                  <w:p>
                    <w:pPr>
                      <w:rPr>
                        <w:sz w:val="20"/>
                      </w:rPr>
                    </w:pPr>
                  </w:p>
                </w:tc>
                <w:tc>
                  <w:tcPr>
                    <w:tcW w:w="992" w:type="dxa"/>
                    <w:vMerge/>
                    <w:tcBorders>
                      <w:bottom w:val="single" w:sz="4" w:space="0" w:color="auto"/>
                    </w:tcBorders>
                  </w:tcPr>
                  <w:p>
                    <w:pPr>
                      <w:rPr>
                        <w:sz w:val="20"/>
                      </w:rPr>
                    </w:pPr>
                  </w:p>
                </w:tc>
                <w:tc>
                  <w:tcPr>
                    <w:tcW w:w="709" w:type="dxa"/>
                    <w:vMerge/>
                    <w:tcBorders>
                      <w:bottom w:val="single" w:sz="4" w:space="0" w:color="auto"/>
                    </w:tcBorders>
                  </w:tcPr>
                  <w:p>
                    <w:pPr>
                      <w:rPr>
                        <w:sz w:val="20"/>
                      </w:rPr>
                    </w:pPr>
                  </w:p>
                </w:tc>
                <w:tc>
                  <w:tcPr>
                    <w:tcW w:w="1276" w:type="dxa"/>
                    <w:vMerge/>
                    <w:tcBorders>
                      <w:bottom w:val="single" w:sz="4" w:space="0" w:color="auto"/>
                    </w:tcBorders>
                  </w:tcPr>
                  <w:p>
                    <w:pPr>
                      <w:rPr>
                        <w:sz w:val="20"/>
                      </w:rPr>
                    </w:pPr>
                  </w:p>
                </w:tc>
                <w:tc>
                  <w:tcPr>
                    <w:tcW w:w="992" w:type="dxa"/>
                    <w:vMerge/>
                    <w:tcBorders>
                      <w:bottom w:val="single" w:sz="4" w:space="0" w:color="auto"/>
                    </w:tcBorders>
                  </w:tcPr>
                  <w:p>
                    <w:pPr>
                      <w:rPr>
                        <w:sz w:val="20"/>
                      </w:rPr>
                    </w:pPr>
                  </w:p>
                </w:tc>
                <w:tc>
                  <w:tcPr>
                    <w:tcW w:w="2551" w:type="dxa"/>
                    <w:tcBorders>
                      <w:bottom w:val="single" w:sz="4" w:space="0" w:color="auto"/>
                    </w:tcBorders>
                    <w:shd w:val="clear" w:color="auto" w:fill="auto"/>
                  </w:tcPr>
                  <w:p>
                    <w:pPr>
                      <w:ind w:left="-57" w:right="-57"/>
                      <w:rPr>
                        <w:sz w:val="20"/>
                      </w:rPr>
                    </w:pPr>
                    <w:r>
                      <w:rPr>
                        <w:sz w:val="20"/>
                      </w:rPr>
                      <w:t xml:space="preserve">R </w:t>
                    </w:r>
                    <w:r>
                      <w:rPr>
                        <w:color w:val="000000"/>
                        <w:szCs w:val="24"/>
                      </w:rPr>
                      <w:t>–</w:t>
                    </w:r>
                    <w:r>
                      <w:rPr>
                        <w:sz w:val="20"/>
                      </w:rPr>
                      <w:t xml:space="preserve"> Išvengiamų hospitalizacijų skaičius 1000 gyventojų</w:t>
                    </w:r>
                  </w:p>
                  <w:p>
                    <w:pPr>
                      <w:ind w:left="-57" w:right="-57"/>
                      <w:rPr>
                        <w:sz w:val="20"/>
                      </w:rPr>
                    </w:pPr>
                  </w:p>
                </w:tc>
                <w:tc>
                  <w:tcPr>
                    <w:tcW w:w="851" w:type="dxa"/>
                    <w:tcBorders>
                      <w:bottom w:val="single" w:sz="4" w:space="0" w:color="auto"/>
                    </w:tcBorders>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Borders>
                      <w:bottom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857"/>
                </w:trPr>
                <w:tc>
                  <w:tcPr>
                    <w:tcW w:w="2410" w:type="dxa"/>
                    <w:vMerge w:val="restart"/>
                  </w:tcPr>
                  <w:p>
                    <w:pPr>
                      <w:rPr>
                        <w:sz w:val="20"/>
                      </w:rPr>
                    </w:pPr>
                    <w:r>
                      <w:rPr>
                        <w:sz w:val="20"/>
                      </w:rPr>
                      <w:t>6.8. Inovatyvių pirminės sveikatos priežiūros paslaugų teikimo ir organizavimo modelių kūrimas ir išbandymas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administracijos,ASPĮ, SAM</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Borders>
                      <w:bottom w:val="single" w:sz="4" w:space="0" w:color="auto"/>
                    </w:tcBorders>
                  </w:tcPr>
                  <w:p>
                    <w:pPr>
                      <w:rPr>
                        <w:sz w:val="20"/>
                        <w:lang w:val="en-US"/>
                      </w:rPr>
                    </w:pPr>
                    <w:r>
                      <w:rPr>
                        <w:sz w:val="20"/>
                        <w:lang w:val="en-US"/>
                      </w:rPr>
                      <w:t>33 366,750</w:t>
                    </w:r>
                  </w:p>
                </w:tc>
                <w:tc>
                  <w:tcPr>
                    <w:tcW w:w="992" w:type="dxa"/>
                    <w:tcBorders>
                      <w:bottom w:val="single" w:sz="4" w:space="0" w:color="auto"/>
                    </w:tcBorders>
                  </w:tcPr>
                  <w:p>
                    <w:pPr>
                      <w:rPr>
                        <w:sz w:val="20"/>
                      </w:rPr>
                    </w:pPr>
                    <w:r>
                      <w:rPr>
                        <w:sz w:val="20"/>
                      </w:rPr>
                      <w:t xml:space="preserve">2021–2027 m. IP (ESF+) </w:t>
                    </w:r>
                  </w:p>
                </w:tc>
                <w:tc>
                  <w:tcPr>
                    <w:tcW w:w="2551" w:type="dxa"/>
                    <w:tcBorders>
                      <w:top w:val="single" w:sz="4" w:space="0" w:color="auto"/>
                      <w:left w:val="single" w:sz="4" w:space="0" w:color="auto"/>
                      <w:right w:val="single" w:sz="4" w:space="0" w:color="auto"/>
                    </w:tcBorders>
                    <w:shd w:val="clear" w:color="auto" w:fill="auto"/>
                  </w:tcPr>
                  <w:p>
                    <w:pPr>
                      <w:ind w:left="-57" w:right="-57"/>
                      <w:rPr>
                        <w:color w:val="000000"/>
                        <w:sz w:val="20"/>
                      </w:rPr>
                    </w:pPr>
                    <w:r>
                      <w:rPr>
                        <w:color w:val="000000"/>
                        <w:sz w:val="20"/>
                      </w:rPr>
                      <w:t xml:space="preserve">P – </w:t>
                    </w:r>
                    <w:r>
                      <w:rPr>
                        <w:rFonts w:eastAsia="Calibri"/>
                        <w:sz w:val="20"/>
                        <w:lang w:eastAsia="lt-LT" w:bidi="lt-LT"/>
                      </w:rPr>
                      <w:t>Asmenys, dalyvavę veiklose, skirtose lėtinei ligai savarankiškai valdyti, asmenys</w:t>
                    </w:r>
                  </w:p>
                </w:tc>
                <w:tc>
                  <w:tcPr>
                    <w:tcW w:w="851" w:type="dxa"/>
                    <w:shd w:val="clear" w:color="auto" w:fill="auto"/>
                  </w:tcPr>
                  <w:p>
                    <w:pPr>
                      <w:ind w:left="-57" w:right="-57"/>
                      <w:jc w:val="center"/>
                      <w:rPr>
                        <w:sz w:val="20"/>
                      </w:rPr>
                    </w:pPr>
                    <w:r>
                      <w:rPr>
                        <w:sz w:val="20"/>
                      </w:rPr>
                      <w:t>25 000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23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rPr>
                    </w:pPr>
                    <w:r>
                      <w:rPr>
                        <w:sz w:val="20"/>
                        <w:lang w:val="en-US"/>
                      </w:rPr>
                      <w:t>5 888,250</w:t>
                    </w:r>
                  </w:p>
                </w:tc>
                <w:tc>
                  <w:tcPr>
                    <w:tcW w:w="992" w:type="dxa"/>
                    <w:vMerge w:val="restart"/>
                  </w:tcPr>
                  <w:p>
                    <w:pPr>
                      <w:rPr>
                        <w:sz w:val="20"/>
                      </w:rPr>
                    </w:pPr>
                    <w:r>
                      <w:rPr>
                        <w:sz w:val="20"/>
                      </w:rPr>
                      <w:t xml:space="preserve">2021–2027m.  IP (BF) </w:t>
                    </w:r>
                  </w:p>
                </w:tc>
                <w:tc>
                  <w:tcPr>
                    <w:tcW w:w="2551" w:type="dxa"/>
                    <w:shd w:val="clear" w:color="auto" w:fill="auto"/>
                  </w:tcPr>
                  <w:p>
                    <w:pPr>
                      <w:ind w:left="-57" w:right="-57"/>
                      <w:rPr>
                        <w:sz w:val="20"/>
                      </w:rPr>
                    </w:pPr>
                    <w:r>
                      <w:rPr>
                        <w:sz w:val="20"/>
                      </w:rPr>
                      <w:t>P – Specialistai, dalyvavę kvalifikacijos tobulinimo ar perkvalifikavimo veiklose, asmenys</w:t>
                    </w:r>
                  </w:p>
                </w:tc>
                <w:tc>
                  <w:tcPr>
                    <w:tcW w:w="851" w:type="dxa"/>
                    <w:shd w:val="clear" w:color="auto" w:fill="auto"/>
                  </w:tcPr>
                  <w:p>
                    <w:pPr>
                      <w:ind w:left="-57" w:right="-57"/>
                      <w:jc w:val="center"/>
                      <w:rPr>
                        <w:sz w:val="20"/>
                        <w:lang w:val="en-US"/>
                      </w:rPr>
                    </w:pPr>
                    <w:r>
                      <w:rPr>
                        <w:sz w:val="20"/>
                      </w:rPr>
                      <w:t>1 100</w:t>
                    </w:r>
                  </w:p>
                  <w:p>
                    <w:pPr>
                      <w:ind w:left="-57" w:right="-57"/>
                      <w:jc w:val="center"/>
                      <w:rPr>
                        <w:sz w:val="20"/>
                      </w:rPr>
                    </w:pPr>
                    <w:r>
                      <w:rPr>
                        <w:sz w:val="20"/>
                      </w:rPr>
                      <w:t>(2029 m.)</w:t>
                    </w: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color w:val="000000"/>
                        <w:sz w:val="20"/>
                      </w:rPr>
                    </w:pPr>
                    <w:r>
                      <w:rPr>
                        <w:color w:val="000000"/>
                        <w:sz w:val="20"/>
                      </w:rPr>
                      <w:t xml:space="preserve">P – Paramą gavusių nacionalinio, regionų ar vietos lygmens viešojo administravimo ar viešąsias paslaugas teikiančių įstaigų skaičius, subjektų skaičius </w:t>
                    </w:r>
                  </w:p>
                </w:tc>
                <w:tc>
                  <w:tcPr>
                    <w:tcW w:w="851" w:type="dxa"/>
                    <w:shd w:val="clear" w:color="auto" w:fill="auto"/>
                  </w:tcPr>
                  <w:p>
                    <w:pPr>
                      <w:ind w:left="-57" w:right="-57"/>
                      <w:jc w:val="center"/>
                      <w:rPr>
                        <w:sz w:val="20"/>
                      </w:rPr>
                    </w:pPr>
                  </w:p>
                  <w:p>
                    <w:pPr>
                      <w:ind w:left="-57" w:right="-57"/>
                      <w:jc w:val="center"/>
                      <w:rPr>
                        <w:sz w:val="20"/>
                      </w:rPr>
                    </w:pPr>
                    <w:r>
                      <w:rPr>
                        <w:sz w:val="20"/>
                      </w:rPr>
                      <w:t>138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575"/>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color w:val="000000"/>
                        <w:sz w:val="20"/>
                      </w:rPr>
                    </w:pPr>
                    <w:r>
                      <w:rPr>
                        <w:color w:val="000000"/>
                        <w:sz w:val="20"/>
                      </w:rPr>
                      <w:t xml:space="preserve">R – Asmenų, teigusių, kad pagerėjo jų gyvenimo kokybė po dalyvavimo veiklose, skirtose savarankiškam lėtinės ligos valdymui, dalis, proc. </w:t>
                    </w:r>
                  </w:p>
                </w:tc>
                <w:tc>
                  <w:tcPr>
                    <w:tcW w:w="851" w:type="dxa"/>
                    <w:shd w:val="clear" w:color="auto" w:fill="auto"/>
                  </w:tcPr>
                  <w:p>
                    <w:pPr>
                      <w:ind w:left="-57" w:right="-57"/>
                      <w:jc w:val="center"/>
                      <w:rPr>
                        <w:sz w:val="20"/>
                      </w:rPr>
                    </w:pPr>
                    <w:r>
                      <w:rPr>
                        <w:sz w:val="20"/>
                      </w:rPr>
                      <w:t>70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575"/>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color w:val="000000"/>
                        <w:sz w:val="20"/>
                      </w:rPr>
                    </w:pPr>
                    <w:r>
                      <w:rPr>
                        <w:sz w:val="20"/>
                      </w:rPr>
                      <w:t>R –</w:t>
                    </w:r>
                    <w:r>
                      <w:rPr>
                        <w:sz w:val="20"/>
                        <w:lang w:eastAsia="lt-LT"/>
                      </w:rPr>
                      <w:t xml:space="preserve"> Specialistų, kurie po dalyvavimo veiklose įgijo ar patobulino kvalifikaciją, dalis proc.</w:t>
                    </w:r>
                  </w:p>
                </w:tc>
                <w:tc>
                  <w:tcPr>
                    <w:tcW w:w="851" w:type="dxa"/>
                    <w:shd w:val="clear" w:color="auto" w:fill="auto"/>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b/>
                        <w:bCs/>
                        <w:color w:val="FF0000"/>
                        <w:sz w:val="20"/>
                      </w:rPr>
                    </w:pPr>
                    <w:r>
                      <w:rPr>
                        <w:color w:val="000000"/>
                        <w:sz w:val="20"/>
                      </w:rPr>
                      <w:t xml:space="preserve">R – Pacientų pasitenkinimas gautomis paslaugomis, proc. </w:t>
                    </w:r>
                  </w:p>
                </w:tc>
                <w:tc>
                  <w:tcPr>
                    <w:tcW w:w="851" w:type="dxa"/>
                    <w:shd w:val="clear" w:color="auto" w:fill="auto"/>
                  </w:tcPr>
                  <w:p>
                    <w:pPr>
                      <w:ind w:left="-57" w:right="-57"/>
                      <w:jc w:val="center"/>
                      <w:rPr>
                        <w:sz w:val="20"/>
                      </w:rPr>
                    </w:pPr>
                    <w:r>
                      <w:rPr>
                        <w:sz w:val="20"/>
                      </w:rPr>
                      <w:t>70</w:t>
                    </w:r>
                  </w:p>
                  <w:p>
                    <w:pPr>
                      <w:ind w:left="-57" w:right="-57"/>
                      <w:jc w:val="center"/>
                      <w:rPr>
                        <w:color w:val="FF0000"/>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14"/>
                </w:trPr>
                <w:tc>
                  <w:tcPr>
                    <w:tcW w:w="2410" w:type="dxa"/>
                  </w:tcPr>
                  <w:p>
                    <w:pPr>
                      <w:rPr>
                        <w:sz w:val="20"/>
                      </w:rPr>
                    </w:pPr>
                    <w:r>
                      <w:rPr>
                        <w:sz w:val="20"/>
                      </w:rPr>
                      <w:t>6.9. ASPĮ išlaidų, patirtų įgyvendinant pertvarką, kompensavimas</w:t>
                    </w:r>
                  </w:p>
                </w:tc>
                <w:tc>
                  <w:tcPr>
                    <w:tcW w:w="709" w:type="dxa"/>
                  </w:tcPr>
                  <w:p>
                    <w:pPr>
                      <w:rPr>
                        <w:sz w:val="20"/>
                      </w:rPr>
                    </w:pPr>
                    <w:r>
                      <w:rPr>
                        <w:sz w:val="20"/>
                      </w:rPr>
                      <w:t>I</w:t>
                    </w:r>
                  </w:p>
                </w:tc>
                <w:tc>
                  <w:tcPr>
                    <w:tcW w:w="1559" w:type="dxa"/>
                  </w:tcPr>
                  <w:p>
                    <w:pPr>
                      <w:rPr>
                        <w:sz w:val="20"/>
                      </w:rPr>
                    </w:pPr>
                    <w:r>
                      <w:rPr>
                        <w:sz w:val="20"/>
                      </w:rPr>
                      <w:t>ASPĮ</w:t>
                    </w:r>
                  </w:p>
                </w:tc>
                <w:tc>
                  <w:tcPr>
                    <w:tcW w:w="709" w:type="dxa"/>
                  </w:tcPr>
                  <w:p>
                    <w:pPr>
                      <w:rPr>
                        <w:sz w:val="20"/>
                      </w:rPr>
                    </w:pPr>
                    <w:r>
                      <w:rPr>
                        <w:sz w:val="20"/>
                      </w:rPr>
                      <w:t>P</w:t>
                    </w:r>
                  </w:p>
                </w:tc>
                <w:tc>
                  <w:tcPr>
                    <w:tcW w:w="992" w:type="dxa"/>
                  </w:tcPr>
                  <w:p>
                    <w:pPr>
                      <w:rPr>
                        <w:sz w:val="20"/>
                      </w:rPr>
                    </w:pPr>
                    <w:r>
                      <w:rPr>
                        <w:sz w:val="20"/>
                      </w:rPr>
                      <w:t>Taip</w:t>
                    </w:r>
                  </w:p>
                </w:tc>
                <w:tc>
                  <w:tcPr>
                    <w:tcW w:w="709" w:type="dxa"/>
                  </w:tcPr>
                  <w:p>
                    <w:pPr>
                      <w:rPr>
                        <w:sz w:val="20"/>
                      </w:rPr>
                    </w:pPr>
                    <w:r>
                      <w:rPr>
                        <w:sz w:val="20"/>
                      </w:rPr>
                      <w:t>D</w:t>
                    </w:r>
                  </w:p>
                </w:tc>
                <w:tc>
                  <w:tcPr>
                    <w:tcW w:w="1276" w:type="dxa"/>
                  </w:tcPr>
                  <w:p>
                    <w:pPr>
                      <w:rPr>
                        <w:sz w:val="20"/>
                      </w:rPr>
                    </w:pPr>
                    <w:r>
                      <w:rPr>
                        <w:sz w:val="20"/>
                        <w:lang w:val="en-US"/>
                      </w:rPr>
                      <w:t>8 000</w:t>
                    </w:r>
                  </w:p>
                </w:tc>
                <w:tc>
                  <w:tcPr>
                    <w:tcW w:w="992" w:type="dxa"/>
                  </w:tcPr>
                  <w:p>
                    <w:pPr>
                      <w:rPr>
                        <w:sz w:val="20"/>
                      </w:rPr>
                    </w:pPr>
                    <w:r>
                      <w:rPr>
                        <w:sz w:val="20"/>
                      </w:rPr>
                      <w:t>VB</w:t>
                    </w:r>
                  </w:p>
                </w:tc>
                <w:tc>
                  <w:tcPr>
                    <w:tcW w:w="2551" w:type="dxa"/>
                    <w:shd w:val="clear" w:color="auto" w:fill="auto"/>
                  </w:tcPr>
                  <w:p>
                    <w:pPr>
                      <w:ind w:left="-57" w:right="-57"/>
                      <w:rPr>
                        <w:sz w:val="20"/>
                      </w:rPr>
                    </w:pPr>
                    <w:r>
                      <w:rPr>
                        <w:sz w:val="20"/>
                      </w:rPr>
                      <w:t xml:space="preserve">P </w:t>
                    </w:r>
                    <w:r>
                      <w:rPr>
                        <w:color w:val="000000"/>
                        <w:szCs w:val="24"/>
                      </w:rPr>
                      <w:t>–</w:t>
                    </w:r>
                    <w:r>
                      <w:rPr>
                        <w:sz w:val="20"/>
                      </w:rPr>
                      <w:t xml:space="preserve"> Struktūrinius sveikatos priežiūros paslaugų teikimo pokyčius įgyvendinusių ASPĮ skaičius, vnt. </w:t>
                    </w:r>
                  </w:p>
                </w:tc>
                <w:tc>
                  <w:tcPr>
                    <w:tcW w:w="851" w:type="dxa"/>
                    <w:shd w:val="clear" w:color="auto" w:fill="auto"/>
                  </w:tcPr>
                  <w:p>
                    <w:pPr>
                      <w:ind w:left="-57" w:right="-57"/>
                      <w:jc w:val="center"/>
                      <w:rPr>
                        <w:sz w:val="20"/>
                      </w:rPr>
                    </w:pPr>
                    <w:r>
                      <w:rPr>
                        <w:sz w:val="20"/>
                      </w:rPr>
                      <w:t>250</w:t>
                    </w:r>
                  </w:p>
                  <w:p>
                    <w:pPr>
                      <w:ind w:left="-57" w:right="-57"/>
                      <w:jc w:val="center"/>
                      <w:rPr>
                        <w:sz w:val="20"/>
                      </w:rPr>
                    </w:pPr>
                    <w:r>
                      <w:rPr>
                        <w:sz w:val="20"/>
                      </w:rPr>
                      <w:t>(2030 m.)</w:t>
                    </w:r>
                  </w:p>
                </w:tc>
                <w:tc>
                  <w:tcPr>
                    <w:tcW w:w="992" w:type="dxa"/>
                  </w:tcPr>
                  <w:p>
                    <w:pPr>
                      <w:rPr>
                        <w:sz w:val="20"/>
                      </w:rPr>
                    </w:pPr>
                    <w:r>
                      <w:rPr>
                        <w:sz w:val="20"/>
                      </w:rPr>
                      <w:t>SAM</w:t>
                    </w:r>
                  </w:p>
                </w:tc>
                <w:tc>
                  <w:tcPr>
                    <w:tcW w:w="1276" w:type="dxa"/>
                    <w:tcBorders>
                      <w:left w:val="single" w:sz="4" w:space="0" w:color="auto"/>
                      <w:right w:val="single" w:sz="4" w:space="0" w:color="auto"/>
                    </w:tcBorders>
                  </w:tcPr>
                  <w:p>
                    <w:pPr>
                      <w:jc w:val="center"/>
                      <w:rPr>
                        <w:color w:val="000000"/>
                        <w:sz w:val="20"/>
                      </w:rPr>
                    </w:pPr>
                  </w:p>
                </w:tc>
              </w:tr>
              <w:tr>
                <w:trPr>
                  <w:trHeight w:val="414"/>
                </w:trPr>
                <w:tc>
                  <w:tcPr>
                    <w:tcW w:w="2410" w:type="dxa"/>
                    <w:vMerge w:val="restart"/>
                    <w:shd w:val="clear" w:color="auto" w:fill="F2F2F2" w:themeFill="background1" w:themeFillShade="F2"/>
                  </w:tcPr>
                  <w:p>
                    <w:pPr>
                      <w:rPr>
                        <w:sz w:val="20"/>
                      </w:rPr>
                    </w:pPr>
                    <w:r>
                      <w:rPr>
                        <w:b/>
                        <w:bCs/>
                        <w:sz w:val="20"/>
                      </w:rPr>
                      <w:t>7. Ambulatorinių psichikos sveikatos priežiūros paslaugų plėtra ir kokybės gerinimas</w:t>
                    </w:r>
                  </w:p>
                </w:tc>
                <w:tc>
                  <w:tcPr>
                    <w:tcW w:w="709" w:type="dxa"/>
                    <w:vMerge w:val="restart"/>
                    <w:shd w:val="clear" w:color="auto" w:fill="F2F2F2" w:themeFill="background1" w:themeFillShade="F2"/>
                  </w:tcPr>
                  <w:p>
                    <w:pPr>
                      <w:rPr>
                        <w:sz w:val="20"/>
                      </w:rPr>
                    </w:pPr>
                    <w:r>
                      <w:rPr>
                        <w:sz w:val="20"/>
                      </w:rPr>
                      <w:t>-</w:t>
                    </w:r>
                  </w:p>
                </w:tc>
                <w:tc>
                  <w:tcPr>
                    <w:tcW w:w="1559"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sz w:val="20"/>
                        <w:lang w:val="en-US"/>
                      </w:rPr>
                    </w:pPr>
                    <w:r>
                      <w:rPr>
                        <w:b/>
                        <w:bCs/>
                        <w:sz w:val="20"/>
                      </w:rPr>
                      <w:t>38 400</w:t>
                    </w:r>
                  </w:p>
                </w:tc>
                <w:tc>
                  <w:tcPr>
                    <w:tcW w:w="992" w:type="dxa"/>
                    <w:shd w:val="clear" w:color="auto" w:fill="F2F2F2" w:themeFill="background1" w:themeFillShade="F2"/>
                  </w:tcPr>
                  <w:p>
                    <w:pPr>
                      <w:rPr>
                        <w:sz w:val="20"/>
                      </w:rPr>
                    </w:pPr>
                    <w:r>
                      <w:rPr>
                        <w:sz w:val="20"/>
                      </w:rPr>
                      <w:t>-</w:t>
                    </w:r>
                  </w:p>
                </w:tc>
                <w:tc>
                  <w:tcPr>
                    <w:tcW w:w="2551" w:type="dxa"/>
                    <w:vMerge w:val="restart"/>
                    <w:shd w:val="clear" w:color="auto" w:fill="F2F2F2" w:themeFill="background1" w:themeFillShade="F2"/>
                  </w:tcPr>
                  <w:p>
                    <w:pPr>
                      <w:rPr>
                        <w:color w:val="FF0000"/>
                        <w:sz w:val="20"/>
                      </w:rPr>
                    </w:pPr>
                    <w:r>
                      <w:rPr>
                        <w:sz w:val="20"/>
                      </w:rPr>
                      <w:t xml:space="preserve">R </w:t>
                    </w:r>
                    <w:r>
                      <w:rPr>
                        <w:color w:val="000000"/>
                        <w:szCs w:val="24"/>
                      </w:rPr>
                      <w:t>–</w:t>
                    </w:r>
                    <w:r>
                      <w:rPr>
                        <w:sz w:val="20"/>
                      </w:rPr>
                      <w:t xml:space="preserve"> Asmenų, gavusių tęstines ambulatorines ir (ar) dienos stacionaro psichikos sveikatos paslaugas per 30 dienų nuo išrašymo iš stacionaro, dalis</w:t>
                      <w:tab/>
                    </w:r>
                  </w:p>
                </w:tc>
                <w:tc>
                  <w:tcPr>
                    <w:tcW w:w="851" w:type="dxa"/>
                    <w:vMerge w:val="restart"/>
                    <w:shd w:val="clear" w:color="auto" w:fill="F2F2F2" w:themeFill="background1" w:themeFillShade="F2"/>
                  </w:tcPr>
                  <w:p>
                    <w:pPr>
                      <w:jc w:val="center"/>
                      <w:rPr>
                        <w:sz w:val="20"/>
                      </w:rPr>
                    </w:pPr>
                    <w:r>
                      <w:rPr>
                        <w:sz w:val="20"/>
                      </w:rPr>
                      <w:t>80</w:t>
                    </w:r>
                  </w:p>
                  <w:p>
                    <w:pPr>
                      <w:ind w:left="-57" w:right="-57"/>
                      <w:jc w:val="center"/>
                      <w:rPr>
                        <w:i/>
                        <w:iCs/>
                        <w:sz w:val="20"/>
                      </w:rPr>
                    </w:pPr>
                    <w:r>
                      <w:rPr>
                        <w:sz w:val="20"/>
                      </w:rPr>
                      <w:t xml:space="preserve">(2030 m.) </w:t>
                    </w:r>
                  </w:p>
                </w:tc>
                <w:tc>
                  <w:tcPr>
                    <w:tcW w:w="992" w:type="dxa"/>
                    <w:vMerge w:val="restart"/>
                    <w:shd w:val="clear" w:color="auto" w:fill="F2F2F2" w:themeFill="background1" w:themeFillShade="F2"/>
                  </w:tcPr>
                  <w:p>
                    <w:pPr>
                      <w:rPr>
                        <w:i/>
                        <w:iCs/>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2 523,178</w:t>
                    </w:r>
                  </w:p>
                </w:tc>
                <w:tc>
                  <w:tcPr>
                    <w:tcW w:w="992" w:type="dxa"/>
                    <w:shd w:val="clear" w:color="auto" w:fill="F2F2F2" w:themeFill="background1" w:themeFillShade="F2"/>
                  </w:tcPr>
                  <w:p>
                    <w:pPr>
                      <w:rPr>
                        <w:sz w:val="20"/>
                      </w:rPr>
                    </w:pPr>
                    <w:r>
                      <w:rPr>
                        <w:sz w:val="20"/>
                      </w:rPr>
                      <w:t>2021–2027 m. IP (ERPF, Sostinės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2 523,178</w:t>
                    </w:r>
                  </w:p>
                </w:tc>
                <w:tc>
                  <w:tcPr>
                    <w:tcW w:w="992" w:type="dxa"/>
                    <w:shd w:val="clear" w:color="auto" w:fill="F2F2F2" w:themeFill="background1" w:themeFillShade="F2"/>
                  </w:tcPr>
                  <w:p>
                    <w:pPr>
                      <w:rPr>
                        <w:sz w:val="20"/>
                      </w:rPr>
                    </w:pPr>
                    <w:r>
                      <w:rPr>
                        <w:sz w:val="20"/>
                      </w:rPr>
                      <w:t>2021–2027 m. IP (BF, Sostinės regionas</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Stacionarinio aktyviojo gydymo atvejų skaičiaus sumažėjimas lyginant su 2019 m., atvejų skaičius </w:t>
                    </w:r>
                  </w:p>
                  <w:p>
                    <w:pPr>
                      <w:ind w:left="-57" w:right="-57"/>
                      <w:rPr>
                        <w:sz w:val="20"/>
                      </w:rPr>
                    </w:pPr>
                  </w:p>
                </w:tc>
                <w:tc>
                  <w:tcPr>
                    <w:tcW w:w="851" w:type="dxa"/>
                    <w:shd w:val="clear" w:color="auto" w:fill="F2F2F2" w:themeFill="background1" w:themeFillShade="F2"/>
                  </w:tcPr>
                  <w:p>
                    <w:pPr>
                      <w:ind w:left="-57" w:right="-57"/>
                      <w:jc w:val="center"/>
                      <w:rPr>
                        <w:sz w:val="20"/>
                      </w:rPr>
                    </w:pPr>
                    <w:r>
                      <w:rPr>
                        <w:sz w:val="20"/>
                      </w:rPr>
                      <w:t>431714</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575"/>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12 710,597</w:t>
                    </w:r>
                  </w:p>
                </w:tc>
                <w:tc>
                  <w:tcPr>
                    <w:tcW w:w="992" w:type="dxa"/>
                    <w:shd w:val="clear" w:color="auto" w:fill="F2F2F2" w:themeFill="background1" w:themeFillShade="F2"/>
                  </w:tcPr>
                  <w:p>
                    <w:pPr>
                      <w:rPr>
                        <w:sz w:val="20"/>
                      </w:rPr>
                    </w:pPr>
                    <w:r>
                      <w:rPr>
                        <w:sz w:val="20"/>
                      </w:rPr>
                      <w:t>2021–2027 m. IP (ERPF, VVL regionas)</w:t>
                    </w:r>
                  </w:p>
                </w:tc>
                <w:tc>
                  <w:tcPr>
                    <w:tcW w:w="2551" w:type="dxa"/>
                    <w:vMerge w:val="restart"/>
                    <w:shd w:val="clear" w:color="auto" w:fill="F2F2F2" w:themeFill="background1" w:themeFillShade="F2"/>
                  </w:tcPr>
                  <w:p>
                    <w:pPr>
                      <w:ind w:left="-57" w:right="-57"/>
                      <w:rPr>
                        <w:sz w:val="20"/>
                      </w:rPr>
                    </w:pPr>
                    <w:r>
                      <w:rPr>
                        <w:sz w:val="20"/>
                      </w:rPr>
                      <w:t>R – Dienos stacionaro atvejų skaičiaus padidėjimas lyginant su 2019 m., atvejų skaičius</w:t>
                    </w:r>
                  </w:p>
                  <w:p>
                    <w:pPr>
                      <w:ind w:left="-57" w:right="-57"/>
                      <w:rPr>
                        <w:sz w:val="20"/>
                      </w:rPr>
                    </w:pPr>
                  </w:p>
                </w:tc>
                <w:tc>
                  <w:tcPr>
                    <w:tcW w:w="851" w:type="dxa"/>
                    <w:vMerge w:val="restart"/>
                    <w:shd w:val="clear" w:color="auto" w:fill="F2F2F2" w:themeFill="background1" w:themeFillShade="F2"/>
                  </w:tcPr>
                  <w:p>
                    <w:pPr>
                      <w:ind w:left="-57" w:right="-57"/>
                      <w:jc w:val="center"/>
                      <w:rPr>
                        <w:sz w:val="20"/>
                      </w:rPr>
                    </w:pPr>
                    <w:r>
                      <w:rPr>
                        <w:sz w:val="20"/>
                      </w:rPr>
                      <w:t>362243</w:t>
                    </w:r>
                  </w:p>
                  <w:p>
                    <w:pPr>
                      <w:ind w:left="-57" w:right="-57"/>
                      <w:jc w:val="center"/>
                      <w:rPr>
                        <w:sz w:val="20"/>
                      </w:rPr>
                    </w:pPr>
                    <w:r>
                      <w:rPr>
                        <w:sz w:val="20"/>
                      </w:rPr>
                      <w:t>(2030 m.)</w:t>
                    </w:r>
                  </w:p>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575"/>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10 540</w:t>
                    </w:r>
                  </w:p>
                </w:tc>
                <w:tc>
                  <w:tcPr>
                    <w:tcW w:w="992" w:type="dxa"/>
                    <w:shd w:val="clear" w:color="auto" w:fill="F2F2F2" w:themeFill="background1" w:themeFillShade="F2"/>
                  </w:tcPr>
                  <w:p>
                    <w:pPr>
                      <w:rPr>
                        <w:sz w:val="20"/>
                      </w:rPr>
                    </w:pPr>
                    <w:r>
                      <w:rPr>
                        <w:sz w:val="20"/>
                      </w:rPr>
                      <w:t>2021–2027 m. IP (ESF</w:t>
                    </w:r>
                    <w:r>
                      <w:rPr>
                        <w:sz w:val="20"/>
                        <w:lang w:val="it-IT"/>
                      </w:rPr>
                      <w:t>+</w:t>
                    </w:r>
                    <w:r>
                      <w:rPr>
                        <w:sz w:val="20"/>
                      </w:rPr>
                      <w:t>, VVL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4 103,047</w:t>
                    </w:r>
                  </w:p>
                </w:tc>
                <w:tc>
                  <w:tcPr>
                    <w:tcW w:w="992" w:type="dxa"/>
                    <w:shd w:val="clear" w:color="auto" w:fill="F2F2F2" w:themeFill="background1" w:themeFillShade="F2"/>
                  </w:tcPr>
                  <w:p>
                    <w:pPr>
                      <w:rPr>
                        <w:sz w:val="20"/>
                      </w:rPr>
                    </w:pPr>
                    <w:r>
                      <w:rPr>
                        <w:sz w:val="20"/>
                      </w:rPr>
                      <w:t>2021–2027 m. IP (BF, VVL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6 000</w:t>
                    </w:r>
                  </w:p>
                </w:tc>
                <w:tc>
                  <w:tcPr>
                    <w:tcW w:w="992" w:type="dxa"/>
                    <w:shd w:val="clear" w:color="auto" w:fill="F2F2F2" w:themeFill="background1" w:themeFillShade="F2"/>
                  </w:tcPr>
                  <w:p>
                    <w:pPr>
                      <w:rPr>
                        <w:sz w:val="20"/>
                      </w:rPr>
                    </w:pPr>
                    <w:r>
                      <w:rPr>
                        <w:sz w:val="20"/>
                      </w:rPr>
                      <w:t>VB</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382"/>
                </w:trPr>
                <w:tc>
                  <w:tcPr>
                    <w:tcW w:w="2410" w:type="dxa"/>
                    <w:vMerge w:val="restart"/>
                  </w:tcPr>
                  <w:p>
                    <w:pPr>
                      <w:rPr>
                        <w:sz w:val="20"/>
                      </w:rPr>
                    </w:pPr>
                    <w:r>
                      <w:rPr>
                        <w:sz w:val="20"/>
                      </w:rPr>
                      <w:t>7.1. Ambulatorinių psichikos sveikatos paslaugų ir psichosocialinės reabilitacijos plėtrai reikalingos infrastruktūros įrengimas,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tc>
                <w:tc>
                  <w:tcPr>
                    <w:tcW w:w="709" w:type="dxa"/>
                    <w:vMerge w:val="restart"/>
                    <w:shd w:val="clear" w:color="auto" w:fill="auto"/>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2 523,178</w:t>
                    </w:r>
                  </w:p>
                  <w:p>
                    <w:pPr>
                      <w:rPr>
                        <w:sz w:val="20"/>
                        <w:lang w:val="en-US"/>
                      </w:rPr>
                    </w:pPr>
                  </w:p>
                </w:tc>
                <w:tc>
                  <w:tcPr>
                    <w:tcW w:w="992" w:type="dxa"/>
                  </w:tcPr>
                  <w:p>
                    <w:pPr>
                      <w:rPr>
                        <w:sz w:val="20"/>
                      </w:rPr>
                    </w:pPr>
                    <w:r>
                      <w:rPr>
                        <w:sz w:val="20"/>
                      </w:rPr>
                      <w:t>2021–2027 m. IP (ERPF)</w:t>
                    </w:r>
                  </w:p>
                </w:tc>
                <w:tc>
                  <w:tcPr>
                    <w:tcW w:w="2551" w:type="dxa"/>
                  </w:tcPr>
                  <w:p>
                    <w:pPr>
                      <w:ind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1 500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382"/>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shd w:val="clear" w:color="auto" w:fill="auto"/>
                  </w:tcPr>
                  <w:p>
                    <w:pPr>
                      <w:rPr>
                        <w:sz w:val="20"/>
                      </w:rPr>
                    </w:pPr>
                  </w:p>
                </w:tc>
                <w:tc>
                  <w:tcPr>
                    <w:tcW w:w="992" w:type="dxa"/>
                    <w:vMerge/>
                  </w:tcPr>
                  <w:p>
                    <w:pPr>
                      <w:rPr>
                        <w:sz w:val="20"/>
                      </w:rPr>
                    </w:pPr>
                  </w:p>
                </w:tc>
                <w:tc>
                  <w:tcPr>
                    <w:tcW w:w="709" w:type="dxa"/>
                    <w:vMerge/>
                  </w:tcPr>
                  <w:p>
                    <w:pPr>
                      <w:rPr>
                        <w:sz w:val="20"/>
                      </w:rPr>
                    </w:pPr>
                  </w:p>
                </w:tc>
                <w:tc>
                  <w:tcPr>
                    <w:tcW w:w="1276" w:type="dxa"/>
                  </w:tcPr>
                  <w:p>
                    <w:pPr>
                      <w:rPr>
                        <w:sz w:val="20"/>
                        <w:lang w:val="en-US"/>
                      </w:rPr>
                    </w:pPr>
                    <w:r>
                      <w:rPr>
                        <w:sz w:val="20"/>
                        <w:lang w:val="en-US"/>
                      </w:rPr>
                      <w:t>2 523,178</w:t>
                    </w:r>
                  </w:p>
                </w:tc>
                <w:tc>
                  <w:tcPr>
                    <w:tcW w:w="992" w:type="dxa"/>
                  </w:tcPr>
                  <w:p>
                    <w:pPr>
                      <w:rPr>
                        <w:sz w:val="20"/>
                      </w:rPr>
                    </w:pPr>
                    <w:r>
                      <w:rPr>
                        <w:sz w:val="20"/>
                      </w:rPr>
                      <w:t>2021–2027 m. IP (BF)</w:t>
                    </w:r>
                  </w:p>
                </w:tc>
                <w:tc>
                  <w:tcPr>
                    <w:tcW w:w="2551" w:type="dxa"/>
                  </w:tcPr>
                  <w:p>
                    <w:pPr>
                      <w:ind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tcPr>
                  <w:p>
                    <w:pPr>
                      <w:ind w:left="-57" w:right="-57"/>
                      <w:jc w:val="center"/>
                      <w:rPr>
                        <w:sz w:val="20"/>
                      </w:rPr>
                    </w:pPr>
                    <w:r>
                      <w:rPr>
                        <w:sz w:val="20"/>
                      </w:rPr>
                      <w:t>1 335</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1025"/>
                </w:trPr>
                <w:tc>
                  <w:tcPr>
                    <w:tcW w:w="2410" w:type="dxa"/>
                    <w:vMerge w:val="restart"/>
                  </w:tcPr>
                  <w:p>
                    <w:pPr>
                      <w:rPr>
                        <w:sz w:val="20"/>
                      </w:rPr>
                    </w:pPr>
                    <w:r>
                      <w:rPr>
                        <w:sz w:val="20"/>
                      </w:rPr>
                      <w:t>7.2. Ambulatorinių psichikos sveikatos paslaugų ir psichosocialinės reabilitacijos plėtrai reikalingos infrastruktūros įrengimas, Vidurio ir vakarų Lietuvos regionas</w:t>
                    </w:r>
                  </w:p>
                </w:tc>
                <w:tc>
                  <w:tcPr>
                    <w:tcW w:w="709" w:type="dxa"/>
                    <w:vMerge w:val="restart"/>
                  </w:tcPr>
                  <w:p>
                    <w:pPr>
                      <w:rPr>
                        <w:sz w:val="20"/>
                      </w:rPr>
                    </w:pPr>
                    <w:r>
                      <w:rPr>
                        <w:sz w:val="20"/>
                      </w:rPr>
                      <w:t>I</w:t>
                    </w:r>
                  </w:p>
                  <w:p>
                    <w:pPr>
                      <w:rPr>
                        <w:sz w:val="20"/>
                      </w:rPr>
                    </w:pPr>
                  </w:p>
                </w:tc>
                <w:tc>
                  <w:tcPr>
                    <w:tcW w:w="1559" w:type="dxa"/>
                    <w:vMerge w:val="restart"/>
                  </w:tcPr>
                  <w:p>
                    <w:pPr>
                      <w:rPr>
                        <w:sz w:val="20"/>
                      </w:rPr>
                    </w:pPr>
                    <w:r>
                      <w:rPr>
                        <w:sz w:val="20"/>
                      </w:rPr>
                      <w:t>ASPĮ</w:t>
                    </w:r>
                  </w:p>
                  <w:p>
                    <w:pPr>
                      <w:rPr>
                        <w:sz w:val="20"/>
                      </w:rPr>
                    </w:pPr>
                  </w:p>
                </w:tc>
                <w:tc>
                  <w:tcPr>
                    <w:tcW w:w="709" w:type="dxa"/>
                    <w:vMerge w:val="restart"/>
                    <w:shd w:val="clear" w:color="auto" w:fill="auto"/>
                  </w:tcPr>
                  <w:p>
                    <w:pPr>
                      <w:rPr>
                        <w:sz w:val="20"/>
                      </w:rPr>
                    </w:pPr>
                    <w:r>
                      <w:rPr>
                        <w:sz w:val="20"/>
                      </w:rPr>
                      <w:t>P</w:t>
                    </w:r>
                  </w:p>
                  <w:p>
                    <w:pPr>
                      <w:rPr>
                        <w:sz w:val="20"/>
                      </w:rPr>
                    </w:pPr>
                  </w:p>
                </w:tc>
                <w:tc>
                  <w:tcPr>
                    <w:tcW w:w="992" w:type="dxa"/>
                    <w:vMerge w:val="restart"/>
                  </w:tcPr>
                  <w:p>
                    <w:pPr>
                      <w:rPr>
                        <w:sz w:val="20"/>
                      </w:rPr>
                    </w:pPr>
                    <w:r>
                      <w:rPr>
                        <w:sz w:val="20"/>
                      </w:rPr>
                      <w:t>Taip</w:t>
                    </w:r>
                  </w:p>
                  <w:p>
                    <w:pPr>
                      <w:rPr>
                        <w:sz w:val="20"/>
                      </w:rPr>
                    </w:pPr>
                  </w:p>
                </w:tc>
                <w:tc>
                  <w:tcPr>
                    <w:tcW w:w="709" w:type="dxa"/>
                    <w:vMerge w:val="restart"/>
                  </w:tcPr>
                  <w:p>
                    <w:pPr>
                      <w:rPr>
                        <w:sz w:val="20"/>
                      </w:rPr>
                    </w:pPr>
                    <w:r>
                      <w:rPr>
                        <w:sz w:val="20"/>
                      </w:rPr>
                      <w:t>D</w:t>
                    </w:r>
                  </w:p>
                  <w:p>
                    <w:pPr>
                      <w:rPr>
                        <w:sz w:val="20"/>
                      </w:rPr>
                    </w:pPr>
                  </w:p>
                </w:tc>
                <w:tc>
                  <w:tcPr>
                    <w:tcW w:w="1276" w:type="dxa"/>
                  </w:tcPr>
                  <w:p>
                    <w:pPr>
                      <w:rPr>
                        <w:sz w:val="20"/>
                        <w:lang w:val="en-US"/>
                      </w:rPr>
                    </w:pPr>
                    <w:r>
                      <w:rPr>
                        <w:sz w:val="20"/>
                        <w:lang w:val="en-US"/>
                      </w:rPr>
                      <w:t>12 710,597</w:t>
                    </w:r>
                  </w:p>
                </w:tc>
                <w:tc>
                  <w:tcPr>
                    <w:tcW w:w="992" w:type="dxa"/>
                  </w:tcPr>
                  <w:p>
                    <w:pPr>
                      <w:rPr>
                        <w:sz w:val="20"/>
                      </w:rPr>
                    </w:pPr>
                    <w:r>
                      <w:rPr>
                        <w:sz w:val="20"/>
                      </w:rPr>
                      <w:t>2021–2027 m. IP (ERPF)</w:t>
                    </w:r>
                  </w:p>
                  <w:p>
                    <w:pPr>
                      <w:rPr>
                        <w:sz w:val="20"/>
                      </w:rPr>
                    </w:pPr>
                  </w:p>
                </w:tc>
                <w:tc>
                  <w:tcPr>
                    <w:tcW w:w="2551" w:type="dxa"/>
                  </w:tcPr>
                  <w:p>
                    <w:pPr>
                      <w:ind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4 450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972"/>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shd w:val="clear" w:color="auto" w:fill="auto"/>
                  </w:tcPr>
                  <w:p>
                    <w:pPr>
                      <w:rPr>
                        <w:sz w:val="20"/>
                      </w:rPr>
                    </w:pPr>
                  </w:p>
                </w:tc>
                <w:tc>
                  <w:tcPr>
                    <w:tcW w:w="992" w:type="dxa"/>
                    <w:vMerge/>
                  </w:tcPr>
                  <w:p>
                    <w:pPr>
                      <w:rPr>
                        <w:sz w:val="20"/>
                      </w:rPr>
                    </w:pPr>
                  </w:p>
                </w:tc>
                <w:tc>
                  <w:tcPr>
                    <w:tcW w:w="709" w:type="dxa"/>
                    <w:vMerge/>
                  </w:tcPr>
                  <w:p>
                    <w:pPr>
                      <w:rPr>
                        <w:sz w:val="20"/>
                      </w:rPr>
                    </w:pPr>
                  </w:p>
                </w:tc>
                <w:tc>
                  <w:tcPr>
                    <w:tcW w:w="1276" w:type="dxa"/>
                  </w:tcPr>
                  <w:p>
                    <w:pPr>
                      <w:rPr>
                        <w:sz w:val="20"/>
                        <w:lang w:val="en-US"/>
                      </w:rPr>
                    </w:pPr>
                    <w:r>
                      <w:rPr>
                        <w:sz w:val="20"/>
                        <w:lang w:val="en-US"/>
                      </w:rPr>
                      <w:t>2 243,047</w:t>
                    </w:r>
                  </w:p>
                  <w:p>
                    <w:pPr>
                      <w:rPr>
                        <w:sz w:val="20"/>
                      </w:rPr>
                    </w:pPr>
                  </w:p>
                </w:tc>
                <w:tc>
                  <w:tcPr>
                    <w:tcW w:w="992" w:type="dxa"/>
                  </w:tcPr>
                  <w:p>
                    <w:pPr>
                      <w:rPr>
                        <w:sz w:val="20"/>
                      </w:rPr>
                    </w:pPr>
                    <w:r>
                      <w:rPr>
                        <w:sz w:val="20"/>
                      </w:rPr>
                      <w:t>2021–2027 m. IP (BF)</w:t>
                    </w:r>
                  </w:p>
                  <w:p>
                    <w:pPr>
                      <w:rPr>
                        <w:sz w:val="20"/>
                      </w:rPr>
                    </w:pPr>
                  </w:p>
                </w:tc>
                <w:tc>
                  <w:tcPr>
                    <w:tcW w:w="2551" w:type="dxa"/>
                  </w:tcPr>
                  <w:p>
                    <w:pPr>
                      <w:ind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tcPr>
                  <w:p>
                    <w:pPr>
                      <w:ind w:left="-57" w:right="-57"/>
                      <w:jc w:val="center"/>
                      <w:rPr>
                        <w:sz w:val="20"/>
                      </w:rPr>
                    </w:pPr>
                    <w:r>
                      <w:rPr>
                        <w:sz w:val="20"/>
                      </w:rPr>
                      <w:t>3 965</w:t>
                    </w:r>
                  </w:p>
                  <w:p>
                    <w:pPr>
                      <w:ind w:left="-57" w:right="-57"/>
                      <w:jc w:val="center"/>
                      <w:rPr>
                        <w:sz w:val="20"/>
                      </w:rPr>
                    </w:pPr>
                    <w:r>
                      <w:rPr>
                        <w:sz w:val="20"/>
                      </w:rPr>
                      <w:t>(2029 m.)</w:t>
                    </w:r>
                  </w:p>
                  <w:p>
                    <w:pPr>
                      <w:rPr>
                        <w:sz w:val="20"/>
                      </w:rPr>
                    </w:pP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14"/>
                </w:trPr>
                <w:tc>
                  <w:tcPr>
                    <w:tcW w:w="2410" w:type="dxa"/>
                  </w:tcPr>
                  <w:p>
                    <w:pPr>
                      <w:rPr>
                        <w:sz w:val="22"/>
                        <w:szCs w:val="22"/>
                      </w:rPr>
                    </w:pPr>
                    <w:r>
                      <w:rPr>
                        <w:sz w:val="20"/>
                      </w:rPr>
                      <w:t xml:space="preserve">7.3. </w:t>
                    </w:r>
                    <w:r>
                      <w:rPr>
                        <w:color w:val="212121"/>
                        <w:sz w:val="20"/>
                      </w:rPr>
                      <w:t>Nemedikamentinių paslaugų prieinamumo ir žmogaus teisėms palankios aplinkos gerinimas teikiant stacionarines psichikos sveikatos priežiūros paslaugas</w:t>
                    </w:r>
                  </w:p>
                </w:tc>
                <w:tc>
                  <w:tcPr>
                    <w:tcW w:w="709" w:type="dxa"/>
                  </w:tcPr>
                  <w:p>
                    <w:pPr>
                      <w:rPr>
                        <w:sz w:val="22"/>
                        <w:szCs w:val="22"/>
                      </w:rPr>
                    </w:pPr>
                    <w:r>
                      <w:rPr>
                        <w:sz w:val="20"/>
                      </w:rPr>
                      <w:t>I</w:t>
                    </w:r>
                  </w:p>
                </w:tc>
                <w:tc>
                  <w:tcPr>
                    <w:tcW w:w="1559" w:type="dxa"/>
                  </w:tcPr>
                  <w:p>
                    <w:pPr>
                      <w:rPr>
                        <w:sz w:val="22"/>
                        <w:szCs w:val="22"/>
                      </w:rPr>
                    </w:pPr>
                    <w:r>
                      <w:rPr>
                        <w:sz w:val="20"/>
                      </w:rPr>
                      <w:t>ASPĮ</w:t>
                    </w:r>
                  </w:p>
                </w:tc>
                <w:tc>
                  <w:tcPr>
                    <w:tcW w:w="709" w:type="dxa"/>
                  </w:tcPr>
                  <w:p>
                    <w:pPr>
                      <w:rPr>
                        <w:sz w:val="22"/>
                        <w:szCs w:val="22"/>
                      </w:rPr>
                    </w:pPr>
                    <w:r>
                      <w:rPr>
                        <w:sz w:val="20"/>
                      </w:rPr>
                      <w:t>P</w:t>
                    </w:r>
                  </w:p>
                </w:tc>
                <w:tc>
                  <w:tcPr>
                    <w:tcW w:w="992" w:type="dxa"/>
                  </w:tcPr>
                  <w:p>
                    <w:pPr>
                      <w:rPr>
                        <w:sz w:val="22"/>
                        <w:szCs w:val="22"/>
                      </w:rPr>
                    </w:pPr>
                    <w:r>
                      <w:rPr>
                        <w:sz w:val="20"/>
                      </w:rPr>
                      <w:t>Taip</w:t>
                    </w:r>
                  </w:p>
                </w:tc>
                <w:tc>
                  <w:tcPr>
                    <w:tcW w:w="709" w:type="dxa"/>
                  </w:tcPr>
                  <w:p>
                    <w:pPr>
                      <w:rPr>
                        <w:sz w:val="22"/>
                        <w:szCs w:val="22"/>
                      </w:rPr>
                    </w:pPr>
                    <w:r>
                      <w:rPr>
                        <w:sz w:val="20"/>
                      </w:rPr>
                      <w:t>D</w:t>
                    </w:r>
                  </w:p>
                </w:tc>
                <w:tc>
                  <w:tcPr>
                    <w:tcW w:w="1276" w:type="dxa"/>
                  </w:tcPr>
                  <w:p>
                    <w:pPr>
                      <w:rPr>
                        <w:sz w:val="22"/>
                        <w:szCs w:val="22"/>
                        <w:lang w:val="en-US"/>
                      </w:rPr>
                    </w:pPr>
                    <w:r>
                      <w:rPr>
                        <w:sz w:val="20"/>
                      </w:rPr>
                      <w:t>6 000</w:t>
                    </w:r>
                  </w:p>
                </w:tc>
                <w:tc>
                  <w:tcPr>
                    <w:tcW w:w="992" w:type="dxa"/>
                  </w:tcPr>
                  <w:p>
                    <w:pPr>
                      <w:rPr>
                        <w:sz w:val="22"/>
                        <w:szCs w:val="22"/>
                      </w:rPr>
                    </w:pPr>
                    <w:r>
                      <w:rPr>
                        <w:sz w:val="20"/>
                      </w:rPr>
                      <w:t>VB</w:t>
                    </w:r>
                  </w:p>
                </w:tc>
                <w:tc>
                  <w:tcPr>
                    <w:tcW w:w="2551" w:type="dxa"/>
                    <w:shd w:val="clear" w:color="auto" w:fill="FFFFFF" w:themeFill="background1"/>
                  </w:tcPr>
                  <w:p>
                    <w:pPr>
                      <w:ind w:left="-57" w:right="-57"/>
                      <w:rPr>
                        <w:sz w:val="20"/>
                      </w:rPr>
                    </w:pPr>
                    <w:r>
                      <w:rPr>
                        <w:sz w:val="20"/>
                      </w:rPr>
                      <w:t xml:space="preserve">P </w:t>
                    </w:r>
                    <w:r>
                      <w:rPr>
                        <w:color w:val="000000"/>
                        <w:szCs w:val="24"/>
                      </w:rPr>
                      <w:t>–</w:t>
                    </w:r>
                    <w:r>
                      <w:rPr>
                        <w:sz w:val="20"/>
                      </w:rPr>
                      <w:t xml:space="preserve"> Modernizuotų asmens sveikatos priežiūros įstaigų skaičius</w:t>
                    </w:r>
                  </w:p>
                </w:tc>
                <w:tc>
                  <w:tcPr>
                    <w:tcW w:w="851" w:type="dxa"/>
                    <w:shd w:val="clear" w:color="auto" w:fill="FFFFFF" w:themeFill="background1"/>
                  </w:tcPr>
                  <w:p>
                    <w:pPr>
                      <w:ind w:left="-57" w:right="-57"/>
                      <w:jc w:val="center"/>
                      <w:rPr>
                        <w:sz w:val="20"/>
                      </w:rPr>
                    </w:pPr>
                    <w:r>
                      <w:rPr>
                        <w:sz w:val="20"/>
                      </w:rPr>
                      <w:t>7</w:t>
                    </w:r>
                  </w:p>
                  <w:p>
                    <w:pPr>
                      <w:ind w:left="-57" w:right="-57"/>
                      <w:jc w:val="center"/>
                      <w:rPr>
                        <w:sz w:val="20"/>
                      </w:rPr>
                    </w:pPr>
                    <w:r>
                      <w:rPr>
                        <w:sz w:val="20"/>
                      </w:rPr>
                      <w:t>(2030 m.)</w:t>
                    </w:r>
                  </w:p>
                  <w:p>
                    <w:pPr>
                      <w:ind w:left="-57" w:right="-57"/>
                      <w:jc w:val="center"/>
                      <w:rPr>
                        <w:sz w:val="20"/>
                      </w:rPr>
                    </w:pPr>
                  </w:p>
                  <w:p>
                    <w:pPr>
                      <w:ind w:left="-57" w:right="-57"/>
                      <w:jc w:val="center"/>
                      <w:rPr>
                        <w:sz w:val="22"/>
                        <w:szCs w:val="22"/>
                      </w:rPr>
                    </w:pPr>
                  </w:p>
                </w:tc>
                <w:tc>
                  <w:tcPr>
                    <w:tcW w:w="992" w:type="dxa"/>
                  </w:tcPr>
                  <w:p>
                    <w:pPr>
                      <w:rPr>
                        <w:sz w:val="20"/>
                      </w:rPr>
                    </w:pPr>
                    <w:r>
                      <w:rPr>
                        <w:sz w:val="20"/>
                      </w:rPr>
                      <w:t>CPVA</w:t>
                    </w:r>
                  </w:p>
                  <w:p>
                    <w:pPr>
                      <w:rPr>
                        <w:sz w:val="22"/>
                        <w:szCs w:val="22"/>
                      </w:rPr>
                    </w:pPr>
                  </w:p>
                </w:tc>
                <w:tc>
                  <w:tcPr>
                    <w:tcW w:w="1276" w:type="dxa"/>
                    <w:tcBorders>
                      <w:left w:val="single" w:sz="4" w:space="0" w:color="auto"/>
                      <w:right w:val="single" w:sz="4" w:space="0" w:color="auto"/>
                    </w:tcBorders>
                  </w:tcPr>
                  <w:p>
                    <w:pPr>
                      <w:rPr>
                        <w:color w:val="000000"/>
                        <w:sz w:val="22"/>
                        <w:szCs w:val="22"/>
                      </w:rPr>
                    </w:pPr>
                    <w:r>
                      <w:rPr>
                        <w:color w:val="000000"/>
                        <w:sz w:val="20"/>
                      </w:rPr>
                      <w:t>SAM</w:t>
                    </w:r>
                  </w:p>
                </w:tc>
              </w:tr>
              <w:tr>
                <w:trPr>
                  <w:trHeight w:val="753"/>
                </w:trPr>
                <w:tc>
                  <w:tcPr>
                    <w:tcW w:w="2410" w:type="dxa"/>
                    <w:vMerge w:val="restart"/>
                    <w:tcBorders>
                      <w:top w:val="single" w:sz="4" w:space="0" w:color="auto"/>
                      <w:left w:val="single" w:sz="4" w:space="0" w:color="auto"/>
                      <w:right w:val="single" w:sz="4" w:space="0" w:color="auto"/>
                    </w:tcBorders>
                  </w:tcPr>
                  <w:p>
                    <w:pPr>
                      <w:rPr>
                        <w:sz w:val="20"/>
                      </w:rPr>
                    </w:pPr>
                    <w:r>
                      <w:rPr>
                        <w:sz w:val="20"/>
                      </w:rPr>
                      <w:t>7.4. Integruotų psichikos sveikatos paslaugų bei modelių išbandymas ir diegimas, Vidurio ir vakarų Lietuvos regionas</w:t>
                    </w:r>
                  </w:p>
                </w:tc>
                <w:tc>
                  <w:tcPr>
                    <w:tcW w:w="709" w:type="dxa"/>
                    <w:vMerge w:val="restart"/>
                    <w:tcBorders>
                      <w:top w:val="single" w:sz="4" w:space="0" w:color="auto"/>
                      <w:left w:val="single" w:sz="4" w:space="0" w:color="auto"/>
                      <w:right w:val="single" w:sz="4" w:space="0" w:color="auto"/>
                    </w:tcBorders>
                  </w:tcPr>
                  <w:p>
                    <w:pPr>
                      <w:rPr>
                        <w:sz w:val="20"/>
                      </w:rPr>
                    </w:pPr>
                    <w:r>
                      <w:rPr>
                        <w:sz w:val="20"/>
                      </w:rPr>
                      <w:t>I</w:t>
                    </w:r>
                  </w:p>
                </w:tc>
                <w:tc>
                  <w:tcPr>
                    <w:tcW w:w="1559" w:type="dxa"/>
                    <w:vMerge w:val="restart"/>
                    <w:tcBorders>
                      <w:top w:val="single" w:sz="4" w:space="0" w:color="auto"/>
                      <w:left w:val="single" w:sz="4" w:space="0" w:color="auto"/>
                      <w:right w:val="single" w:sz="4" w:space="0" w:color="auto"/>
                    </w:tcBorders>
                  </w:tcPr>
                  <w:p>
                    <w:pPr>
                      <w:rPr>
                        <w:sz w:val="20"/>
                      </w:rPr>
                    </w:pPr>
                    <w:r>
                      <w:rPr>
                        <w:sz w:val="20"/>
                      </w:rPr>
                      <w:t>ASPĮ, SAM,</w:t>
                    </w:r>
                  </w:p>
                  <w:p>
                    <w:pPr>
                      <w:rPr>
                        <w:sz w:val="20"/>
                      </w:rPr>
                    </w:pPr>
                    <w:r>
                      <w:rPr>
                        <w:sz w:val="20"/>
                      </w:rPr>
                      <w:t>VASPVT,</w:t>
                    </w:r>
                  </w:p>
                  <w:p>
                    <w:pPr>
                      <w:rPr>
                        <w:sz w:val="20"/>
                      </w:rPr>
                    </w:pPr>
                    <w:r>
                      <w:rPr>
                        <w:sz w:val="20"/>
                      </w:rPr>
                      <w:t>Higienos institutas</w:t>
                    </w:r>
                    <w:r>
                      <w:rPr>
                        <w:strike/>
                        <w:sz w:val="20"/>
                      </w:rPr>
                      <w:t xml:space="preserve"> </w:t>
                    </w:r>
                  </w:p>
                </w:tc>
                <w:tc>
                  <w:tcPr>
                    <w:tcW w:w="709" w:type="dxa"/>
                    <w:vMerge w:val="restart"/>
                    <w:tcBorders>
                      <w:top w:val="single" w:sz="4" w:space="0" w:color="auto"/>
                      <w:left w:val="single" w:sz="4" w:space="0" w:color="auto"/>
                      <w:right w:val="single" w:sz="4" w:space="0" w:color="auto"/>
                    </w:tcBorders>
                  </w:tcPr>
                  <w:p>
                    <w:pPr>
                      <w:rPr>
                        <w:sz w:val="20"/>
                      </w:rPr>
                    </w:pPr>
                    <w:r>
                      <w:rPr>
                        <w:sz w:val="20"/>
                      </w:rPr>
                      <w:t>P</w:t>
                    </w:r>
                  </w:p>
                </w:tc>
                <w:tc>
                  <w:tcPr>
                    <w:tcW w:w="992" w:type="dxa"/>
                    <w:vMerge w:val="restart"/>
                    <w:tcBorders>
                      <w:top w:val="single" w:sz="4" w:space="0" w:color="auto"/>
                      <w:left w:val="single" w:sz="4" w:space="0" w:color="auto"/>
                      <w:right w:val="single" w:sz="4" w:space="0" w:color="auto"/>
                    </w:tcBorders>
                  </w:tcPr>
                  <w:p>
                    <w:pP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rPr>
                        <w:sz w:val="20"/>
                      </w:rPr>
                    </w:pPr>
                    <w:r>
                      <w:rPr>
                        <w:sz w:val="20"/>
                      </w:rPr>
                      <w:t>D</w:t>
                    </w:r>
                  </w:p>
                </w:tc>
                <w:tc>
                  <w:tcPr>
                    <w:tcW w:w="1276" w:type="dxa"/>
                    <w:tcBorders>
                      <w:top w:val="single" w:sz="4" w:space="0" w:color="auto"/>
                      <w:left w:val="single" w:sz="4" w:space="0" w:color="auto"/>
                      <w:right w:val="single" w:sz="4" w:space="0" w:color="auto"/>
                    </w:tcBorders>
                  </w:tcPr>
                  <w:p>
                    <w:pPr>
                      <w:rPr>
                        <w:sz w:val="20"/>
                        <w:lang w:val="en-US"/>
                      </w:rPr>
                    </w:pPr>
                    <w:r>
                      <w:rPr>
                        <w:sz w:val="20"/>
                        <w:lang w:val="en-US"/>
                      </w:rPr>
                      <w:t>7 174</w:t>
                    </w:r>
                  </w:p>
                  <w:p>
                    <w:pPr>
                      <w:rPr>
                        <w:sz w:val="20"/>
                        <w:lang w:val="en-US"/>
                      </w:rPr>
                    </w:pP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2021–2027 m. IP (ESF+) </w:t>
                    </w:r>
                  </w:p>
                </w:tc>
                <w:tc>
                  <w:tcPr>
                    <w:tcW w:w="2551" w:type="dxa"/>
                    <w:tcBorders>
                      <w:top w:val="single" w:sz="4" w:space="0" w:color="auto"/>
                      <w:left w:val="single" w:sz="4" w:space="0" w:color="auto"/>
                      <w:right w:val="single" w:sz="4" w:space="0" w:color="auto"/>
                    </w:tcBorders>
                    <w:shd w:val="clear" w:color="auto" w:fill="auto"/>
                  </w:tcPr>
                  <w:p>
                    <w:pPr>
                      <w:ind w:left="-57" w:right="-57"/>
                      <w:rPr>
                        <w:color w:val="000000"/>
                        <w:sz w:val="20"/>
                      </w:rPr>
                    </w:pPr>
                    <w:r>
                      <w:rPr>
                        <w:color w:val="000000"/>
                        <w:sz w:val="20"/>
                      </w:rPr>
                      <w:t xml:space="preserve">P – Tikslinių grupių asmenys, gavę naujas ar patobulintas psichikos sveikatos priežiūros paslaugas, asmenys </w:t>
                    </w:r>
                  </w:p>
                </w:tc>
                <w:tc>
                  <w:tcPr>
                    <w:tcW w:w="851" w:type="dxa"/>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7 000</w:t>
                    </w:r>
                  </w:p>
                  <w:p>
                    <w:pPr>
                      <w:ind w:left="-57" w:right="-57"/>
                      <w:jc w:val="center"/>
                      <w:rPr>
                        <w:sz w:val="20"/>
                      </w:rPr>
                    </w:pPr>
                    <w:r>
                      <w:rPr>
                        <w:sz w:val="20"/>
                      </w:rPr>
                      <w:t>(2029 m.)</w:t>
                    </w:r>
                  </w:p>
                </w:tc>
                <w:tc>
                  <w:tcPr>
                    <w:tcW w:w="992" w:type="dxa"/>
                    <w:vMerge w:val="restart"/>
                    <w:tcBorders>
                      <w:left w:val="single" w:sz="4" w:space="0" w:color="auto"/>
                      <w:right w:val="single" w:sz="4" w:space="0" w:color="auto"/>
                    </w:tcBorders>
                  </w:tcPr>
                  <w:p>
                    <w:pPr>
                      <w:rPr>
                        <w:sz w:val="20"/>
                      </w:rPr>
                    </w:pPr>
                    <w:r>
                      <w:rPr>
                        <w:sz w:val="20"/>
                      </w:rPr>
                      <w:t>CPVA</w:t>
                    </w:r>
                  </w:p>
                </w:tc>
                <w:tc>
                  <w:tcPr>
                    <w:tcW w:w="1276" w:type="dxa"/>
                    <w:vMerge w:val="restart"/>
                    <w:tcBorders>
                      <w:left w:val="single" w:sz="4" w:space="0" w:color="auto"/>
                      <w:right w:val="single" w:sz="4" w:space="0" w:color="auto"/>
                    </w:tcBorders>
                    <w:vAlign w:val="center"/>
                  </w:tcPr>
                  <w:p>
                    <w:pPr>
                      <w:rPr>
                        <w:color w:val="000000"/>
                        <w:sz w:val="20"/>
                      </w:rPr>
                    </w:pPr>
                  </w:p>
                </w:tc>
              </w:tr>
              <w:tr>
                <w:trPr>
                  <w:trHeight w:val="753"/>
                </w:trPr>
                <w:tc>
                  <w:tcPr>
                    <w:tcW w:w="2410"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559"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276" w:type="dxa"/>
                    <w:vMerge w:val="restart"/>
                    <w:tcBorders>
                      <w:left w:val="single" w:sz="4" w:space="0" w:color="auto"/>
                      <w:right w:val="single" w:sz="4" w:space="0" w:color="auto"/>
                    </w:tcBorders>
                  </w:tcPr>
                  <w:p>
                    <w:pPr>
                      <w:rPr>
                        <w:sz w:val="20"/>
                        <w:lang w:val="en-US"/>
                      </w:rPr>
                    </w:pPr>
                    <w:r>
                      <w:rPr>
                        <w:sz w:val="20"/>
                        <w:lang w:val="en-US"/>
                      </w:rPr>
                      <w:t>1 266</w:t>
                    </w:r>
                  </w:p>
                </w:tc>
                <w:tc>
                  <w:tcPr>
                    <w:tcW w:w="992" w:type="dxa"/>
                    <w:vMerge w:val="restart"/>
                    <w:tcBorders>
                      <w:top w:val="single" w:sz="4" w:space="0" w:color="auto"/>
                      <w:left w:val="single" w:sz="4" w:space="0" w:color="auto"/>
                      <w:right w:val="single" w:sz="4" w:space="0" w:color="auto"/>
                    </w:tcBorders>
                  </w:tcPr>
                  <w:p>
                    <w:pPr>
                      <w:rPr>
                        <w:sz w:val="20"/>
                      </w:rPr>
                    </w:pPr>
                    <w:r>
                      <w:rPr>
                        <w:sz w:val="20"/>
                      </w:rPr>
                      <w:t>2021–2027 m. IP (BF)</w:t>
                    </w:r>
                  </w:p>
                </w:tc>
                <w:tc>
                  <w:tcPr>
                    <w:tcW w:w="2551" w:type="dxa"/>
                    <w:tcBorders>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R – Tikslinių grupių asmenų, kurių gyvenimo kokybė pagerėjo gavus naujas ar patobulintas psichikos sveikatos priežiūros paslaugas, dalis, proc.</w:t>
                    </w:r>
                  </w:p>
                </w:tc>
                <w:tc>
                  <w:tcPr>
                    <w:tcW w:w="851" w:type="dxa"/>
                    <w:tcBorders>
                      <w:left w:val="single" w:sz="4" w:space="0" w:color="auto"/>
                      <w:right w:val="single" w:sz="4" w:space="0" w:color="auto"/>
                    </w:tcBorders>
                    <w:shd w:val="clear" w:color="auto" w:fill="auto"/>
                  </w:tcPr>
                  <w:p>
                    <w:pPr>
                      <w:ind w:left="-57" w:right="-57"/>
                      <w:jc w:val="center"/>
                      <w:rPr>
                        <w:sz w:val="20"/>
                      </w:rPr>
                    </w:pPr>
                    <w:r>
                      <w:rPr>
                        <w:sz w:val="20"/>
                      </w:rPr>
                      <w:t>25</w:t>
                    </w:r>
                  </w:p>
                  <w:p>
                    <w:pPr>
                      <w:ind w:left="-57" w:right="-57"/>
                      <w:jc w:val="center"/>
                      <w:rPr>
                        <w:sz w:val="20"/>
                      </w:rPr>
                    </w:pPr>
                    <w:r>
                      <w:rPr>
                        <w:sz w:val="20"/>
                      </w:rPr>
                      <w:t>(2029 m.)</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53"/>
                </w:trPr>
                <w:tc>
                  <w:tcPr>
                    <w:tcW w:w="2410"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559"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2551" w:type="dxa"/>
                    <w:shd w:val="clear" w:color="auto" w:fill="auto"/>
                  </w:tcPr>
                  <w:p>
                    <w:pPr>
                      <w:ind w:left="-57" w:right="-57"/>
                      <w:rPr>
                        <w:color w:val="000000"/>
                        <w:sz w:val="20"/>
                      </w:rPr>
                    </w:pPr>
                    <w:r>
                      <w:rPr>
                        <w:color w:val="000000"/>
                        <w:sz w:val="20"/>
                      </w:rPr>
                      <w:t xml:space="preserve">P – Paramą gavusių nacionalinio, regionų ar vietos lygmens viešojo administravimo ar viešąsias paslaugas teikiančių įstaigų skaičius, subjektų skaičius </w:t>
                    </w:r>
                  </w:p>
                </w:tc>
                <w:tc>
                  <w:tcPr>
                    <w:tcW w:w="851" w:type="dxa"/>
                    <w:shd w:val="clear" w:color="auto" w:fill="auto"/>
                  </w:tcPr>
                  <w:p>
                    <w:pPr>
                      <w:ind w:left="-57" w:right="-57"/>
                      <w:jc w:val="center"/>
                      <w:rPr>
                        <w:strike/>
                        <w:sz w:val="20"/>
                      </w:rPr>
                    </w:pPr>
                    <w:r>
                      <w:rPr>
                        <w:sz w:val="20"/>
                      </w:rPr>
                      <w:t>34</w:t>
                    </w:r>
                  </w:p>
                  <w:p>
                    <w:pPr>
                      <w:ind w:left="-57" w:right="-57"/>
                      <w:jc w:val="center"/>
                      <w:rPr>
                        <w:sz w:val="20"/>
                      </w:rPr>
                    </w:pPr>
                    <w:r>
                      <w:rPr>
                        <w:sz w:val="20"/>
                      </w:rPr>
                      <w:t>(2029 m.)</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53"/>
                </w:trPr>
                <w:tc>
                  <w:tcPr>
                    <w:tcW w:w="2410"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559"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2551" w:type="dxa"/>
                    <w:shd w:val="clear" w:color="auto" w:fill="FFFFFF" w:themeFill="background1"/>
                  </w:tcPr>
                  <w:p>
                    <w:pPr>
                      <w:ind w:left="-57" w:right="-57"/>
                      <w:rPr>
                        <w:color w:val="000000"/>
                        <w:sz w:val="20"/>
                      </w:rPr>
                    </w:pPr>
                    <w:r>
                      <w:rPr>
                        <w:sz w:val="20"/>
                      </w:rPr>
                      <w:t>R – Pacientų pasitenkinimas gautomis paslaugomis, proc.</w:t>
                    </w:r>
                  </w:p>
                </w:tc>
                <w:tc>
                  <w:tcPr>
                    <w:tcW w:w="851" w:type="dxa"/>
                    <w:tcBorders>
                      <w:top w:val="single" w:sz="4" w:space="0" w:color="auto"/>
                      <w:left w:val="single" w:sz="4" w:space="0" w:color="auto"/>
                    </w:tcBorders>
                  </w:tcPr>
                  <w:p>
                    <w:pPr>
                      <w:ind w:left="-57" w:right="-57"/>
                      <w:jc w:val="center"/>
                      <w:rPr>
                        <w:sz w:val="20"/>
                      </w:rPr>
                    </w:pPr>
                    <w:r>
                      <w:rPr>
                        <w:sz w:val="20"/>
                      </w:rPr>
                      <w:t>70</w:t>
                    </w:r>
                  </w:p>
                  <w:p>
                    <w:pPr>
                      <w:ind w:left="-57" w:right="-57"/>
                      <w:jc w:val="center"/>
                      <w:rPr>
                        <w:sz w:val="20"/>
                      </w:rPr>
                    </w:pPr>
                    <w:r>
                      <w:rPr>
                        <w:sz w:val="20"/>
                      </w:rPr>
                      <w:t>(2029 m.)</w:t>
                    </w:r>
                  </w:p>
                </w:tc>
                <w:tc>
                  <w:tcPr>
                    <w:tcW w:w="992"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920"/>
                </w:trPr>
                <w:tc>
                  <w:tcPr>
                    <w:tcW w:w="2410" w:type="dxa"/>
                    <w:vMerge w:val="restart"/>
                    <w:tcBorders>
                      <w:top w:val="single" w:sz="4" w:space="0" w:color="auto"/>
                      <w:left w:val="single" w:sz="4" w:space="0" w:color="auto"/>
                      <w:right w:val="single" w:sz="4" w:space="0" w:color="auto"/>
                    </w:tcBorders>
                    <w:shd w:val="clear" w:color="auto" w:fill="auto"/>
                  </w:tcPr>
                  <w:p>
                    <w:pPr>
                      <w:rPr>
                        <w:sz w:val="20"/>
                      </w:rPr>
                    </w:pPr>
                    <w:r>
                      <w:rPr>
                        <w:sz w:val="20"/>
                      </w:rPr>
                      <w:t>7.5. Integruotų psichikos sveikatos paslaugų bei modelių išbandymas ir diegimas, Vidurio ir vakarų Lietuvos regionas</w:t>
                    </w:r>
                  </w:p>
                </w:tc>
                <w:tc>
                  <w:tcPr>
                    <w:tcW w:w="709" w:type="dxa"/>
                    <w:vMerge w:val="restart"/>
                    <w:tcBorders>
                      <w:top w:val="single" w:sz="4" w:space="0" w:color="auto"/>
                      <w:left w:val="single" w:sz="4" w:space="0" w:color="auto"/>
                      <w:right w:val="single" w:sz="4" w:space="0" w:color="auto"/>
                    </w:tcBorders>
                  </w:tcPr>
                  <w:p>
                    <w:pPr>
                      <w:rPr>
                        <w:sz w:val="20"/>
                      </w:rPr>
                    </w:pPr>
                    <w:r>
                      <w:rPr>
                        <w:sz w:val="20"/>
                      </w:rPr>
                      <w:t>I</w:t>
                    </w:r>
                  </w:p>
                </w:tc>
                <w:tc>
                  <w:tcPr>
                    <w:tcW w:w="1559" w:type="dxa"/>
                    <w:vMerge w:val="restart"/>
                    <w:tcBorders>
                      <w:top w:val="single" w:sz="4" w:space="0" w:color="auto"/>
                      <w:left w:val="single" w:sz="4" w:space="0" w:color="auto"/>
                      <w:right w:val="single" w:sz="4" w:space="0" w:color="auto"/>
                    </w:tcBorders>
                  </w:tcPr>
                  <w:p>
                    <w:pPr>
                      <w:rPr>
                        <w:sz w:val="20"/>
                      </w:rPr>
                    </w:pPr>
                    <w:r>
                      <w:rPr>
                        <w:sz w:val="20"/>
                      </w:rPr>
                      <w:t>LMB</w:t>
                    </w:r>
                  </w:p>
                </w:tc>
                <w:tc>
                  <w:tcPr>
                    <w:tcW w:w="709" w:type="dxa"/>
                    <w:vMerge w:val="restart"/>
                    <w:tcBorders>
                      <w:top w:val="single" w:sz="4" w:space="0" w:color="auto"/>
                      <w:left w:val="single" w:sz="4" w:space="0" w:color="auto"/>
                      <w:right w:val="single" w:sz="4" w:space="0" w:color="auto"/>
                    </w:tcBorders>
                  </w:tcPr>
                  <w:p>
                    <w:pPr>
                      <w:rPr>
                        <w:sz w:val="20"/>
                      </w:rPr>
                    </w:pPr>
                    <w:r>
                      <w:rPr>
                        <w:sz w:val="20"/>
                      </w:rPr>
                      <w:t>P</w:t>
                    </w:r>
                  </w:p>
                </w:tc>
                <w:tc>
                  <w:tcPr>
                    <w:tcW w:w="992" w:type="dxa"/>
                    <w:vMerge w:val="restart"/>
                    <w:tcBorders>
                      <w:top w:val="single" w:sz="4" w:space="0" w:color="auto"/>
                      <w:left w:val="single" w:sz="4" w:space="0" w:color="auto"/>
                      <w:right w:val="single" w:sz="4" w:space="0" w:color="auto"/>
                    </w:tcBorders>
                  </w:tcPr>
                  <w:p>
                    <w:pP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rPr>
                        <w:sz w:val="20"/>
                      </w:rPr>
                    </w:pPr>
                    <w:r>
                      <w:rPr>
                        <w:sz w:val="20"/>
                      </w:rPr>
                      <w:t>D</w:t>
                    </w:r>
                  </w:p>
                </w:tc>
                <w:tc>
                  <w:tcPr>
                    <w:tcW w:w="1276" w:type="dxa"/>
                    <w:tcBorders>
                      <w:top w:val="single" w:sz="4" w:space="0" w:color="auto"/>
                      <w:left w:val="single" w:sz="4" w:space="0" w:color="auto"/>
                      <w:right w:val="single" w:sz="4" w:space="0" w:color="auto"/>
                    </w:tcBorders>
                  </w:tcPr>
                  <w:p>
                    <w:pPr>
                      <w:rPr>
                        <w:sz w:val="20"/>
                        <w:lang w:val="en-US"/>
                      </w:rPr>
                    </w:pPr>
                    <w:r>
                      <w:rPr>
                        <w:sz w:val="20"/>
                        <w:lang w:val="en-US"/>
                      </w:rPr>
                      <w:t>3 366</w:t>
                    </w:r>
                  </w:p>
                  <w:p>
                    <w:pPr>
                      <w:rPr>
                        <w:sz w:val="20"/>
                        <w:lang w:val="en-US"/>
                      </w:rPr>
                    </w:pPr>
                  </w:p>
                </w:tc>
                <w:tc>
                  <w:tcPr>
                    <w:tcW w:w="992" w:type="dxa"/>
                    <w:tcBorders>
                      <w:top w:val="single" w:sz="4" w:space="0" w:color="auto"/>
                      <w:left w:val="single" w:sz="4" w:space="0" w:color="auto"/>
                      <w:right w:val="single" w:sz="4" w:space="0" w:color="auto"/>
                    </w:tcBorders>
                  </w:tcPr>
                  <w:p>
                    <w:pPr>
                      <w:rPr>
                        <w:sz w:val="20"/>
                      </w:rPr>
                    </w:pPr>
                    <w:r>
                      <w:rPr>
                        <w:sz w:val="20"/>
                      </w:rPr>
                      <w:t xml:space="preserve">2021–2027 m. IP (ESF+) </w:t>
                    </w:r>
                  </w:p>
                </w:tc>
                <w:tc>
                  <w:tcPr>
                    <w:tcW w:w="2551" w:type="dxa"/>
                    <w:tcBorders>
                      <w:top w:val="single" w:sz="4" w:space="0" w:color="auto"/>
                      <w:left w:val="single" w:sz="4" w:space="0" w:color="auto"/>
                      <w:right w:val="single" w:sz="4" w:space="0" w:color="auto"/>
                    </w:tcBorders>
                    <w:shd w:val="clear" w:color="auto" w:fill="auto"/>
                  </w:tcPr>
                  <w:p>
                    <w:pPr>
                      <w:ind w:left="-57" w:right="-57"/>
                      <w:rPr>
                        <w:color w:val="000000"/>
                        <w:sz w:val="20"/>
                      </w:rPr>
                    </w:pPr>
                    <w:r>
                      <w:rPr>
                        <w:color w:val="000000"/>
                        <w:sz w:val="20"/>
                      </w:rPr>
                      <w:t xml:space="preserve">P – Paramą gavusių nacionalinio, regionų ar vietos lygmens viešojo administravimo ar viešąsias paslaugas teikiančių įstaigų skaičius, subjektų skaičius </w:t>
                    </w:r>
                  </w:p>
                </w:tc>
                <w:tc>
                  <w:tcPr>
                    <w:tcW w:w="851" w:type="dxa"/>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11</w:t>
                    </w:r>
                  </w:p>
                  <w:p>
                    <w:pPr>
                      <w:ind w:left="-57" w:right="-57"/>
                      <w:jc w:val="center"/>
                      <w:rPr>
                        <w:sz w:val="20"/>
                      </w:rPr>
                    </w:pPr>
                    <w:r>
                      <w:rPr>
                        <w:sz w:val="20"/>
                      </w:rPr>
                      <w:t>(2029 m.)</w:t>
                    </w:r>
                  </w:p>
                </w:tc>
                <w:tc>
                  <w:tcPr>
                    <w:tcW w:w="992" w:type="dxa"/>
                    <w:tcBorders>
                      <w:top w:val="single" w:sz="4" w:space="0" w:color="auto"/>
                      <w:left w:val="single" w:sz="4" w:space="0" w:color="auto"/>
                      <w:right w:val="single" w:sz="4" w:space="0" w:color="auto"/>
                    </w:tcBorders>
                  </w:tcPr>
                  <w:p>
                    <w:pPr>
                      <w:rPr>
                        <w:sz w:val="20"/>
                      </w:rPr>
                    </w:pPr>
                    <w:r>
                      <w:rPr>
                        <w:sz w:val="20"/>
                      </w:rPr>
                      <w:t>CPVA</w:t>
                    </w:r>
                  </w:p>
                </w:tc>
                <w:tc>
                  <w:tcPr>
                    <w:tcW w:w="1276" w:type="dxa"/>
                    <w:tcBorders>
                      <w:top w:val="single" w:sz="4" w:space="0" w:color="auto"/>
                      <w:left w:val="single" w:sz="4" w:space="0" w:color="auto"/>
                      <w:right w:val="single" w:sz="4" w:space="0" w:color="auto"/>
                    </w:tcBorders>
                    <w:vAlign w:val="center"/>
                  </w:tcPr>
                  <w:p>
                    <w:pPr>
                      <w:rPr>
                        <w:color w:val="000000"/>
                        <w:sz w:val="20"/>
                      </w:rPr>
                    </w:pPr>
                  </w:p>
                </w:tc>
              </w:tr>
              <w:tr>
                <w:trPr>
                  <w:trHeight w:val="920"/>
                </w:trPr>
                <w:tc>
                  <w:tcPr>
                    <w:tcW w:w="2410" w:type="dxa"/>
                    <w:vMerge/>
                    <w:tcBorders>
                      <w:left w:val="single" w:sz="4" w:space="0" w:color="auto"/>
                      <w:right w:val="single" w:sz="4" w:space="0" w:color="auto"/>
                    </w:tcBorders>
                    <w:shd w:val="clear" w:color="auto" w:fill="auto"/>
                  </w:tcPr>
                  <w:p>
                    <w:pPr>
                      <w:rPr>
                        <w:sz w:val="20"/>
                      </w:rPr>
                    </w:pPr>
                  </w:p>
                </w:tc>
                <w:tc>
                  <w:tcPr>
                    <w:tcW w:w="709" w:type="dxa"/>
                    <w:vMerge/>
                    <w:tcBorders>
                      <w:left w:val="single" w:sz="4" w:space="0" w:color="auto"/>
                      <w:right w:val="single" w:sz="4" w:space="0" w:color="auto"/>
                    </w:tcBorders>
                  </w:tcPr>
                  <w:p>
                    <w:pPr>
                      <w:rPr>
                        <w:sz w:val="20"/>
                      </w:rPr>
                    </w:pPr>
                  </w:p>
                </w:tc>
                <w:tc>
                  <w:tcPr>
                    <w:tcW w:w="1559"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276" w:type="dxa"/>
                    <w:tcBorders>
                      <w:top w:val="single" w:sz="4" w:space="0" w:color="auto"/>
                      <w:left w:val="single" w:sz="4" w:space="0" w:color="auto"/>
                      <w:right w:val="single" w:sz="4" w:space="0" w:color="auto"/>
                    </w:tcBorders>
                  </w:tcPr>
                  <w:p>
                    <w:pPr>
                      <w:rPr>
                        <w:sz w:val="20"/>
                        <w:lang w:val="en-US"/>
                      </w:rPr>
                    </w:pPr>
                    <w:r>
                      <w:rPr>
                        <w:sz w:val="20"/>
                        <w:lang w:val="en-US"/>
                      </w:rPr>
                      <w:t>594</w:t>
                    </w:r>
                  </w:p>
                </w:tc>
                <w:tc>
                  <w:tcPr>
                    <w:tcW w:w="992" w:type="dxa"/>
                    <w:tcBorders>
                      <w:left w:val="single" w:sz="4" w:space="0" w:color="auto"/>
                      <w:right w:val="single" w:sz="4" w:space="0" w:color="auto"/>
                    </w:tcBorders>
                  </w:tcPr>
                  <w:p>
                    <w:pPr>
                      <w:rPr>
                        <w:sz w:val="20"/>
                      </w:rPr>
                    </w:pPr>
                    <w:r>
                      <w:rPr>
                        <w:sz w:val="20"/>
                      </w:rPr>
                      <w:t>2021–2027 m. IP (BF)</w:t>
                    </w:r>
                  </w:p>
                </w:tc>
                <w:tc>
                  <w:tcPr>
                    <w:tcW w:w="2551" w:type="dxa"/>
                    <w:tcBorders>
                      <w:left w:val="single" w:sz="4" w:space="0" w:color="auto"/>
                      <w:right w:val="single" w:sz="4" w:space="0" w:color="auto"/>
                    </w:tcBorders>
                    <w:shd w:val="clear" w:color="auto" w:fill="auto"/>
                  </w:tcPr>
                  <w:p>
                    <w:pPr>
                      <w:ind w:left="-57" w:right="-57"/>
                      <w:rPr>
                        <w:color w:val="000000"/>
                        <w:sz w:val="20"/>
                      </w:rPr>
                    </w:pPr>
                    <w:r>
                      <w:rPr>
                        <w:color w:val="000000"/>
                        <w:sz w:val="20"/>
                      </w:rPr>
                      <w:t>R – Pacientų pasitenkinimas gautomis paslaugomis, proc</w:t>
                    </w:r>
                  </w:p>
                </w:tc>
                <w:tc>
                  <w:tcPr>
                    <w:tcW w:w="851" w:type="dxa"/>
                    <w:tcBorders>
                      <w:left w:val="single" w:sz="4" w:space="0" w:color="auto"/>
                      <w:right w:val="single" w:sz="4" w:space="0" w:color="auto"/>
                    </w:tcBorders>
                    <w:shd w:val="clear" w:color="auto" w:fill="auto"/>
                  </w:tcPr>
                  <w:p>
                    <w:pPr>
                      <w:ind w:left="-57" w:right="-57"/>
                      <w:jc w:val="center"/>
                      <w:rPr>
                        <w:sz w:val="20"/>
                      </w:rPr>
                    </w:pPr>
                    <w:r>
                      <w:rPr>
                        <w:sz w:val="20"/>
                      </w:rPr>
                      <w:t>70</w:t>
                    </w:r>
                  </w:p>
                  <w:p>
                    <w:pPr>
                      <w:ind w:left="-57" w:right="-57"/>
                      <w:jc w:val="center"/>
                      <w:rPr>
                        <w:sz w:val="20"/>
                      </w:rPr>
                    </w:pPr>
                    <w:r>
                      <w:rPr>
                        <w:sz w:val="20"/>
                      </w:rPr>
                      <w:t>(2029 m.)</w:t>
                    </w:r>
                  </w:p>
                </w:tc>
                <w:tc>
                  <w:tcPr>
                    <w:tcW w:w="992" w:type="dxa"/>
                    <w:tcBorders>
                      <w:left w:val="single" w:sz="4" w:space="0" w:color="auto"/>
                      <w:right w:val="single" w:sz="4" w:space="0" w:color="auto"/>
                    </w:tcBorders>
                  </w:tcPr>
                  <w:p>
                    <w:pPr>
                      <w:rPr>
                        <w:sz w:val="20"/>
                      </w:rPr>
                    </w:pPr>
                  </w:p>
                </w:tc>
                <w:tc>
                  <w:tcPr>
                    <w:tcW w:w="1276" w:type="dxa"/>
                    <w:tcBorders>
                      <w:left w:val="single" w:sz="4" w:space="0" w:color="auto"/>
                      <w:right w:val="single" w:sz="4" w:space="0" w:color="auto"/>
                    </w:tcBorders>
                    <w:vAlign w:val="center"/>
                  </w:tcPr>
                  <w:p>
                    <w:pPr>
                      <w:rPr>
                        <w:color w:val="000000"/>
                        <w:sz w:val="20"/>
                      </w:rPr>
                    </w:pPr>
                  </w:p>
                </w:tc>
              </w:tr>
              <w:tr>
                <w:trPr>
                  <w:trHeight w:val="414"/>
                </w:trPr>
                <w:tc>
                  <w:tcPr>
                    <w:tcW w:w="2410" w:type="dxa"/>
                    <w:shd w:val="clear" w:color="auto" w:fill="F2F2F2" w:themeFill="background1" w:themeFillShade="F2"/>
                  </w:tcPr>
                  <w:p>
                    <w:pPr>
                      <w:rPr>
                        <w:i/>
                        <w:iCs/>
                        <w:sz w:val="20"/>
                      </w:rPr>
                    </w:pPr>
                    <w:r>
                      <w:rPr>
                        <w:b/>
                        <w:bCs/>
                        <w:sz w:val="20"/>
                      </w:rPr>
                      <w:t>8. Pacientų pavėžėjimo paslaugos modelio sukūrimas ir išbandymas</w:t>
                    </w:r>
                  </w:p>
                </w:tc>
                <w:tc>
                  <w:tcPr>
                    <w:tcW w:w="709" w:type="dxa"/>
                    <w:shd w:val="clear" w:color="auto" w:fill="F2F2F2" w:themeFill="background1" w:themeFillShade="F2"/>
                  </w:tcPr>
                  <w:p>
                    <w:pPr>
                      <w:rPr>
                        <w:sz w:val="20"/>
                      </w:rPr>
                    </w:pPr>
                    <w:r>
                      <w:rPr>
                        <w:sz w:val="20"/>
                      </w:rPr>
                      <w:t>-</w:t>
                    </w:r>
                  </w:p>
                </w:tc>
                <w:tc>
                  <w:tcPr>
                    <w:tcW w:w="1559" w:type="dxa"/>
                    <w:shd w:val="clear" w:color="auto" w:fill="F2F2F2" w:themeFill="background1" w:themeFillShade="F2"/>
                  </w:tcPr>
                  <w:p>
                    <w:pPr>
                      <w:rPr>
                        <w:sz w:val="20"/>
                      </w:rPr>
                    </w:pPr>
                    <w:r>
                      <w:rPr>
                        <w:sz w:val="20"/>
                      </w:rPr>
                      <w:t>-</w:t>
                    </w:r>
                  </w:p>
                </w:tc>
                <w:tc>
                  <w:tcPr>
                    <w:tcW w:w="709" w:type="dxa"/>
                    <w:shd w:val="clear" w:color="auto" w:fill="F2F2F2" w:themeFill="background1" w:themeFillShade="F2"/>
                  </w:tcPr>
                  <w:p>
                    <w:pPr>
                      <w:rPr>
                        <w:sz w:val="20"/>
                      </w:rPr>
                    </w:pPr>
                    <w:r>
                      <w:rPr>
                        <w:sz w:val="20"/>
                      </w:rPr>
                      <w:t>-</w:t>
                    </w:r>
                  </w:p>
                </w:tc>
                <w:tc>
                  <w:tcPr>
                    <w:tcW w:w="992" w:type="dxa"/>
                    <w:shd w:val="clear" w:color="auto" w:fill="F2F2F2" w:themeFill="background1" w:themeFillShade="F2"/>
                  </w:tcPr>
                  <w:p>
                    <w:pPr>
                      <w:rPr>
                        <w:sz w:val="20"/>
                      </w:rPr>
                    </w:pPr>
                    <w:r>
                      <w:rPr>
                        <w:sz w:val="20"/>
                      </w:rPr>
                      <w:t>-</w:t>
                    </w:r>
                  </w:p>
                </w:tc>
                <w:tc>
                  <w:tcPr>
                    <w:tcW w:w="709" w:type="dxa"/>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sz w:val="20"/>
                        <w:lang w:val="en-US"/>
                      </w:rPr>
                    </w:pPr>
                    <w:r>
                      <w:rPr>
                        <w:b/>
                        <w:bCs/>
                        <w:sz w:val="20"/>
                      </w:rPr>
                      <w:t>7 000</w:t>
                    </w:r>
                  </w:p>
                </w:tc>
                <w:tc>
                  <w:tcPr>
                    <w:tcW w:w="992" w:type="dxa"/>
                    <w:shd w:val="clear" w:color="auto" w:fill="F2F2F2" w:themeFill="background1" w:themeFillShade="F2"/>
                  </w:tcPr>
                  <w:p>
                    <w:pPr>
                      <w:rPr>
                        <w:sz w:val="20"/>
                      </w:rPr>
                    </w:pPr>
                    <w:r>
                      <w:rPr>
                        <w:sz w:val="20"/>
                      </w:rPr>
                      <w:t>VB</w:t>
                    </w:r>
                  </w:p>
                </w:tc>
                <w:tc>
                  <w:tcPr>
                    <w:tcW w:w="2551" w:type="dxa"/>
                    <w:shd w:val="clear" w:color="auto" w:fill="F2F2F2" w:themeFill="background1" w:themeFillShade="F2"/>
                  </w:tcPr>
                  <w:p>
                    <w:pPr>
                      <w:ind w:left="-57" w:right="-57"/>
                      <w:rPr>
                        <w:sz w:val="20"/>
                      </w:rPr>
                    </w:pPr>
                    <w:r>
                      <w:rPr>
                        <w:sz w:val="20"/>
                      </w:rPr>
                      <w:t>-</w:t>
                    </w:r>
                  </w:p>
                </w:tc>
                <w:tc>
                  <w:tcPr>
                    <w:tcW w:w="851" w:type="dxa"/>
                    <w:shd w:val="clear" w:color="auto" w:fill="F2F2F2" w:themeFill="background1" w:themeFillShade="F2"/>
                  </w:tcPr>
                  <w:p>
                    <w:pPr>
                      <w:ind w:left="-57" w:right="-57"/>
                      <w:jc w:val="center"/>
                      <w:rPr>
                        <w:i/>
                        <w:iCs/>
                        <w:sz w:val="20"/>
                      </w:rPr>
                    </w:pPr>
                    <w:r>
                      <w:rPr>
                        <w:sz w:val="20"/>
                      </w:rPr>
                      <w:t>-</w:t>
                    </w:r>
                  </w:p>
                </w:tc>
                <w:tc>
                  <w:tcPr>
                    <w:tcW w:w="992" w:type="dxa"/>
                    <w:shd w:val="clear" w:color="auto" w:fill="F2F2F2" w:themeFill="background1" w:themeFillShade="F2"/>
                  </w:tcPr>
                  <w:p>
                    <w:pPr>
                      <w:rPr>
                        <w:i/>
                        <w:iCs/>
                        <w:sz w:val="20"/>
                      </w:rPr>
                    </w:pPr>
                    <w:r>
                      <w:rPr>
                        <w:sz w:val="20"/>
                      </w:rPr>
                      <w:t>-</w:t>
                    </w:r>
                  </w:p>
                </w:tc>
                <w:tc>
                  <w:tcPr>
                    <w:tcW w:w="1276" w:type="dxa"/>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tcPr>
                  <w:p>
                    <w:pPr>
                      <w:rPr>
                        <w:sz w:val="20"/>
                      </w:rPr>
                    </w:pPr>
                    <w:r>
                      <w:rPr>
                        <w:sz w:val="20"/>
                      </w:rPr>
                      <w:t>8.1. Pavėžėjimo paslaugų organizavimą ir teikimą reglamentuojančių teisės aktų parengimas</w:t>
                    </w:r>
                  </w:p>
                </w:tc>
                <w:tc>
                  <w:tcPr>
                    <w:tcW w:w="709" w:type="dxa"/>
                  </w:tcPr>
                  <w:p>
                    <w:pPr>
                      <w:rPr>
                        <w:sz w:val="20"/>
                      </w:rPr>
                    </w:pPr>
                    <w:r>
                      <w:rPr>
                        <w:sz w:val="20"/>
                      </w:rPr>
                      <w:t>R</w:t>
                    </w:r>
                  </w:p>
                </w:tc>
                <w:tc>
                  <w:tcPr>
                    <w:tcW w:w="1559" w:type="dxa"/>
                  </w:tcPr>
                  <w:p>
                    <w:pPr>
                      <w:rPr>
                        <w:sz w:val="20"/>
                      </w:rPr>
                    </w:pPr>
                    <w:r>
                      <w:rPr>
                        <w:sz w:val="20"/>
                      </w:rPr>
                      <w:t>-</w:t>
                    </w:r>
                  </w:p>
                </w:tc>
                <w:tc>
                  <w:tcPr>
                    <w:tcW w:w="709" w:type="dxa"/>
                  </w:tcPr>
                  <w:p>
                    <w:pPr>
                      <w:rPr>
                        <w:sz w:val="20"/>
                      </w:rPr>
                    </w:pPr>
                    <w:r>
                      <w:rPr>
                        <w:sz w:val="20"/>
                      </w:rPr>
                      <w:t>-</w:t>
                    </w:r>
                  </w:p>
                </w:tc>
                <w:tc>
                  <w:tcPr>
                    <w:tcW w:w="992" w:type="dxa"/>
                  </w:tcPr>
                  <w:p>
                    <w:pPr>
                      <w:rPr>
                        <w:sz w:val="20"/>
                      </w:rPr>
                    </w:pPr>
                    <w:r>
                      <w:rPr>
                        <w:sz w:val="20"/>
                      </w:rPr>
                      <w:t>Taip</w:t>
                    </w:r>
                  </w:p>
                </w:tc>
                <w:tc>
                  <w:tcPr>
                    <w:tcW w:w="709" w:type="dxa"/>
                  </w:tcPr>
                  <w:p>
                    <w:pPr>
                      <w:rPr>
                        <w:sz w:val="20"/>
                      </w:rPr>
                    </w:pPr>
                    <w:r>
                      <w:rPr>
                        <w:sz w:val="20"/>
                      </w:rPr>
                      <w:t>-</w:t>
                    </w:r>
                  </w:p>
                </w:tc>
                <w:tc>
                  <w:tcPr>
                    <w:tcW w:w="1276" w:type="dxa"/>
                  </w:tcPr>
                  <w:p>
                    <w:pPr>
                      <w:rPr>
                        <w:sz w:val="20"/>
                        <w:lang w:val="en-US"/>
                      </w:rPr>
                    </w:pPr>
                    <w:r>
                      <w:rPr>
                        <w:sz w:val="20"/>
                        <w:lang w:val="en-US"/>
                      </w:rPr>
                      <w:t>-</w:t>
                    </w:r>
                  </w:p>
                </w:tc>
                <w:tc>
                  <w:tcPr>
                    <w:tcW w:w="992" w:type="dxa"/>
                  </w:tcPr>
                  <w:p>
                    <w:pPr>
                      <w:rPr>
                        <w:sz w:val="20"/>
                      </w:rPr>
                    </w:pPr>
                    <w:r>
                      <w:rPr>
                        <w:sz w:val="20"/>
                      </w:rPr>
                      <w:t>-</w:t>
                    </w:r>
                  </w:p>
                </w:tc>
                <w:tc>
                  <w:tcPr>
                    <w:tcW w:w="2551" w:type="dxa"/>
                  </w:tcPr>
                  <w:p>
                    <w:pPr>
                      <w:ind w:left="-57" w:right="-57"/>
                      <w:jc w:val="both"/>
                      <w:rPr>
                        <w:sz w:val="20"/>
                      </w:rPr>
                    </w:pPr>
                    <w:r>
                      <w:rPr>
                        <w:sz w:val="20"/>
                      </w:rPr>
                      <w:t xml:space="preserve">P – Įsigalioję teisės aktai, reglamentuojantys pavėžėjimo paslaugų teikimo ir organizavimo reikalavimus, kompl. </w:t>
                    </w:r>
                  </w:p>
                  <w:p>
                    <w:pPr>
                      <w:ind w:left="-57" w:right="-57"/>
                      <w:rPr>
                        <w:sz w:val="20"/>
                      </w:rPr>
                    </w:pPr>
                  </w:p>
                </w:tc>
                <w:tc>
                  <w:tcPr>
                    <w:tcW w:w="851" w:type="dxa"/>
                  </w:tcPr>
                  <w:p>
                    <w:pPr>
                      <w:ind w:left="-57" w:right="-57"/>
                      <w:jc w:val="center"/>
                      <w:rPr>
                        <w:sz w:val="20"/>
                      </w:rPr>
                    </w:pPr>
                    <w:r>
                      <w:rPr>
                        <w:sz w:val="20"/>
                      </w:rPr>
                      <w:t>1</w:t>
                    </w:r>
                  </w:p>
                  <w:p>
                    <w:pPr>
                      <w:ind w:left="-57" w:right="-57"/>
                      <w:jc w:val="center"/>
                      <w:rPr>
                        <w:sz w:val="20"/>
                      </w:rPr>
                    </w:pPr>
                    <w:r>
                      <w:rPr>
                        <w:sz w:val="20"/>
                      </w:rPr>
                      <w:t>(2024 m.)</w:t>
                    </w:r>
                  </w:p>
                  <w:p>
                    <w:pPr>
                      <w:ind w:left="-57" w:right="-57"/>
                      <w:jc w:val="center"/>
                      <w:rPr>
                        <w:i/>
                        <w:iCs/>
                        <w:color w:val="FF0000"/>
                        <w:sz w:val="20"/>
                      </w:rPr>
                    </w:pPr>
                  </w:p>
                </w:tc>
                <w:tc>
                  <w:tcPr>
                    <w:tcW w:w="992" w:type="dxa"/>
                  </w:tcPr>
                  <w:p>
                    <w:pPr>
                      <w:rPr>
                        <w:sz w:val="20"/>
                      </w:rPr>
                    </w:pPr>
                    <w:r>
                      <w:rPr>
                        <w:sz w:val="20"/>
                      </w:rPr>
                      <w:t>-</w:t>
                    </w:r>
                  </w:p>
                </w:tc>
                <w:tc>
                  <w:tcPr>
                    <w:tcW w:w="1276" w:type="dxa"/>
                    <w:tcBorders>
                      <w:left w:val="single" w:sz="4" w:space="0" w:color="auto"/>
                      <w:right w:val="single" w:sz="4" w:space="0" w:color="auto"/>
                    </w:tcBorders>
                  </w:tcPr>
                  <w:p>
                    <w:pPr>
                      <w:ind w:left="-57" w:right="-57"/>
                      <w:jc w:val="center"/>
                      <w:rPr>
                        <w:sz w:val="20"/>
                      </w:rPr>
                    </w:pPr>
                    <w:r>
                      <w:rPr>
                        <w:sz w:val="20"/>
                      </w:rPr>
                      <w:t>SAM, Vidaus reikalų ministerija (toliau –VRM),</w:t>
                    </w:r>
                  </w:p>
                  <w:p>
                    <w:pPr>
                      <w:jc w:val="center"/>
                      <w:rPr>
                        <w:color w:val="000000"/>
                        <w:sz w:val="20"/>
                      </w:rPr>
                    </w:pPr>
                    <w:r>
                      <w:rPr>
                        <w:sz w:val="20"/>
                      </w:rPr>
                      <w:t>savivaldybių administraci-jos</w:t>
                    </w:r>
                  </w:p>
                </w:tc>
              </w:tr>
              <w:tr>
                <w:trPr>
                  <w:trHeight w:val="414"/>
                </w:trPr>
                <w:tc>
                  <w:tcPr>
                    <w:tcW w:w="2410" w:type="dxa"/>
                    <w:vMerge w:val="restart"/>
                  </w:tcPr>
                  <w:p>
                    <w:pPr>
                      <w:rPr>
                        <w:sz w:val="20"/>
                      </w:rPr>
                    </w:pPr>
                    <w:r>
                      <w:rPr>
                        <w:sz w:val="20"/>
                      </w:rPr>
                      <w:t>8.2. Bandomojo pavėžėjimo paslaugų teikimo projekto įgyvendinimas</w:t>
                    </w:r>
                  </w:p>
                </w:tc>
                <w:tc>
                  <w:tcPr>
                    <w:tcW w:w="709" w:type="dxa"/>
                    <w:vMerge w:val="restart"/>
                  </w:tcPr>
                  <w:p>
                    <w:pPr>
                      <w:rPr>
                        <w:sz w:val="20"/>
                      </w:rPr>
                    </w:pPr>
                    <w:r>
                      <w:rPr>
                        <w:sz w:val="20"/>
                      </w:rPr>
                      <w:t>M</w:t>
                    </w:r>
                  </w:p>
                </w:tc>
                <w:tc>
                  <w:tcPr>
                    <w:tcW w:w="1559" w:type="dxa"/>
                    <w:vMerge w:val="restart"/>
                  </w:tcPr>
                  <w:p>
                    <w:pPr>
                      <w:rPr>
                        <w:sz w:val="20"/>
                      </w:rPr>
                    </w:pPr>
                    <w:r>
                      <w:rPr>
                        <w:sz w:val="20"/>
                      </w:rPr>
                      <w:t>V</w:t>
                    </w:r>
                    <w:r>
                      <w:rPr>
                        <w:sz w:val="18"/>
                        <w:szCs w:val="18"/>
                      </w:rPr>
                      <w:t>šĮ Kauno miesto greitosios medicinos pagalbos stotis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vMerge w:val="restart"/>
                  </w:tcPr>
                  <w:p>
                    <w:pPr>
                      <w:rPr>
                        <w:sz w:val="20"/>
                        <w:lang w:val="en-US"/>
                      </w:rPr>
                    </w:pPr>
                    <w:r>
                      <w:rPr>
                        <w:sz w:val="20"/>
                        <w:lang w:val="en-US"/>
                      </w:rPr>
                      <w:t>7 000</w:t>
                    </w:r>
                  </w:p>
                </w:tc>
                <w:tc>
                  <w:tcPr>
                    <w:tcW w:w="992" w:type="dxa"/>
                    <w:vMerge w:val="restart"/>
                  </w:tcPr>
                  <w:p>
                    <w:pPr>
                      <w:rPr>
                        <w:sz w:val="20"/>
                      </w:rPr>
                    </w:pPr>
                    <w:r>
                      <w:rPr>
                        <w:sz w:val="20"/>
                      </w:rPr>
                      <w:t>VB</w:t>
                    </w:r>
                  </w:p>
                </w:tc>
                <w:tc>
                  <w:tcPr>
                    <w:tcW w:w="2551" w:type="dxa"/>
                  </w:tcPr>
                  <w:p>
                    <w:pPr>
                      <w:ind w:left="-57" w:right="-57"/>
                      <w:rPr>
                        <w:sz w:val="20"/>
                      </w:rPr>
                    </w:pPr>
                    <w:r>
                      <w:rPr>
                        <w:sz w:val="20"/>
                      </w:rPr>
                      <w:t xml:space="preserve">P </w:t>
                    </w:r>
                    <w:r>
                      <w:rPr>
                        <w:color w:val="000000"/>
                        <w:szCs w:val="24"/>
                      </w:rPr>
                      <w:t xml:space="preserve">– </w:t>
                    </w:r>
                    <w:r>
                      <w:rPr>
                        <w:sz w:val="20"/>
                      </w:rPr>
                      <w:t xml:space="preserve">Sukurtas ir išbandytas pacientų pavėžėjimo paslaugų teikimo modelis, skaičius </w:t>
                    </w:r>
                  </w:p>
                </w:tc>
                <w:tc>
                  <w:tcPr>
                    <w:tcW w:w="851" w:type="dxa"/>
                  </w:tcPr>
                  <w:p>
                    <w:pPr>
                      <w:ind w:left="-57" w:right="-57"/>
                      <w:jc w:val="center"/>
                      <w:rPr>
                        <w:sz w:val="20"/>
                      </w:rPr>
                    </w:pPr>
                    <w:r>
                      <w:rPr>
                        <w:sz w:val="20"/>
                      </w:rPr>
                      <w:t>1</w:t>
                    </w:r>
                  </w:p>
                  <w:p>
                    <w:pPr>
                      <w:ind w:left="-57" w:right="-57"/>
                      <w:jc w:val="center"/>
                      <w:rPr>
                        <w:i/>
                        <w:iCs/>
                        <w:sz w:val="20"/>
                      </w:rPr>
                    </w:pPr>
                    <w:r>
                      <w:rPr>
                        <w:sz w:val="20"/>
                      </w:rPr>
                      <w:t>(2024 m.)</w:t>
                    </w:r>
                  </w:p>
                </w:tc>
                <w:tc>
                  <w:tcPr>
                    <w:tcW w:w="992" w:type="dxa"/>
                    <w:vMerge w:val="restart"/>
                  </w:tcPr>
                  <w:p>
                    <w:pPr>
                      <w:rPr>
                        <w:i/>
                        <w:iCs/>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sz w:val="20"/>
                      </w:rPr>
                      <w:t>VRM, savivaldybių administraci-jos</w:t>
                    </w: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tcPr>
                  <w:p>
                    <w:pPr>
                      <w:ind w:left="-57" w:right="-57"/>
                      <w:rPr>
                        <w:sz w:val="20"/>
                      </w:rPr>
                    </w:pPr>
                    <w:r>
                      <w:rPr>
                        <w:sz w:val="20"/>
                      </w:rPr>
                      <w:t xml:space="preserve">R </w:t>
                    </w:r>
                    <w:r>
                      <w:rPr>
                        <w:color w:val="000000"/>
                        <w:szCs w:val="24"/>
                      </w:rPr>
                      <w:t>–</w:t>
                    </w:r>
                    <w:r>
                      <w:rPr>
                        <w:sz w:val="20"/>
                      </w:rPr>
                      <w:t xml:space="preserve"> Suteiktų pavėžėjimo paslaugų skaičius pagal bandomąjį pavėžėjimo paslaugų teikimo modelį, skaičius</w:t>
                    </w:r>
                  </w:p>
                </w:tc>
                <w:tc>
                  <w:tcPr>
                    <w:tcW w:w="851" w:type="dxa"/>
                  </w:tcPr>
                  <w:p>
                    <w:pPr>
                      <w:ind w:left="-57" w:right="-57"/>
                      <w:jc w:val="center"/>
                      <w:rPr>
                        <w:sz w:val="20"/>
                      </w:rPr>
                    </w:pPr>
                    <w:r>
                      <w:rPr>
                        <w:sz w:val="20"/>
                      </w:rPr>
                      <w:t>40 000</w:t>
                    </w:r>
                  </w:p>
                  <w:p>
                    <w:pPr>
                      <w:ind w:left="-57" w:right="-57"/>
                      <w:jc w:val="center"/>
                      <w:rPr>
                        <w:sz w:val="20"/>
                      </w:rPr>
                    </w:pPr>
                    <w:r>
                      <w:rPr>
                        <w:sz w:val="20"/>
                      </w:rPr>
                      <w:t>(2024 m.)</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shd w:val="clear" w:color="auto" w:fill="F2F2F2" w:themeFill="background1" w:themeFillShade="F2"/>
                  </w:tcPr>
                  <w:p>
                    <w:pPr>
                      <w:rPr>
                        <w:sz w:val="20"/>
                      </w:rPr>
                    </w:pPr>
                    <w:r>
                      <w:rPr>
                        <w:b/>
                        <w:bCs/>
                        <w:sz w:val="20"/>
                      </w:rPr>
                      <w:t>9. Greitosios medicinos pagalbos tinklo veiklos efektyvumo didinimas</w:t>
                    </w:r>
                  </w:p>
                </w:tc>
                <w:tc>
                  <w:tcPr>
                    <w:tcW w:w="709" w:type="dxa"/>
                    <w:vMerge w:val="restart"/>
                    <w:shd w:val="clear" w:color="auto" w:fill="F2F2F2" w:themeFill="background1" w:themeFillShade="F2"/>
                  </w:tcPr>
                  <w:p>
                    <w:pPr>
                      <w:rPr>
                        <w:sz w:val="20"/>
                      </w:rPr>
                    </w:pPr>
                    <w:r>
                      <w:rPr>
                        <w:sz w:val="20"/>
                      </w:rPr>
                      <w:t>-</w:t>
                    </w:r>
                  </w:p>
                </w:tc>
                <w:tc>
                  <w:tcPr>
                    <w:tcW w:w="1559"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sz w:val="20"/>
                        <w:lang w:val="en-US"/>
                      </w:rPr>
                    </w:pPr>
                    <w:r>
                      <w:rPr>
                        <w:b/>
                        <w:bCs/>
                        <w:sz w:val="20"/>
                      </w:rPr>
                      <w:t>41 150</w:t>
                    </w:r>
                  </w:p>
                </w:tc>
                <w:tc>
                  <w:tcPr>
                    <w:tcW w:w="992" w:type="dxa"/>
                    <w:shd w:val="clear" w:color="auto" w:fill="F2F2F2" w:themeFill="background1" w:themeFillShade="F2"/>
                  </w:tcPr>
                  <w:p>
                    <w:pPr>
                      <w:rPr>
                        <w:sz w:val="20"/>
                      </w:rPr>
                    </w:pPr>
                    <w:r>
                      <w:rPr>
                        <w:sz w:val="20"/>
                      </w:rPr>
                      <w:t xml:space="preserve">- </w:t>
                    </w:r>
                  </w:p>
                </w:tc>
                <w:tc>
                  <w:tcPr>
                    <w:tcW w:w="2551" w:type="dxa"/>
                    <w:vMerge w:val="restart"/>
                    <w:shd w:val="clear" w:color="auto" w:fill="F2F2F2" w:themeFill="background1" w:themeFillShade="F2"/>
                  </w:tcPr>
                  <w:p>
                    <w:pPr>
                      <w:ind w:left="-57" w:right="-57"/>
                      <w:rPr>
                        <w:sz w:val="20"/>
                      </w:rPr>
                    </w:pPr>
                    <w:r>
                      <w:rPr>
                        <w:sz w:val="20"/>
                      </w:rPr>
                      <w:t>-</w:t>
                    </w:r>
                  </w:p>
                </w:tc>
                <w:tc>
                  <w:tcPr>
                    <w:tcW w:w="851" w:type="dxa"/>
                    <w:vMerge w:val="restart"/>
                    <w:shd w:val="clear" w:color="auto" w:fill="F2F2F2" w:themeFill="background1" w:themeFillShade="F2"/>
                  </w:tcPr>
                  <w:p>
                    <w:pPr>
                      <w:ind w:left="-57" w:right="-57"/>
                      <w:jc w:val="cente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765"/>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b/>
                        <w:bCs/>
                        <w:sz w:val="20"/>
                      </w:rPr>
                    </w:pPr>
                    <w:r>
                      <w:rPr>
                        <w:sz w:val="20"/>
                        <w:lang w:val="en-US"/>
                      </w:rPr>
                      <w:t>5 235</w:t>
                    </w:r>
                  </w:p>
                </w:tc>
                <w:tc>
                  <w:tcPr>
                    <w:tcW w:w="992" w:type="dxa"/>
                    <w:shd w:val="clear" w:color="auto" w:fill="F2F2F2" w:themeFill="background1" w:themeFillShade="F2"/>
                  </w:tcPr>
                  <w:p>
                    <w:pPr>
                      <w:rPr>
                        <w:sz w:val="20"/>
                      </w:rPr>
                    </w:pPr>
                    <w:r>
                      <w:rPr>
                        <w:sz w:val="20"/>
                      </w:rPr>
                      <w:t>2021–2027 m. IP (ERPF, Sostinės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21"/>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b/>
                        <w:bCs/>
                        <w:sz w:val="20"/>
                      </w:rPr>
                    </w:pPr>
                    <w:r>
                      <w:rPr>
                        <w:sz w:val="20"/>
                        <w:lang w:val="en-US"/>
                      </w:rPr>
                      <w:t>5 235</w:t>
                    </w:r>
                  </w:p>
                </w:tc>
                <w:tc>
                  <w:tcPr>
                    <w:tcW w:w="992" w:type="dxa"/>
                    <w:shd w:val="clear" w:color="auto" w:fill="F2F2F2" w:themeFill="background1" w:themeFillShade="F2"/>
                  </w:tcPr>
                  <w:p>
                    <w:pPr>
                      <w:rPr>
                        <w:sz w:val="20"/>
                      </w:rPr>
                    </w:pPr>
                    <w:r>
                      <w:rPr>
                        <w:sz w:val="20"/>
                      </w:rPr>
                      <w:t>2021–2027 m. IP (BF, Sostinės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21"/>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b/>
                        <w:bCs/>
                        <w:sz w:val="20"/>
                      </w:rPr>
                    </w:pPr>
                    <w:r>
                      <w:rPr>
                        <w:sz w:val="20"/>
                        <w:lang w:val="en-US"/>
                      </w:rPr>
                      <w:t>26 078</w:t>
                    </w:r>
                  </w:p>
                </w:tc>
                <w:tc>
                  <w:tcPr>
                    <w:tcW w:w="992" w:type="dxa"/>
                    <w:shd w:val="clear" w:color="auto" w:fill="F2F2F2" w:themeFill="background1" w:themeFillShade="F2"/>
                  </w:tcPr>
                  <w:p>
                    <w:pPr>
                      <w:rPr>
                        <w:sz w:val="20"/>
                      </w:rPr>
                    </w:pPr>
                    <w:r>
                      <w:rPr>
                        <w:sz w:val="20"/>
                      </w:rPr>
                      <w:t>2021–2027 m. IP (ERPF, VVL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b/>
                        <w:bCs/>
                        <w:sz w:val="20"/>
                      </w:rPr>
                    </w:pPr>
                    <w:r>
                      <w:rPr>
                        <w:sz w:val="20"/>
                        <w:lang w:val="en-US"/>
                      </w:rPr>
                      <w:t>4 602</w:t>
                    </w:r>
                  </w:p>
                </w:tc>
                <w:tc>
                  <w:tcPr>
                    <w:tcW w:w="992" w:type="dxa"/>
                    <w:shd w:val="clear" w:color="auto" w:fill="F2F2F2" w:themeFill="background1" w:themeFillShade="F2"/>
                  </w:tcPr>
                  <w:p>
                    <w:pPr>
                      <w:rPr>
                        <w:sz w:val="20"/>
                      </w:rPr>
                    </w:pPr>
                    <w:r>
                      <w:rPr>
                        <w:sz w:val="20"/>
                      </w:rPr>
                      <w:t>2021–2027 m. IP (BF, VVL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tcPr>
                  <w:p>
                    <w:pPr>
                      <w:rPr>
                        <w:sz w:val="20"/>
                      </w:rPr>
                    </w:pPr>
                    <w:r>
                      <w:rPr>
                        <w:sz w:val="20"/>
                      </w:rPr>
                      <w:t>9.1. Centralizuotą greitosios medicinos pagalbos teikimą reglamentuojančių teisės aktų parengimas</w:t>
                    </w:r>
                  </w:p>
                </w:tc>
                <w:tc>
                  <w:tcPr>
                    <w:tcW w:w="709" w:type="dxa"/>
                  </w:tcPr>
                  <w:p>
                    <w:pPr>
                      <w:rPr>
                        <w:sz w:val="20"/>
                      </w:rPr>
                    </w:pPr>
                    <w:r>
                      <w:rPr>
                        <w:sz w:val="20"/>
                      </w:rPr>
                      <w:t>R</w:t>
                    </w:r>
                  </w:p>
                </w:tc>
                <w:tc>
                  <w:tcPr>
                    <w:tcW w:w="1559" w:type="dxa"/>
                  </w:tcPr>
                  <w:p>
                    <w:pPr>
                      <w:rPr>
                        <w:sz w:val="20"/>
                      </w:rPr>
                    </w:pPr>
                    <w:r>
                      <w:rPr>
                        <w:sz w:val="20"/>
                      </w:rPr>
                      <w:t>-</w:t>
                    </w:r>
                  </w:p>
                </w:tc>
                <w:tc>
                  <w:tcPr>
                    <w:tcW w:w="709" w:type="dxa"/>
                  </w:tcPr>
                  <w:p>
                    <w:pPr>
                      <w:rPr>
                        <w:sz w:val="20"/>
                      </w:rPr>
                    </w:pPr>
                    <w:r>
                      <w:rPr>
                        <w:sz w:val="20"/>
                      </w:rPr>
                      <w:t>-</w:t>
                    </w:r>
                  </w:p>
                </w:tc>
                <w:tc>
                  <w:tcPr>
                    <w:tcW w:w="992" w:type="dxa"/>
                  </w:tcPr>
                  <w:p>
                    <w:pPr>
                      <w:rPr>
                        <w:sz w:val="20"/>
                      </w:rPr>
                    </w:pPr>
                    <w:r>
                      <w:rPr>
                        <w:sz w:val="20"/>
                      </w:rPr>
                      <w:t>Taip</w:t>
                    </w:r>
                  </w:p>
                </w:tc>
                <w:tc>
                  <w:tcPr>
                    <w:tcW w:w="709" w:type="dxa"/>
                  </w:tcPr>
                  <w:p>
                    <w:pPr>
                      <w:rPr>
                        <w:sz w:val="20"/>
                      </w:rPr>
                    </w:pPr>
                    <w:r>
                      <w:rPr>
                        <w:sz w:val="20"/>
                      </w:rPr>
                      <w:t>-</w:t>
                    </w:r>
                  </w:p>
                </w:tc>
                <w:tc>
                  <w:tcPr>
                    <w:tcW w:w="1276" w:type="dxa"/>
                  </w:tcPr>
                  <w:p>
                    <w:pPr>
                      <w:rPr>
                        <w:sz w:val="20"/>
                        <w:lang w:val="en-US"/>
                      </w:rPr>
                    </w:pPr>
                    <w:r>
                      <w:rPr>
                        <w:sz w:val="20"/>
                        <w:lang w:val="en-US"/>
                      </w:rPr>
                      <w:t>-</w:t>
                    </w:r>
                  </w:p>
                </w:tc>
                <w:tc>
                  <w:tcPr>
                    <w:tcW w:w="992" w:type="dxa"/>
                  </w:tcPr>
                  <w:p>
                    <w:pPr>
                      <w:rPr>
                        <w:sz w:val="20"/>
                      </w:rPr>
                    </w:pPr>
                    <w:r>
                      <w:rPr>
                        <w:sz w:val="20"/>
                      </w:rPr>
                      <w:t>-</w:t>
                    </w:r>
                  </w:p>
                </w:tc>
                <w:tc>
                  <w:tcPr>
                    <w:tcW w:w="2551" w:type="dxa"/>
                  </w:tcPr>
                  <w:p>
                    <w:pPr>
                      <w:ind w:left="-57" w:right="-57"/>
                      <w:rPr>
                        <w:sz w:val="20"/>
                      </w:rPr>
                    </w:pPr>
                    <w:r>
                      <w:rPr>
                        <w:sz w:val="20"/>
                      </w:rPr>
                      <w:t xml:space="preserve">P – </w:t>
                    </w:r>
                    <w:r>
                      <w:rPr>
                        <w:sz w:val="20"/>
                        <w:lang w:eastAsia="lt-LT"/>
                      </w:rPr>
                      <w:t>Lietuvos Respublikos sveikatos priežiūros įstaigų įstatymo, Lietuvos Respublikos sveikatos sistemos įstatymo ir susijusių teisės aktų pakeitimų įsigaliojimas</w:t>
                    </w:r>
                    <w:r>
                      <w:rPr>
                        <w:sz w:val="20"/>
                      </w:rPr>
                      <w:t xml:space="preserve">, kompl. </w:t>
                    </w:r>
                  </w:p>
                </w:tc>
                <w:tc>
                  <w:tcPr>
                    <w:tcW w:w="851" w:type="dxa"/>
                  </w:tcPr>
                  <w:p>
                    <w:pPr>
                      <w:ind w:left="-57" w:right="-57"/>
                      <w:jc w:val="center"/>
                      <w:rPr>
                        <w:sz w:val="20"/>
                      </w:rPr>
                    </w:pPr>
                    <w:r>
                      <w:rPr>
                        <w:sz w:val="20"/>
                      </w:rPr>
                      <w:t>1</w:t>
                    </w:r>
                  </w:p>
                  <w:p>
                    <w:pPr>
                      <w:ind w:left="-57" w:right="-57"/>
                      <w:jc w:val="center"/>
                      <w:rPr>
                        <w:sz w:val="20"/>
                      </w:rPr>
                    </w:pPr>
                    <w:r>
                      <w:rPr>
                        <w:sz w:val="20"/>
                      </w:rPr>
                      <w:t>(2022 m. IV ketv.)</w:t>
                    </w:r>
                  </w:p>
                </w:tc>
                <w:tc>
                  <w:tcPr>
                    <w:tcW w:w="992" w:type="dxa"/>
                  </w:tcPr>
                  <w:p>
                    <w:pPr>
                      <w:jc w:val="center"/>
                      <w:rPr>
                        <w:sz w:val="20"/>
                      </w:rPr>
                    </w:pPr>
                    <w:r>
                      <w:rPr>
                        <w:sz w:val="20"/>
                      </w:rPr>
                      <w:t>-</w:t>
                    </w:r>
                  </w:p>
                </w:tc>
                <w:tc>
                  <w:tcPr>
                    <w:tcW w:w="1276" w:type="dxa"/>
                    <w:tcBorders>
                      <w:left w:val="single" w:sz="4" w:space="0" w:color="auto"/>
                      <w:right w:val="single" w:sz="4" w:space="0" w:color="auto"/>
                    </w:tcBorders>
                  </w:tcPr>
                  <w:p>
                    <w:pPr>
                      <w:jc w:val="center"/>
                      <w:rPr>
                        <w:sz w:val="20"/>
                      </w:rPr>
                    </w:pPr>
                    <w:r>
                      <w:rPr>
                        <w:sz w:val="20"/>
                      </w:rPr>
                      <w:t>SAM</w:t>
                    </w:r>
                  </w:p>
                </w:tc>
              </w:tr>
              <w:tr>
                <w:trPr>
                  <w:trHeight w:val="1286"/>
                </w:trPr>
                <w:tc>
                  <w:tcPr>
                    <w:tcW w:w="2410" w:type="dxa"/>
                    <w:vMerge w:val="restart"/>
                  </w:tcPr>
                  <w:p>
                    <w:pPr>
                      <w:rPr>
                        <w:sz w:val="20"/>
                      </w:rPr>
                    </w:pPr>
                    <w:r>
                      <w:rPr>
                        <w:sz w:val="20"/>
                      </w:rPr>
                      <w:t>9.2. Greitosios medicinos pagalbos automobilių, įrangos įsigijimas ir greitosios medicinos pagalbos stočių infrastruktūros pritaikymas,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Greitosios medicinos pagalbos tarnyba (toliau –GMP tarnyba)</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5 235</w:t>
                    </w:r>
                  </w:p>
                </w:tc>
                <w:tc>
                  <w:tcPr>
                    <w:tcW w:w="992" w:type="dxa"/>
                  </w:tcPr>
                  <w:p>
                    <w:pPr>
                      <w:rPr>
                        <w:sz w:val="20"/>
                      </w:rPr>
                    </w:pPr>
                    <w:r>
                      <w:rPr>
                        <w:sz w:val="20"/>
                      </w:rPr>
                      <w:t>2021–2027 m. IP (ERPF)</w:t>
                    </w:r>
                  </w:p>
                </w:tc>
                <w:tc>
                  <w:tcPr>
                    <w:tcW w:w="2551" w:type="dxa"/>
                  </w:tcPr>
                  <w:p>
                    <w:pPr>
                      <w:ind w:left="-57" w:right="-57"/>
                      <w:rPr>
                        <w:sz w:val="20"/>
                      </w:rPr>
                    </w:pPr>
                    <w:r>
                      <w:rPr>
                        <w:sz w:val="20"/>
                      </w:rPr>
                      <w:t xml:space="preserve">P – Greitosios medicinos pagalbos paslaugų infrastruktūros, kuriai skirta parama, pajėgumas, asmenys per metus </w:t>
                    </w:r>
                  </w:p>
                </w:tc>
                <w:tc>
                  <w:tcPr>
                    <w:tcW w:w="851" w:type="dxa"/>
                  </w:tcPr>
                  <w:p>
                    <w:pPr>
                      <w:ind w:left="-57" w:right="-57"/>
                      <w:jc w:val="center"/>
                      <w:rPr>
                        <w:sz w:val="20"/>
                      </w:rPr>
                    </w:pPr>
                    <w:r>
                      <w:rPr>
                        <w:sz w:val="20"/>
                      </w:rPr>
                      <w:t>790 000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93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5 235</w:t>
                    </w:r>
                  </w:p>
                </w:tc>
                <w:tc>
                  <w:tcPr>
                    <w:tcW w:w="992" w:type="dxa"/>
                    <w:vMerge w:val="restart"/>
                  </w:tcPr>
                  <w:p>
                    <w:pPr>
                      <w:rPr>
                        <w:sz w:val="20"/>
                      </w:rPr>
                    </w:pPr>
                    <w:r>
                      <w:rPr>
                        <w:sz w:val="20"/>
                      </w:rPr>
                      <w:t>2021–2027 m. IP (BF)</w:t>
                    </w:r>
                  </w:p>
                </w:tc>
                <w:tc>
                  <w:tcPr>
                    <w:tcW w:w="2551" w:type="dxa"/>
                    <w:shd w:val="clear" w:color="auto" w:fill="FFFFFF" w:themeFill="background1"/>
                  </w:tcPr>
                  <w:p>
                    <w:pPr>
                      <w:ind w:left="-57" w:right="-57"/>
                      <w:rPr>
                        <w:sz w:val="20"/>
                      </w:rPr>
                    </w:pPr>
                    <w:r>
                      <w:rPr>
                        <w:sz w:val="20"/>
                      </w:rPr>
                      <w:t xml:space="preserve">R </w:t>
                    </w:r>
                    <w:r>
                      <w:rPr>
                        <w:color w:val="000000"/>
                        <w:szCs w:val="24"/>
                      </w:rPr>
                      <w:t>–</w:t>
                    </w:r>
                    <w:r>
                      <w:rPr>
                        <w:sz w:val="20"/>
                      </w:rPr>
                      <w:t xml:space="preserve"> Greitosios medicinos pagalbos skubių įvykdytų iškvietimų paslaugų, suteiktų per 15 min. (mieste), dalis, proc. </w:t>
                    </w:r>
                  </w:p>
                </w:tc>
                <w:tc>
                  <w:tcPr>
                    <w:tcW w:w="851" w:type="dxa"/>
                    <w:shd w:val="clear" w:color="auto" w:fill="FFFFFF" w:themeFill="background1"/>
                  </w:tcPr>
                  <w:p>
                    <w:pPr>
                      <w:ind w:left="-57" w:right="-57"/>
                      <w:jc w:val="center"/>
                      <w:rPr>
                        <w:sz w:val="20"/>
                      </w:rPr>
                    </w:pPr>
                    <w:r>
                      <w:rPr>
                        <w:sz w:val="20"/>
                      </w:rPr>
                      <w:t>98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93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FFFFFF" w:themeFill="background1"/>
                  </w:tcPr>
                  <w:p>
                    <w:pPr>
                      <w:ind w:left="-57" w:right="-57"/>
                      <w:rPr>
                        <w:sz w:val="20"/>
                      </w:rPr>
                    </w:pPr>
                    <w:r>
                      <w:rPr>
                        <w:sz w:val="20"/>
                      </w:rPr>
                      <w:t xml:space="preserve">R </w:t>
                    </w:r>
                    <w:r>
                      <w:rPr>
                        <w:color w:val="000000"/>
                        <w:szCs w:val="24"/>
                      </w:rPr>
                      <w:t>–</w:t>
                    </w:r>
                    <w:r>
                      <w:rPr>
                        <w:sz w:val="20"/>
                      </w:rPr>
                      <w:t xml:space="preserve"> Greitosios medicinos pagalbos skubių įvykdytų iškvietimų paslaugų, suteiktų per 25 min. (kaime), dalis, proc. </w:t>
                    </w:r>
                  </w:p>
                </w:tc>
                <w:tc>
                  <w:tcPr>
                    <w:tcW w:w="851" w:type="dxa"/>
                    <w:shd w:val="clear" w:color="auto" w:fill="FFFFFF" w:themeFill="background1"/>
                  </w:tcPr>
                  <w:p>
                    <w:pPr>
                      <w:ind w:left="-57" w:right="-57"/>
                      <w:jc w:val="center"/>
                      <w:rPr>
                        <w:sz w:val="20"/>
                      </w:rPr>
                    </w:pPr>
                    <w:r>
                      <w:rPr>
                        <w:sz w:val="20"/>
                      </w:rPr>
                      <w:t>98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645"/>
                </w:trPr>
                <w:tc>
                  <w:tcPr>
                    <w:tcW w:w="2410" w:type="dxa"/>
                    <w:vMerge w:val="restart"/>
                  </w:tcPr>
                  <w:p>
                    <w:pPr>
                      <w:rPr>
                        <w:sz w:val="20"/>
                      </w:rPr>
                    </w:pPr>
                    <w:r>
                      <w:rPr>
                        <w:sz w:val="20"/>
                      </w:rPr>
                      <w:t>9.3. Greitosios medicinos pagalbos automobilių, įrangos įsigijimas ir greitosios medicinos pagalbos stočių infrastruktūros pritaikymas,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GMP tarnyba</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26 078</w:t>
                    </w:r>
                  </w:p>
                </w:tc>
                <w:tc>
                  <w:tcPr>
                    <w:tcW w:w="992" w:type="dxa"/>
                  </w:tcPr>
                  <w:p>
                    <w:pPr>
                      <w:rPr>
                        <w:sz w:val="20"/>
                      </w:rPr>
                    </w:pPr>
                    <w:r>
                      <w:rPr>
                        <w:sz w:val="20"/>
                      </w:rPr>
                      <w:t>2021–2027 m. IP (ERPF)</w:t>
                    </w:r>
                  </w:p>
                </w:tc>
                <w:tc>
                  <w:tcPr>
                    <w:tcW w:w="2551" w:type="dxa"/>
                  </w:tcPr>
                  <w:p>
                    <w:pPr>
                      <w:ind w:left="-57" w:right="-57"/>
                      <w:rPr>
                        <w:sz w:val="20"/>
                      </w:rPr>
                    </w:pPr>
                    <w:r>
                      <w:rPr>
                        <w:sz w:val="20"/>
                      </w:rPr>
                      <w:t xml:space="preserve">P – Greitosios medicinos pagalbos paslaugų infrastruktūros, kuriai skirta parama, pajėgumas, asmenys per metus </w:t>
                    </w:r>
                  </w:p>
                </w:tc>
                <w:tc>
                  <w:tcPr>
                    <w:tcW w:w="851" w:type="dxa"/>
                  </w:tcPr>
                  <w:p>
                    <w:pPr>
                      <w:ind w:left="-57" w:right="-57"/>
                      <w:jc w:val="center"/>
                      <w:rPr>
                        <w:sz w:val="20"/>
                      </w:rPr>
                    </w:pPr>
                    <w:r>
                      <w:rPr>
                        <w:sz w:val="20"/>
                      </w:rPr>
                      <w:t xml:space="preserve">2 000 000 </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645"/>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4 602</w:t>
                    </w:r>
                  </w:p>
                </w:tc>
                <w:tc>
                  <w:tcPr>
                    <w:tcW w:w="992" w:type="dxa"/>
                    <w:vMerge w:val="restart"/>
                  </w:tcPr>
                  <w:p>
                    <w:pPr>
                      <w:rPr>
                        <w:sz w:val="20"/>
                      </w:rPr>
                    </w:pPr>
                    <w:r>
                      <w:rPr>
                        <w:sz w:val="20"/>
                      </w:rPr>
                      <w:t>2021–2027 m. IP (BF)</w:t>
                    </w:r>
                  </w:p>
                </w:tc>
                <w:tc>
                  <w:tcPr>
                    <w:tcW w:w="2551" w:type="dxa"/>
                    <w:tcBorders>
                      <w:bottom w:val="single" w:sz="4" w:space="0" w:color="auto"/>
                    </w:tcBorders>
                  </w:tcPr>
                  <w:p>
                    <w:pPr>
                      <w:ind w:left="-57" w:right="-57"/>
                      <w:rPr>
                        <w:sz w:val="20"/>
                      </w:rPr>
                    </w:pPr>
                    <w:r>
                      <w:rPr>
                        <w:sz w:val="20"/>
                      </w:rPr>
                      <w:t xml:space="preserve">R </w:t>
                    </w:r>
                    <w:r>
                      <w:rPr>
                        <w:color w:val="000000"/>
                        <w:szCs w:val="24"/>
                      </w:rPr>
                      <w:t>–</w:t>
                    </w:r>
                    <w:r>
                      <w:rPr>
                        <w:sz w:val="20"/>
                      </w:rPr>
                      <w:t xml:space="preserve"> Greitosios medicinos pagalbos skubių įvykdytų iškvietimų paslaugų, suteiktų per 15 min. (mieste), dalis, proc. </w:t>
                    </w:r>
                  </w:p>
                </w:tc>
                <w:tc>
                  <w:tcPr>
                    <w:tcW w:w="851" w:type="dxa"/>
                  </w:tcPr>
                  <w:p>
                    <w:pPr>
                      <w:ind w:left="-57" w:right="-57"/>
                      <w:jc w:val="center"/>
                      <w:rPr>
                        <w:sz w:val="20"/>
                      </w:rPr>
                    </w:pPr>
                    <w:r>
                      <w:rPr>
                        <w:sz w:val="20"/>
                      </w:rPr>
                      <w:t>98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FFFFFF" w:themeFill="background1"/>
                  </w:tcPr>
                  <w:p>
                    <w:pPr>
                      <w:ind w:left="-57" w:right="-57"/>
                      <w:rPr>
                        <w:sz w:val="20"/>
                      </w:rPr>
                    </w:pPr>
                    <w:r>
                      <w:rPr>
                        <w:sz w:val="20"/>
                      </w:rPr>
                      <w:t xml:space="preserve">R </w:t>
                    </w:r>
                    <w:r>
                      <w:rPr>
                        <w:color w:val="000000"/>
                        <w:szCs w:val="24"/>
                      </w:rPr>
                      <w:t>–</w:t>
                    </w:r>
                    <w:r>
                      <w:rPr>
                        <w:sz w:val="20"/>
                      </w:rPr>
                      <w:t xml:space="preserve"> Greitosios medicinos pagalbos skubių įvykdytų iškvietimų paslaugų, suteiktų per 25 min. (kaime), dalis, proc. </w:t>
                    </w:r>
                  </w:p>
                </w:tc>
                <w:tc>
                  <w:tcPr>
                    <w:tcW w:w="851" w:type="dxa"/>
                    <w:shd w:val="clear" w:color="auto" w:fill="FFFFFF" w:themeFill="background1"/>
                  </w:tcPr>
                  <w:p>
                    <w:pPr>
                      <w:ind w:left="-57" w:right="-57"/>
                      <w:jc w:val="center"/>
                      <w:rPr>
                        <w:sz w:val="20"/>
                      </w:rPr>
                    </w:pPr>
                    <w:r>
                      <w:rPr>
                        <w:sz w:val="20"/>
                      </w:rPr>
                      <w:t>98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shd w:val="clear" w:color="auto" w:fill="F2F2F2" w:themeFill="background1" w:themeFillShade="F2"/>
                  </w:tcPr>
                  <w:p>
                    <w:pPr>
                      <w:tabs>
                        <w:tab w:val="left" w:pos="860"/>
                      </w:tabs>
                      <w:rPr>
                        <w:sz w:val="20"/>
                      </w:rPr>
                    </w:pPr>
                    <w:r>
                      <w:rPr>
                        <w:b/>
                        <w:bCs/>
                        <w:sz w:val="20"/>
                      </w:rPr>
                      <w:t>10.</w:t>
                    </w:r>
                    <w:r>
                      <w:rPr>
                        <w:sz w:val="20"/>
                      </w:rPr>
                      <w:t xml:space="preserve"> </w:t>
                    </w:r>
                    <w:r>
                      <w:rPr>
                        <w:b/>
                        <w:sz w:val="20"/>
                      </w:rPr>
                      <w:t>Sveikatos priežiūros specialistų pasiūlos užtikrinimas</w:t>
                    </w:r>
                  </w:p>
                </w:tc>
                <w:tc>
                  <w:tcPr>
                    <w:tcW w:w="709" w:type="dxa"/>
                    <w:vMerge w:val="restart"/>
                    <w:shd w:val="clear" w:color="auto" w:fill="F2F2F2" w:themeFill="background1" w:themeFillShade="F2"/>
                  </w:tcPr>
                  <w:p>
                    <w:pPr>
                      <w:rPr>
                        <w:sz w:val="20"/>
                      </w:rPr>
                    </w:pPr>
                    <w:r>
                      <w:rPr>
                        <w:sz w:val="20"/>
                      </w:rPr>
                      <w:t>-</w:t>
                    </w:r>
                  </w:p>
                </w:tc>
                <w:tc>
                  <w:tcPr>
                    <w:tcW w:w="1559"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b/>
                        <w:bCs/>
                        <w:sz w:val="20"/>
                        <w:lang w:val="en-US"/>
                      </w:rPr>
                    </w:pPr>
                    <w:r>
                      <w:rPr>
                        <w:b/>
                        <w:bCs/>
                        <w:sz w:val="20"/>
                        <w:lang w:val="en-US"/>
                      </w:rPr>
                      <w:t>30 786,642</w:t>
                    </w:r>
                  </w:p>
                  <w:p>
                    <w:pPr>
                      <w:rPr>
                        <w:b/>
                        <w:bCs/>
                        <w:sz w:val="20"/>
                      </w:rPr>
                    </w:pPr>
                  </w:p>
                </w:tc>
                <w:tc>
                  <w:tcPr>
                    <w:tcW w:w="992" w:type="dxa"/>
                    <w:shd w:val="clear" w:color="auto" w:fill="F2F2F2" w:themeFill="background1" w:themeFillShade="F2"/>
                  </w:tcPr>
                  <w:p>
                    <w:pPr>
                      <w:rPr>
                        <w:sz w:val="20"/>
                      </w:rPr>
                    </w:pPr>
                    <w:r>
                      <w:rPr>
                        <w:sz w:val="20"/>
                      </w:rPr>
                      <w:t>-</w:t>
                    </w:r>
                  </w:p>
                </w:tc>
                <w:tc>
                  <w:tcPr>
                    <w:tcW w:w="2551" w:type="dxa"/>
                    <w:vMerge w:val="restart"/>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Gyventojų, dėl laukimo laiko (ilgų eilių) atidėjusių kreipimąsi dėl sveikatos priežiūros paslaugų, dalis, proc.</w:t>
                    </w:r>
                  </w:p>
                </w:tc>
                <w:tc>
                  <w:tcPr>
                    <w:tcW w:w="851" w:type="dxa"/>
                    <w:vMerge w:val="restart"/>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(2030 m.)</w:t>
                    </w:r>
                  </w:p>
                </w:tc>
                <w:tc>
                  <w:tcPr>
                    <w:tcW w:w="992" w:type="dxa"/>
                    <w:vMerge w:val="restart"/>
                    <w:shd w:val="clear" w:color="auto" w:fill="F2F2F2" w:themeFill="background1" w:themeFillShade="F2"/>
                  </w:tcPr>
                  <w:p>
                    <w:pPr>
                      <w:rPr>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CCC0D9" w:themeFill="accent4" w:themeFillTint="66"/>
                  </w:tcPr>
                  <w:p>
                    <w:pPr>
                      <w:tabs>
                        <w:tab w:val="left" w:pos="860"/>
                      </w:tabs>
                      <w:rPr>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rPr>
                    </w:pPr>
                    <w:r>
                      <w:rPr>
                        <w:sz w:val="20"/>
                      </w:rPr>
                      <w:t>26 168,646</w:t>
                    </w:r>
                  </w:p>
                </w:tc>
                <w:tc>
                  <w:tcPr>
                    <w:tcW w:w="992" w:type="dxa"/>
                    <w:shd w:val="clear" w:color="auto" w:fill="F2F2F2" w:themeFill="background1" w:themeFillShade="F2"/>
                  </w:tcPr>
                  <w:p>
                    <w:pPr>
                      <w:rPr>
                        <w:sz w:val="20"/>
                      </w:rPr>
                    </w:pPr>
                    <w:r>
                      <w:rPr>
                        <w:sz w:val="20"/>
                      </w:rPr>
                      <w:t>2021–2027 m. IP (ESF+, VVL regionas)</w:t>
                    </w:r>
                  </w:p>
                </w:tc>
                <w:tc>
                  <w:tcPr>
                    <w:tcW w:w="2551" w:type="dxa"/>
                    <w:vMerge/>
                    <w:shd w:val="clear" w:color="auto" w:fill="CCC0D9" w:themeFill="accent4" w:themeFillTint="66"/>
                  </w:tcPr>
                  <w:p>
                    <w:pPr>
                      <w:ind w:left="-57" w:right="-57"/>
                      <w:rPr>
                        <w:sz w:val="20"/>
                      </w:rPr>
                    </w:pPr>
                  </w:p>
                </w:tc>
                <w:tc>
                  <w:tcPr>
                    <w:tcW w:w="851" w:type="dxa"/>
                    <w:vMerge/>
                    <w:shd w:val="clear" w:color="auto" w:fill="CCC0D9" w:themeFill="accent4" w:themeFillTint="66"/>
                  </w:tcPr>
                  <w:p>
                    <w:pPr>
                      <w:ind w:left="-57" w:right="-57"/>
                      <w:jc w:val="center"/>
                      <w:rPr>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CCC0D9" w:themeFill="accent4" w:themeFillTint="66"/>
                  </w:tcPr>
                  <w:p>
                    <w:pPr>
                      <w:tabs>
                        <w:tab w:val="left" w:pos="860"/>
                      </w:tabs>
                      <w:rPr>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trike/>
                        <w:sz w:val="20"/>
                      </w:rPr>
                    </w:pPr>
                  </w:p>
                  <w:p>
                    <w:pPr>
                      <w:rPr>
                        <w:sz w:val="20"/>
                        <w:lang w:val="en-US"/>
                      </w:rPr>
                    </w:pPr>
                    <w:r>
                      <w:rPr>
                        <w:sz w:val="20"/>
                      </w:rPr>
                      <w:t>4 617,996</w:t>
                    </w:r>
                  </w:p>
                </w:tc>
                <w:tc>
                  <w:tcPr>
                    <w:tcW w:w="992" w:type="dxa"/>
                    <w:shd w:val="clear" w:color="auto" w:fill="F2F2F2" w:themeFill="background1" w:themeFillShade="F2"/>
                  </w:tcPr>
                  <w:p>
                    <w:pPr>
                      <w:rPr>
                        <w:sz w:val="20"/>
                      </w:rPr>
                    </w:pPr>
                    <w:r>
                      <w:rPr>
                        <w:sz w:val="20"/>
                      </w:rPr>
                      <w:t>2021–2027 m. IP (BF, VVL regionas)</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963"/>
                </w:trPr>
                <w:tc>
                  <w:tcPr>
                    <w:tcW w:w="2410" w:type="dxa"/>
                    <w:vMerge w:val="restart"/>
                    <w:shd w:val="clear" w:color="auto" w:fill="auto"/>
                  </w:tcPr>
                  <w:p>
                    <w:pPr>
                      <w:rPr>
                        <w:sz w:val="20"/>
                      </w:rPr>
                    </w:pPr>
                    <w:r>
                      <w:rPr>
                        <w:sz w:val="20"/>
                      </w:rPr>
                      <w:t>10.1. Sveikatos žmogiškųjų išteklių valdymo efektyvumo didinimas,</w:t>
                    </w:r>
                    <w:r>
                      <w:t xml:space="preserve"> </w:t>
                    </w:r>
                    <w:r>
                      <w:rPr>
                        <w:sz w:val="20"/>
                      </w:rPr>
                      <w:t>Vidurio ir vakarų Lietuvos regionas</w:t>
                    </w:r>
                  </w:p>
                </w:tc>
                <w:tc>
                  <w:tcPr>
                    <w:tcW w:w="709" w:type="dxa"/>
                    <w:vMerge w:val="restart"/>
                    <w:shd w:val="clear" w:color="auto" w:fill="auto"/>
                  </w:tcPr>
                  <w:p>
                    <w:pPr>
                      <w:rPr>
                        <w:sz w:val="20"/>
                      </w:rPr>
                    </w:pPr>
                    <w:r>
                      <w:rPr>
                        <w:sz w:val="20"/>
                      </w:rPr>
                      <w:t>M</w:t>
                    </w:r>
                  </w:p>
                  <w:p>
                    <w:pPr>
                      <w:rPr>
                        <w:sz w:val="20"/>
                      </w:rPr>
                    </w:pPr>
                  </w:p>
                </w:tc>
                <w:tc>
                  <w:tcPr>
                    <w:tcW w:w="1559" w:type="dxa"/>
                    <w:vMerge w:val="restart"/>
                    <w:shd w:val="clear" w:color="auto" w:fill="auto"/>
                  </w:tcPr>
                  <w:p>
                    <w:pPr>
                      <w:rPr>
                        <w:sz w:val="20"/>
                      </w:rPr>
                    </w:pPr>
                    <w:r>
                      <w:rPr>
                        <w:sz w:val="20"/>
                      </w:rPr>
                      <w:t>SAM</w:t>
                    </w:r>
                  </w:p>
                  <w:p>
                    <w:pPr>
                      <w:rPr>
                        <w:sz w:val="20"/>
                      </w:rPr>
                    </w:pPr>
                  </w:p>
                </w:tc>
                <w:tc>
                  <w:tcPr>
                    <w:tcW w:w="709" w:type="dxa"/>
                    <w:vMerge w:val="restart"/>
                    <w:shd w:val="clear" w:color="auto" w:fill="auto"/>
                  </w:tcPr>
                  <w:p>
                    <w:pPr>
                      <w:rPr>
                        <w:sz w:val="20"/>
                      </w:rPr>
                    </w:pPr>
                    <w:r>
                      <w:rPr>
                        <w:sz w:val="20"/>
                      </w:rPr>
                      <w:t>P</w:t>
                    </w:r>
                  </w:p>
                  <w:p>
                    <w:pPr>
                      <w:rPr>
                        <w:sz w:val="20"/>
                      </w:rPr>
                    </w:pPr>
                  </w:p>
                </w:tc>
                <w:tc>
                  <w:tcPr>
                    <w:tcW w:w="992" w:type="dxa"/>
                    <w:vMerge w:val="restart"/>
                    <w:shd w:val="clear" w:color="auto" w:fill="auto"/>
                  </w:tcPr>
                  <w:p>
                    <w:pPr>
                      <w:rPr>
                        <w:sz w:val="20"/>
                      </w:rPr>
                    </w:pPr>
                    <w:r>
                      <w:rPr>
                        <w:sz w:val="20"/>
                      </w:rPr>
                      <w:t>Taip</w:t>
                    </w:r>
                  </w:p>
                </w:tc>
                <w:tc>
                  <w:tcPr>
                    <w:tcW w:w="709" w:type="dxa"/>
                    <w:vMerge w:val="restart"/>
                    <w:shd w:val="clear" w:color="auto" w:fill="auto"/>
                  </w:tcPr>
                  <w:p>
                    <w:pPr>
                      <w:rPr>
                        <w:sz w:val="20"/>
                      </w:rPr>
                    </w:pPr>
                    <w:r>
                      <w:rPr>
                        <w:sz w:val="20"/>
                      </w:rPr>
                      <w:t>D</w:t>
                    </w:r>
                  </w:p>
                </w:tc>
                <w:tc>
                  <w:tcPr>
                    <w:tcW w:w="1276" w:type="dxa"/>
                    <w:shd w:val="clear" w:color="auto" w:fill="auto"/>
                  </w:tcPr>
                  <w:p>
                    <w:pPr>
                      <w:rPr>
                        <w:sz w:val="20"/>
                        <w:lang w:val="en-US"/>
                      </w:rPr>
                    </w:pPr>
                    <w:r>
                      <w:rPr>
                        <w:sz w:val="20"/>
                        <w:lang w:val="en-US"/>
                      </w:rPr>
                      <w:t>467,50</w:t>
                    </w:r>
                  </w:p>
                  <w:p>
                    <w:pPr>
                      <w:rPr>
                        <w:sz w:val="20"/>
                        <w:lang w:val="en-US"/>
                      </w:rPr>
                    </w:pPr>
                  </w:p>
                  <w:p>
                    <w:pPr>
                      <w:rPr>
                        <w:sz w:val="20"/>
                        <w:lang w:val="en-US"/>
                      </w:rPr>
                    </w:pPr>
                  </w:p>
                  <w:p>
                    <w:pPr>
                      <w:rPr>
                        <w:sz w:val="20"/>
                        <w:lang w:val="en-US"/>
                      </w:rPr>
                    </w:pPr>
                  </w:p>
                </w:tc>
                <w:tc>
                  <w:tcPr>
                    <w:tcW w:w="992" w:type="dxa"/>
                    <w:shd w:val="clear" w:color="auto" w:fill="auto"/>
                  </w:tcPr>
                  <w:p>
                    <w:pPr>
                      <w:rPr>
                        <w:sz w:val="20"/>
                      </w:rPr>
                    </w:pPr>
                    <w:r>
                      <w:rPr>
                        <w:sz w:val="20"/>
                      </w:rPr>
                      <w:t>2021–2027 m. IP (ESF+)</w:t>
                    </w:r>
                  </w:p>
                  <w:p>
                    <w:pPr>
                      <w:rPr>
                        <w:sz w:val="20"/>
                      </w:rPr>
                    </w:pPr>
                  </w:p>
                </w:tc>
                <w:tc>
                  <w:tcPr>
                    <w:tcW w:w="2551" w:type="dxa"/>
                    <w:vMerge w:val="restart"/>
                    <w:shd w:val="clear" w:color="auto" w:fill="auto"/>
                  </w:tcPr>
                  <w:p>
                    <w:pPr>
                      <w:ind w:left="-57" w:right="-57"/>
                      <w:rPr>
                        <w:sz w:val="20"/>
                      </w:rPr>
                    </w:pPr>
                    <w:r>
                      <w:rPr>
                        <w:sz w:val="20"/>
                      </w:rPr>
                      <w:t>P – Paramą gavusių nacionalinio, regionų ar vietos lygmens viešojo administravimo ar viešąsias paslaugas teikiančių įstaigų skaičius, subjektų skaičius</w:t>
                    </w:r>
                  </w:p>
                </w:tc>
                <w:tc>
                  <w:tcPr>
                    <w:tcW w:w="851" w:type="dxa"/>
                    <w:vMerge w:val="restart"/>
                    <w:shd w:val="clear" w:color="auto" w:fill="auto"/>
                  </w:tcPr>
                  <w:p>
                    <w:pPr>
                      <w:ind w:left="-57" w:right="-57"/>
                      <w:jc w:val="center"/>
                      <w:rPr>
                        <w:sz w:val="20"/>
                      </w:rPr>
                    </w:pPr>
                    <w:r>
                      <w:rPr>
                        <w:sz w:val="20"/>
                      </w:rPr>
                      <w:t>1</w:t>
                    </w:r>
                  </w:p>
                  <w:p>
                    <w:pPr>
                      <w:ind w:left="-57" w:right="-57"/>
                      <w:jc w:val="center"/>
                      <w:rPr>
                        <w:sz w:val="20"/>
                      </w:rPr>
                    </w:pPr>
                    <w:r>
                      <w:rPr>
                        <w:sz w:val="20"/>
                      </w:rPr>
                      <w:t>(2029 m.)</w:t>
                    </w: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rPr>
                        <w:sz w:val="20"/>
                      </w:rPr>
                    </w:pPr>
                  </w:p>
                </w:tc>
              </w:tr>
              <w:tr>
                <w:trPr>
                  <w:trHeight w:val="329"/>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val="restart"/>
                    <w:shd w:val="clear" w:color="auto" w:fill="auto"/>
                  </w:tcPr>
                  <w:p>
                    <w:pPr>
                      <w:rPr>
                        <w:sz w:val="20"/>
                        <w:lang w:val="en-US"/>
                      </w:rPr>
                    </w:pPr>
                  </w:p>
                  <w:p>
                    <w:pPr>
                      <w:rPr>
                        <w:sz w:val="20"/>
                        <w:lang w:val="en-US"/>
                      </w:rPr>
                    </w:pPr>
                    <w:r>
                      <w:rPr>
                        <w:sz w:val="20"/>
                        <w:lang w:val="en-US"/>
                      </w:rPr>
                      <w:t>82,50</w:t>
                    </w:r>
                  </w:p>
                </w:tc>
                <w:tc>
                  <w:tcPr>
                    <w:tcW w:w="992" w:type="dxa"/>
                    <w:vMerge w:val="restart"/>
                    <w:shd w:val="clear" w:color="auto" w:fill="auto"/>
                  </w:tcPr>
                  <w:p>
                    <w:pPr>
                      <w:rPr>
                        <w:sz w:val="20"/>
                      </w:rPr>
                    </w:pPr>
                    <w:r>
                      <w:rPr>
                        <w:sz w:val="20"/>
                      </w:rPr>
                      <w:t xml:space="preserve">2021–2027 m.  IP (BF)</w:t>
                    </w:r>
                  </w:p>
                  <w:p>
                    <w:pPr>
                      <w:rPr>
                        <w:sz w:val="20"/>
                      </w:rPr>
                    </w:pPr>
                  </w:p>
                </w:tc>
                <w:tc>
                  <w:tcPr>
                    <w:tcW w:w="2551" w:type="dxa"/>
                    <w:vMerge/>
                    <w:shd w:val="clear" w:color="auto" w:fill="auto"/>
                  </w:tcPr>
                  <w:p>
                    <w:pPr>
                      <w:ind w:left="-57" w:right="-57"/>
                      <w:jc w:val="both"/>
                      <w:rPr>
                        <w:sz w:val="20"/>
                      </w:rPr>
                    </w:pPr>
                  </w:p>
                </w:tc>
                <w:tc>
                  <w:tcPr>
                    <w:tcW w:w="851" w:type="dxa"/>
                    <w:vMerge/>
                    <w:shd w:val="clear" w:color="auto" w:fill="auto"/>
                  </w:tcPr>
                  <w:p>
                    <w:pPr>
                      <w:ind w:left="-57" w:right="-57"/>
                      <w:jc w:val="center"/>
                      <w:rPr>
                        <w:sz w:val="20"/>
                      </w:rPr>
                    </w:pP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tcPr>
                  <w:p>
                    <w:pPr>
                      <w:jc w:val="center"/>
                      <w:rPr>
                        <w:sz w:val="20"/>
                      </w:rPr>
                    </w:pPr>
                  </w:p>
                </w:tc>
              </w:tr>
              <w:tr>
                <w:trPr>
                  <w:trHeight w:val="987"/>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lang w:val="en-US"/>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P – Parengta ir patvirtinta ilgalaikė sveikatos žmogiškųjų išteklių valdymo strategija, vnt.</w:t>
                    </w:r>
                  </w:p>
                </w:tc>
                <w:tc>
                  <w:tcPr>
                    <w:tcW w:w="851" w:type="dxa"/>
                    <w:shd w:val="clear" w:color="auto" w:fill="auto"/>
                  </w:tcPr>
                  <w:p>
                    <w:pPr>
                      <w:jc w:val="center"/>
                      <w:rPr>
                        <w:sz w:val="20"/>
                      </w:rPr>
                    </w:pPr>
                    <w:r>
                      <w:rPr>
                        <w:sz w:val="20"/>
                      </w:rPr>
                      <w:t>1</w:t>
                    </w:r>
                  </w:p>
                  <w:p>
                    <w:pPr>
                      <w:ind w:left="-57" w:right="-57" w:firstLine="53"/>
                      <w:jc w:val="center"/>
                      <w:rPr>
                        <w:sz w:val="20"/>
                      </w:rPr>
                    </w:pPr>
                    <w:r>
                      <w:rPr>
                        <w:sz w:val="20"/>
                      </w:rPr>
                      <w:t>(2026 m.)</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tcPr>
                  <w:p>
                    <w:pPr>
                      <w:jc w:val="center"/>
                      <w:rPr>
                        <w:sz w:val="20"/>
                      </w:rPr>
                    </w:pPr>
                  </w:p>
                </w:tc>
              </w:tr>
              <w:tr>
                <w:trPr>
                  <w:trHeight w:val="618"/>
                </w:trPr>
                <w:tc>
                  <w:tcPr>
                    <w:tcW w:w="2410" w:type="dxa"/>
                    <w:vMerge w:val="restart"/>
                    <w:tcBorders>
                      <w:bottom w:val="single" w:sz="4" w:space="0" w:color="auto"/>
                    </w:tcBorders>
                    <w:shd w:val="clear" w:color="auto" w:fill="auto"/>
                  </w:tcPr>
                  <w:p>
                    <w:pPr>
                      <w:rPr>
                        <w:sz w:val="20"/>
                      </w:rPr>
                    </w:pPr>
                    <w:r>
                      <w:rPr>
                        <w:sz w:val="20"/>
                      </w:rPr>
                      <w:t>10.2. Sveikatos priežiūros specialistų įgalinimo, pritraukimo ir išlaikymo sveikatos priežiūros įstaigoje modelio kūrimas ir diegimas, Vidurio ir vakarų Lietuvos regionas</w:t>
                    </w:r>
                  </w:p>
                </w:tc>
                <w:tc>
                  <w:tcPr>
                    <w:tcW w:w="709" w:type="dxa"/>
                    <w:vMerge w:val="restart"/>
                    <w:tcBorders>
                      <w:bottom w:val="single" w:sz="4" w:space="0" w:color="auto"/>
                    </w:tcBorders>
                    <w:shd w:val="clear" w:color="auto" w:fill="auto"/>
                  </w:tcPr>
                  <w:p>
                    <w:pPr>
                      <w:rPr>
                        <w:sz w:val="20"/>
                      </w:rPr>
                    </w:pPr>
                    <w:r>
                      <w:rPr>
                        <w:sz w:val="20"/>
                      </w:rPr>
                      <w:t>I</w:t>
                    </w:r>
                  </w:p>
                </w:tc>
                <w:tc>
                  <w:tcPr>
                    <w:tcW w:w="1559" w:type="dxa"/>
                    <w:vMerge w:val="restart"/>
                    <w:tcBorders>
                      <w:bottom w:val="single" w:sz="4" w:space="0" w:color="auto"/>
                    </w:tcBorders>
                    <w:shd w:val="clear" w:color="auto" w:fill="auto"/>
                  </w:tcPr>
                  <w:p>
                    <w:pPr>
                      <w:rPr>
                        <w:sz w:val="20"/>
                      </w:rPr>
                    </w:pPr>
                    <w:r>
                      <w:rPr>
                        <w:sz w:val="20"/>
                      </w:rPr>
                      <w:t>SAM</w:t>
                    </w:r>
                  </w:p>
                </w:tc>
                <w:tc>
                  <w:tcPr>
                    <w:tcW w:w="709" w:type="dxa"/>
                    <w:vMerge w:val="restart"/>
                    <w:tcBorders>
                      <w:bottom w:val="single" w:sz="4" w:space="0" w:color="auto"/>
                    </w:tcBorders>
                    <w:shd w:val="clear" w:color="auto" w:fill="auto"/>
                  </w:tcPr>
                  <w:p>
                    <w:pPr>
                      <w:rPr>
                        <w:sz w:val="20"/>
                      </w:rPr>
                    </w:pPr>
                    <w:r>
                      <w:rPr>
                        <w:sz w:val="20"/>
                      </w:rPr>
                      <w:t>P</w:t>
                    </w:r>
                  </w:p>
                </w:tc>
                <w:tc>
                  <w:tcPr>
                    <w:tcW w:w="992" w:type="dxa"/>
                    <w:vMerge w:val="restart"/>
                    <w:tcBorders>
                      <w:bottom w:val="single" w:sz="4" w:space="0" w:color="auto"/>
                    </w:tcBorders>
                    <w:shd w:val="clear" w:color="auto" w:fill="auto"/>
                  </w:tcPr>
                  <w:p>
                    <w:pPr>
                      <w:rPr>
                        <w:sz w:val="20"/>
                      </w:rPr>
                    </w:pPr>
                    <w:r>
                      <w:rPr>
                        <w:sz w:val="20"/>
                      </w:rPr>
                      <w:t>Taip</w:t>
                    </w:r>
                  </w:p>
                </w:tc>
                <w:tc>
                  <w:tcPr>
                    <w:tcW w:w="709" w:type="dxa"/>
                    <w:vMerge w:val="restart"/>
                    <w:tcBorders>
                      <w:bottom w:val="single" w:sz="4" w:space="0" w:color="auto"/>
                    </w:tcBorders>
                    <w:shd w:val="clear" w:color="auto" w:fill="auto"/>
                  </w:tcPr>
                  <w:p>
                    <w:pPr>
                      <w:rPr>
                        <w:sz w:val="20"/>
                      </w:rPr>
                    </w:pPr>
                    <w:r>
                      <w:rPr>
                        <w:sz w:val="20"/>
                      </w:rPr>
                      <w:t>D</w:t>
                    </w:r>
                  </w:p>
                </w:tc>
                <w:tc>
                  <w:tcPr>
                    <w:tcW w:w="1276" w:type="dxa"/>
                    <w:vMerge w:val="restart"/>
                    <w:tcBorders>
                      <w:bottom w:val="single" w:sz="4" w:space="0" w:color="auto"/>
                    </w:tcBorders>
                    <w:shd w:val="clear" w:color="auto" w:fill="auto"/>
                  </w:tcPr>
                  <w:p>
                    <w:pPr>
                      <w:rPr>
                        <w:sz w:val="20"/>
                        <w:lang w:val="en-US"/>
                      </w:rPr>
                    </w:pPr>
                    <w:r>
                      <w:rPr>
                        <w:sz w:val="20"/>
                        <w:lang w:val="en-US"/>
                      </w:rPr>
                      <w:t xml:space="preserve">1 880,455 </w:t>
                    </w:r>
                  </w:p>
                  <w:p>
                    <w:pPr>
                      <w:rPr>
                        <w:sz w:val="20"/>
                        <w:lang w:val="en-US"/>
                      </w:rPr>
                    </w:pPr>
                  </w:p>
                  <w:p>
                    <w:pPr>
                      <w:rPr>
                        <w:sz w:val="20"/>
                        <w:lang w:val="en-US"/>
                      </w:rPr>
                    </w:pPr>
                  </w:p>
                  <w:p>
                    <w:pPr>
                      <w:rPr>
                        <w:sz w:val="20"/>
                        <w:lang w:val="en-US"/>
                      </w:rPr>
                    </w:pPr>
                  </w:p>
                  <w:p>
                    <w:pPr>
                      <w:rPr>
                        <w:sz w:val="20"/>
                        <w:lang w:val="en-US"/>
                      </w:rPr>
                    </w:pPr>
                  </w:p>
                  <w:p>
                    <w:pPr>
                      <w:rPr>
                        <w:sz w:val="20"/>
                        <w:lang w:val="en-US"/>
                      </w:rPr>
                    </w:pPr>
                  </w:p>
                  <w:p>
                    <w:pPr>
                      <w:rPr>
                        <w:sz w:val="20"/>
                        <w:lang w:val="en-US"/>
                      </w:rPr>
                    </w:pPr>
                  </w:p>
                  <w:p>
                    <w:pPr>
                      <w:rPr>
                        <w:sz w:val="20"/>
                        <w:lang w:val="en-US"/>
                      </w:rPr>
                    </w:pPr>
                    <w:r>
                      <w:rPr>
                        <w:sz w:val="20"/>
                        <w:lang w:val="en-US"/>
                      </w:rPr>
                      <w:t>331,845</w:t>
                    </w:r>
                  </w:p>
                  <w:p>
                    <w:pPr>
                      <w:rPr>
                        <w:sz w:val="20"/>
                        <w:lang w:val="en-US"/>
                      </w:rPr>
                    </w:pPr>
                  </w:p>
                  <w:p>
                    <w:pPr>
                      <w:rPr>
                        <w:sz w:val="20"/>
                        <w:lang w:val="en-US"/>
                      </w:rPr>
                    </w:pPr>
                  </w:p>
                </w:tc>
                <w:tc>
                  <w:tcPr>
                    <w:tcW w:w="992" w:type="dxa"/>
                    <w:vMerge w:val="restart"/>
                    <w:tcBorders>
                      <w:bottom w:val="single" w:sz="4" w:space="0" w:color="auto"/>
                    </w:tcBorders>
                    <w:shd w:val="clear" w:color="auto" w:fill="auto"/>
                  </w:tcPr>
                  <w:p>
                    <w:pPr>
                      <w:rPr>
                        <w:sz w:val="20"/>
                      </w:rPr>
                    </w:pPr>
                    <w:r>
                      <w:rPr>
                        <w:sz w:val="20"/>
                      </w:rPr>
                      <w:t xml:space="preserve">2021–2027 m. IP (ESF+) </w:t>
                    </w:r>
                  </w:p>
                  <w:p>
                    <w:pPr>
                      <w:rPr>
                        <w:sz w:val="20"/>
                      </w:rPr>
                    </w:pPr>
                  </w:p>
                  <w:p>
                    <w:pPr>
                      <w:rPr>
                        <w:sz w:val="20"/>
                      </w:rPr>
                    </w:pPr>
                  </w:p>
                  <w:p>
                    <w:pPr>
                      <w:rPr>
                        <w:sz w:val="20"/>
                      </w:rPr>
                    </w:pPr>
                  </w:p>
                  <w:p>
                    <w:pPr>
                      <w:rPr>
                        <w:sz w:val="20"/>
                      </w:rPr>
                    </w:pPr>
                    <w:r>
                      <w:rPr>
                        <w:sz w:val="20"/>
                      </w:rPr>
                      <w:t>2021–2027 m. IP (BF)</w:t>
                    </w:r>
                  </w:p>
                  <w:p>
                    <w:pPr>
                      <w:rPr>
                        <w:sz w:val="20"/>
                      </w:rPr>
                    </w:pPr>
                  </w:p>
                  <w:p>
                    <w:pPr>
                      <w:rPr>
                        <w:sz w:val="20"/>
                      </w:rPr>
                    </w:pPr>
                  </w:p>
                </w:tc>
                <w:tc>
                  <w:tcPr>
                    <w:tcW w:w="2551" w:type="dxa"/>
                    <w:tcBorders>
                      <w:bottom w:val="single" w:sz="4" w:space="0" w:color="auto"/>
                    </w:tcBorders>
                    <w:shd w:val="clear" w:color="auto" w:fill="auto"/>
                  </w:tcPr>
                  <w:p>
                    <w:pPr>
                      <w:ind w:left="-57" w:right="-57"/>
                      <w:rPr>
                        <w:sz w:val="20"/>
                      </w:rPr>
                    </w:pPr>
                    <w:r>
                      <w:rPr>
                        <w:sz w:val="20"/>
                      </w:rPr>
                      <w:t>P – Paramą gavusių nacionalinio, regionų ar vietos lygmens viešojo administravimo ar viešąsias paslaugas teikiančių įstaigų skaičius, subjektų skaičius</w:t>
                    </w:r>
                  </w:p>
                  <w:p>
                    <w:pPr>
                      <w:ind w:left="-57" w:right="-57"/>
                      <w:rPr>
                        <w:sz w:val="20"/>
                      </w:rPr>
                    </w:pPr>
                  </w:p>
                </w:tc>
                <w:tc>
                  <w:tcPr>
                    <w:tcW w:w="851" w:type="dxa"/>
                    <w:shd w:val="clear" w:color="auto" w:fill="auto"/>
                  </w:tcPr>
                  <w:p>
                    <w:pPr>
                      <w:tabs>
                        <w:tab w:val="left" w:pos="184"/>
                        <w:tab w:val="center" w:pos="317"/>
                      </w:tabs>
                      <w:ind w:left="-57" w:right="-57"/>
                      <w:jc w:val="center"/>
                      <w:rPr>
                        <w:sz w:val="20"/>
                      </w:rPr>
                    </w:pPr>
                    <w:r>
                      <w:rPr>
                        <w:sz w:val="20"/>
                      </w:rPr>
                      <w:t>I</w:t>
                    </w:r>
                  </w:p>
                  <w:p>
                    <w:pPr>
                      <w:tabs>
                        <w:tab w:val="left" w:pos="184"/>
                        <w:tab w:val="center" w:pos="317"/>
                      </w:tabs>
                      <w:ind w:left="-57" w:right="-57"/>
                      <w:jc w:val="center"/>
                      <w:rPr>
                        <w:sz w:val="20"/>
                      </w:rPr>
                    </w:pPr>
                    <w:r>
                      <w:rPr>
                        <w:sz w:val="20"/>
                      </w:rPr>
                      <w:t>(2029 m.)</w:t>
                    </w:r>
                  </w:p>
                  <w:p>
                    <w:pPr>
                      <w:tabs>
                        <w:tab w:val="left" w:pos="184"/>
                        <w:tab w:val="center" w:pos="317"/>
                      </w:tabs>
                      <w:ind w:left="-57" w:right="-57"/>
                      <w:jc w:val="center"/>
                      <w:rPr>
                        <w:sz w:val="20"/>
                      </w:rPr>
                    </w:pPr>
                  </w:p>
                  <w:p>
                    <w:pPr>
                      <w:tabs>
                        <w:tab w:val="left" w:pos="184"/>
                        <w:tab w:val="center" w:pos="317"/>
                      </w:tabs>
                      <w:ind w:left="-57" w:right="-57"/>
                      <w:jc w:val="center"/>
                      <w:rPr>
                        <w:sz w:val="20"/>
                      </w:rPr>
                    </w:pPr>
                  </w:p>
                  <w:p>
                    <w:pPr>
                      <w:tabs>
                        <w:tab w:val="left" w:pos="184"/>
                        <w:tab w:val="center" w:pos="317"/>
                      </w:tabs>
                      <w:ind w:left="-57" w:right="-57"/>
                      <w:jc w:val="center"/>
                      <w:rPr>
                        <w:sz w:val="20"/>
                      </w:rPr>
                    </w:pPr>
                  </w:p>
                  <w:p>
                    <w:pPr>
                      <w:tabs>
                        <w:tab w:val="left" w:pos="184"/>
                        <w:tab w:val="center" w:pos="317"/>
                      </w:tabs>
                      <w:ind w:left="-57" w:right="-57"/>
                      <w:jc w:val="center"/>
                      <w:rPr>
                        <w:sz w:val="20"/>
                      </w:rPr>
                    </w:pPr>
                  </w:p>
                </w:tc>
                <w:tc>
                  <w:tcPr>
                    <w:tcW w:w="992" w:type="dxa"/>
                    <w:vMerge w:val="restart"/>
                    <w:tcBorders>
                      <w:bottom w:val="single" w:sz="4" w:space="0" w:color="auto"/>
                    </w:tcBorders>
                    <w:shd w:val="clear" w:color="auto" w:fill="auto"/>
                  </w:tcPr>
                  <w:p>
                    <w:pPr>
                      <w:rPr>
                        <w:sz w:val="20"/>
                      </w:rPr>
                    </w:pPr>
                    <w:r>
                      <w:rPr>
                        <w:sz w:val="20"/>
                      </w:rPr>
                      <w:t>CPVA</w:t>
                    </w:r>
                  </w:p>
                  <w:p>
                    <w:pPr>
                      <w:rPr>
                        <w:sz w:val="20"/>
                      </w:rPr>
                    </w:pPr>
                  </w:p>
                </w:tc>
                <w:tc>
                  <w:tcPr>
                    <w:tcW w:w="1276" w:type="dxa"/>
                    <w:vMerge w:val="restart"/>
                    <w:tcBorders>
                      <w:left w:val="single" w:sz="4" w:space="0" w:color="auto"/>
                      <w:bottom w:val="single" w:sz="4" w:space="0" w:color="auto"/>
                      <w:right w:val="single" w:sz="4" w:space="0" w:color="auto"/>
                    </w:tcBorders>
                    <w:shd w:val="clear" w:color="auto" w:fill="auto"/>
                  </w:tcPr>
                  <w:p>
                    <w:pPr>
                      <w:jc w:val="center"/>
                      <w:rPr>
                        <w:sz w:val="20"/>
                      </w:rPr>
                    </w:pPr>
                    <w:r>
                      <w:rPr>
                        <w:sz w:val="20"/>
                      </w:rPr>
                      <w:t>SAM</w:t>
                    </w:r>
                  </w:p>
                </w:tc>
              </w:tr>
              <w:tr>
                <w:trPr>
                  <w:trHeight w:val="1486"/>
                </w:trPr>
                <w:tc>
                  <w:tcPr>
                    <w:tcW w:w="2410" w:type="dxa"/>
                    <w:vMerge/>
                    <w:tcBorders>
                      <w:bottom w:val="single" w:sz="4" w:space="0" w:color="auto"/>
                    </w:tcBorders>
                    <w:shd w:val="clear" w:color="auto" w:fill="auto"/>
                  </w:tcPr>
                  <w:p>
                    <w:pPr>
                      <w:rPr>
                        <w:sz w:val="20"/>
                      </w:rPr>
                    </w:pPr>
                  </w:p>
                </w:tc>
                <w:tc>
                  <w:tcPr>
                    <w:tcW w:w="709" w:type="dxa"/>
                    <w:vMerge/>
                    <w:tcBorders>
                      <w:bottom w:val="single" w:sz="4" w:space="0" w:color="auto"/>
                    </w:tcBorders>
                    <w:shd w:val="clear" w:color="auto" w:fill="auto"/>
                  </w:tcPr>
                  <w:p>
                    <w:pPr>
                      <w:rPr>
                        <w:sz w:val="20"/>
                      </w:rPr>
                    </w:pPr>
                  </w:p>
                </w:tc>
                <w:tc>
                  <w:tcPr>
                    <w:tcW w:w="1559" w:type="dxa"/>
                    <w:vMerge/>
                    <w:tcBorders>
                      <w:bottom w:val="single" w:sz="4" w:space="0" w:color="auto"/>
                    </w:tcBorders>
                    <w:shd w:val="clear" w:color="auto" w:fill="auto"/>
                  </w:tcPr>
                  <w:p>
                    <w:pPr>
                      <w:rPr>
                        <w:sz w:val="20"/>
                      </w:rPr>
                    </w:pPr>
                  </w:p>
                </w:tc>
                <w:tc>
                  <w:tcPr>
                    <w:tcW w:w="709" w:type="dxa"/>
                    <w:vMerge/>
                    <w:tcBorders>
                      <w:bottom w:val="single" w:sz="4" w:space="0" w:color="auto"/>
                    </w:tcBorders>
                    <w:shd w:val="clear" w:color="auto" w:fill="auto"/>
                  </w:tcPr>
                  <w:p>
                    <w:pPr>
                      <w:rPr>
                        <w:sz w:val="20"/>
                      </w:rPr>
                    </w:pPr>
                  </w:p>
                </w:tc>
                <w:tc>
                  <w:tcPr>
                    <w:tcW w:w="992" w:type="dxa"/>
                    <w:vMerge/>
                    <w:tcBorders>
                      <w:bottom w:val="single" w:sz="4" w:space="0" w:color="auto"/>
                    </w:tcBorders>
                    <w:shd w:val="clear" w:color="auto" w:fill="auto"/>
                  </w:tcPr>
                  <w:p>
                    <w:pPr>
                      <w:rPr>
                        <w:sz w:val="20"/>
                      </w:rPr>
                    </w:pPr>
                  </w:p>
                </w:tc>
                <w:tc>
                  <w:tcPr>
                    <w:tcW w:w="709" w:type="dxa"/>
                    <w:vMerge/>
                    <w:tcBorders>
                      <w:bottom w:val="single" w:sz="4" w:space="0" w:color="auto"/>
                    </w:tcBorders>
                    <w:shd w:val="clear" w:color="auto" w:fill="auto"/>
                  </w:tcPr>
                  <w:p>
                    <w:pPr>
                      <w:rPr>
                        <w:sz w:val="20"/>
                      </w:rPr>
                    </w:pPr>
                  </w:p>
                </w:tc>
                <w:tc>
                  <w:tcPr>
                    <w:tcW w:w="1276" w:type="dxa"/>
                    <w:vMerge/>
                    <w:tcBorders>
                      <w:bottom w:val="single" w:sz="4" w:space="0" w:color="auto"/>
                    </w:tcBorders>
                    <w:shd w:val="clear" w:color="auto" w:fill="auto"/>
                  </w:tcPr>
                  <w:p>
                    <w:pPr>
                      <w:rPr>
                        <w:sz w:val="20"/>
                        <w:lang w:val="en-US"/>
                      </w:rPr>
                    </w:pPr>
                  </w:p>
                </w:tc>
                <w:tc>
                  <w:tcPr>
                    <w:tcW w:w="992" w:type="dxa"/>
                    <w:vMerge/>
                    <w:tcBorders>
                      <w:bottom w:val="single" w:sz="4" w:space="0" w:color="auto"/>
                    </w:tcBorders>
                    <w:shd w:val="clear" w:color="auto" w:fill="auto"/>
                  </w:tcPr>
                  <w:p>
                    <w:pPr>
                      <w:rPr>
                        <w:sz w:val="20"/>
                      </w:rPr>
                    </w:pPr>
                  </w:p>
                </w:tc>
                <w:tc>
                  <w:tcPr>
                    <w:tcW w:w="2551" w:type="dxa"/>
                    <w:tcBorders>
                      <w:bottom w:val="single" w:sz="4" w:space="0" w:color="auto"/>
                    </w:tcBorders>
                    <w:shd w:val="clear" w:color="auto" w:fill="auto"/>
                  </w:tcPr>
                  <w:p>
                    <w:pPr>
                      <w:ind w:left="-57" w:right="-57"/>
                      <w:rPr>
                        <w:sz w:val="20"/>
                      </w:rPr>
                    </w:pPr>
                    <w:r>
                      <w:rPr>
                        <w:sz w:val="20"/>
                      </w:rPr>
                      <w:t xml:space="preserve">P </w:t>
                    </w:r>
                    <w:r>
                      <w:rPr>
                        <w:color w:val="000000"/>
                        <w:szCs w:val="24"/>
                      </w:rPr>
                      <w:t>–</w:t>
                    </w:r>
                    <w:r>
                      <w:rPr>
                        <w:sz w:val="20"/>
                      </w:rPr>
                      <w:t xml:space="preserve"> Sveikatos priežiūros įstaigos, įgyvendinusios sveikatos priežiūros specialistų įgalinimo, pritraukimo ir išlaikymo projektus, skaičius </w:t>
                    </w:r>
                  </w:p>
                </w:tc>
                <w:tc>
                  <w:tcPr>
                    <w:tcW w:w="851" w:type="dxa"/>
                    <w:tcBorders>
                      <w:bottom w:val="single" w:sz="4" w:space="0" w:color="auto"/>
                    </w:tcBorders>
                    <w:shd w:val="clear" w:color="auto" w:fill="auto"/>
                  </w:tcPr>
                  <w:p>
                    <w:pPr>
                      <w:ind w:left="-57" w:right="-57"/>
                      <w:jc w:val="center"/>
                      <w:rPr>
                        <w:sz w:val="20"/>
                      </w:rPr>
                    </w:pPr>
                    <w:r>
                      <w:rPr>
                        <w:sz w:val="20"/>
                      </w:rPr>
                      <w:t>6</w:t>
                    </w:r>
                  </w:p>
                  <w:p>
                    <w:pPr>
                      <w:ind w:left="-57" w:right="-57"/>
                      <w:jc w:val="center"/>
                      <w:rPr>
                        <w:sz w:val="20"/>
                      </w:rPr>
                    </w:pPr>
                    <w:r>
                      <w:rPr>
                        <w:sz w:val="20"/>
                      </w:rPr>
                      <w:t>(2029 m.)</w:t>
                    </w:r>
                  </w:p>
                </w:tc>
                <w:tc>
                  <w:tcPr>
                    <w:tcW w:w="992" w:type="dxa"/>
                    <w:vMerge/>
                    <w:tcBorders>
                      <w:bottom w:val="single" w:sz="4" w:space="0" w:color="auto"/>
                    </w:tcBorders>
                    <w:shd w:val="clear" w:color="auto" w:fill="auto"/>
                  </w:tcPr>
                  <w:p>
                    <w:pPr>
                      <w:rPr>
                        <w:sz w:val="20"/>
                      </w:rPr>
                    </w:pPr>
                  </w:p>
                </w:tc>
                <w:tc>
                  <w:tcPr>
                    <w:tcW w:w="1276" w:type="dxa"/>
                    <w:vMerge/>
                    <w:tcBorders>
                      <w:left w:val="single" w:sz="4" w:space="0" w:color="auto"/>
                      <w:bottom w:val="single" w:sz="4" w:space="0" w:color="auto"/>
                      <w:right w:val="single" w:sz="4" w:space="0" w:color="auto"/>
                    </w:tcBorders>
                    <w:shd w:val="clear" w:color="auto" w:fill="auto"/>
                  </w:tcPr>
                  <w:p>
                    <w:pPr>
                      <w:jc w:val="center"/>
                      <w:rPr>
                        <w:sz w:val="20"/>
                      </w:rPr>
                    </w:pPr>
                  </w:p>
                </w:tc>
              </w:tr>
              <w:tr>
                <w:trPr>
                  <w:trHeight w:val="1306"/>
                </w:trPr>
                <w:tc>
                  <w:tcPr>
                    <w:tcW w:w="2410"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vMerge/>
                    <w:shd w:val="clear" w:color="auto" w:fill="CCC0D9" w:themeFill="accent4" w:themeFillTint="66"/>
                  </w:tcPr>
                  <w:p>
                    <w:pPr>
                      <w:rPr>
                        <w:sz w:val="20"/>
                        <w:lang w:val="en-US"/>
                      </w:rPr>
                    </w:pPr>
                  </w:p>
                </w:tc>
                <w:tc>
                  <w:tcPr>
                    <w:tcW w:w="992" w:type="dxa"/>
                    <w:vMerge/>
                    <w:shd w:val="clear" w:color="auto" w:fill="CCC0D9" w:themeFill="accent4" w:themeFillTint="66"/>
                  </w:tcPr>
                  <w:p>
                    <w:pPr>
                      <w:rPr>
                        <w:sz w:val="20"/>
                      </w:rPr>
                    </w:pP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Sveikatos priežiūros specialistų, kurie po dalyvavimo veiklose mažiausiai 2 metus dirbo sveikatos priežiūros įstaigose, dalis, proc.</w:t>
                    </w:r>
                  </w:p>
                </w:tc>
                <w:tc>
                  <w:tcPr>
                    <w:tcW w:w="851" w:type="dxa"/>
                    <w:shd w:val="clear" w:color="auto" w:fill="auto"/>
                  </w:tcPr>
                  <w:p>
                    <w:pPr>
                      <w:ind w:left="-57" w:right="-57"/>
                      <w:jc w:val="center"/>
                      <w:rPr>
                        <w:sz w:val="20"/>
                      </w:rPr>
                    </w:pPr>
                    <w:r>
                      <w:rPr>
                        <w:sz w:val="20"/>
                      </w:rPr>
                      <w:t>80</w:t>
                    </w:r>
                  </w:p>
                  <w:p>
                    <w:pPr>
                      <w:ind w:left="-57" w:right="-57"/>
                      <w:jc w:val="center"/>
                      <w:rPr>
                        <w:sz w:val="20"/>
                      </w:rPr>
                    </w:pPr>
                    <w:r>
                      <w:rPr>
                        <w:sz w:val="20"/>
                      </w:rPr>
                      <w:t>(2029 m.)</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tcPr>
                  <w:p>
                    <w:pPr>
                      <w:jc w:val="center"/>
                      <w:rPr>
                        <w:sz w:val="20"/>
                      </w:rPr>
                    </w:pPr>
                  </w:p>
                </w:tc>
              </w:tr>
              <w:tr>
                <w:trPr>
                  <w:trHeight w:val="946"/>
                </w:trPr>
                <w:tc>
                  <w:tcPr>
                    <w:tcW w:w="2410" w:type="dxa"/>
                    <w:vMerge w:val="restart"/>
                    <w:shd w:val="clear" w:color="auto" w:fill="auto"/>
                  </w:tcPr>
                  <w:p>
                    <w:pPr>
                      <w:rPr>
                        <w:iCs/>
                        <w:color w:val="000000"/>
                        <w:sz w:val="20"/>
                      </w:rPr>
                    </w:pPr>
                    <w:r>
                      <w:rPr>
                        <w:iCs/>
                        <w:color w:val="000000"/>
                        <w:sz w:val="20"/>
                      </w:rPr>
                      <w:t>10.3. Sveikatos priežiūros specialistų rengimas, pritraukimas, Vidurio ir vakarų Lietuvos regionas</w:t>
                    </w:r>
                  </w:p>
                </w:tc>
                <w:tc>
                  <w:tcPr>
                    <w:tcW w:w="709" w:type="dxa"/>
                    <w:vMerge w:val="restart"/>
                    <w:shd w:val="clear" w:color="auto" w:fill="auto"/>
                  </w:tcPr>
                  <w:p>
                    <w:pPr>
                      <w:rPr>
                        <w:sz w:val="20"/>
                      </w:rPr>
                    </w:pPr>
                    <w:r>
                      <w:rPr>
                        <w:sz w:val="20"/>
                      </w:rPr>
                      <w:t>I</w:t>
                    </w:r>
                  </w:p>
                </w:tc>
                <w:tc>
                  <w:tcPr>
                    <w:tcW w:w="1559" w:type="dxa"/>
                    <w:vMerge w:val="restart"/>
                    <w:shd w:val="clear" w:color="auto" w:fill="auto"/>
                  </w:tcPr>
                  <w:p>
                    <w:pPr>
                      <w:rPr>
                        <w:strike/>
                        <w:color w:val="000000"/>
                        <w:sz w:val="20"/>
                      </w:rPr>
                    </w:pPr>
                    <w:r>
                      <w:rPr>
                        <w:color w:val="000000"/>
                        <w:sz w:val="20"/>
                      </w:rPr>
                      <w:t>Savivaldybių administracijos</w:t>
                    </w:r>
                    <w:r>
                      <w:rPr>
                        <w:strike/>
                        <w:color w:val="000000"/>
                        <w:sz w:val="20"/>
                      </w:rPr>
                      <w:t xml:space="preserve"> </w:t>
                    </w:r>
                  </w:p>
                </w:tc>
                <w:tc>
                  <w:tcPr>
                    <w:tcW w:w="709" w:type="dxa"/>
                    <w:vMerge w:val="restart"/>
                    <w:shd w:val="clear" w:color="auto" w:fill="auto"/>
                  </w:tcPr>
                  <w:p>
                    <w:pPr>
                      <w:rPr>
                        <w:sz w:val="20"/>
                      </w:rPr>
                    </w:pPr>
                    <w:r>
                      <w:rPr>
                        <w:sz w:val="20"/>
                      </w:rPr>
                      <w:t>P</w:t>
                    </w:r>
                  </w:p>
                </w:tc>
                <w:tc>
                  <w:tcPr>
                    <w:tcW w:w="992" w:type="dxa"/>
                    <w:vMerge w:val="restart"/>
                    <w:shd w:val="clear" w:color="auto" w:fill="auto"/>
                  </w:tcPr>
                  <w:p>
                    <w:pPr>
                      <w:rPr>
                        <w:sz w:val="20"/>
                      </w:rPr>
                    </w:pPr>
                    <w:r>
                      <w:rPr>
                        <w:sz w:val="20"/>
                      </w:rPr>
                      <w:t>Taip</w:t>
                    </w:r>
                  </w:p>
                </w:tc>
                <w:tc>
                  <w:tcPr>
                    <w:tcW w:w="709" w:type="dxa"/>
                    <w:vMerge w:val="restart"/>
                    <w:shd w:val="clear" w:color="auto" w:fill="auto"/>
                  </w:tcPr>
                  <w:p>
                    <w:pPr>
                      <w:rPr>
                        <w:sz w:val="20"/>
                      </w:rPr>
                    </w:pPr>
                    <w:r>
                      <w:rPr>
                        <w:sz w:val="20"/>
                      </w:rPr>
                      <w:t>D</w:t>
                    </w:r>
                  </w:p>
                </w:tc>
                <w:tc>
                  <w:tcPr>
                    <w:tcW w:w="1276" w:type="dxa"/>
                    <w:tcBorders>
                      <w:top w:val="single" w:sz="4" w:space="0" w:color="auto"/>
                      <w:left w:val="single" w:sz="4" w:space="0" w:color="auto"/>
                      <w:bottom w:val="single" w:sz="4" w:space="0" w:color="auto"/>
                      <w:right w:val="single" w:sz="4" w:space="0" w:color="auto"/>
                    </w:tcBorders>
                  </w:tcPr>
                  <w:p>
                    <w:pPr>
                      <w:rPr>
                        <w:color w:val="000000"/>
                        <w:sz w:val="20"/>
                        <w:lang w:val="en-US"/>
                      </w:rPr>
                    </w:pPr>
                    <w:r>
                      <w:rPr>
                        <w:color w:val="000000"/>
                        <w:sz w:val="20"/>
                      </w:rPr>
                      <w:t>19 543,151</w:t>
                    </w:r>
                  </w:p>
                </w:tc>
                <w:tc>
                  <w:tcPr>
                    <w:tcW w:w="992" w:type="dxa"/>
                    <w:tcBorders>
                      <w:top w:val="single" w:sz="4" w:space="0" w:color="auto"/>
                      <w:left w:val="single" w:sz="4" w:space="0" w:color="auto"/>
                      <w:bottom w:val="single" w:sz="4" w:space="0" w:color="auto"/>
                      <w:right w:val="single" w:sz="4" w:space="0" w:color="auto"/>
                    </w:tcBorders>
                  </w:tcPr>
                  <w:p>
                    <w:pPr>
                      <w:rPr>
                        <w:color w:val="000000"/>
                        <w:sz w:val="20"/>
                      </w:rPr>
                    </w:pPr>
                    <w:r>
                      <w:rPr>
                        <w:color w:val="000000"/>
                        <w:sz w:val="20"/>
                      </w:rPr>
                      <w:t>2021–2027 m. IP (ESF+)</w:t>
                    </w:r>
                  </w:p>
                  <w:p>
                    <w:pPr>
                      <w:rPr>
                        <w:color w:val="000000"/>
                        <w:sz w:val="20"/>
                      </w:rPr>
                    </w:pPr>
                  </w:p>
                </w:tc>
                <w:tc>
                  <w:tcPr>
                    <w:tcW w:w="2551" w:type="dxa"/>
                    <w:tcBorders>
                      <w:top w:val="single" w:sz="4" w:space="0" w:color="auto"/>
                      <w:left w:val="single" w:sz="4" w:space="0" w:color="auto"/>
                      <w:right w:val="single" w:sz="4" w:space="0" w:color="auto"/>
                    </w:tcBorders>
                    <w:shd w:val="clear" w:color="auto" w:fill="auto"/>
                  </w:tcPr>
                  <w:p>
                    <w:pPr>
                      <w:rPr>
                        <w:color w:val="000000"/>
                        <w:sz w:val="20"/>
                      </w:rPr>
                    </w:pPr>
                    <w:r>
                      <w:rPr>
                        <w:color w:val="000000"/>
                        <w:sz w:val="20"/>
                      </w:rPr>
                      <w:t xml:space="preserve">P – Asmenys, dalyvavę kvalifikacijos įgijimo veiklose, asmenys </w:t>
                    </w:r>
                  </w:p>
                </w:tc>
                <w:tc>
                  <w:tcPr>
                    <w:tcW w:w="851" w:type="dxa"/>
                    <w:tcBorders>
                      <w:top w:val="single" w:sz="4" w:space="0" w:color="auto"/>
                      <w:left w:val="single" w:sz="4" w:space="0" w:color="auto"/>
                      <w:bottom w:val="single" w:sz="4" w:space="0" w:color="auto"/>
                      <w:right w:val="single" w:sz="4" w:space="0" w:color="auto"/>
                    </w:tcBorders>
                  </w:tcPr>
                  <w:p>
                    <w:pPr>
                      <w:jc w:val="center"/>
                      <w:rPr>
                        <w:color w:val="000000"/>
                        <w:sz w:val="20"/>
                      </w:rPr>
                    </w:pPr>
                    <w:r>
                      <w:rPr>
                        <w:color w:val="000000"/>
                        <w:sz w:val="20"/>
                      </w:rPr>
                      <w:t>240</w:t>
                    </w:r>
                  </w:p>
                  <w:p>
                    <w:pPr>
                      <w:jc w:val="center"/>
                      <w:rPr>
                        <w:color w:val="000000"/>
                        <w:sz w:val="20"/>
                      </w:rPr>
                    </w:pPr>
                    <w:r>
                      <w:rPr>
                        <w:color w:val="000000"/>
                        <w:sz w:val="20"/>
                      </w:rPr>
                      <w:t>(2029 m.)</w:t>
                    </w: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jc w:val="center"/>
                      <w:rPr>
                        <w:sz w:val="20"/>
                      </w:rPr>
                    </w:pPr>
                    <w:r>
                      <w:rPr>
                        <w:sz w:val="20"/>
                      </w:rPr>
                      <w:t>SAM</w:t>
                    </w:r>
                  </w:p>
                </w:tc>
              </w:tr>
              <w:tr>
                <w:trPr>
                  <w:trHeight w:val="341"/>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val="restart"/>
                    <w:tcBorders>
                      <w:top w:val="single" w:sz="4" w:space="0" w:color="auto"/>
                      <w:left w:val="single" w:sz="4" w:space="0" w:color="auto"/>
                      <w:bottom w:val="single" w:sz="4" w:space="0" w:color="auto"/>
                      <w:right w:val="single" w:sz="4" w:space="0" w:color="auto"/>
                    </w:tcBorders>
                  </w:tcPr>
                  <w:p>
                    <w:pPr>
                      <w:rPr>
                        <w:color w:val="000000"/>
                        <w:sz w:val="20"/>
                        <w:lang w:val="en-US"/>
                      </w:rPr>
                    </w:pPr>
                    <w:r>
                      <w:rPr>
                        <w:color w:val="000000"/>
                        <w:sz w:val="20"/>
                      </w:rPr>
                      <w:t>3 448,791</w:t>
                    </w:r>
                  </w:p>
                  <w:p>
                    <w:pPr>
                      <w:rPr>
                        <w:color w:val="000000"/>
                        <w:sz w:val="20"/>
                        <w:lang w:val="en-US"/>
                      </w:rPr>
                    </w:pPr>
                  </w:p>
                </w:tc>
                <w:tc>
                  <w:tcPr>
                    <w:tcW w:w="992" w:type="dxa"/>
                    <w:vMerge w:val="restart"/>
                    <w:tcBorders>
                      <w:top w:val="single" w:sz="4" w:space="0" w:color="auto"/>
                      <w:left w:val="single" w:sz="4" w:space="0" w:color="auto"/>
                      <w:bottom w:val="single" w:sz="4" w:space="0" w:color="auto"/>
                      <w:right w:val="single" w:sz="4" w:space="0" w:color="auto"/>
                    </w:tcBorders>
                  </w:tcPr>
                  <w:p>
                    <w:pPr>
                      <w:rPr>
                        <w:color w:val="000000"/>
                        <w:sz w:val="20"/>
                      </w:rPr>
                    </w:pPr>
                    <w:r>
                      <w:rPr>
                        <w:color w:val="000000"/>
                        <w:sz w:val="20"/>
                      </w:rPr>
                      <w:t>2021–2027 m. IP (BF)</w:t>
                    </w:r>
                  </w:p>
                  <w:p>
                    <w:pPr>
                      <w:rPr>
                        <w:color w:val="000000"/>
                        <w:sz w:val="20"/>
                      </w:rPr>
                    </w:pPr>
                  </w:p>
                  <w:p>
                    <w:pPr>
                      <w:rPr>
                        <w:color w:val="000000"/>
                        <w:sz w:val="20"/>
                      </w:rPr>
                    </w:pPr>
                  </w:p>
                </w:tc>
                <w:tc>
                  <w:tcPr>
                    <w:tcW w:w="2551" w:type="dxa"/>
                    <w:tcBorders>
                      <w:left w:val="single" w:sz="4" w:space="0" w:color="auto"/>
                      <w:right w:val="single" w:sz="4" w:space="0" w:color="auto"/>
                    </w:tcBorders>
                    <w:shd w:val="clear" w:color="auto" w:fill="auto"/>
                  </w:tcPr>
                  <w:p>
                    <w:pPr>
                      <w:rPr>
                        <w:color w:val="000000"/>
                        <w:sz w:val="20"/>
                      </w:rPr>
                    </w:pPr>
                    <w:r>
                      <w:rPr>
                        <w:color w:val="000000"/>
                        <w:sz w:val="20"/>
                      </w:rPr>
                      <w:t xml:space="preserve">R – Asmenų, kurie po dalyvavimo veiklose įgijo  kvalifikaciją, dalis, proc.</w:t>
                    </w:r>
                  </w:p>
                </w:tc>
                <w:tc>
                  <w:tcPr>
                    <w:tcW w:w="851" w:type="dxa"/>
                    <w:tcBorders>
                      <w:left w:val="single" w:sz="4" w:space="0" w:color="auto"/>
                      <w:right w:val="single" w:sz="4" w:space="0" w:color="auto"/>
                    </w:tcBorders>
                    <w:shd w:val="clear" w:color="auto" w:fill="auto"/>
                  </w:tcPr>
                  <w:p>
                    <w:pPr>
                      <w:jc w:val="center"/>
                      <w:rPr>
                        <w:color w:val="000000"/>
                        <w:sz w:val="20"/>
                      </w:rPr>
                    </w:pPr>
                    <w:r>
                      <w:rPr>
                        <w:color w:val="000000"/>
                        <w:sz w:val="20"/>
                      </w:rPr>
                      <w:t>80</w:t>
                    </w:r>
                  </w:p>
                  <w:p>
                    <w:pPr>
                      <w:jc w:val="center"/>
                      <w:rPr>
                        <w:color w:val="000000"/>
                        <w:sz w:val="20"/>
                      </w:rPr>
                    </w:pPr>
                    <w:r>
                      <w:rPr>
                        <w:color w:val="000000"/>
                        <w:sz w:val="20"/>
                      </w:rPr>
                      <w:t>(2029 m.)</w:t>
                    </w:r>
                  </w:p>
                  <w:p>
                    <w:pPr>
                      <w:jc w:val="center"/>
                      <w:rPr>
                        <w:color w:val="000000"/>
                        <w:sz w:val="20"/>
                      </w:rPr>
                    </w:pP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rPr>
                        <w:sz w:val="20"/>
                      </w:rPr>
                    </w:pPr>
                  </w:p>
                </w:tc>
              </w:tr>
              <w:tr>
                <w:trPr>
                  <w:trHeight w:val="339"/>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shd w:val="clear" w:color="auto" w:fill="auto"/>
                  </w:tcPr>
                  <w:p>
                    <w:pPr>
                      <w:rPr>
                        <w:sz w:val="20"/>
                        <w:lang w:val="en-US"/>
                      </w:rPr>
                    </w:pPr>
                  </w:p>
                </w:tc>
                <w:tc>
                  <w:tcPr>
                    <w:tcW w:w="992" w:type="dxa"/>
                    <w:vMerge/>
                    <w:shd w:val="clear" w:color="auto" w:fill="CCC0D9" w:themeFill="accent4" w:themeFillTint="66"/>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rPr>
                        <w:color w:val="000000"/>
                        <w:sz w:val="20"/>
                      </w:rPr>
                    </w:pPr>
                    <w:r>
                      <w:rPr>
                        <w:color w:val="000000"/>
                        <w:sz w:val="20"/>
                      </w:rPr>
                      <w:t>P – Specialistai, dalyvavę kvalifikacijos tobulinimo ar perkvalifikavimo veiklose, asmenys</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jc w:val="center"/>
                      <w:rPr>
                        <w:color w:val="000000"/>
                        <w:sz w:val="20"/>
                      </w:rPr>
                    </w:pPr>
                    <w:r>
                      <w:rPr>
                        <w:color w:val="000000"/>
                        <w:sz w:val="20"/>
                      </w:rPr>
                      <w:t>10</w:t>
                    </w:r>
                  </w:p>
                  <w:p>
                    <w:pPr>
                      <w:jc w:val="center"/>
                      <w:rPr>
                        <w:color w:val="000000"/>
                        <w:sz w:val="20"/>
                      </w:rPr>
                    </w:pPr>
                    <w:r>
                      <w:rPr>
                        <w:color w:val="000000"/>
                        <w:sz w:val="20"/>
                      </w:rPr>
                      <w:t>(2029 m.)</w:t>
                    </w:r>
                  </w:p>
                  <w:p>
                    <w:pPr>
                      <w:jc w:val="center"/>
                      <w:rPr>
                        <w:color w:val="00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vAlign w:val="center"/>
                  </w:tcPr>
                  <w:p>
                    <w:pPr>
                      <w:rPr>
                        <w:sz w:val="20"/>
                      </w:rPr>
                    </w:pPr>
                  </w:p>
                </w:tc>
              </w:tr>
              <w:tr>
                <w:trPr>
                  <w:trHeight w:val="339"/>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shd w:val="clear" w:color="auto" w:fill="auto"/>
                  </w:tcPr>
                  <w:p>
                    <w:pPr>
                      <w:rPr>
                        <w:sz w:val="20"/>
                        <w:lang w:val="en-US"/>
                      </w:rPr>
                    </w:pPr>
                  </w:p>
                </w:tc>
                <w:tc>
                  <w:tcPr>
                    <w:tcW w:w="992" w:type="dxa"/>
                    <w:vMerge/>
                    <w:shd w:val="clear" w:color="auto" w:fill="CCC0D9" w:themeFill="accent4" w:themeFillTint="66"/>
                  </w:tcPr>
                  <w:p>
                    <w:pPr>
                      <w:rPr>
                        <w:sz w:val="20"/>
                      </w:rPr>
                    </w:pPr>
                  </w:p>
                </w:tc>
                <w:tc>
                  <w:tcPr>
                    <w:tcW w:w="2551" w:type="dxa"/>
                    <w:tcBorders>
                      <w:top w:val="single" w:sz="4" w:space="0" w:color="auto"/>
                      <w:left w:val="single" w:sz="4" w:space="0" w:color="auto"/>
                      <w:right w:val="single" w:sz="4" w:space="0" w:color="auto"/>
                    </w:tcBorders>
                    <w:shd w:val="clear" w:color="auto" w:fill="auto"/>
                  </w:tcPr>
                  <w:p>
                    <w:pPr>
                      <w:rPr>
                        <w:color w:val="000000"/>
                        <w:sz w:val="20"/>
                      </w:rPr>
                    </w:pPr>
                    <w:r>
                      <w:rPr>
                        <w:color w:val="000000"/>
                        <w:sz w:val="20"/>
                      </w:rPr>
                      <w:t>R – Specialistų, kurie po dalyvavimo veiklose įgijo ar patobulino kvalifikaciją, dalis, proc.</w:t>
                    </w:r>
                  </w:p>
                </w:tc>
                <w:tc>
                  <w:tcPr>
                    <w:tcW w:w="851" w:type="dxa"/>
                    <w:tcBorders>
                      <w:top w:val="single" w:sz="4" w:space="0" w:color="auto"/>
                      <w:left w:val="single" w:sz="4" w:space="0" w:color="auto"/>
                      <w:right w:val="single" w:sz="4" w:space="0" w:color="auto"/>
                    </w:tcBorders>
                    <w:shd w:val="clear" w:color="auto" w:fill="auto"/>
                  </w:tcPr>
                  <w:p>
                    <w:pPr>
                      <w:jc w:val="center"/>
                      <w:rPr>
                        <w:color w:val="000000"/>
                        <w:sz w:val="20"/>
                      </w:rPr>
                    </w:pPr>
                    <w:r>
                      <w:rPr>
                        <w:color w:val="000000"/>
                        <w:sz w:val="20"/>
                      </w:rPr>
                      <w:t>90</w:t>
                    </w:r>
                  </w:p>
                  <w:p>
                    <w:pPr>
                      <w:jc w:val="center"/>
                      <w:rPr>
                        <w:color w:val="000000"/>
                        <w:sz w:val="20"/>
                      </w:rPr>
                    </w:pPr>
                    <w:r>
                      <w:rPr>
                        <w:color w:val="000000"/>
                        <w:sz w:val="20"/>
                      </w:rPr>
                      <w:t>(2029 m.)</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vAlign w:val="center"/>
                  </w:tcPr>
                  <w:p>
                    <w:pPr>
                      <w:rPr>
                        <w:sz w:val="20"/>
                      </w:rPr>
                    </w:pPr>
                  </w:p>
                </w:tc>
              </w:tr>
              <w:tr>
                <w:trPr>
                  <w:trHeight w:val="414"/>
                </w:trPr>
                <w:tc>
                  <w:tcPr>
                    <w:tcW w:w="2410" w:type="dxa"/>
                    <w:vMerge/>
                    <w:shd w:val="clear" w:color="auto" w:fill="auto"/>
                  </w:tcPr>
                  <w:p>
                    <w:pPr>
                      <w:rPr>
                        <w:b/>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b/>
                        <w:bCs/>
                        <w:sz w:val="20"/>
                        <w:lang w:val="en-US"/>
                      </w:rPr>
                    </w:pPr>
                  </w:p>
                </w:tc>
                <w:tc>
                  <w:tcPr>
                    <w:tcW w:w="992" w:type="dxa"/>
                    <w:vMerge/>
                    <w:shd w:val="clear" w:color="auto" w:fill="auto"/>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rPr>
                        <w:color w:val="000000"/>
                        <w:sz w:val="20"/>
                      </w:rPr>
                    </w:pPr>
                    <w:r>
                      <w:rPr>
                        <w:color w:val="000000"/>
                        <w:sz w:val="20"/>
                      </w:rPr>
                      <w:t>P – Sveikatos priežiūros įstaigos, įgyvendinusios sveikatos priežiūros specialistų įgalinimo, pritraukimo ir išlaikymo projektus, skaičius</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jc w:val="center"/>
                      <w:rPr>
                        <w:color w:val="000000"/>
                        <w:sz w:val="20"/>
                        <w:lang w:val="en-US"/>
                      </w:rPr>
                    </w:pPr>
                    <w:r>
                      <w:rPr>
                        <w:color w:val="000000"/>
                        <w:sz w:val="20"/>
                      </w:rPr>
                      <w:t>98</w:t>
                    </w:r>
                  </w:p>
                  <w:p>
                    <w:pPr>
                      <w:jc w:val="center"/>
                      <w:rPr>
                        <w:color w:val="000000"/>
                        <w:sz w:val="20"/>
                      </w:rPr>
                    </w:pPr>
                    <w:r>
                      <w:rPr>
                        <w:color w:val="000000"/>
                        <w:sz w:val="20"/>
                      </w:rPr>
                      <w:t>(2029 m.)</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tcPr>
                  <w:p>
                    <w:pPr>
                      <w:jc w:val="center"/>
                      <w:rPr>
                        <w:color w:val="000000"/>
                        <w:sz w:val="20"/>
                      </w:rPr>
                    </w:pPr>
                  </w:p>
                </w:tc>
              </w:tr>
              <w:tr>
                <w:trPr>
                  <w:trHeight w:val="414"/>
                </w:trPr>
                <w:tc>
                  <w:tcPr>
                    <w:tcW w:w="2410" w:type="dxa"/>
                    <w:vMerge/>
                    <w:shd w:val="clear" w:color="auto" w:fill="auto"/>
                  </w:tcPr>
                  <w:p>
                    <w:pPr>
                      <w:rPr>
                        <w:b/>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b/>
                        <w:bCs/>
                        <w:sz w:val="20"/>
                        <w:lang w:val="en-US"/>
                      </w:rPr>
                    </w:pPr>
                  </w:p>
                </w:tc>
                <w:tc>
                  <w:tcPr>
                    <w:tcW w:w="992" w:type="dxa"/>
                    <w:vMerge/>
                    <w:shd w:val="clear" w:color="auto" w:fill="auto"/>
                  </w:tcPr>
                  <w:p>
                    <w:pPr>
                      <w:rPr>
                        <w:sz w:val="20"/>
                      </w:rPr>
                    </w:pPr>
                  </w:p>
                </w:tc>
                <w:tc>
                  <w:tcPr>
                    <w:tcW w:w="2551" w:type="dxa"/>
                    <w:tcBorders>
                      <w:top w:val="single" w:sz="4" w:space="0" w:color="auto"/>
                      <w:left w:val="single" w:sz="4" w:space="0" w:color="auto"/>
                      <w:right w:val="single" w:sz="4" w:space="0" w:color="auto"/>
                    </w:tcBorders>
                    <w:shd w:val="clear" w:color="auto" w:fill="auto"/>
                  </w:tcPr>
                  <w:p>
                    <w:pPr>
                      <w:rPr>
                        <w:color w:val="000000"/>
                        <w:sz w:val="20"/>
                      </w:rPr>
                    </w:pPr>
                    <w:r>
                      <w:rPr>
                        <w:color w:val="000000"/>
                        <w:sz w:val="20"/>
                      </w:rPr>
                      <w:t>R – Sveikatos priežiūros specialistų, kurie po dalyvavimo veiklose mažiausiai 2 metus dirbo sveikatos priežiūros įstaigose, dalis, proc.</w:t>
                      <w:tab/>
                    </w:r>
                  </w:p>
                </w:tc>
                <w:tc>
                  <w:tcPr>
                    <w:tcW w:w="851" w:type="dxa"/>
                    <w:tcBorders>
                      <w:top w:val="single" w:sz="4" w:space="0" w:color="auto"/>
                      <w:left w:val="single" w:sz="4" w:space="0" w:color="auto"/>
                      <w:right w:val="single" w:sz="4" w:space="0" w:color="auto"/>
                    </w:tcBorders>
                    <w:shd w:val="clear" w:color="auto" w:fill="auto"/>
                  </w:tcPr>
                  <w:p>
                    <w:pPr>
                      <w:jc w:val="center"/>
                      <w:rPr>
                        <w:color w:val="000000"/>
                        <w:sz w:val="20"/>
                      </w:rPr>
                    </w:pPr>
                    <w:r>
                      <w:rPr>
                        <w:color w:val="000000"/>
                        <w:sz w:val="20"/>
                      </w:rPr>
                      <w:t>80</w:t>
                    </w:r>
                  </w:p>
                  <w:p>
                    <w:pPr>
                      <w:jc w:val="center"/>
                      <w:rPr>
                        <w:color w:val="000000"/>
                        <w:sz w:val="20"/>
                      </w:rPr>
                    </w:pPr>
                    <w:r>
                      <w:rPr>
                        <w:color w:val="000000"/>
                        <w:sz w:val="20"/>
                      </w:rPr>
                      <w:t>(2029 m.)</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tcPr>
                  <w:p>
                    <w:pPr>
                      <w:jc w:val="center"/>
                      <w:rPr>
                        <w:color w:val="000000"/>
                        <w:sz w:val="20"/>
                      </w:rPr>
                    </w:pPr>
                  </w:p>
                </w:tc>
              </w:tr>
              <w:tr>
                <w:trPr>
                  <w:trHeight w:val="824"/>
                </w:trPr>
                <w:tc>
                  <w:tcPr>
                    <w:tcW w:w="2410" w:type="dxa"/>
                    <w:vMerge w:val="restart"/>
                    <w:tcBorders>
                      <w:top w:val="single" w:sz="4" w:space="0" w:color="auto"/>
                      <w:left w:val="single" w:sz="4" w:space="0" w:color="auto"/>
                      <w:right w:val="single" w:sz="4" w:space="0" w:color="auto"/>
                    </w:tcBorders>
                  </w:tcPr>
                  <w:p>
                    <w:pPr>
                      <w:rPr>
                        <w:iCs/>
                        <w:color w:val="000000"/>
                        <w:sz w:val="20"/>
                      </w:rPr>
                    </w:pPr>
                    <w:r>
                      <w:rPr>
                        <w:iCs/>
                        <w:color w:val="000000"/>
                        <w:sz w:val="20"/>
                      </w:rPr>
                      <w:t>10.4. Sveikatos priežiūros specialistų rengimas, pritraukimas, Vidurio ir vakarų Lietuvos regionas</w:t>
                    </w:r>
                  </w:p>
                </w:tc>
                <w:tc>
                  <w:tcPr>
                    <w:tcW w:w="709" w:type="dxa"/>
                    <w:vMerge w:val="restart"/>
                    <w:tcBorders>
                      <w:top w:val="single" w:sz="4" w:space="0" w:color="auto"/>
                      <w:left w:val="single" w:sz="4" w:space="0" w:color="auto"/>
                      <w:right w:val="single" w:sz="4" w:space="0" w:color="auto"/>
                    </w:tcBorders>
                  </w:tcPr>
                  <w:p>
                    <w:pPr>
                      <w:rPr>
                        <w:color w:val="000000"/>
                        <w:sz w:val="20"/>
                      </w:rPr>
                    </w:pPr>
                    <w:r>
                      <w:rPr>
                        <w:color w:val="000000"/>
                        <w:sz w:val="20"/>
                      </w:rPr>
                      <w:t>I</w:t>
                    </w:r>
                  </w:p>
                </w:tc>
                <w:tc>
                  <w:tcPr>
                    <w:tcW w:w="1559" w:type="dxa"/>
                    <w:vMerge w:val="restart"/>
                    <w:tcBorders>
                      <w:top w:val="single" w:sz="4" w:space="0" w:color="auto"/>
                      <w:left w:val="single" w:sz="4" w:space="0" w:color="auto"/>
                      <w:right w:val="single" w:sz="4" w:space="0" w:color="auto"/>
                    </w:tcBorders>
                  </w:tcPr>
                  <w:p>
                    <w:pPr>
                      <w:rPr>
                        <w:color w:val="000000"/>
                        <w:sz w:val="20"/>
                      </w:rPr>
                    </w:pPr>
                    <w:r>
                      <w:rPr>
                        <w:color w:val="000000"/>
                        <w:sz w:val="20"/>
                      </w:rPr>
                      <w:t>SAM, VASPVT</w:t>
                    </w:r>
                  </w:p>
                </w:tc>
                <w:tc>
                  <w:tcPr>
                    <w:tcW w:w="709" w:type="dxa"/>
                    <w:vMerge w:val="restart"/>
                    <w:tcBorders>
                      <w:top w:val="single" w:sz="4" w:space="0" w:color="auto"/>
                      <w:left w:val="single" w:sz="4" w:space="0" w:color="auto"/>
                      <w:right w:val="single" w:sz="4" w:space="0" w:color="auto"/>
                    </w:tcBorders>
                  </w:tcPr>
                  <w:p>
                    <w:pPr>
                      <w:rPr>
                        <w:color w:val="000000"/>
                        <w:sz w:val="20"/>
                      </w:rPr>
                    </w:pPr>
                    <w:r>
                      <w:rPr>
                        <w:color w:val="000000"/>
                        <w:sz w:val="20"/>
                      </w:rPr>
                      <w:t>P</w:t>
                    </w:r>
                  </w:p>
                </w:tc>
                <w:tc>
                  <w:tcPr>
                    <w:tcW w:w="992" w:type="dxa"/>
                    <w:vMerge w:val="restart"/>
                    <w:tcBorders>
                      <w:top w:val="single" w:sz="4" w:space="0" w:color="auto"/>
                      <w:left w:val="single" w:sz="4" w:space="0" w:color="auto"/>
                      <w:right w:val="single" w:sz="4" w:space="0" w:color="auto"/>
                    </w:tcBorders>
                  </w:tcPr>
                  <w:p>
                    <w:pPr>
                      <w:rPr>
                        <w:color w:val="000000"/>
                        <w:sz w:val="20"/>
                      </w:rPr>
                    </w:pPr>
                    <w:r>
                      <w:rPr>
                        <w:color w:val="000000"/>
                        <w:sz w:val="20"/>
                      </w:rPr>
                      <w:t>Taip</w:t>
                    </w:r>
                  </w:p>
                </w:tc>
                <w:tc>
                  <w:tcPr>
                    <w:tcW w:w="709" w:type="dxa"/>
                    <w:vMerge w:val="restart"/>
                    <w:tcBorders>
                      <w:top w:val="single" w:sz="4" w:space="0" w:color="auto"/>
                      <w:left w:val="single" w:sz="4" w:space="0" w:color="auto"/>
                      <w:right w:val="single" w:sz="4" w:space="0" w:color="auto"/>
                    </w:tcBorders>
                  </w:tcPr>
                  <w:p>
                    <w:pPr>
                      <w:rPr>
                        <w:color w:val="000000"/>
                        <w:sz w:val="20"/>
                      </w:rPr>
                    </w:pPr>
                    <w:r>
                      <w:rPr>
                        <w:color w:val="000000"/>
                        <w:sz w:val="20"/>
                      </w:rPr>
                      <w:t>D</w:t>
                    </w:r>
                  </w:p>
                </w:tc>
                <w:tc>
                  <w:tcPr>
                    <w:tcW w:w="1276" w:type="dxa"/>
                    <w:tcBorders>
                      <w:top w:val="single" w:sz="4" w:space="0" w:color="auto"/>
                      <w:left w:val="single" w:sz="4" w:space="0" w:color="auto"/>
                      <w:bottom w:val="single" w:sz="4" w:space="0" w:color="auto"/>
                      <w:right w:val="single" w:sz="4" w:space="0" w:color="auto"/>
                    </w:tcBorders>
                  </w:tcPr>
                  <w:p>
                    <w:pPr>
                      <w:rPr>
                        <w:color w:val="000000"/>
                        <w:sz w:val="20"/>
                      </w:rPr>
                    </w:pPr>
                    <w:r>
                      <w:rPr>
                        <w:color w:val="000000"/>
                        <w:sz w:val="20"/>
                      </w:rPr>
                      <w:t>4 277,540</w:t>
                    </w:r>
                  </w:p>
                </w:tc>
                <w:tc>
                  <w:tcPr>
                    <w:tcW w:w="992" w:type="dxa"/>
                    <w:tcBorders>
                      <w:top w:val="single" w:sz="4" w:space="0" w:color="auto"/>
                      <w:left w:val="single" w:sz="4" w:space="0" w:color="auto"/>
                      <w:bottom w:val="single" w:sz="4" w:space="0" w:color="auto"/>
                      <w:right w:val="single" w:sz="4" w:space="0" w:color="auto"/>
                    </w:tcBorders>
                  </w:tcPr>
                  <w:p>
                    <w:pPr>
                      <w:rPr>
                        <w:color w:val="000000"/>
                        <w:sz w:val="20"/>
                      </w:rPr>
                    </w:pPr>
                    <w:r>
                      <w:rPr>
                        <w:color w:val="000000"/>
                        <w:sz w:val="20"/>
                      </w:rPr>
                      <w:t>2021–2027 m. IP (ESF+)</w:t>
                    </w:r>
                  </w:p>
                  <w:p>
                    <w:pPr>
                      <w:rPr>
                        <w:color w:val="000000"/>
                        <w:sz w:val="20"/>
                      </w:rPr>
                    </w:pPr>
                  </w:p>
                </w:tc>
                <w:tc>
                  <w:tcPr>
                    <w:tcW w:w="2551" w:type="dxa"/>
                    <w:tcBorders>
                      <w:top w:val="single" w:sz="4" w:space="0" w:color="auto"/>
                      <w:left w:val="single" w:sz="4" w:space="0" w:color="auto"/>
                      <w:right w:val="single" w:sz="4" w:space="0" w:color="auto"/>
                    </w:tcBorders>
                    <w:shd w:val="clear" w:color="auto" w:fill="auto"/>
                  </w:tcPr>
                  <w:p>
                    <w:pPr>
                      <w:rPr>
                        <w:color w:val="000000"/>
                        <w:sz w:val="20"/>
                      </w:rPr>
                    </w:pPr>
                    <w:r>
                      <w:rPr>
                        <w:color w:val="000000"/>
                        <w:sz w:val="20"/>
                      </w:rPr>
                      <w:t xml:space="preserve">P – Specialistai, dalyvavę kvalifikacijos tobulinimo ar perkvalifikavimo veiklose, asmenys </w:t>
                    </w:r>
                  </w:p>
                </w:tc>
                <w:tc>
                  <w:tcPr>
                    <w:tcW w:w="851" w:type="dxa"/>
                    <w:tcBorders>
                      <w:top w:val="single" w:sz="4" w:space="0" w:color="auto"/>
                      <w:left w:val="single" w:sz="4" w:space="0" w:color="auto"/>
                      <w:right w:val="single" w:sz="4" w:space="0" w:color="auto"/>
                    </w:tcBorders>
                    <w:shd w:val="clear" w:color="auto" w:fill="auto"/>
                  </w:tcPr>
                  <w:p>
                    <w:pPr>
                      <w:jc w:val="center"/>
                      <w:rPr>
                        <w:color w:val="000000"/>
                        <w:sz w:val="20"/>
                      </w:rPr>
                    </w:pPr>
                    <w:r>
                      <w:rPr>
                        <w:color w:val="000000"/>
                        <w:sz w:val="20"/>
                      </w:rPr>
                      <w:t>500</w:t>
                    </w:r>
                  </w:p>
                  <w:p>
                    <w:pPr>
                      <w:jc w:val="center"/>
                      <w:rPr>
                        <w:color w:val="000000"/>
                        <w:sz w:val="20"/>
                      </w:rPr>
                    </w:pPr>
                    <w:r>
                      <w:rPr>
                        <w:color w:val="000000"/>
                        <w:sz w:val="20"/>
                      </w:rPr>
                      <w:t>(2029 m.)</w:t>
                    </w:r>
                  </w:p>
                  <w:p>
                    <w:pPr>
                      <w:jc w:val="center"/>
                      <w:rPr>
                        <w:color w:val="000000"/>
                        <w:sz w:val="20"/>
                      </w:rPr>
                    </w:pPr>
                  </w:p>
                </w:tc>
                <w:tc>
                  <w:tcPr>
                    <w:tcW w:w="992" w:type="dxa"/>
                    <w:vMerge w:val="restart"/>
                    <w:tcBorders>
                      <w:top w:val="single" w:sz="4" w:space="0" w:color="auto"/>
                      <w:left w:val="single" w:sz="4" w:space="0" w:color="auto"/>
                      <w:right w:val="single" w:sz="4" w:space="0" w:color="auto"/>
                    </w:tcBorders>
                  </w:tcPr>
                  <w:p>
                    <w:pPr>
                      <w:rPr>
                        <w:color w:val="000000"/>
                        <w:sz w:val="20"/>
                      </w:rPr>
                    </w:pPr>
                    <w:r>
                      <w:rPr>
                        <w:color w:val="000000"/>
                        <w:sz w:val="20"/>
                      </w:rPr>
                      <w:t>CPVA</w:t>
                    </w:r>
                  </w:p>
                </w:tc>
                <w:tc>
                  <w:tcPr>
                    <w:tcW w:w="1276" w:type="dxa"/>
                    <w:vMerge w:val="restart"/>
                    <w:tcBorders>
                      <w:top w:val="single" w:sz="4" w:space="0" w:color="auto"/>
                      <w:left w:val="single" w:sz="4" w:space="0" w:color="auto"/>
                      <w:right w:val="single" w:sz="4" w:space="0" w:color="auto"/>
                    </w:tcBorders>
                  </w:tcPr>
                  <w:p>
                    <w:pPr>
                      <w:rPr>
                        <w:color w:val="000000"/>
                        <w:sz w:val="20"/>
                      </w:rPr>
                    </w:pPr>
                    <w:r>
                      <w:rPr>
                        <w:color w:val="000000"/>
                        <w:sz w:val="20"/>
                      </w:rPr>
                      <w:t>SAM</w:t>
                    </w:r>
                  </w:p>
                </w:tc>
              </w:tr>
              <w:tr>
                <w:trPr>
                  <w:trHeight w:val="1132"/>
                </w:trPr>
                <w:tc>
                  <w:tcPr>
                    <w:tcW w:w="2410" w:type="dxa"/>
                    <w:vMerge/>
                    <w:tcBorders>
                      <w:left w:val="single" w:sz="4" w:space="0" w:color="auto"/>
                      <w:right w:val="single" w:sz="4" w:space="0" w:color="auto"/>
                    </w:tcBorders>
                  </w:tcPr>
                  <w:p>
                    <w:pPr>
                      <w:rPr>
                        <w:iCs/>
                        <w:color w:val="000000"/>
                        <w:sz w:val="20"/>
                      </w:rPr>
                    </w:pPr>
                  </w:p>
                </w:tc>
                <w:tc>
                  <w:tcPr>
                    <w:tcW w:w="709" w:type="dxa"/>
                    <w:vMerge/>
                    <w:tcBorders>
                      <w:left w:val="single" w:sz="4" w:space="0" w:color="auto"/>
                      <w:right w:val="single" w:sz="4" w:space="0" w:color="auto"/>
                    </w:tcBorders>
                  </w:tcPr>
                  <w:p>
                    <w:pPr>
                      <w:rPr>
                        <w:color w:val="000000"/>
                        <w:sz w:val="20"/>
                      </w:rPr>
                    </w:pPr>
                  </w:p>
                </w:tc>
                <w:tc>
                  <w:tcPr>
                    <w:tcW w:w="1559" w:type="dxa"/>
                    <w:vMerge/>
                    <w:tcBorders>
                      <w:left w:val="single" w:sz="4" w:space="0" w:color="auto"/>
                      <w:right w:val="single" w:sz="4" w:space="0" w:color="auto"/>
                    </w:tcBorders>
                  </w:tcPr>
                  <w:p>
                    <w:pPr>
                      <w:rPr>
                        <w:color w:val="000000"/>
                        <w:sz w:val="20"/>
                      </w:rPr>
                    </w:pPr>
                  </w:p>
                </w:tc>
                <w:tc>
                  <w:tcPr>
                    <w:tcW w:w="709" w:type="dxa"/>
                    <w:vMerge/>
                    <w:tcBorders>
                      <w:left w:val="single" w:sz="4" w:space="0" w:color="auto"/>
                      <w:right w:val="single" w:sz="4" w:space="0" w:color="auto"/>
                    </w:tcBorders>
                  </w:tcPr>
                  <w:p>
                    <w:pPr>
                      <w:rPr>
                        <w:color w:val="000000"/>
                        <w:sz w:val="20"/>
                      </w:rPr>
                    </w:pPr>
                  </w:p>
                </w:tc>
                <w:tc>
                  <w:tcPr>
                    <w:tcW w:w="992" w:type="dxa"/>
                    <w:vMerge/>
                    <w:tcBorders>
                      <w:left w:val="single" w:sz="4" w:space="0" w:color="auto"/>
                      <w:right w:val="single" w:sz="4" w:space="0" w:color="auto"/>
                    </w:tcBorders>
                  </w:tcPr>
                  <w:p>
                    <w:pPr>
                      <w:rPr>
                        <w:color w:val="000000"/>
                        <w:sz w:val="20"/>
                      </w:rPr>
                    </w:pPr>
                  </w:p>
                </w:tc>
                <w:tc>
                  <w:tcPr>
                    <w:tcW w:w="709" w:type="dxa"/>
                    <w:vMerge/>
                    <w:tcBorders>
                      <w:left w:val="single" w:sz="4" w:space="0" w:color="auto"/>
                      <w:right w:val="single" w:sz="4" w:space="0" w:color="auto"/>
                    </w:tcBorders>
                  </w:tcPr>
                  <w:p>
                    <w:pPr>
                      <w:rPr>
                        <w:color w:val="000000"/>
                        <w:sz w:val="20"/>
                      </w:rPr>
                    </w:pPr>
                  </w:p>
                </w:tc>
                <w:tc>
                  <w:tcPr>
                    <w:tcW w:w="1276" w:type="dxa"/>
                    <w:tcBorders>
                      <w:top w:val="single" w:sz="4" w:space="0" w:color="auto"/>
                      <w:left w:val="single" w:sz="4" w:space="0" w:color="auto"/>
                      <w:bottom w:val="single" w:sz="4" w:space="0" w:color="auto"/>
                      <w:right w:val="single" w:sz="4" w:space="0" w:color="auto"/>
                    </w:tcBorders>
                  </w:tcPr>
                  <w:p>
                    <w:pPr>
                      <w:rPr>
                        <w:color w:val="000000"/>
                        <w:sz w:val="20"/>
                        <w:lang w:val="en-US"/>
                      </w:rPr>
                    </w:pPr>
                    <w:r>
                      <w:rPr>
                        <w:color w:val="000000"/>
                        <w:sz w:val="20"/>
                      </w:rPr>
                      <w:t>754,860</w:t>
                    </w:r>
                  </w:p>
                </w:tc>
                <w:tc>
                  <w:tcPr>
                    <w:tcW w:w="992" w:type="dxa"/>
                    <w:tcBorders>
                      <w:top w:val="single" w:sz="4" w:space="0" w:color="auto"/>
                      <w:left w:val="single" w:sz="4" w:space="0" w:color="auto"/>
                      <w:bottom w:val="single" w:sz="4" w:space="0" w:color="auto"/>
                      <w:right w:val="single" w:sz="4" w:space="0" w:color="auto"/>
                    </w:tcBorders>
                  </w:tcPr>
                  <w:p>
                    <w:pPr>
                      <w:rPr>
                        <w:color w:val="000000"/>
                        <w:sz w:val="20"/>
                      </w:rPr>
                    </w:pPr>
                    <w:r>
                      <w:rPr>
                        <w:color w:val="000000"/>
                        <w:sz w:val="20"/>
                      </w:rPr>
                      <w:t>2021–2027 m. IP (BF)</w:t>
                    </w:r>
                  </w:p>
                  <w:p>
                    <w:pPr>
                      <w:rPr>
                        <w:color w:val="000000"/>
                        <w:sz w:val="20"/>
                      </w:rPr>
                    </w:pPr>
                  </w:p>
                  <w:p>
                    <w:pPr>
                      <w:rPr>
                        <w:color w:val="000000"/>
                        <w:sz w:val="20"/>
                      </w:rPr>
                    </w:pPr>
                  </w:p>
                </w:tc>
                <w:tc>
                  <w:tcPr>
                    <w:tcW w:w="2551" w:type="dxa"/>
                    <w:tcBorders>
                      <w:left w:val="single" w:sz="4" w:space="0" w:color="auto"/>
                      <w:right w:val="single" w:sz="4" w:space="0" w:color="auto"/>
                    </w:tcBorders>
                    <w:shd w:val="clear" w:color="auto" w:fill="auto"/>
                  </w:tcPr>
                  <w:p>
                    <w:pPr>
                      <w:rPr>
                        <w:color w:val="000000"/>
                        <w:sz w:val="20"/>
                      </w:rPr>
                    </w:pPr>
                    <w:r>
                      <w:rPr>
                        <w:color w:val="000000"/>
                        <w:sz w:val="20"/>
                      </w:rPr>
                      <w:t>R – Specialistų, kurie po dalyvavimo veiklose įgijo ar patobulino kvalifikaciją, dalis, proc.</w:t>
                    </w:r>
                  </w:p>
                </w:tc>
                <w:tc>
                  <w:tcPr>
                    <w:tcW w:w="851" w:type="dxa"/>
                    <w:tcBorders>
                      <w:left w:val="single" w:sz="4" w:space="0" w:color="auto"/>
                      <w:right w:val="single" w:sz="4" w:space="0" w:color="auto"/>
                    </w:tcBorders>
                    <w:shd w:val="clear" w:color="auto" w:fill="auto"/>
                  </w:tcPr>
                  <w:p>
                    <w:pPr>
                      <w:jc w:val="center"/>
                      <w:rPr>
                        <w:color w:val="000000"/>
                        <w:sz w:val="20"/>
                      </w:rPr>
                    </w:pPr>
                    <w:r>
                      <w:rPr>
                        <w:color w:val="000000"/>
                        <w:sz w:val="20"/>
                      </w:rPr>
                      <w:t>90</w:t>
                    </w:r>
                  </w:p>
                  <w:p>
                    <w:pPr>
                      <w:jc w:val="center"/>
                      <w:rPr>
                        <w:color w:val="000000"/>
                        <w:sz w:val="20"/>
                      </w:rPr>
                    </w:pPr>
                    <w:r>
                      <w:rPr>
                        <w:color w:val="000000"/>
                        <w:sz w:val="20"/>
                      </w:rPr>
                      <w:t>(2029 m.)</w:t>
                    </w:r>
                  </w:p>
                </w:tc>
                <w:tc>
                  <w:tcPr>
                    <w:tcW w:w="992" w:type="dxa"/>
                    <w:vMerge/>
                    <w:tcBorders>
                      <w:left w:val="single" w:sz="4" w:space="0" w:color="auto"/>
                      <w:right w:val="single" w:sz="4" w:space="0" w:color="auto"/>
                    </w:tcBorders>
                  </w:tcPr>
                  <w:p>
                    <w:pPr>
                      <w:rPr>
                        <w:color w:val="000000"/>
                        <w:szCs w:val="24"/>
                      </w:rPr>
                    </w:pPr>
                  </w:p>
                </w:tc>
                <w:tc>
                  <w:tcPr>
                    <w:tcW w:w="1276" w:type="dxa"/>
                    <w:vMerge/>
                    <w:tcBorders>
                      <w:left w:val="single" w:sz="4" w:space="0" w:color="auto"/>
                      <w:right w:val="single" w:sz="4" w:space="0" w:color="auto"/>
                    </w:tcBorders>
                  </w:tcPr>
                  <w:p>
                    <w:pPr>
                      <w:rPr>
                        <w:color w:val="000000"/>
                        <w:szCs w:val="24"/>
                      </w:rPr>
                    </w:pPr>
                  </w:p>
                </w:tc>
              </w:tr>
              <w:tr>
                <w:trPr>
                  <w:trHeight w:val="414"/>
                </w:trPr>
                <w:tc>
                  <w:tcPr>
                    <w:tcW w:w="2410" w:type="dxa"/>
                    <w:vMerge w:val="restart"/>
                    <w:shd w:val="clear" w:color="auto" w:fill="F2F2F2" w:themeFill="background1" w:themeFillShade="F2"/>
                  </w:tcPr>
                  <w:p>
                    <w:pPr>
                      <w:rPr>
                        <w:sz w:val="20"/>
                      </w:rPr>
                    </w:pPr>
                    <w:r>
                      <w:rPr>
                        <w:b/>
                        <w:sz w:val="20"/>
                      </w:rPr>
                      <w:t>11. Specialistų kvalifikacijos tobulinimas ir perkvalifikavimas</w:t>
                    </w:r>
                  </w:p>
                </w:tc>
                <w:tc>
                  <w:tcPr>
                    <w:tcW w:w="709" w:type="dxa"/>
                    <w:vMerge w:val="restart"/>
                    <w:shd w:val="clear" w:color="auto" w:fill="F2F2F2" w:themeFill="background1" w:themeFillShade="F2"/>
                  </w:tcPr>
                  <w:p>
                    <w:pPr>
                      <w:rPr>
                        <w:sz w:val="20"/>
                      </w:rPr>
                    </w:pPr>
                    <w:r>
                      <w:rPr>
                        <w:sz w:val="20"/>
                      </w:rPr>
                      <w:t>-</w:t>
                    </w:r>
                  </w:p>
                </w:tc>
                <w:tc>
                  <w:tcPr>
                    <w:tcW w:w="1559"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sz w:val="20"/>
                        <w:lang w:val="en-US"/>
                      </w:rPr>
                    </w:pPr>
                    <w:r>
                      <w:rPr>
                        <w:b/>
                        <w:bCs/>
                        <w:sz w:val="20"/>
                        <w:lang w:val="en-US"/>
                      </w:rPr>
                      <w:t>18 303,358</w:t>
                    </w:r>
                  </w:p>
                </w:tc>
                <w:tc>
                  <w:tcPr>
                    <w:tcW w:w="992" w:type="dxa"/>
                    <w:shd w:val="clear" w:color="auto" w:fill="F2F2F2" w:themeFill="background1" w:themeFillShade="F2"/>
                  </w:tcPr>
                  <w:p>
                    <w:pPr>
                      <w:rPr>
                        <w:sz w:val="20"/>
                      </w:rPr>
                    </w:pPr>
                    <w:r>
                      <w:rPr>
                        <w:sz w:val="20"/>
                      </w:rPr>
                      <w:t>-</w:t>
                    </w:r>
                  </w:p>
                </w:tc>
                <w:tc>
                  <w:tcPr>
                    <w:tcW w:w="2551" w:type="dxa"/>
                    <w:vMerge w:val="restart"/>
                    <w:shd w:val="clear" w:color="auto" w:fill="F2F2F2" w:themeFill="background1" w:themeFillShade="F2"/>
                  </w:tcPr>
                  <w:p>
                    <w:pPr>
                      <w:ind w:left="-57" w:right="-57"/>
                      <w:rPr>
                        <w:color w:val="FF0000"/>
                        <w:sz w:val="20"/>
                      </w:rPr>
                    </w:pPr>
                    <w:r>
                      <w:rPr>
                        <w:sz w:val="20"/>
                      </w:rPr>
                      <w:t xml:space="preserve">R </w:t>
                    </w:r>
                    <w:r>
                      <w:rPr>
                        <w:color w:val="000000"/>
                        <w:szCs w:val="24"/>
                      </w:rPr>
                      <w:t>–</w:t>
                    </w:r>
                    <w:r>
                      <w:rPr>
                        <w:sz w:val="20"/>
                      </w:rPr>
                      <w:t xml:space="preserve"> Slaugytojų, tenkančių vienam gydytojui, skaičius</w:t>
                    </w:r>
                  </w:p>
                </w:tc>
                <w:tc>
                  <w:tcPr>
                    <w:tcW w:w="851" w:type="dxa"/>
                    <w:vMerge w:val="restart"/>
                    <w:shd w:val="clear" w:color="auto" w:fill="F2F2F2" w:themeFill="background1" w:themeFillShade="F2"/>
                  </w:tcPr>
                  <w:p>
                    <w:pPr>
                      <w:ind w:left="-57" w:right="-57"/>
                      <w:jc w:val="center"/>
                      <w:rPr>
                        <w:sz w:val="20"/>
                      </w:rPr>
                    </w:pPr>
                    <w:r>
                      <w:rPr>
                        <w:sz w:val="20"/>
                      </w:rPr>
                      <w:t>2,5</w:t>
                    </w:r>
                  </w:p>
                  <w:p>
                    <w:pPr>
                      <w:ind w:left="-57" w:right="-57"/>
                      <w:jc w:val="center"/>
                      <w:rPr>
                        <w:color w:val="FF0000"/>
                        <w:sz w:val="20"/>
                      </w:rPr>
                    </w:pPr>
                    <w:r>
                      <w:rPr>
                        <w:sz w:val="20"/>
                      </w:rPr>
                      <w:t>(2030 m.)</w:t>
                    </w:r>
                  </w:p>
                </w:tc>
                <w:tc>
                  <w:tcPr>
                    <w:tcW w:w="992" w:type="dxa"/>
                    <w:vMerge w:val="restart"/>
                    <w:shd w:val="clear" w:color="auto" w:fill="F2F2F2" w:themeFill="background1" w:themeFillShade="F2"/>
                  </w:tcPr>
                  <w:p>
                    <w:pPr>
                      <w:rPr>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tcPr>
                  <w:p>
                    <w:pPr>
                      <w:jc w:val="center"/>
                      <w:rPr>
                        <w:color w:val="000000"/>
                        <w:sz w:val="20"/>
                      </w:rPr>
                    </w:pPr>
                    <w:r>
                      <w:rPr>
                        <w:color w:val="000000"/>
                        <w:sz w:val="20"/>
                      </w:rPr>
                      <w:t>-</w:t>
                    </w:r>
                  </w:p>
                </w:tc>
              </w:tr>
              <w:tr>
                <w:trPr>
                  <w:trHeight w:val="414"/>
                </w:trPr>
                <w:tc>
                  <w:tcPr>
                    <w:tcW w:w="2410" w:type="dxa"/>
                    <w:vMerge/>
                    <w:shd w:val="clear" w:color="auto" w:fill="CCC0D9" w:themeFill="accent4" w:themeFillTint="66"/>
                  </w:tcPr>
                  <w:p>
                    <w:pPr>
                      <w:rPr>
                        <w:b/>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lang w:val="en-US"/>
                      </w:rPr>
                    </w:pPr>
                    <w:r>
                      <w:rPr>
                        <w:sz w:val="20"/>
                        <w:lang w:val="en-US"/>
                      </w:rPr>
                      <w:t>9 148,854</w:t>
                    </w:r>
                  </w:p>
                </w:tc>
                <w:tc>
                  <w:tcPr>
                    <w:tcW w:w="992" w:type="dxa"/>
                    <w:shd w:val="clear" w:color="auto" w:fill="F2F2F2" w:themeFill="background1" w:themeFillShade="F2"/>
                  </w:tcPr>
                  <w:p>
                    <w:pPr>
                      <w:rPr>
                        <w:sz w:val="20"/>
                      </w:rPr>
                    </w:pPr>
                    <w:r>
                      <w:rPr>
                        <w:sz w:val="20"/>
                      </w:rPr>
                      <w:t xml:space="preserve">2021–2027 m. IP (ESF+, VVL regionas) </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CCC0D9" w:themeFill="accent4" w:themeFillTint="66"/>
                  </w:tcPr>
                  <w:p>
                    <w:pPr>
                      <w:rPr>
                        <w:b/>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lang w:val="en-US"/>
                      </w:rPr>
                    </w:pPr>
                    <w:r>
                      <w:rPr>
                        <w:sz w:val="20"/>
                        <w:lang w:val="en-US"/>
                      </w:rPr>
                      <w:t>1 614,504</w:t>
                    </w:r>
                  </w:p>
                </w:tc>
                <w:tc>
                  <w:tcPr>
                    <w:tcW w:w="992" w:type="dxa"/>
                    <w:shd w:val="clear" w:color="auto" w:fill="F2F2F2" w:themeFill="background1" w:themeFillShade="F2"/>
                  </w:tcPr>
                  <w:p>
                    <w:pPr>
                      <w:rPr>
                        <w:sz w:val="20"/>
                        <w:lang w:val="it-IT"/>
                      </w:rPr>
                    </w:pPr>
                    <w:r>
                      <w:rPr>
                        <w:sz w:val="20"/>
                      </w:rPr>
                      <w:t>2021–2027 m. IP (BF, VVL regionas)</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CCC0D9" w:themeFill="accent4" w:themeFillTint="66"/>
                  </w:tcPr>
                  <w:p>
                    <w:pPr>
                      <w:rPr>
                        <w:b/>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lang w:val="en-US"/>
                      </w:rPr>
                    </w:pPr>
                    <w:r>
                      <w:rPr>
                        <w:sz w:val="20"/>
                        <w:lang w:val="en-US"/>
                      </w:rPr>
                      <w:t>2 100</w:t>
                    </w:r>
                  </w:p>
                </w:tc>
                <w:tc>
                  <w:tcPr>
                    <w:tcW w:w="992" w:type="dxa"/>
                    <w:shd w:val="clear" w:color="auto" w:fill="F2F2F2" w:themeFill="background1" w:themeFillShade="F2"/>
                  </w:tcPr>
                  <w:p>
                    <w:pPr>
                      <w:rPr>
                        <w:sz w:val="20"/>
                      </w:rPr>
                    </w:pPr>
                    <w:r>
                      <w:rPr>
                        <w:sz w:val="20"/>
                      </w:rPr>
                      <w:t>EGADP</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CCC0D9" w:themeFill="accent4" w:themeFillTint="66"/>
                  </w:tcPr>
                  <w:p>
                    <w:pPr>
                      <w:rPr>
                        <w:b/>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lang w:val="en-US"/>
                      </w:rPr>
                    </w:pPr>
                    <w:r>
                      <w:rPr>
                        <w:sz w:val="20"/>
                        <w:lang w:val="en-US"/>
                      </w:rPr>
                      <w:t>440</w:t>
                    </w:r>
                  </w:p>
                </w:tc>
                <w:tc>
                  <w:tcPr>
                    <w:tcW w:w="992" w:type="dxa"/>
                    <w:shd w:val="clear" w:color="auto" w:fill="F2F2F2" w:themeFill="background1" w:themeFillShade="F2"/>
                  </w:tcPr>
                  <w:p>
                    <w:pPr>
                      <w:rPr>
                        <w:sz w:val="20"/>
                      </w:rPr>
                    </w:pPr>
                    <w:r>
                      <w:rPr>
                        <w:sz w:val="20"/>
                      </w:rPr>
                      <w:t>PVM iš VB</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CCC0D9" w:themeFill="accent4" w:themeFillTint="66"/>
                  </w:tcPr>
                  <w:p>
                    <w:pPr>
                      <w:rPr>
                        <w:b/>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lang w:val="en-US"/>
                      </w:rPr>
                    </w:pPr>
                    <w:r>
                      <w:rPr>
                        <w:sz w:val="20"/>
                        <w:lang w:val="en-US"/>
                      </w:rPr>
                      <w:t>5 000</w:t>
                    </w:r>
                  </w:p>
                </w:tc>
                <w:tc>
                  <w:tcPr>
                    <w:tcW w:w="992" w:type="dxa"/>
                    <w:shd w:val="clear" w:color="auto" w:fill="F2F2F2" w:themeFill="background1" w:themeFillShade="F2"/>
                  </w:tcPr>
                  <w:p>
                    <w:pPr>
                      <w:rPr>
                        <w:sz w:val="20"/>
                      </w:rPr>
                    </w:pPr>
                    <w:r>
                      <w:rPr>
                        <w:sz w:val="20"/>
                      </w:rPr>
                      <w:t>VB</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1198"/>
                </w:trPr>
                <w:tc>
                  <w:tcPr>
                    <w:tcW w:w="2410" w:type="dxa"/>
                    <w:shd w:val="clear" w:color="auto" w:fill="auto"/>
                  </w:tcPr>
                  <w:p>
                    <w:pPr>
                      <w:rPr>
                        <w:sz w:val="20"/>
                      </w:rPr>
                    </w:pPr>
                    <w:r>
                      <w:rPr>
                        <w:sz w:val="20"/>
                      </w:rPr>
                      <w:t xml:space="preserve">11.1. Sveikatos priežiūros  specialistų kvalifikaciją ir darbo sąlygas tobulinančių teisės aktų rengimas</w:t>
                    </w:r>
                  </w:p>
                </w:tc>
                <w:tc>
                  <w:tcPr>
                    <w:tcW w:w="709" w:type="dxa"/>
                    <w:shd w:val="clear" w:color="auto" w:fill="auto"/>
                  </w:tcPr>
                  <w:p>
                    <w:pPr>
                      <w:rPr>
                        <w:sz w:val="20"/>
                      </w:rPr>
                    </w:pPr>
                    <w:r>
                      <w:rPr>
                        <w:sz w:val="20"/>
                      </w:rPr>
                      <w:t>R</w:t>
                    </w:r>
                  </w:p>
                </w:tc>
                <w:tc>
                  <w:tcPr>
                    <w:tcW w:w="1559" w:type="dxa"/>
                    <w:shd w:val="clear" w:color="auto" w:fill="auto"/>
                  </w:tcPr>
                  <w:p>
                    <w:pPr>
                      <w:rPr>
                        <w:sz w:val="20"/>
                      </w:rPr>
                    </w:pPr>
                    <w:r>
                      <w:rPr>
                        <w:sz w:val="20"/>
                      </w:rPr>
                      <w:t>-</w:t>
                    </w:r>
                  </w:p>
                </w:tc>
                <w:tc>
                  <w:tcPr>
                    <w:tcW w:w="709" w:type="dxa"/>
                    <w:shd w:val="clear" w:color="auto" w:fill="auto"/>
                  </w:tcPr>
                  <w:p>
                    <w:pPr>
                      <w:rPr>
                        <w:sz w:val="20"/>
                      </w:rPr>
                    </w:pPr>
                    <w:r>
                      <w:rPr>
                        <w:sz w:val="20"/>
                      </w:rPr>
                      <w:t>-</w:t>
                    </w:r>
                  </w:p>
                </w:tc>
                <w:tc>
                  <w:tcPr>
                    <w:tcW w:w="992" w:type="dxa"/>
                    <w:shd w:val="clear" w:color="auto" w:fill="auto"/>
                  </w:tcPr>
                  <w:p>
                    <w:pPr>
                      <w:rPr>
                        <w:sz w:val="20"/>
                      </w:rPr>
                    </w:pPr>
                    <w:r>
                      <w:rPr>
                        <w:sz w:val="20"/>
                      </w:rPr>
                      <w:t>Taip</w:t>
                    </w:r>
                  </w:p>
                </w:tc>
                <w:tc>
                  <w:tcPr>
                    <w:tcW w:w="709" w:type="dxa"/>
                    <w:shd w:val="clear" w:color="auto" w:fill="auto"/>
                  </w:tcPr>
                  <w:p>
                    <w:pPr>
                      <w:rPr>
                        <w:sz w:val="20"/>
                      </w:rPr>
                    </w:pPr>
                    <w:r>
                      <w:rPr>
                        <w:sz w:val="20"/>
                      </w:rPr>
                      <w:t>-</w:t>
                    </w:r>
                  </w:p>
                </w:tc>
                <w:tc>
                  <w:tcPr>
                    <w:tcW w:w="1276" w:type="dxa"/>
                    <w:shd w:val="clear" w:color="auto" w:fill="auto"/>
                  </w:tcPr>
                  <w:p>
                    <w:pPr>
                      <w:rPr>
                        <w:sz w:val="20"/>
                        <w:lang w:val="en-US"/>
                      </w:rPr>
                    </w:pPr>
                    <w:r>
                      <w:rPr>
                        <w:sz w:val="20"/>
                        <w:lang w:val="en-US"/>
                      </w:rPr>
                      <w:t>-</w:t>
                    </w:r>
                  </w:p>
                </w:tc>
                <w:tc>
                  <w:tcPr>
                    <w:tcW w:w="992" w:type="dxa"/>
                    <w:shd w:val="clear" w:color="auto" w:fill="auto"/>
                  </w:tcPr>
                  <w:p>
                    <w:pPr>
                      <w:rPr>
                        <w:sz w:val="20"/>
                      </w:rPr>
                    </w:pPr>
                    <w:r>
                      <w:rPr>
                        <w:sz w:val="20"/>
                      </w:rPr>
                      <w:t>-</w:t>
                    </w:r>
                  </w:p>
                </w:tc>
                <w:tc>
                  <w:tcPr>
                    <w:tcW w:w="2551" w:type="dxa"/>
                    <w:shd w:val="clear" w:color="auto" w:fill="auto"/>
                  </w:tcPr>
                  <w:p>
                    <w:pPr>
                      <w:ind w:right="-57"/>
                      <w:rPr>
                        <w:sz w:val="20"/>
                      </w:rPr>
                    </w:pPr>
                    <w:r>
                      <w:rPr>
                        <w:sz w:val="20"/>
                      </w:rPr>
                      <w:t>P – Įsigalioję teisės aktai dėl sveikatos priežiūros specialistų darbo sąlygų gerinimo ir profesinės kvalifikacijos tobulinimo, kompl.</w:t>
                    </w:r>
                  </w:p>
                </w:tc>
                <w:tc>
                  <w:tcPr>
                    <w:tcW w:w="851" w:type="dxa"/>
                    <w:shd w:val="clear" w:color="auto" w:fill="auto"/>
                  </w:tcPr>
                  <w:p>
                    <w:pPr>
                      <w:ind w:left="-57" w:right="-57"/>
                      <w:jc w:val="center"/>
                      <w:rPr>
                        <w:sz w:val="20"/>
                      </w:rPr>
                    </w:pPr>
                    <w:r>
                      <w:rPr>
                        <w:sz w:val="20"/>
                      </w:rPr>
                      <w:t>1</w:t>
                    </w:r>
                  </w:p>
                  <w:p>
                    <w:pPr>
                      <w:ind w:left="-57" w:right="-57"/>
                      <w:jc w:val="center"/>
                      <w:rPr>
                        <w:sz w:val="20"/>
                      </w:rPr>
                    </w:pPr>
                    <w:r>
                      <w:rPr>
                        <w:sz w:val="20"/>
                      </w:rPr>
                      <w:t>(2023 m. II ketv.)</w:t>
                    </w:r>
                  </w:p>
                </w:tc>
                <w:tc>
                  <w:tcPr>
                    <w:tcW w:w="992" w:type="dxa"/>
                    <w:shd w:val="clear" w:color="auto" w:fill="auto"/>
                  </w:tcPr>
                  <w:p>
                    <w:pPr>
                      <w:rPr>
                        <w:sz w:val="20"/>
                      </w:rPr>
                    </w:pPr>
                    <w:r>
                      <w:rPr>
                        <w:sz w:val="20"/>
                      </w:rPr>
                      <w:t>-</w:t>
                    </w:r>
                  </w:p>
                </w:tc>
                <w:tc>
                  <w:tcPr>
                    <w:tcW w:w="1276" w:type="dxa"/>
                    <w:tcBorders>
                      <w:left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943"/>
                </w:trPr>
                <w:tc>
                  <w:tcPr>
                    <w:tcW w:w="2410" w:type="dxa"/>
                    <w:vMerge w:val="restart"/>
                    <w:shd w:val="clear" w:color="auto" w:fill="auto"/>
                  </w:tcPr>
                  <w:p>
                    <w:pPr>
                      <w:rPr>
                        <w:sz w:val="20"/>
                      </w:rPr>
                    </w:pPr>
                    <w:r>
                      <w:rPr>
                        <w:sz w:val="20"/>
                      </w:rPr>
                      <w:t xml:space="preserve">11.2. Sveikatos priežiūros  specialistų kvalifikacijos tobulinimas, Vidurio ir vakarų Lietuvos regionas</w:t>
                    </w:r>
                  </w:p>
                </w:tc>
                <w:tc>
                  <w:tcPr>
                    <w:tcW w:w="709" w:type="dxa"/>
                    <w:vMerge w:val="restart"/>
                    <w:shd w:val="clear" w:color="auto" w:fill="auto"/>
                  </w:tcPr>
                  <w:p>
                    <w:pPr>
                      <w:rPr>
                        <w:sz w:val="20"/>
                      </w:rPr>
                    </w:pPr>
                    <w:r>
                      <w:rPr>
                        <w:sz w:val="20"/>
                      </w:rPr>
                      <w:t>I</w:t>
                    </w:r>
                  </w:p>
                </w:tc>
                <w:tc>
                  <w:tcPr>
                    <w:tcW w:w="1559" w:type="dxa"/>
                    <w:vMerge w:val="restart"/>
                    <w:shd w:val="clear" w:color="auto" w:fill="auto"/>
                  </w:tcPr>
                  <w:p>
                    <w:pPr>
                      <w:rPr>
                        <w:sz w:val="20"/>
                      </w:rPr>
                    </w:pPr>
                    <w:r>
                      <w:rPr>
                        <w:sz w:val="20"/>
                      </w:rPr>
                      <w:t>SAM</w:t>
                    </w:r>
                  </w:p>
                </w:tc>
                <w:tc>
                  <w:tcPr>
                    <w:tcW w:w="709" w:type="dxa"/>
                    <w:vMerge w:val="restart"/>
                    <w:shd w:val="clear" w:color="auto" w:fill="auto"/>
                  </w:tcPr>
                  <w:p>
                    <w:pPr>
                      <w:rPr>
                        <w:sz w:val="20"/>
                      </w:rPr>
                    </w:pPr>
                    <w:r>
                      <w:rPr>
                        <w:sz w:val="20"/>
                      </w:rPr>
                      <w:t>P</w:t>
                    </w:r>
                  </w:p>
                </w:tc>
                <w:tc>
                  <w:tcPr>
                    <w:tcW w:w="992" w:type="dxa"/>
                    <w:vMerge w:val="restart"/>
                    <w:shd w:val="clear" w:color="auto" w:fill="auto"/>
                  </w:tcPr>
                  <w:p>
                    <w:pPr>
                      <w:rPr>
                        <w:sz w:val="20"/>
                      </w:rPr>
                    </w:pPr>
                    <w:r>
                      <w:rPr>
                        <w:sz w:val="20"/>
                      </w:rPr>
                      <w:t>Taip</w:t>
                    </w:r>
                  </w:p>
                </w:tc>
                <w:tc>
                  <w:tcPr>
                    <w:tcW w:w="709" w:type="dxa"/>
                    <w:vMerge w:val="restart"/>
                    <w:shd w:val="clear" w:color="auto" w:fill="auto"/>
                  </w:tcPr>
                  <w:p>
                    <w:pPr>
                      <w:rPr>
                        <w:sz w:val="20"/>
                      </w:rPr>
                    </w:pPr>
                    <w:r>
                      <w:rPr>
                        <w:sz w:val="20"/>
                      </w:rPr>
                      <w:t>D</w:t>
                    </w:r>
                  </w:p>
                </w:tc>
                <w:tc>
                  <w:tcPr>
                    <w:tcW w:w="1276" w:type="dxa"/>
                    <w:shd w:val="clear" w:color="auto" w:fill="auto"/>
                  </w:tcPr>
                  <w:p>
                    <w:pPr>
                      <w:rPr>
                        <w:sz w:val="20"/>
                        <w:lang w:val="en-US"/>
                      </w:rPr>
                    </w:pPr>
                    <w:r>
                      <w:rPr>
                        <w:sz w:val="20"/>
                        <w:lang w:val="en-US"/>
                      </w:rPr>
                      <w:t>9 148,854</w:t>
                    </w:r>
                  </w:p>
                </w:tc>
                <w:tc>
                  <w:tcPr>
                    <w:tcW w:w="992" w:type="dxa"/>
                    <w:shd w:val="clear" w:color="auto" w:fill="auto"/>
                  </w:tcPr>
                  <w:p>
                    <w:pPr>
                      <w:rPr>
                        <w:sz w:val="20"/>
                      </w:rPr>
                    </w:pPr>
                    <w:r>
                      <w:rPr>
                        <w:sz w:val="20"/>
                      </w:rPr>
                      <w:t xml:space="preserve">2021–2027 m. IP (ESF+) </w:t>
                    </w:r>
                  </w:p>
                </w:tc>
                <w:tc>
                  <w:tcPr>
                    <w:tcW w:w="2551" w:type="dxa"/>
                    <w:vMerge w:val="restart"/>
                    <w:shd w:val="clear" w:color="auto" w:fill="auto"/>
                  </w:tcPr>
                  <w:p>
                    <w:pPr>
                      <w:ind w:right="-57"/>
                      <w:rPr>
                        <w:sz w:val="20"/>
                      </w:rPr>
                    </w:pPr>
                    <w:r>
                      <w:rPr>
                        <w:sz w:val="20"/>
                      </w:rPr>
                      <w:t>P – Specialistai, dalyvavę kvalifikacijos tobulinimo ar perkvalifikavimo veiklose, asmenys</w:t>
                    </w:r>
                  </w:p>
                </w:tc>
                <w:tc>
                  <w:tcPr>
                    <w:tcW w:w="851" w:type="dxa"/>
                    <w:vMerge w:val="restart"/>
                    <w:shd w:val="clear" w:color="auto" w:fill="auto"/>
                  </w:tcPr>
                  <w:p>
                    <w:pPr>
                      <w:ind w:left="-57" w:right="-57"/>
                      <w:jc w:val="center"/>
                      <w:rPr>
                        <w:sz w:val="20"/>
                        <w:lang w:val="en-US"/>
                      </w:rPr>
                    </w:pPr>
                    <w:r>
                      <w:rPr>
                        <w:sz w:val="20"/>
                      </w:rPr>
                      <w:t>27 600</w:t>
                    </w:r>
                  </w:p>
                  <w:p>
                    <w:pPr>
                      <w:ind w:left="-57" w:right="-57"/>
                      <w:jc w:val="center"/>
                      <w:rPr>
                        <w:sz w:val="20"/>
                      </w:rPr>
                    </w:pPr>
                    <w:r>
                      <w:rPr>
                        <w:sz w:val="20"/>
                      </w:rPr>
                      <w:t>(2029 m.)</w:t>
                    </w:r>
                  </w:p>
                  <w:p>
                    <w:pPr>
                      <w:rPr>
                        <w:sz w:val="20"/>
                      </w:rPr>
                    </w:pP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230"/>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val="restart"/>
                    <w:shd w:val="clear" w:color="auto" w:fill="auto"/>
                  </w:tcPr>
                  <w:p>
                    <w:pPr>
                      <w:rPr>
                        <w:sz w:val="20"/>
                        <w:lang w:val="en-US"/>
                      </w:rPr>
                    </w:pPr>
                    <w:r>
                      <w:rPr>
                        <w:sz w:val="20"/>
                        <w:lang w:val="en-US"/>
                      </w:rPr>
                      <w:t>1 614,504</w:t>
                    </w:r>
                  </w:p>
                </w:tc>
                <w:tc>
                  <w:tcPr>
                    <w:tcW w:w="992" w:type="dxa"/>
                    <w:vMerge w:val="restart"/>
                    <w:shd w:val="clear" w:color="auto" w:fill="auto"/>
                  </w:tcPr>
                  <w:p>
                    <w:pPr>
                      <w:rPr>
                        <w:sz w:val="20"/>
                      </w:rPr>
                    </w:pPr>
                    <w:r>
                      <w:rPr>
                        <w:sz w:val="20"/>
                      </w:rPr>
                      <w:t>2021–2027 m. IP (BF)</w:t>
                    </w:r>
                  </w:p>
                  <w:p>
                    <w:pPr>
                      <w:rPr>
                        <w:sz w:val="20"/>
                      </w:rPr>
                    </w:pPr>
                  </w:p>
                </w:tc>
                <w:tc>
                  <w:tcPr>
                    <w:tcW w:w="2551" w:type="dxa"/>
                    <w:vMerge/>
                    <w:shd w:val="clear" w:color="auto" w:fill="auto"/>
                  </w:tcPr>
                  <w:p>
                    <w:pPr>
                      <w:ind w:right="-57"/>
                      <w:rPr>
                        <w:sz w:val="20"/>
                      </w:rPr>
                    </w:pPr>
                  </w:p>
                </w:tc>
                <w:tc>
                  <w:tcPr>
                    <w:tcW w:w="851" w:type="dxa"/>
                    <w:vMerge/>
                    <w:shd w:val="clear" w:color="auto" w:fill="auto"/>
                  </w:tcPr>
                  <w:p>
                    <w:pPr>
                      <w:ind w:left="-57" w:right="-57"/>
                      <w:jc w:val="center"/>
                      <w:rPr>
                        <w:sz w:val="20"/>
                      </w:rPr>
                    </w:pP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rPr>
                        <w:color w:val="000000"/>
                        <w:sz w:val="20"/>
                      </w:rPr>
                    </w:pPr>
                  </w:p>
                </w:tc>
              </w:tr>
              <w:tr>
                <w:trPr>
                  <w:trHeight w:val="833"/>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lang w:val="en-US"/>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R –</w:t>
                    </w:r>
                    <w:r>
                      <w:rPr>
                        <w:sz w:val="20"/>
                        <w:lang w:eastAsia="lt-LT"/>
                      </w:rPr>
                      <w:t xml:space="preserve"> Specialistų, kurie po dalyvavimo veiklose įgijo ar patobulino kvalifikaciją, dalis proc.</w:t>
                    </w:r>
                  </w:p>
                </w:tc>
                <w:tc>
                  <w:tcPr>
                    <w:tcW w:w="851" w:type="dxa"/>
                    <w:shd w:val="clear" w:color="auto" w:fill="auto"/>
                  </w:tcPr>
                  <w:p>
                    <w:pPr>
                      <w:ind w:left="-57" w:right="-57"/>
                      <w:jc w:val="center"/>
                      <w:rPr>
                        <w:sz w:val="20"/>
                      </w:rPr>
                    </w:pPr>
                    <w:r>
                      <w:rPr>
                        <w:sz w:val="20"/>
                      </w:rPr>
                      <w:t>90</w:t>
                    </w:r>
                  </w:p>
                  <w:p>
                    <w:pPr>
                      <w:ind w:left="-57" w:right="-57"/>
                      <w:jc w:val="center"/>
                      <w:rPr>
                        <w:sz w:val="20"/>
                      </w:rPr>
                    </w:pPr>
                    <w:r>
                      <w:rPr>
                        <w:sz w:val="20"/>
                      </w:rPr>
                      <w:t>(2029 m.)</w:t>
                    </w:r>
                  </w:p>
                  <w:p>
                    <w:pPr>
                      <w:jc w:val="center"/>
                      <w:rPr>
                        <w:b/>
                        <w:bCs/>
                        <w:sz w:val="20"/>
                      </w:rPr>
                    </w:pP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rPr>
                        <w:color w:val="000000"/>
                        <w:sz w:val="20"/>
                      </w:rPr>
                    </w:pPr>
                  </w:p>
                </w:tc>
              </w:tr>
              <w:tr>
                <w:trPr>
                  <w:trHeight w:val="414"/>
                </w:trPr>
                <w:tc>
                  <w:tcPr>
                    <w:tcW w:w="2410" w:type="dxa"/>
                    <w:shd w:val="clear" w:color="auto" w:fill="auto"/>
                  </w:tcPr>
                  <w:p>
                    <w:pPr>
                      <w:rPr>
                        <w:sz w:val="20"/>
                      </w:rPr>
                    </w:pPr>
                    <w:r>
                      <w:rPr>
                        <w:sz w:val="20"/>
                      </w:rPr>
                      <w:t>11.3. Sveikatos priežiūros specialistų kvalifikacijos tobulinimas</w:t>
                    </w:r>
                  </w:p>
                </w:tc>
                <w:tc>
                  <w:tcPr>
                    <w:tcW w:w="709" w:type="dxa"/>
                    <w:shd w:val="clear" w:color="auto" w:fill="auto"/>
                  </w:tcPr>
                  <w:p>
                    <w:pPr>
                      <w:rPr>
                        <w:sz w:val="20"/>
                      </w:rPr>
                    </w:pPr>
                    <w:r>
                      <w:rPr>
                        <w:sz w:val="20"/>
                      </w:rPr>
                      <w:t>I</w:t>
                    </w:r>
                  </w:p>
                </w:tc>
                <w:tc>
                  <w:tcPr>
                    <w:tcW w:w="1559" w:type="dxa"/>
                    <w:shd w:val="clear" w:color="auto" w:fill="auto"/>
                  </w:tcPr>
                  <w:p>
                    <w:pPr>
                      <w:rPr>
                        <w:sz w:val="20"/>
                      </w:rPr>
                    </w:pPr>
                    <w:r>
                      <w:rPr>
                        <w:sz w:val="20"/>
                      </w:rPr>
                      <w:t>SAM</w:t>
                    </w:r>
                  </w:p>
                </w:tc>
                <w:tc>
                  <w:tcPr>
                    <w:tcW w:w="709" w:type="dxa"/>
                    <w:shd w:val="clear" w:color="auto" w:fill="auto"/>
                  </w:tcPr>
                  <w:p>
                    <w:pPr>
                      <w:rPr>
                        <w:sz w:val="20"/>
                      </w:rPr>
                    </w:pPr>
                    <w:r>
                      <w:rPr>
                        <w:sz w:val="20"/>
                      </w:rPr>
                      <w:t>P</w:t>
                    </w:r>
                  </w:p>
                </w:tc>
                <w:tc>
                  <w:tcPr>
                    <w:tcW w:w="992" w:type="dxa"/>
                    <w:shd w:val="clear" w:color="auto" w:fill="auto"/>
                  </w:tcPr>
                  <w:p>
                    <w:pPr>
                      <w:rPr>
                        <w:sz w:val="20"/>
                      </w:rPr>
                    </w:pPr>
                    <w:r>
                      <w:rPr>
                        <w:sz w:val="20"/>
                      </w:rPr>
                      <w:t>Taip</w:t>
                    </w:r>
                  </w:p>
                </w:tc>
                <w:tc>
                  <w:tcPr>
                    <w:tcW w:w="709" w:type="dxa"/>
                    <w:shd w:val="clear" w:color="auto" w:fill="auto"/>
                  </w:tcPr>
                  <w:p>
                    <w:pPr>
                      <w:rPr>
                        <w:sz w:val="20"/>
                      </w:rPr>
                    </w:pPr>
                    <w:r>
                      <w:rPr>
                        <w:sz w:val="20"/>
                      </w:rPr>
                      <w:t>D</w:t>
                    </w:r>
                  </w:p>
                </w:tc>
                <w:tc>
                  <w:tcPr>
                    <w:tcW w:w="1276" w:type="dxa"/>
                    <w:shd w:val="clear" w:color="auto" w:fill="auto"/>
                  </w:tcPr>
                  <w:p>
                    <w:pPr>
                      <w:rPr>
                        <w:sz w:val="20"/>
                        <w:lang w:val="en-US"/>
                      </w:rPr>
                    </w:pPr>
                    <w:r>
                      <w:rPr>
                        <w:sz w:val="20"/>
                        <w:lang w:val="en-US"/>
                      </w:rPr>
                      <w:t>5 000</w:t>
                    </w:r>
                  </w:p>
                  <w:p>
                    <w:pPr>
                      <w:rPr>
                        <w:sz w:val="20"/>
                        <w:lang w:val="en-US"/>
                      </w:rPr>
                    </w:pPr>
                  </w:p>
                </w:tc>
                <w:tc>
                  <w:tcPr>
                    <w:tcW w:w="992" w:type="dxa"/>
                    <w:shd w:val="clear" w:color="auto" w:fill="auto"/>
                  </w:tcPr>
                  <w:p>
                    <w:pPr>
                      <w:ind w:left="-57" w:right="-57"/>
                      <w:rPr>
                        <w:sz w:val="20"/>
                      </w:rPr>
                    </w:pPr>
                    <w:r>
                      <w:rPr>
                        <w:sz w:val="20"/>
                      </w:rPr>
                      <w:t>VB</w:t>
                    </w:r>
                  </w:p>
                </w:tc>
                <w:tc>
                  <w:tcPr>
                    <w:tcW w:w="2551" w:type="dxa"/>
                    <w:shd w:val="clear" w:color="auto" w:fill="auto"/>
                  </w:tcPr>
                  <w:p>
                    <w:pPr>
                      <w:ind w:left="-57" w:right="-57"/>
                      <w:rPr>
                        <w:sz w:val="20"/>
                      </w:rPr>
                    </w:pPr>
                    <w:r>
                      <w:rPr>
                        <w:sz w:val="20"/>
                      </w:rPr>
                      <w:t>P – Specialistai, dalyvavę kvalifikacijos tobulinimo veiklose, asmenys</w:t>
                    </w:r>
                  </w:p>
                </w:tc>
                <w:tc>
                  <w:tcPr>
                    <w:tcW w:w="851" w:type="dxa"/>
                    <w:shd w:val="clear" w:color="auto" w:fill="auto"/>
                  </w:tcPr>
                  <w:p>
                    <w:pPr>
                      <w:ind w:left="-57" w:right="-57"/>
                      <w:jc w:val="center"/>
                      <w:rPr>
                        <w:sz w:val="20"/>
                      </w:rPr>
                    </w:pPr>
                    <w:r>
                      <w:rPr>
                        <w:sz w:val="20"/>
                      </w:rPr>
                      <w:t>18 000</w:t>
                    </w:r>
                  </w:p>
                  <w:p>
                    <w:pPr>
                      <w:ind w:left="-57" w:right="-57"/>
                      <w:jc w:val="center"/>
                      <w:rPr>
                        <w:sz w:val="20"/>
                      </w:rPr>
                    </w:pPr>
                    <w:r>
                      <w:rPr>
                        <w:sz w:val="20"/>
                      </w:rPr>
                      <w:t>(2030 m.)</w:t>
                    </w:r>
                  </w:p>
                  <w:p>
                    <w:pPr>
                      <w:ind w:left="-57" w:right="-57"/>
                      <w:jc w:val="center"/>
                      <w:rPr>
                        <w:sz w:val="20"/>
                      </w:rPr>
                    </w:pPr>
                  </w:p>
                </w:tc>
                <w:tc>
                  <w:tcPr>
                    <w:tcW w:w="992" w:type="dxa"/>
                    <w:shd w:val="clear" w:color="auto" w:fill="auto"/>
                  </w:tcPr>
                  <w:p>
                    <w:pPr>
                      <w:rPr>
                        <w:sz w:val="20"/>
                      </w:rPr>
                    </w:pPr>
                    <w:r>
                      <w:rPr>
                        <w:sz w:val="20"/>
                      </w:rPr>
                      <w:t>SAM</w:t>
                    </w:r>
                  </w:p>
                </w:tc>
                <w:tc>
                  <w:tcPr>
                    <w:tcW w:w="1276" w:type="dxa"/>
                    <w:tcBorders>
                      <w:left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414"/>
                </w:trPr>
                <w:tc>
                  <w:tcPr>
                    <w:tcW w:w="2410" w:type="dxa"/>
                    <w:vMerge w:val="restart"/>
                    <w:shd w:val="clear" w:color="auto" w:fill="auto"/>
                  </w:tcPr>
                  <w:p>
                    <w:pPr>
                      <w:rPr>
                        <w:sz w:val="20"/>
                      </w:rPr>
                    </w:pPr>
                    <w:r>
                      <w:rPr>
                        <w:sz w:val="20"/>
                      </w:rPr>
                      <w:t>11.4. Ilgalaikės priežiūros paslaugas teikiančių specialistų parengimas</w:t>
                    </w:r>
                  </w:p>
                </w:tc>
                <w:tc>
                  <w:tcPr>
                    <w:tcW w:w="709" w:type="dxa"/>
                    <w:vMerge w:val="restart"/>
                    <w:shd w:val="clear" w:color="auto" w:fill="auto"/>
                  </w:tcPr>
                  <w:p>
                    <w:pPr>
                      <w:rPr>
                        <w:sz w:val="20"/>
                      </w:rPr>
                    </w:pPr>
                    <w:r>
                      <w:rPr>
                        <w:sz w:val="20"/>
                      </w:rPr>
                      <w:t>I</w:t>
                    </w:r>
                  </w:p>
                </w:tc>
                <w:tc>
                  <w:tcPr>
                    <w:tcW w:w="1559" w:type="dxa"/>
                    <w:vMerge w:val="restart"/>
                    <w:shd w:val="clear" w:color="auto" w:fill="auto"/>
                  </w:tcPr>
                  <w:p>
                    <w:pPr>
                      <w:rPr>
                        <w:sz w:val="20"/>
                      </w:rPr>
                    </w:pPr>
                    <w:r>
                      <w:rPr>
                        <w:sz w:val="20"/>
                      </w:rPr>
                      <w:t>SAM</w:t>
                    </w:r>
                  </w:p>
                </w:tc>
                <w:tc>
                  <w:tcPr>
                    <w:tcW w:w="709" w:type="dxa"/>
                    <w:vMerge w:val="restart"/>
                    <w:shd w:val="clear" w:color="auto" w:fill="auto"/>
                  </w:tcPr>
                  <w:p>
                    <w:pPr>
                      <w:rPr>
                        <w:sz w:val="20"/>
                      </w:rPr>
                    </w:pPr>
                    <w:r>
                      <w:rPr>
                        <w:sz w:val="20"/>
                      </w:rPr>
                      <w:t>P</w:t>
                    </w:r>
                  </w:p>
                </w:tc>
                <w:tc>
                  <w:tcPr>
                    <w:tcW w:w="992" w:type="dxa"/>
                    <w:vMerge w:val="restart"/>
                    <w:shd w:val="clear" w:color="auto" w:fill="auto"/>
                  </w:tcPr>
                  <w:p>
                    <w:pPr>
                      <w:rPr>
                        <w:sz w:val="20"/>
                      </w:rPr>
                    </w:pPr>
                    <w:r>
                      <w:rPr>
                        <w:sz w:val="20"/>
                      </w:rPr>
                      <w:t>Taip</w:t>
                    </w:r>
                  </w:p>
                </w:tc>
                <w:tc>
                  <w:tcPr>
                    <w:tcW w:w="709" w:type="dxa"/>
                    <w:vMerge w:val="restart"/>
                    <w:shd w:val="clear" w:color="auto" w:fill="auto"/>
                  </w:tcPr>
                  <w:p>
                    <w:pPr>
                      <w:rPr>
                        <w:sz w:val="20"/>
                      </w:rPr>
                    </w:pPr>
                    <w:r>
                      <w:rPr>
                        <w:sz w:val="20"/>
                      </w:rPr>
                      <w:t>D</w:t>
                    </w:r>
                  </w:p>
                </w:tc>
                <w:tc>
                  <w:tcPr>
                    <w:tcW w:w="1276" w:type="dxa"/>
                    <w:shd w:val="clear" w:color="auto" w:fill="auto"/>
                  </w:tcPr>
                  <w:p>
                    <w:pPr>
                      <w:rPr>
                        <w:sz w:val="20"/>
                        <w:lang w:val="en-US"/>
                      </w:rPr>
                    </w:pPr>
                    <w:r>
                      <w:rPr>
                        <w:sz w:val="20"/>
                        <w:lang w:val="en-US"/>
                      </w:rPr>
                      <w:t>2 100</w:t>
                    </w:r>
                  </w:p>
                  <w:p>
                    <w:pPr>
                      <w:rPr>
                        <w:sz w:val="20"/>
                        <w:lang w:val="en-US"/>
                      </w:rPr>
                    </w:pPr>
                  </w:p>
                </w:tc>
                <w:tc>
                  <w:tcPr>
                    <w:tcW w:w="992" w:type="dxa"/>
                    <w:shd w:val="clear" w:color="auto" w:fill="auto"/>
                  </w:tcPr>
                  <w:p>
                    <w:pPr>
                      <w:ind w:left="-57" w:right="-57"/>
                      <w:rPr>
                        <w:sz w:val="20"/>
                      </w:rPr>
                    </w:pPr>
                    <w:r>
                      <w:rPr>
                        <w:sz w:val="20"/>
                      </w:rPr>
                      <w:t>EGADP</w:t>
                    </w:r>
                  </w:p>
                  <w:p>
                    <w:pPr>
                      <w:ind w:left="-57" w:right="-57"/>
                      <w:rPr>
                        <w:sz w:val="20"/>
                      </w:rPr>
                    </w:pPr>
                  </w:p>
                </w:tc>
                <w:tc>
                  <w:tcPr>
                    <w:tcW w:w="2551" w:type="dxa"/>
                    <w:vMerge w:val="restart"/>
                    <w:shd w:val="clear" w:color="auto" w:fill="auto"/>
                  </w:tcPr>
                  <w:p>
                    <w:pPr>
                      <w:ind w:left="-57" w:right="-57"/>
                      <w:rPr>
                        <w:sz w:val="20"/>
                      </w:rPr>
                    </w:pPr>
                    <w:r>
                      <w:rPr>
                        <w:sz w:val="20"/>
                      </w:rPr>
                      <w:t xml:space="preserve">P – </w:t>
                    </w:r>
                    <w:r>
                      <w:rPr>
                        <w:sz w:val="20"/>
                        <w:lang w:eastAsia="lt-LT"/>
                      </w:rPr>
                      <w:t xml:space="preserve">Baigtas mažiausiai 1 000 ilgalaikės priežiūros specialistų mokymas, vnt. </w:t>
                    </w:r>
                  </w:p>
                </w:tc>
                <w:tc>
                  <w:tcPr>
                    <w:tcW w:w="851" w:type="dxa"/>
                    <w:vMerge w:val="restart"/>
                    <w:shd w:val="clear" w:color="auto" w:fill="auto"/>
                  </w:tcPr>
                  <w:p>
                    <w:pPr>
                      <w:ind w:left="-57" w:right="-57"/>
                      <w:jc w:val="center"/>
                      <w:rPr>
                        <w:sz w:val="20"/>
                      </w:rPr>
                    </w:pPr>
                    <w:r>
                      <w:rPr>
                        <w:sz w:val="20"/>
                      </w:rPr>
                      <w:t>1 000</w:t>
                    </w:r>
                  </w:p>
                  <w:p>
                    <w:pPr>
                      <w:ind w:left="-57" w:right="-57"/>
                      <w:jc w:val="center"/>
                      <w:rPr>
                        <w:sz w:val="20"/>
                      </w:rPr>
                    </w:pPr>
                    <w:r>
                      <w:rPr>
                        <w:sz w:val="20"/>
                      </w:rPr>
                      <w:t>(2024 m. IV ketv.)</w:t>
                    </w: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rPr>
                        <w:color w:val="000000"/>
                        <w:sz w:val="20"/>
                      </w:rPr>
                    </w:pPr>
                    <w:r>
                      <w:rPr>
                        <w:color w:val="000000"/>
                        <w:sz w:val="20"/>
                      </w:rPr>
                      <w:t>SAM,</w:t>
                    </w:r>
                  </w:p>
                  <w:p>
                    <w:pPr>
                      <w:rPr>
                        <w:sz w:val="20"/>
                      </w:rPr>
                    </w:pPr>
                    <w:r>
                      <w:rPr>
                        <w:sz w:val="20"/>
                      </w:rPr>
                      <w:t>SADM,</w:t>
                    </w:r>
                  </w:p>
                  <w:p>
                    <w:pPr>
                      <w:rPr>
                        <w:sz w:val="20"/>
                      </w:rPr>
                    </w:pPr>
                    <w:r>
                      <w:rPr>
                        <w:sz w:val="20"/>
                      </w:rPr>
                      <w:t>Švietimo, mokslo ir sporto ministerija</w:t>
                    </w: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shd w:val="clear" w:color="auto" w:fill="auto"/>
                  </w:tcPr>
                  <w:p>
                    <w:pPr>
                      <w:rPr>
                        <w:sz w:val="20"/>
                        <w:lang w:val="en-US"/>
                      </w:rPr>
                    </w:pPr>
                    <w:r>
                      <w:rPr>
                        <w:sz w:val="20"/>
                        <w:lang w:val="en-US"/>
                      </w:rPr>
                      <w:t>440</w:t>
                    </w:r>
                  </w:p>
                </w:tc>
                <w:tc>
                  <w:tcPr>
                    <w:tcW w:w="992" w:type="dxa"/>
                    <w:shd w:val="clear" w:color="auto" w:fill="auto"/>
                  </w:tcPr>
                  <w:p>
                    <w:pPr>
                      <w:rPr>
                        <w:sz w:val="20"/>
                      </w:rPr>
                    </w:pPr>
                    <w:r>
                      <w:rPr>
                        <w:sz w:val="20"/>
                      </w:rPr>
                      <w:t>PVM iš VB</w:t>
                    </w:r>
                  </w:p>
                </w:tc>
                <w:tc>
                  <w:tcPr>
                    <w:tcW w:w="2551" w:type="dxa"/>
                    <w:vMerge/>
                    <w:tcBorders>
                      <w:bottom w:val="single" w:sz="4" w:space="0" w:color="auto"/>
                    </w:tcBorders>
                    <w:shd w:val="clear" w:color="auto" w:fill="FFFFFF" w:themeFill="background1"/>
                  </w:tcPr>
                  <w:p>
                    <w:pPr>
                      <w:ind w:left="-57" w:right="-57"/>
                      <w:rPr>
                        <w:sz w:val="20"/>
                      </w:rPr>
                    </w:pPr>
                  </w:p>
                </w:tc>
                <w:tc>
                  <w:tcPr>
                    <w:tcW w:w="851" w:type="dxa"/>
                    <w:vMerge/>
                    <w:tcBorders>
                      <w:bottom w:val="single" w:sz="4" w:space="0" w:color="auto"/>
                    </w:tcBorders>
                    <w:shd w:val="clear" w:color="auto" w:fill="FFFFFF" w:themeFill="background1"/>
                  </w:tcPr>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shd w:val="clear" w:color="auto" w:fill="F2F2F2" w:themeFill="background1" w:themeFillShade="F2"/>
                  </w:tcPr>
                  <w:p>
                    <w:pPr>
                      <w:rPr>
                        <w:b/>
                        <w:bCs/>
                        <w:sz w:val="20"/>
                      </w:rPr>
                    </w:pPr>
                    <w:r>
                      <w:rPr>
                        <w:b/>
                        <w:bCs/>
                        <w:sz w:val="20"/>
                      </w:rPr>
                      <w:t>12. ASPĮ tinklo optimizavimo reformos valdymas ir komunikacija</w:t>
                    </w:r>
                  </w:p>
                </w:tc>
                <w:tc>
                  <w:tcPr>
                    <w:tcW w:w="709" w:type="dxa"/>
                    <w:vMerge w:val="restart"/>
                    <w:shd w:val="clear" w:color="auto" w:fill="F2F2F2" w:themeFill="background1" w:themeFillShade="F2"/>
                  </w:tcPr>
                  <w:p>
                    <w:pPr>
                      <w:rPr>
                        <w:sz w:val="20"/>
                      </w:rPr>
                    </w:pPr>
                    <w:r>
                      <w:rPr>
                        <w:sz w:val="20"/>
                      </w:rPr>
                      <w:t>M</w:t>
                    </w:r>
                  </w:p>
                </w:tc>
                <w:tc>
                  <w:tcPr>
                    <w:tcW w:w="1559" w:type="dxa"/>
                    <w:vMerge w:val="restart"/>
                    <w:shd w:val="clear" w:color="auto" w:fill="F2F2F2" w:themeFill="background1" w:themeFillShade="F2"/>
                  </w:tcPr>
                  <w:p>
                    <w:pPr>
                      <w:rPr>
                        <w:sz w:val="20"/>
                      </w:rPr>
                    </w:pPr>
                    <w:r>
                      <w:rPr>
                        <w:sz w:val="20"/>
                      </w:rPr>
                      <w:t>SAM</w:t>
                    </w:r>
                  </w:p>
                </w:tc>
                <w:tc>
                  <w:tcPr>
                    <w:tcW w:w="709" w:type="dxa"/>
                    <w:vMerge w:val="restart"/>
                    <w:shd w:val="clear" w:color="auto" w:fill="F2F2F2" w:themeFill="background1" w:themeFillShade="F2"/>
                  </w:tcPr>
                  <w:p>
                    <w:pPr>
                      <w:rPr>
                        <w:sz w:val="20"/>
                      </w:rPr>
                    </w:pPr>
                    <w:r>
                      <w:rPr>
                        <w:sz w:val="20"/>
                      </w:rPr>
                      <w:t>P</w:t>
                    </w:r>
                  </w:p>
                </w:tc>
                <w:tc>
                  <w:tcPr>
                    <w:tcW w:w="992" w:type="dxa"/>
                    <w:vMerge w:val="restart"/>
                    <w:shd w:val="clear" w:color="auto" w:fill="F2F2F2" w:themeFill="background1" w:themeFillShade="F2"/>
                  </w:tcPr>
                  <w:p>
                    <w:pPr>
                      <w:rPr>
                        <w:sz w:val="20"/>
                      </w:rPr>
                    </w:pPr>
                    <w:r>
                      <w:rPr>
                        <w:sz w:val="20"/>
                      </w:rPr>
                      <w:t>Taip</w:t>
                    </w:r>
                  </w:p>
                </w:tc>
                <w:tc>
                  <w:tcPr>
                    <w:tcW w:w="709" w:type="dxa"/>
                    <w:vMerge w:val="restart"/>
                    <w:shd w:val="clear" w:color="auto" w:fill="F2F2F2" w:themeFill="background1" w:themeFillShade="F2"/>
                  </w:tcPr>
                  <w:p>
                    <w:pPr>
                      <w:rPr>
                        <w:sz w:val="20"/>
                      </w:rPr>
                    </w:pPr>
                    <w:r>
                      <w:rPr>
                        <w:sz w:val="20"/>
                      </w:rPr>
                      <w:t>D</w:t>
                    </w:r>
                  </w:p>
                </w:tc>
                <w:tc>
                  <w:tcPr>
                    <w:tcW w:w="1276" w:type="dxa"/>
                    <w:vMerge w:val="restart"/>
                    <w:shd w:val="clear" w:color="auto" w:fill="F2F2F2" w:themeFill="background1" w:themeFillShade="F2"/>
                  </w:tcPr>
                  <w:p>
                    <w:pPr>
                      <w:rPr>
                        <w:b/>
                        <w:bCs/>
                        <w:sz w:val="20"/>
                        <w:lang w:val="en-US"/>
                      </w:rPr>
                    </w:pPr>
                    <w:r>
                      <w:rPr>
                        <w:b/>
                        <w:bCs/>
                        <w:sz w:val="20"/>
                        <w:lang w:val="en-US"/>
                      </w:rPr>
                      <w:t>1750</w:t>
                    </w:r>
                  </w:p>
                </w:tc>
                <w:tc>
                  <w:tcPr>
                    <w:tcW w:w="992" w:type="dxa"/>
                    <w:vMerge w:val="restart"/>
                    <w:shd w:val="clear" w:color="auto" w:fill="F2F2F2" w:themeFill="background1" w:themeFillShade="F2"/>
                  </w:tcPr>
                  <w:p>
                    <w:pPr>
                      <w:rPr>
                        <w:sz w:val="20"/>
                      </w:rPr>
                    </w:pPr>
                    <w:r>
                      <w:rPr>
                        <w:sz w:val="20"/>
                      </w:rPr>
                      <w:t>VB</w:t>
                    </w:r>
                  </w:p>
                </w:tc>
                <w:tc>
                  <w:tcPr>
                    <w:tcW w:w="2551" w:type="dxa"/>
                    <w:shd w:val="clear" w:color="auto" w:fill="F2F2F2" w:themeFill="background1" w:themeFillShade="F2"/>
                  </w:tcPr>
                  <w:p>
                    <w:pPr>
                      <w:ind w:left="-57" w:right="-57"/>
                      <w:rPr>
                        <w:sz w:val="20"/>
                      </w:rPr>
                    </w:pPr>
                    <w:r>
                      <w:rPr>
                        <w:sz w:val="20"/>
                      </w:rPr>
                      <w:t xml:space="preserve">P </w:t>
                    </w:r>
                    <w:r>
                      <w:rPr>
                        <w:color w:val="000000"/>
                        <w:szCs w:val="24"/>
                      </w:rPr>
                      <w:t xml:space="preserve">– </w:t>
                    </w:r>
                    <w:r>
                      <w:rPr>
                        <w:sz w:val="20"/>
                      </w:rPr>
                      <w:t>Parengta reformos komunikacijos strategija, vnt.</w:t>
                    </w:r>
                  </w:p>
                </w:tc>
                <w:tc>
                  <w:tcPr>
                    <w:tcW w:w="851" w:type="dxa"/>
                    <w:shd w:val="clear" w:color="auto" w:fill="F2F2F2" w:themeFill="background1" w:themeFillShade="F2"/>
                  </w:tcPr>
                  <w:p>
                    <w:pPr>
                      <w:ind w:left="-57" w:right="-57"/>
                      <w:jc w:val="center"/>
                      <w:rPr>
                        <w:sz w:val="20"/>
                      </w:rPr>
                    </w:pPr>
                    <w:r>
                      <w:rPr>
                        <w:sz w:val="20"/>
                      </w:rPr>
                      <w:t>1</w:t>
                    </w:r>
                  </w:p>
                  <w:p>
                    <w:pPr>
                      <w:ind w:left="-57" w:right="-57"/>
                      <w:jc w:val="center"/>
                      <w:rPr>
                        <w:sz w:val="20"/>
                      </w:rPr>
                    </w:pPr>
                    <w:r>
                      <w:rPr>
                        <w:sz w:val="20"/>
                      </w:rPr>
                      <w:t>(2023 m.)</w:t>
                    </w:r>
                  </w:p>
                </w:tc>
                <w:tc>
                  <w:tcPr>
                    <w:tcW w:w="992" w:type="dxa"/>
                    <w:shd w:val="clear" w:color="auto" w:fill="F2F2F2" w:themeFill="background1" w:themeFillShade="F2"/>
                  </w:tcPr>
                  <w:p>
                    <w:pPr>
                      <w:rPr>
                        <w:sz w:val="20"/>
                      </w:rPr>
                    </w:pPr>
                    <w:r>
                      <w:rPr>
                        <w:sz w:val="20"/>
                      </w:rPr>
                      <w:t>SAM</w:t>
                    </w:r>
                  </w:p>
                </w:tc>
                <w:tc>
                  <w:tcPr>
                    <w:tcW w:w="1276" w:type="dxa"/>
                    <w:tcBorders>
                      <w:left w:val="single" w:sz="4" w:space="0" w:color="auto"/>
                      <w:right w:val="single" w:sz="4" w:space="0" w:color="auto"/>
                    </w:tcBorders>
                    <w:shd w:val="clear" w:color="auto" w:fill="F2F2F2" w:themeFill="background1" w:themeFillShade="F2"/>
                    <w:vAlign w:val="center"/>
                  </w:tcPr>
                  <w:p>
                    <w:pPr>
                      <w:rPr>
                        <w:color w:val="000000"/>
                        <w:sz w:val="20"/>
                      </w:rPr>
                    </w:pPr>
                    <w:r>
                      <w:rPr>
                        <w:color w:val="000000"/>
                        <w:sz w:val="20"/>
                      </w:rPr>
                      <w:t>-</w:t>
                    </w: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vMerge/>
                    <w:shd w:val="clear" w:color="auto" w:fill="F2F2F2" w:themeFill="background1" w:themeFillShade="F2"/>
                  </w:tcPr>
                  <w:p>
                    <w:pPr>
                      <w:rPr>
                        <w:b/>
                        <w:bCs/>
                        <w:sz w:val="20"/>
                        <w:lang w:val="en-US"/>
                      </w:rPr>
                    </w:pPr>
                  </w:p>
                </w:tc>
                <w:tc>
                  <w:tcPr>
                    <w:tcW w:w="992" w:type="dxa"/>
                    <w:vMerge/>
                    <w:shd w:val="clear" w:color="auto" w:fill="F2F2F2" w:themeFill="background1" w:themeFillShade="F2"/>
                  </w:tcPr>
                  <w:p>
                    <w:pPr>
                      <w:rPr>
                        <w:sz w:val="20"/>
                      </w:rPr>
                    </w:pPr>
                  </w:p>
                </w:tc>
                <w:tc>
                  <w:tcPr>
                    <w:tcW w:w="2551" w:type="dxa"/>
                    <w:shd w:val="clear" w:color="auto" w:fill="F2F2F2" w:themeFill="background1" w:themeFillShade="F2"/>
                  </w:tcPr>
                  <w:p>
                    <w:pPr>
                      <w:ind w:left="-57" w:right="-57"/>
                      <w:rPr>
                        <w:sz w:val="20"/>
                      </w:rPr>
                    </w:pPr>
                    <w:r>
                      <w:rPr>
                        <w:sz w:val="20"/>
                        <w:lang w:eastAsia="lt-LT"/>
                      </w:rPr>
                      <w:t xml:space="preserve">P </w:t>
                    </w:r>
                    <w:r>
                      <w:rPr>
                        <w:sz w:val="20"/>
                      </w:rPr>
                      <w:t>–</w:t>
                    </w:r>
                    <w:r>
                      <w:rPr>
                        <w:sz w:val="20"/>
                        <w:lang w:eastAsia="lt-LT"/>
                      </w:rPr>
                      <w:t xml:space="preserve"> Sveikatos įstaigų ir agentūrų viešųjų pirkimų centralizavimo plano priėmimas</w:t>
                    </w:r>
                  </w:p>
                </w:tc>
                <w:tc>
                  <w:tcPr>
                    <w:tcW w:w="851" w:type="dxa"/>
                    <w:shd w:val="clear" w:color="auto" w:fill="F2F2F2" w:themeFill="background1" w:themeFillShade="F2"/>
                  </w:tcPr>
                  <w:p>
                    <w:pPr>
                      <w:jc w:val="center"/>
                      <w:rPr>
                        <w:sz w:val="20"/>
                      </w:rPr>
                    </w:pPr>
                    <w:r>
                      <w:rPr>
                        <w:sz w:val="20"/>
                      </w:rPr>
                      <w:t>1</w:t>
                    </w:r>
                  </w:p>
                  <w:p>
                    <w:pPr>
                      <w:ind w:left="-57" w:right="-57"/>
                      <w:jc w:val="center"/>
                      <w:rPr>
                        <w:sz w:val="20"/>
                      </w:rPr>
                    </w:pPr>
                    <w:r>
                      <w:rPr>
                        <w:sz w:val="20"/>
                      </w:rPr>
                      <w:t>(202</w:t>
                    </w:r>
                    <w:r>
                      <w:rPr>
                        <w:sz w:val="20"/>
                        <w:lang w:val="en-US"/>
                      </w:rPr>
                      <w:t>3</w:t>
                    </w:r>
                    <w:r>
                      <w:rPr>
                        <w:sz w:val="20"/>
                      </w:rPr>
                      <w:t xml:space="preserve"> m. II ketv.)</w:t>
                    </w:r>
                  </w:p>
                </w:tc>
                <w:tc>
                  <w:tcPr>
                    <w:tcW w:w="992" w:type="dxa"/>
                    <w:shd w:val="clear" w:color="auto" w:fill="F2F2F2" w:themeFill="background1" w:themeFillShade="F2"/>
                  </w:tcPr>
                  <w:p>
                    <w:pPr>
                      <w:rPr>
                        <w:sz w:val="20"/>
                      </w:rPr>
                    </w:pPr>
                  </w:p>
                </w:tc>
                <w:tc>
                  <w:tcPr>
                    <w:tcW w:w="1276" w:type="dxa"/>
                    <w:tcBorders>
                      <w:left w:val="single" w:sz="4" w:space="0" w:color="auto"/>
                      <w:right w:val="single" w:sz="4" w:space="0" w:color="auto"/>
                    </w:tcBorders>
                    <w:shd w:val="clear" w:color="auto" w:fill="F2F2F2" w:themeFill="background1" w:themeFillShade="F2"/>
                    <w:vAlign w:val="center"/>
                  </w:tcPr>
                  <w:p>
                    <w:pPr>
                      <w:rPr>
                        <w:color w:val="000000"/>
                        <w:sz w:val="20"/>
                      </w:rPr>
                    </w:pPr>
                    <w:r>
                      <w:rPr>
                        <w:color w:val="000000"/>
                        <w:sz w:val="20"/>
                      </w:rPr>
                      <w:t>SAM</w:t>
                    </w:r>
                  </w:p>
                </w:tc>
              </w:tr>
              <w:tr>
                <w:trPr>
                  <w:trHeight w:val="697"/>
                </w:trPr>
                <w:tc>
                  <w:tcPr>
                    <w:tcW w:w="2410" w:type="dxa"/>
                    <w:vMerge w:val="restart"/>
                    <w:shd w:val="clear" w:color="auto" w:fill="auto"/>
                  </w:tcPr>
                  <w:p>
                    <w:pPr>
                      <w:rPr>
                        <w:sz w:val="20"/>
                      </w:rPr>
                    </w:pPr>
                    <w:r>
                      <w:rPr>
                        <w:b/>
                        <w:bCs/>
                        <w:sz w:val="20"/>
                      </w:rPr>
                      <w:t>13. Programos „Motinos ir vaiko sveikata bei gerovė“ įgyvendinimas</w:t>
                    </w:r>
                  </w:p>
                </w:tc>
                <w:tc>
                  <w:tcPr>
                    <w:tcW w:w="709" w:type="dxa"/>
                    <w:vMerge w:val="restart"/>
                    <w:shd w:val="clear" w:color="auto" w:fill="auto"/>
                  </w:tcPr>
                  <w:p>
                    <w:pPr>
                      <w:rPr>
                        <w:sz w:val="20"/>
                      </w:rPr>
                    </w:pPr>
                    <w:r>
                      <w:rPr>
                        <w:sz w:val="20"/>
                      </w:rPr>
                      <w:t>I</w:t>
                    </w:r>
                  </w:p>
                </w:tc>
                <w:tc>
                  <w:tcPr>
                    <w:tcW w:w="1559" w:type="dxa"/>
                    <w:vMerge w:val="restart"/>
                    <w:shd w:val="clear" w:color="auto" w:fill="auto"/>
                  </w:tcPr>
                  <w:p>
                    <w:pPr>
                      <w:rPr>
                        <w:sz w:val="20"/>
                      </w:rPr>
                    </w:pPr>
                    <w:r>
                      <w:rPr>
                        <w:sz w:val="20"/>
                      </w:rPr>
                      <w:t>Lietuvos sveikatos mokslų universiteto ligoninė Kauno klinikos</w:t>
                    </w:r>
                  </w:p>
                </w:tc>
                <w:tc>
                  <w:tcPr>
                    <w:tcW w:w="709" w:type="dxa"/>
                    <w:vMerge w:val="restart"/>
                    <w:shd w:val="clear" w:color="auto" w:fill="auto"/>
                  </w:tcPr>
                  <w:p>
                    <w:pPr>
                      <w:rPr>
                        <w:sz w:val="20"/>
                      </w:rPr>
                    </w:pPr>
                    <w:r>
                      <w:rPr>
                        <w:sz w:val="20"/>
                      </w:rPr>
                      <w:t>P</w:t>
                    </w:r>
                  </w:p>
                </w:tc>
                <w:tc>
                  <w:tcPr>
                    <w:tcW w:w="992" w:type="dxa"/>
                    <w:vMerge w:val="restart"/>
                    <w:shd w:val="clear" w:color="auto" w:fill="auto"/>
                  </w:tcPr>
                  <w:p>
                    <w:pPr>
                      <w:rPr>
                        <w:sz w:val="20"/>
                      </w:rPr>
                    </w:pPr>
                    <w:r>
                      <w:rPr>
                        <w:sz w:val="20"/>
                      </w:rPr>
                      <w:t>Ne</w:t>
                    </w:r>
                  </w:p>
                </w:tc>
                <w:tc>
                  <w:tcPr>
                    <w:tcW w:w="709" w:type="dxa"/>
                    <w:vMerge w:val="restart"/>
                    <w:shd w:val="clear" w:color="auto" w:fill="auto"/>
                  </w:tcPr>
                  <w:p>
                    <w:pPr>
                      <w:jc w:val="center"/>
                      <w:rPr>
                        <w:sz w:val="20"/>
                      </w:rPr>
                    </w:pPr>
                    <w:r>
                      <w:rPr>
                        <w:sz w:val="20"/>
                      </w:rPr>
                      <w:t>D</w:t>
                    </w:r>
                  </w:p>
                </w:tc>
                <w:tc>
                  <w:tcPr>
                    <w:tcW w:w="1276" w:type="dxa"/>
                    <w:tcBorders>
                      <w:bottom w:val="single" w:sz="4" w:space="0" w:color="auto"/>
                    </w:tcBorders>
                    <w:shd w:val="clear" w:color="auto" w:fill="auto"/>
                  </w:tcPr>
                  <w:p>
                    <w:pPr>
                      <w:rPr>
                        <w:b/>
                        <w:bCs/>
                        <w:sz w:val="20"/>
                      </w:rPr>
                    </w:pPr>
                    <w:r>
                      <w:rPr>
                        <w:b/>
                        <w:bCs/>
                        <w:sz w:val="20"/>
                      </w:rPr>
                      <w:t>34 219,646</w:t>
                    </w:r>
                  </w:p>
                </w:tc>
                <w:tc>
                  <w:tcPr>
                    <w:tcW w:w="992" w:type="dxa"/>
                    <w:tcBorders>
                      <w:bottom w:val="single" w:sz="4" w:space="0" w:color="auto"/>
                    </w:tcBorders>
                    <w:shd w:val="clear" w:color="auto" w:fill="auto"/>
                  </w:tcPr>
                  <w:p>
                    <w:pPr>
                      <w:rPr>
                        <w:sz w:val="20"/>
                      </w:rPr>
                    </w:pPr>
                    <w:r>
                      <w:rPr>
                        <w:sz w:val="20"/>
                      </w:rPr>
                      <w:t>-</w:t>
                    </w:r>
                  </w:p>
                </w:tc>
                <w:tc>
                  <w:tcPr>
                    <w:tcW w:w="2551" w:type="dxa"/>
                    <w:shd w:val="clear" w:color="auto" w:fill="auto"/>
                  </w:tcPr>
                  <w:p>
                    <w:pPr>
                      <w:ind w:left="-57" w:right="-57"/>
                      <w:rPr>
                        <w:sz w:val="20"/>
                      </w:rPr>
                    </w:pPr>
                    <w:r>
                      <w:rPr>
                        <w:sz w:val="20"/>
                      </w:rPr>
                      <w:t xml:space="preserve">R </w:t>
                    </w:r>
                    <w:r>
                      <w:rPr>
                        <w:bCs/>
                        <w:sz w:val="20"/>
                      </w:rPr>
                      <w:t>–</w:t>
                    </w:r>
                    <w:r>
                      <w:rPr>
                        <w:sz w:val="20"/>
                      </w:rPr>
                      <w:t xml:space="preserve"> Specialistų, kurie po dalyvavimo veiklose įgijo ar patobulino kvalifikaciją, dalis, proc.</w:t>
                    </w:r>
                  </w:p>
                  <w:p>
                    <w:pPr>
                      <w:ind w:left="-57" w:right="-57"/>
                      <w:rPr>
                        <w:sz w:val="20"/>
                      </w:rPr>
                    </w:pPr>
                  </w:p>
                </w:tc>
                <w:tc>
                  <w:tcPr>
                    <w:tcW w:w="851" w:type="dxa"/>
                    <w:shd w:val="clear" w:color="auto" w:fill="auto"/>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tcBorders>
                      <w:bottom w:val="single" w:sz="4" w:space="0" w:color="auto"/>
                    </w:tcBorders>
                  </w:tcPr>
                  <w:p>
                    <w:pPr>
                      <w:ind w:left="-57" w:right="-57"/>
                      <w:jc w:val="center"/>
                      <w:rPr>
                        <w:sz w:val="20"/>
                      </w:rPr>
                    </w:pPr>
                    <w:r>
                      <w:rPr>
                        <w:sz w:val="20"/>
                      </w:rPr>
                      <w:t>CPVA</w:t>
                    </w:r>
                  </w:p>
                  <w:p>
                    <w:pPr>
                      <w:ind w:left="-57" w:right="-57"/>
                      <w:jc w:val="center"/>
                      <w:rPr>
                        <w:sz w:val="20"/>
                      </w:rPr>
                    </w:pPr>
                  </w:p>
                </w:tc>
                <w:tc>
                  <w:tcPr>
                    <w:tcW w:w="1276" w:type="dxa"/>
                    <w:tcBorders>
                      <w:bottom w:val="single" w:sz="4" w:space="0" w:color="auto"/>
                    </w:tcBorders>
                  </w:tcPr>
                  <w:p>
                    <w:pPr>
                      <w:rPr>
                        <w:color w:val="000000"/>
                        <w:sz w:val="20"/>
                      </w:rPr>
                    </w:pPr>
                    <w:r>
                      <w:rPr>
                        <w:color w:val="000000"/>
                        <w:sz w:val="20"/>
                      </w:rPr>
                      <w:t>SAM</w:t>
                    </w:r>
                  </w:p>
                  <w:p>
                    <w:pPr>
                      <w:rPr>
                        <w:color w:val="000000"/>
                        <w:sz w:val="20"/>
                      </w:rPr>
                    </w:pPr>
                  </w:p>
                  <w:p>
                    <w:pPr>
                      <w:ind w:right="-57"/>
                      <w:rPr>
                        <w:sz w:val="20"/>
                      </w:rPr>
                    </w:pPr>
                  </w:p>
                </w:tc>
              </w:tr>
              <w:tr>
                <w:trPr>
                  <w:trHeight w:val="551"/>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shd w:val="clear" w:color="auto" w:fill="auto"/>
                  </w:tcPr>
                  <w:p>
                    <w:pPr>
                      <w:rPr>
                        <w:sz w:val="20"/>
                      </w:rPr>
                    </w:pPr>
                    <w:r>
                      <w:rPr>
                        <w:sz w:val="20"/>
                      </w:rPr>
                      <w:t>29 086,699</w:t>
                    </w:r>
                  </w:p>
                </w:tc>
                <w:tc>
                  <w:tcPr>
                    <w:tcW w:w="992" w:type="dxa"/>
                    <w:shd w:val="clear" w:color="auto" w:fill="auto"/>
                  </w:tcPr>
                  <w:p>
                    <w:pPr>
                      <w:rPr>
                        <w:sz w:val="20"/>
                      </w:rPr>
                    </w:pPr>
                    <w:r>
                      <w:rPr>
                        <w:sz w:val="20"/>
                      </w:rPr>
                      <w:t>AŠĮFP</w:t>
                    </w:r>
                  </w:p>
                </w:tc>
                <w:tc>
                  <w:tcPr>
                    <w:tcW w:w="2551" w:type="dxa"/>
                    <w:shd w:val="clear" w:color="auto" w:fill="auto"/>
                  </w:tcPr>
                  <w:p>
                    <w:pPr>
                      <w:ind w:left="-57" w:right="-57"/>
                      <w:rPr>
                        <w:sz w:val="20"/>
                      </w:rPr>
                    </w:pPr>
                    <w:r>
                      <w:rPr>
                        <w:sz w:val="20"/>
                      </w:rPr>
                      <w:t xml:space="preserve">R </w:t>
                    </w:r>
                    <w:r>
                      <w:rPr>
                        <w:bCs/>
                        <w:sz w:val="20"/>
                      </w:rPr>
                      <w:t>–</w:t>
                    </w:r>
                    <w:r>
                      <w:rPr>
                        <w:sz w:val="20"/>
                      </w:rPr>
                      <w:t xml:space="preserve"> Asmenys, gavę pagerintas akušerijos bei vaikų sveikatos priežiūros paslaugas, asmenys</w:t>
                    </w:r>
                  </w:p>
                </w:tc>
                <w:tc>
                  <w:tcPr>
                    <w:tcW w:w="851" w:type="dxa"/>
                    <w:shd w:val="clear" w:color="auto" w:fill="auto"/>
                  </w:tcPr>
                  <w:p>
                    <w:pPr>
                      <w:jc w:val="center"/>
                      <w:rPr>
                        <w:sz w:val="20"/>
                      </w:rPr>
                    </w:pPr>
                    <w:r>
                      <w:rPr>
                        <w:sz w:val="20"/>
                      </w:rPr>
                      <w:t>257 220 (2029 m.)</w:t>
                    </w:r>
                  </w:p>
                </w:tc>
                <w:tc>
                  <w:tcPr>
                    <w:tcW w:w="992" w:type="dxa"/>
                  </w:tcPr>
                  <w:p>
                    <w:pPr>
                      <w:jc w:val="center"/>
                      <w:rPr>
                        <w:sz w:val="20"/>
                      </w:rPr>
                    </w:pPr>
                    <w:r>
                      <w:rPr>
                        <w:sz w:val="20"/>
                      </w:rPr>
                      <w:t>CPVA</w:t>
                    </w:r>
                  </w:p>
                </w:tc>
                <w:tc>
                  <w:tcPr>
                    <w:tcW w:w="1276" w:type="dxa"/>
                  </w:tcPr>
                  <w:p>
                    <w:pPr>
                      <w:jc w:val="center"/>
                      <w:rPr>
                        <w:sz w:val="20"/>
                      </w:rPr>
                    </w:pPr>
                    <w:r>
                      <w:rPr>
                        <w:sz w:val="20"/>
                      </w:rPr>
                      <w:t>SAM</w:t>
                    </w:r>
                  </w:p>
                </w:tc>
              </w:tr>
              <w:tr>
                <w:trPr>
                  <w:trHeight w:val="558"/>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vMerge w:val="restart"/>
                    <w:shd w:val="clear" w:color="auto" w:fill="auto"/>
                  </w:tcPr>
                  <w:p>
                    <w:pPr>
                      <w:rPr>
                        <w:sz w:val="20"/>
                      </w:rPr>
                    </w:pPr>
                    <w:r>
                      <w:rPr>
                        <w:sz w:val="20"/>
                      </w:rPr>
                      <w:t>5 132,947</w:t>
                    </w:r>
                  </w:p>
                </w:tc>
                <w:tc>
                  <w:tcPr>
                    <w:tcW w:w="992" w:type="dxa"/>
                    <w:vMerge w:val="restart"/>
                    <w:shd w:val="clear" w:color="auto" w:fill="auto"/>
                  </w:tcPr>
                  <w:p>
                    <w:pPr>
                      <w:rPr>
                        <w:sz w:val="20"/>
                      </w:rPr>
                    </w:pPr>
                    <w:r>
                      <w:rPr>
                        <w:sz w:val="20"/>
                      </w:rPr>
                      <w:t>AŠĮFP</w:t>
                    </w:r>
                  </w:p>
                  <w:p>
                    <w:pPr>
                      <w:rPr>
                        <w:sz w:val="20"/>
                      </w:rPr>
                    </w:pPr>
                    <w:r>
                      <w:rPr>
                        <w:sz w:val="20"/>
                      </w:rPr>
                      <w:t>(BF)</w:t>
                    </w:r>
                  </w:p>
                </w:tc>
                <w:tc>
                  <w:tcPr>
                    <w:tcW w:w="2551" w:type="dxa"/>
                    <w:shd w:val="clear" w:color="auto" w:fill="auto"/>
                  </w:tcPr>
                  <w:p>
                    <w:pPr>
                      <w:ind w:left="-57" w:right="-57" w:firstLine="53"/>
                      <w:rPr>
                        <w:sz w:val="20"/>
                      </w:rPr>
                    </w:pPr>
                    <w:r>
                      <w:rPr>
                        <w:sz w:val="20"/>
                      </w:rPr>
                      <w:t xml:space="preserve">R </w:t>
                    </w:r>
                    <w:r>
                      <w:rPr>
                        <w:bCs/>
                        <w:sz w:val="20"/>
                      </w:rPr>
                      <w:t>–</w:t>
                    </w:r>
                    <w:r>
                      <w:rPr>
                        <w:sz w:val="20"/>
                      </w:rPr>
                      <w:t xml:space="preserve"> Pasitenkinimas pagerintomis akušerijos ir vaikų sveikatos priežiūros paslaugomis, proc.</w:t>
                    </w:r>
                  </w:p>
                </w:tc>
                <w:tc>
                  <w:tcPr>
                    <w:tcW w:w="851" w:type="dxa"/>
                    <w:shd w:val="clear" w:color="auto" w:fill="auto"/>
                  </w:tcPr>
                  <w:p>
                    <w:pPr>
                      <w:jc w:val="center"/>
                      <w:rPr>
                        <w:sz w:val="20"/>
                      </w:rPr>
                    </w:pPr>
                    <w:r>
                      <w:rPr>
                        <w:sz w:val="20"/>
                      </w:rPr>
                      <w:t>Pacientų:</w:t>
                    </w:r>
                  </w:p>
                  <w:p>
                    <w:pPr>
                      <w:jc w:val="center"/>
                      <w:rPr>
                        <w:sz w:val="20"/>
                      </w:rPr>
                    </w:pPr>
                    <w:r>
                      <w:rPr>
                        <w:sz w:val="20"/>
                      </w:rPr>
                      <w:t>76</w:t>
                    </w:r>
                  </w:p>
                  <w:p>
                    <w:pPr>
                      <w:jc w:val="center"/>
                      <w:rPr>
                        <w:sz w:val="20"/>
                      </w:rPr>
                    </w:pPr>
                    <w:r>
                      <w:rPr>
                        <w:sz w:val="20"/>
                      </w:rPr>
                      <w:t>(2029 m.)</w:t>
                    </w:r>
                  </w:p>
                  <w:p>
                    <w:pPr>
                      <w:jc w:val="center"/>
                      <w:rPr>
                        <w:sz w:val="20"/>
                      </w:rPr>
                    </w:pPr>
                    <w:r>
                      <w:rPr>
                        <w:sz w:val="20"/>
                      </w:rPr>
                      <w:t xml:space="preserve">Specialistų: 84 </w:t>
                    </w:r>
                  </w:p>
                  <w:p>
                    <w:pPr>
                      <w:jc w:val="center"/>
                      <w:rPr>
                        <w:sz w:val="20"/>
                      </w:rPr>
                    </w:pPr>
                    <w:r>
                      <w:rPr>
                        <w:sz w:val="20"/>
                      </w:rPr>
                      <w:t>(2029 m.)</w:t>
                    </w:r>
                  </w:p>
                </w:tc>
                <w:tc>
                  <w:tcPr>
                    <w:tcW w:w="992" w:type="dxa"/>
                  </w:tcPr>
                  <w:p>
                    <w:pPr>
                      <w:jc w:val="center"/>
                      <w:rPr>
                        <w:sz w:val="20"/>
                      </w:rPr>
                    </w:pPr>
                    <w:r>
                      <w:rPr>
                        <w:sz w:val="20"/>
                      </w:rPr>
                      <w:t>CPVA</w:t>
                    </w:r>
                  </w:p>
                </w:tc>
                <w:tc>
                  <w:tcPr>
                    <w:tcW w:w="1276" w:type="dxa"/>
                  </w:tcPr>
                  <w:p>
                    <w:pPr>
                      <w:jc w:val="center"/>
                      <w:rPr>
                        <w:sz w:val="20"/>
                      </w:rPr>
                    </w:pPr>
                    <w:r>
                      <w:rPr>
                        <w:sz w:val="20"/>
                      </w:rPr>
                      <w:t>SAM</w:t>
                    </w:r>
                  </w:p>
                </w:tc>
              </w:tr>
              <w:tr>
                <w:trPr>
                  <w:trHeight w:val="558"/>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 xml:space="preserve">R </w:t>
                    </w:r>
                    <w:r>
                      <w:rPr>
                        <w:bCs/>
                        <w:sz w:val="20"/>
                      </w:rPr>
                      <w:t>–</w:t>
                    </w:r>
                    <w:r>
                      <w:rPr>
                        <w:sz w:val="20"/>
                      </w:rPr>
                      <w:t xml:space="preserve"> Vaikų, kuriems atliktas psichomotorinės raidos vertinimas šeimos gydytojo institucijoje, dalis, proc.</w:t>
                    </w:r>
                  </w:p>
                </w:tc>
                <w:tc>
                  <w:tcPr>
                    <w:tcW w:w="851" w:type="dxa"/>
                    <w:shd w:val="clear" w:color="auto" w:fill="auto"/>
                  </w:tcPr>
                  <w:p>
                    <w:pPr>
                      <w:jc w:val="center"/>
                      <w:rPr>
                        <w:sz w:val="20"/>
                      </w:rPr>
                    </w:pPr>
                    <w:r>
                      <w:rPr>
                        <w:sz w:val="20"/>
                      </w:rPr>
                      <w:t xml:space="preserve">80 </w:t>
                    </w:r>
                  </w:p>
                  <w:p>
                    <w:pPr>
                      <w:jc w:val="center"/>
                      <w:rPr>
                        <w:sz w:val="20"/>
                      </w:rPr>
                    </w:pPr>
                    <w:r>
                      <w:rPr>
                        <w:sz w:val="20"/>
                      </w:rPr>
                      <w:t>(2029 m.)</w:t>
                    </w:r>
                  </w:p>
                </w:tc>
                <w:tc>
                  <w:tcPr>
                    <w:tcW w:w="992" w:type="dxa"/>
                  </w:tcPr>
                  <w:p>
                    <w:pPr>
                      <w:jc w:val="center"/>
                      <w:rPr>
                        <w:sz w:val="20"/>
                      </w:rPr>
                    </w:pPr>
                    <w:r>
                      <w:rPr>
                        <w:sz w:val="20"/>
                      </w:rPr>
                      <w:t>CPVA</w:t>
                    </w:r>
                  </w:p>
                </w:tc>
                <w:tc>
                  <w:tcPr>
                    <w:tcW w:w="1276" w:type="dxa"/>
                  </w:tcPr>
                  <w:p>
                    <w:pPr>
                      <w:jc w:val="center"/>
                      <w:rPr>
                        <w:sz w:val="20"/>
                      </w:rPr>
                    </w:pPr>
                    <w:r>
                      <w:rPr>
                        <w:sz w:val="20"/>
                      </w:rPr>
                      <w:t>SAM</w:t>
                    </w:r>
                  </w:p>
                </w:tc>
              </w:tr>
              <w:tr>
                <w:trPr>
                  <w:trHeight w:val="558"/>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 xml:space="preserve">R </w:t>
                    </w:r>
                    <w:r>
                      <w:rPr>
                        <w:bCs/>
                        <w:sz w:val="20"/>
                      </w:rPr>
                      <w:t>–</w:t>
                    </w:r>
                    <w:r>
                      <w:rPr>
                        <w:sz w:val="20"/>
                      </w:rPr>
                      <w:t>Vaikai (0</w:t>
                    </w:r>
                    <w:r>
                      <w:rPr>
                        <w:bCs/>
                        <w:sz w:val="20"/>
                      </w:rPr>
                      <w:t>–</w:t>
                    </w:r>
                    <w:r>
                      <w:rPr>
                        <w:sz w:val="20"/>
                      </w:rPr>
                      <w:t>10 m.), kuriems nustatyti įvairiapusiai raidos sutrikimai, atvejų skaičius 100 tūkst. vaikų</w:t>
                    </w:r>
                  </w:p>
                </w:tc>
                <w:tc>
                  <w:tcPr>
                    <w:tcW w:w="851" w:type="dxa"/>
                    <w:shd w:val="clear" w:color="auto" w:fill="auto"/>
                  </w:tcPr>
                  <w:p>
                    <w:pPr>
                      <w:jc w:val="center"/>
                      <w:rPr>
                        <w:sz w:val="20"/>
                      </w:rPr>
                    </w:pPr>
                    <w:r>
                      <w:rPr>
                        <w:sz w:val="20"/>
                      </w:rPr>
                      <w:t xml:space="preserve">2 500 </w:t>
                    </w:r>
                  </w:p>
                  <w:p>
                    <w:pPr>
                      <w:jc w:val="center"/>
                      <w:rPr>
                        <w:sz w:val="20"/>
                      </w:rPr>
                    </w:pPr>
                    <w:r>
                      <w:rPr>
                        <w:sz w:val="20"/>
                      </w:rPr>
                      <w:t>(2029 m.)</w:t>
                    </w:r>
                  </w:p>
                </w:tc>
                <w:tc>
                  <w:tcPr>
                    <w:tcW w:w="992" w:type="dxa"/>
                  </w:tcPr>
                  <w:p>
                    <w:pPr>
                      <w:jc w:val="center"/>
                      <w:rPr>
                        <w:sz w:val="20"/>
                      </w:rPr>
                    </w:pPr>
                    <w:r>
                      <w:rPr>
                        <w:sz w:val="20"/>
                      </w:rPr>
                      <w:t>CPVA</w:t>
                    </w:r>
                  </w:p>
                </w:tc>
                <w:tc>
                  <w:tcPr>
                    <w:tcW w:w="1276" w:type="dxa"/>
                  </w:tcPr>
                  <w:p>
                    <w:pPr>
                      <w:jc w:val="center"/>
                      <w:rPr>
                        <w:sz w:val="20"/>
                      </w:rPr>
                    </w:pPr>
                    <w:r>
                      <w:rPr>
                        <w:sz w:val="20"/>
                      </w:rPr>
                      <w:t>SAM</w:t>
                    </w:r>
                  </w:p>
                </w:tc>
              </w:tr>
              <w:tr>
                <w:trPr>
                  <w:trHeight w:val="552"/>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P – Sukurti paslaugų teikimo metodikos ir organizacinių procesų aprašai, vnt.</w:t>
                    </w:r>
                  </w:p>
                </w:tc>
                <w:tc>
                  <w:tcPr>
                    <w:tcW w:w="851" w:type="dxa"/>
                    <w:shd w:val="clear" w:color="auto" w:fill="auto"/>
                  </w:tcPr>
                  <w:p>
                    <w:pPr>
                      <w:jc w:val="center"/>
                      <w:rPr>
                        <w:sz w:val="20"/>
                      </w:rPr>
                    </w:pPr>
                    <w:r>
                      <w:rPr>
                        <w:sz w:val="20"/>
                      </w:rPr>
                      <w:t xml:space="preserve">93 </w:t>
                    </w:r>
                  </w:p>
                  <w:p>
                    <w:pPr>
                      <w:jc w:val="center"/>
                      <w:rPr>
                        <w:sz w:val="20"/>
                      </w:rPr>
                    </w:pPr>
                    <w:r>
                      <w:rPr>
                        <w:sz w:val="20"/>
                      </w:rPr>
                      <w:t>(2029 m.)</w:t>
                    </w:r>
                  </w:p>
                </w:tc>
                <w:tc>
                  <w:tcPr>
                    <w:tcW w:w="992" w:type="dxa"/>
                  </w:tcPr>
                  <w:p>
                    <w:pPr>
                      <w:jc w:val="center"/>
                      <w:rPr>
                        <w:sz w:val="20"/>
                      </w:rPr>
                    </w:pPr>
                    <w:r>
                      <w:rPr>
                        <w:sz w:val="20"/>
                      </w:rPr>
                      <w:t>CPVA</w:t>
                    </w:r>
                  </w:p>
                </w:tc>
                <w:tc>
                  <w:tcPr>
                    <w:tcW w:w="1276" w:type="dxa"/>
                  </w:tcPr>
                  <w:p>
                    <w:pPr>
                      <w:rPr>
                        <w:color w:val="000000"/>
                        <w:sz w:val="20"/>
                      </w:rPr>
                    </w:pPr>
                    <w:r>
                      <w:rPr>
                        <w:color w:val="000000"/>
                        <w:sz w:val="20"/>
                      </w:rPr>
                      <w:t>SAM</w:t>
                    </w:r>
                  </w:p>
                  <w:p>
                    <w:pPr>
                      <w:rPr>
                        <w:color w:val="000000"/>
                        <w:sz w:val="20"/>
                      </w:rPr>
                    </w:pPr>
                  </w:p>
                  <w:p>
                    <w:pPr>
                      <w:jc w:val="center"/>
                      <w:rPr>
                        <w:sz w:val="20"/>
                      </w:rPr>
                    </w:pPr>
                  </w:p>
                </w:tc>
              </w:tr>
              <w:tr>
                <w:trPr>
                  <w:trHeight w:val="1001"/>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P – Sveikatos priežiūros specialistai, dalyvavę programos „Motinos ir vaiko sveikata ir gerovė“ kvalifikacijos tobulinimo veiklose, asmenys</w:t>
                    </w:r>
                  </w:p>
                </w:tc>
                <w:tc>
                  <w:tcPr>
                    <w:tcW w:w="851" w:type="dxa"/>
                    <w:shd w:val="clear" w:color="auto" w:fill="auto"/>
                  </w:tcPr>
                  <w:p>
                    <w:pPr>
                      <w:jc w:val="center"/>
                      <w:rPr>
                        <w:sz w:val="20"/>
                      </w:rPr>
                    </w:pPr>
                    <w:r>
                      <w:rPr>
                        <w:sz w:val="20"/>
                      </w:rPr>
                      <w:t>10 990 (2029 m.)</w:t>
                    </w:r>
                  </w:p>
                </w:tc>
                <w:tc>
                  <w:tcPr>
                    <w:tcW w:w="992" w:type="dxa"/>
                  </w:tcPr>
                  <w:p>
                    <w:pPr>
                      <w:jc w:val="center"/>
                      <w:rPr>
                        <w:sz w:val="20"/>
                      </w:rPr>
                    </w:pPr>
                    <w:r>
                      <w:rPr>
                        <w:sz w:val="20"/>
                      </w:rPr>
                      <w:t>CPVA</w:t>
                    </w:r>
                  </w:p>
                </w:tc>
                <w:tc>
                  <w:tcPr>
                    <w:tcW w:w="1276" w:type="dxa"/>
                  </w:tcPr>
                  <w:p>
                    <w:pPr>
                      <w:rPr>
                        <w:color w:val="000000"/>
                        <w:sz w:val="20"/>
                      </w:rPr>
                    </w:pPr>
                    <w:r>
                      <w:rPr>
                        <w:color w:val="000000"/>
                        <w:sz w:val="20"/>
                      </w:rPr>
                      <w:t>SAM</w:t>
                    </w:r>
                  </w:p>
                </w:tc>
              </w:tr>
              <w:tr>
                <w:trPr>
                  <w:trHeight w:val="552"/>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 xml:space="preserve">P </w:t>
                    </w:r>
                    <w:r>
                      <w:rPr>
                        <w:bCs/>
                        <w:sz w:val="20"/>
                      </w:rPr>
                      <w:t>–</w:t>
                    </w:r>
                    <w:r>
                      <w:rPr>
                        <w:sz w:val="20"/>
                      </w:rPr>
                      <w:t xml:space="preserve">  Savivaldybės, aprūpintos kokybiškų sveikatos priežiūros paslaugų teikimui būtina modernia medicinine įranga, vnt.</w:t>
                    </w:r>
                  </w:p>
                </w:tc>
                <w:tc>
                  <w:tcPr>
                    <w:tcW w:w="851" w:type="dxa"/>
                    <w:shd w:val="clear" w:color="auto" w:fill="auto"/>
                  </w:tcPr>
                  <w:p>
                    <w:pPr>
                      <w:jc w:val="center"/>
                      <w:rPr>
                        <w:sz w:val="20"/>
                      </w:rPr>
                    </w:pPr>
                    <w:r>
                      <w:rPr>
                        <w:sz w:val="20"/>
                      </w:rPr>
                      <w:t xml:space="preserve">60 </w:t>
                    </w:r>
                  </w:p>
                  <w:p>
                    <w:pPr>
                      <w:jc w:val="center"/>
                      <w:rPr>
                        <w:sz w:val="20"/>
                      </w:rPr>
                    </w:pPr>
                    <w:r>
                      <w:rPr>
                        <w:sz w:val="20"/>
                      </w:rPr>
                      <w:t>(2029 m.)</w:t>
                    </w:r>
                  </w:p>
                </w:tc>
                <w:tc>
                  <w:tcPr>
                    <w:tcW w:w="992" w:type="dxa"/>
                  </w:tcPr>
                  <w:p>
                    <w:pPr>
                      <w:jc w:val="center"/>
                      <w:rPr>
                        <w:sz w:val="20"/>
                      </w:rPr>
                    </w:pPr>
                    <w:r>
                      <w:rPr>
                        <w:sz w:val="20"/>
                      </w:rPr>
                      <w:t>CPVA</w:t>
                    </w:r>
                  </w:p>
                </w:tc>
                <w:tc>
                  <w:tcPr>
                    <w:tcW w:w="1276" w:type="dxa"/>
                  </w:tcPr>
                  <w:p>
                    <w:pPr>
                      <w:rPr>
                        <w:color w:val="000000"/>
                        <w:sz w:val="20"/>
                      </w:rPr>
                    </w:pPr>
                    <w:r>
                      <w:rPr>
                        <w:color w:val="000000"/>
                        <w:sz w:val="20"/>
                      </w:rPr>
                      <w:t>SAM</w:t>
                    </w:r>
                  </w:p>
                </w:tc>
              </w:tr>
              <w:tr>
                <w:trPr>
                  <w:trHeight w:val="552"/>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 xml:space="preserve">P </w:t>
                    </w:r>
                    <w:r>
                      <w:rPr>
                        <w:bCs/>
                        <w:sz w:val="20"/>
                      </w:rPr>
                      <w:t>–</w:t>
                    </w:r>
                    <w:r>
                      <w:rPr>
                        <w:sz w:val="20"/>
                      </w:rPr>
                      <w:t xml:space="preserve"> ASPĮ, aprūpintos kokybiškų sveikatos priežiūros paslaugų teikimui būtina modernia medicinine įranga, vnt.</w:t>
                    </w:r>
                  </w:p>
                </w:tc>
                <w:tc>
                  <w:tcPr>
                    <w:tcW w:w="851" w:type="dxa"/>
                    <w:shd w:val="clear" w:color="auto" w:fill="auto"/>
                  </w:tcPr>
                  <w:p>
                    <w:pPr>
                      <w:jc w:val="center"/>
                      <w:rPr>
                        <w:sz w:val="20"/>
                      </w:rPr>
                    </w:pPr>
                    <w:r>
                      <w:rPr>
                        <w:sz w:val="20"/>
                      </w:rPr>
                      <w:t xml:space="preserve">46 </w:t>
                    </w:r>
                  </w:p>
                  <w:p>
                    <w:pPr>
                      <w:jc w:val="center"/>
                      <w:rPr>
                        <w:sz w:val="20"/>
                      </w:rPr>
                    </w:pPr>
                    <w:r>
                      <w:rPr>
                        <w:sz w:val="20"/>
                      </w:rPr>
                      <w:t>(2029 m.)</w:t>
                    </w:r>
                  </w:p>
                </w:tc>
                <w:tc>
                  <w:tcPr>
                    <w:tcW w:w="992" w:type="dxa"/>
                  </w:tcPr>
                  <w:p>
                    <w:pPr>
                      <w:jc w:val="center"/>
                      <w:rPr>
                        <w:sz w:val="20"/>
                      </w:rPr>
                    </w:pPr>
                    <w:r>
                      <w:rPr>
                        <w:sz w:val="20"/>
                      </w:rPr>
                      <w:t>CPVA</w:t>
                    </w:r>
                  </w:p>
                </w:tc>
                <w:tc>
                  <w:tcPr>
                    <w:tcW w:w="1276" w:type="dxa"/>
                  </w:tcPr>
                  <w:p>
                    <w:pPr>
                      <w:rPr>
                        <w:color w:val="000000"/>
                        <w:sz w:val="20"/>
                      </w:rPr>
                    </w:pPr>
                    <w:r>
                      <w:rPr>
                        <w:color w:val="000000"/>
                        <w:sz w:val="20"/>
                      </w:rPr>
                      <w:t>SAM</w:t>
                    </w:r>
                  </w:p>
                </w:tc>
              </w:tr>
            </w:tbl>
            <w:p>
              <w:pPr>
                <w:ind w:left="142" w:hanging="142"/>
                <w:jc w:val="both"/>
                <w:rPr>
                  <w:bCs/>
                  <w:sz w:val="22"/>
                  <w:szCs w:val="22"/>
                </w:rPr>
              </w:pPr>
              <w:r>
                <w:rPr>
                  <w:bCs/>
                  <w:sz w:val="22"/>
                  <w:szCs w:val="22"/>
                </w:rPr>
                <w:t xml:space="preserve">Sutrumpinimai: </w:t>
              </w:r>
            </w:p>
            <w:p>
              <w:pPr>
                <w:jc w:val="both"/>
                <w:rPr>
                  <w:sz w:val="22"/>
                  <w:szCs w:val="22"/>
                </w:rPr>
              </w:pPr>
              <w:r>
                <w:rPr>
                  <w:sz w:val="22"/>
                  <w:szCs w:val="22"/>
                </w:rPr>
                <w:t>2 skiltyje: R – reguliacinė (-is), I – investicinė (-is), K – komunikacinė (-is), A – analitinė (-is), M – mišri (-us);</w:t>
              </w:r>
            </w:p>
            <w:p>
              <w:pPr>
                <w:jc w:val="both"/>
                <w:rPr>
                  <w:sz w:val="22"/>
                  <w:szCs w:val="22"/>
                </w:rPr>
              </w:pPr>
              <w:r>
                <w:rPr>
                  <w:sz w:val="22"/>
                  <w:szCs w:val="22"/>
                </w:rPr>
                <w:t xml:space="preserve">4 skiltyje: P – planavimas, vykdomas pagal 2022–2030 metų plėtros programos valdytojos Lietuvos Respublikos sveikatos apsaugos ministerijos sveikatos priežiūros kokybės ir efektyvumo didinimo plėtros programos pažangos priemonės Nr. 11-002-02-11-01 „Gerinti sveikatos priežiūros paslaugų kokybę ir prieinamumą“ </w:t>
              </w:r>
              <w:r>
                <w:rPr>
                  <w:bCs/>
                  <w:sz w:val="22"/>
                  <w:szCs w:val="22"/>
                </w:rPr>
                <w:t xml:space="preserve">projektų finansavimo sąlygų aprašus (2022–2030 metų </w:t>
              </w:r>
              <w:r>
                <w:rPr>
                  <w:sz w:val="22"/>
                  <w:szCs w:val="22"/>
                </w:rPr>
                <w:t>plėtros programos valdytojos Lietuvos Respublikos sveikatos apsaugos ministerijos sveikatos priežiūros kokybės ir efektyvumo didinimo plėtros programos pažangos priemonės Nr. 11-002-02-11-01 „Gerinti sveikatos priežiūros paslaugų kokybę ir prieinamumą“</w:t>
              </w:r>
              <w:r>
                <w:rPr>
                  <w:bCs/>
                  <w:i/>
                  <w:sz w:val="22"/>
                  <w:szCs w:val="22"/>
                  <w:lang w:eastAsia="lt-LT"/>
                </w:rPr>
                <w:t xml:space="preserve"> </w:t>
              </w:r>
              <w:r>
                <w:rPr>
                  <w:bCs/>
                  <w:sz w:val="22"/>
                  <w:szCs w:val="22"/>
                  <w:lang w:eastAsia="lt-LT"/>
                </w:rPr>
                <w:t xml:space="preserve">aprašo priedai), </w:t>
              </w:r>
              <w:r>
                <w:rPr>
                  <w:sz w:val="22"/>
                  <w:szCs w:val="22"/>
                </w:rPr>
                <w:t>K – konkursas, T – tęstinė atranka, Pj – planavimas, kai ketinama įgyvendinti jungtinį projektą;</w:t>
              </w:r>
            </w:p>
            <w:p>
              <w:pPr>
                <w:ind w:firstLine="57"/>
                <w:jc w:val="both"/>
                <w:rPr>
                  <w:sz w:val="22"/>
                  <w:szCs w:val="22"/>
                </w:rPr>
              </w:pPr>
            </w:p>
            <w:p>
              <w:pPr>
                <w:ind w:left="142" w:hanging="142"/>
                <w:jc w:val="both"/>
                <w:rPr>
                  <w:sz w:val="22"/>
                  <w:szCs w:val="22"/>
                </w:rPr>
              </w:pPr>
              <w:r>
                <w:rPr>
                  <w:sz w:val="22"/>
                  <w:szCs w:val="22"/>
                </w:rPr>
                <w:t>6 skiltyje: DS – dotacija taikant sąlygas, D – dotacija, FP – finansinė priemonė, A – apdovanojimai;</w:t>
              </w:r>
            </w:p>
            <w:p>
              <w:pPr>
                <w:jc w:val="both"/>
                <w:rPr>
                  <w:sz w:val="22"/>
                  <w:szCs w:val="22"/>
                </w:rPr>
              </w:pPr>
              <w:r>
                <w:rPr>
                  <w:iCs/>
                  <w:sz w:val="22"/>
                  <w:szCs w:val="22"/>
                </w:rPr>
                <w:t xml:space="preserve">9 skiltyje:  R </w:t>
              </w:r>
              <w:r>
                <w:rPr>
                  <w:sz w:val="22"/>
                  <w:szCs w:val="22"/>
                </w:rPr>
                <w:t>–</w:t>
              </w:r>
              <w:r>
                <w:rPr>
                  <w:iCs/>
                  <w:sz w:val="22"/>
                  <w:szCs w:val="22"/>
                </w:rPr>
                <w:t xml:space="preserve"> </w:t>
              </w:r>
              <w:r>
                <w:rPr>
                  <w:sz w:val="22"/>
                  <w:szCs w:val="22"/>
                </w:rPr>
                <w:t>rezultato rodiklis, P – produkto rodiklis.</w:t>
              </w:r>
            </w:p>
            <w:p>
              <w:pPr>
                <w:jc w:val="both"/>
                <w:rPr>
                  <w:sz w:val="22"/>
                  <w:szCs w:val="22"/>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de74d06f3d11efa9a4c2046a78b308">
                <w:r w:rsidRPr="00532B9F">
                  <w:rPr>
                    <w:rFonts w:ascii="Times New Roman" w:eastAsia="MS Mincho" w:hAnsi="Times New Roman"/>
                    <w:sz w:val="20"/>
                    <w:i/>
                    <w:iCs/>
                    <w:color w:val="0000FF" w:themeColor="hyperlink"/>
                    <w:u w:val="single"/>
                  </w:rPr>
                  <w:t>V-888</w:t>
                </w:r>
              </w:fldSimple>
              <w:r>
                <w:rPr>
                  <w:rFonts w:ascii="Times New Roman" w:eastAsia="MS Mincho" w:hAnsi="Times New Roman"/>
                  <w:sz w:val="20"/>
                  <w:i/>
                  <w:iCs/>
                </w:rPr>
                <w:t>,
2024-09-10,
paskelbta TAR 2024-09-10, i. k. 2024-15910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a81d119d9b11efa605b9842742bf37">
                <w:r w:rsidRPr="00532B9F">
                  <w:rPr>
                    <w:rFonts w:ascii="Times New Roman" w:eastAsia="MS Mincho" w:hAnsi="Times New Roman"/>
                    <w:sz w:val="20"/>
                    <w:i/>
                    <w:iCs/>
                    <w:color w:val="0000FF" w:themeColor="hyperlink"/>
                    <w:u w:val="single"/>
                  </w:rPr>
                  <w:t>V-1085</w:t>
                </w:r>
              </w:fldSimple>
              <w:r>
                <w:rPr>
                  <w:rFonts w:ascii="Times New Roman" w:eastAsia="MS Mincho" w:hAnsi="Times New Roman"/>
                  <w:sz w:val="20"/>
                  <w:i/>
                  <w:iCs/>
                </w:rPr>
                <w:t>,
2024-11-08,
paskelbta TAR 2024-11-08, i. k. 2024-19485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74a61ad4811ef90b5ee8931e5ce5e">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2024-11-28,
paskelbta TAR 2024-11-28, i. k. 2024-20709            </w:t>
              </w:r>
            </w:p>
            <w:p/>
          </w:sdtContent>
        </w:sdt>
        <w:sdt>
          <w:sdtPr>
            <w:alias w:val="pabaiga"/>
            <w:tag w:val="part_409a53616be741a5b39ea703920f091a"/>
            <w:lock w:val="sdtLocked"/>
            <w:richText/>
          </w:sdtPr>
          <w:sdtContent>
            <w:p>
              <w:pPr>
                <w:jc w:val="center"/>
              </w:pPr>
              <w:r>
                <w:rPr>
                  <w:sz w:val="22"/>
                  <w:szCs w:val="22"/>
                </w:rPr>
                <w:t>________________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3.2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Neteko galios nuo: 2022-12-15</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fa5f07b6f11edbc04912defe897d1">
            <w:r w:rsidRPr="00532B9F">
              <w:rPr>
                <w:rFonts w:ascii="Times New Roman" w:eastAsia="MS Mincho" w:hAnsi="Times New Roman"/>
                <w:sz w:val="20"/>
                <w:i/>
                <w:iCs/>
                <w:color w:val="0000FF" w:themeColor="hyperlink"/>
                <w:u w:val="single"/>
              </w:rPr>
              <w:t>V-1854</w:t>
            </w:r>
          </w:fldSimple>
          <w:r>
            <w:rPr>
              <w:rFonts w:ascii="Times New Roman" w:eastAsia="MS Mincho" w:hAnsi="Times New Roman"/>
              <w:sz w:val="20"/>
              <w:i/>
              <w:iCs/>
            </w:rPr>
            <w:t>,
2022-12-14,
paskelbta TAR 2022-12-14, i. k. 2022-25434        </w:t>
          </w:r>
        </w:p>
        <w:p/>
        <w:p>
          <w:pPr>
            <w:pStyle w:val="PlainText"/>
            <w:rPr>
              <w:rFonts w:ascii="Times New Roman" w:eastAsia="MS Mincho" w:hAnsi="Times New Roman"/>
              <w:sz w:val="20"/>
              <w:iCs/>
            </w:rPr>
          </w:pPr>
          <w:r>
            <w:rPr>
              <w:rFonts w:ascii="Times New Roman" w:eastAsia="MS Mincho" w:hAnsi="Times New Roman"/>
              <w:sz w:val="20"/>
              <w:iCs/>
            </w:rPr>
            <w:t>PžP aprašo 1 priedas. 4.2 poveiklės Sveikatos priežiūros specialistų kompetencijų platformos sukūrimas PFSA (V-572)</w:t>
          </w:r>
        </w:p>
        <w:p/>
        <w:p>
          <w:pPr>
            <w:pStyle w:val="PlainText"/>
            <w:rPr>
              <w:rFonts w:ascii="Times New Roman" w:eastAsia="MS Mincho" w:hAnsi="Times New Roman"/>
              <w:sz w:val="20"/>
              <w:iCs/>
            </w:rPr>
          </w:pPr>
          <w:r>
            <w:rPr>
              <w:rFonts w:ascii="Times New Roman" w:eastAsia="MS Mincho" w:hAnsi="Times New Roman"/>
              <w:sz w:val="20"/>
              <w:iCs/>
            </w:rPr>
            <w:t>PžP aprašo 2 priedas. 2.2 poveiklės Infekcinių ligų klasterių centrų įrengimas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3 priedas. 3.2 poveiklės Genomo tyrimams atlikti reikalingos įrangos įsigijimas ir tyrimų atlikimas PFSA (V-572)</w:t>
          </w:r>
        </w:p>
        <w:p/>
        <w:p>
          <w:pPr>
            <w:pStyle w:val="PlainText"/>
            <w:rPr>
              <w:rFonts w:ascii="Times New Roman" w:eastAsia="MS Mincho" w:hAnsi="Times New Roman"/>
              <w:sz w:val="20"/>
              <w:iCs/>
            </w:rPr>
          </w:pPr>
          <w:r>
            <w:rPr>
              <w:rFonts w:ascii="Times New Roman" w:eastAsia="MS Mincho" w:hAnsi="Times New Roman"/>
              <w:sz w:val="20"/>
              <w:iCs/>
            </w:rPr>
            <w:t>PžP aprašo 4 priedas. 4.4 poveiklės Sveikatos sektoriaus skaitmeninimo projektai_VVKT_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5 priedas. 4.4 poveiklės Sveikatos sektoriaus skaitmeninimo projektai_ESVIS_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6 priedas. 2.3 poveiklės Regioninių sveikatos priežiūros įstaigų infrastruktūros modernizavimas PFSA (V-1131)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94a734a72a11ef90b5ee8931e5ce5e">
            <w:r w:rsidRPr="00532B9F">
              <w:rPr>
                <w:rFonts w:ascii="Times New Roman" w:eastAsia="MS Mincho" w:hAnsi="Times New Roman"/>
                <w:sz w:val="20"/>
                <w:i/>
                <w:iCs/>
                <w:color w:val="0000FF" w:themeColor="hyperlink"/>
                <w:u w:val="single"/>
              </w:rPr>
              <w:t>V-1131</w:t>
            </w:r>
          </w:fldSimple>
          <w:r>
            <w:rPr>
              <w:rFonts w:ascii="Times New Roman" w:eastAsia="MS Mincho" w:hAnsi="Times New Roman"/>
              <w:sz w:val="20"/>
              <w:i/>
              <w:iCs/>
            </w:rPr>
            <w:t>,
2024-11-20,
paskelbta TAR 2024-11-20, i. k. 2024-20190        </w:t>
          </w:r>
        </w:p>
        <w:p/>
        <w:p>
          <w:pPr>
            <w:pStyle w:val="PlainText"/>
            <w:rPr>
              <w:rFonts w:ascii="Times New Roman" w:eastAsia="MS Mincho" w:hAnsi="Times New Roman"/>
              <w:sz w:val="20"/>
              <w:iCs/>
            </w:rPr>
          </w:pPr>
          <w:r>
            <w:rPr>
              <w:rFonts w:ascii="Times New Roman" w:eastAsia="MS Mincho" w:hAnsi="Times New Roman"/>
              <w:sz w:val="20"/>
              <w:iCs/>
            </w:rPr>
            <w:t>PžP aprašo 7 priedas 3.1 poveiklės Pažangios terapijos centro statyba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8 priedas. 8.2 poveiklės Bandomojo pavėžėjimo paslaugų teikimo projekto įgyvendinimasPFSA (V-572)</w:t>
          </w:r>
        </w:p>
        <w:p/>
        <w:p>
          <w:pPr>
            <w:pStyle w:val="PlainText"/>
            <w:rPr>
              <w:rFonts w:ascii="Times New Roman" w:eastAsia="MS Mincho" w:hAnsi="Times New Roman"/>
              <w:sz w:val="20"/>
              <w:iCs/>
            </w:rPr>
          </w:pPr>
          <w:r>
            <w:rPr>
              <w:rFonts w:ascii="Times New Roman" w:eastAsia="MS Mincho" w:hAnsi="Times New Roman"/>
              <w:sz w:val="20"/>
              <w:iCs/>
            </w:rPr>
            <w:t>PžP aprašo 9 priedas. 4.3 poveiklės Sveikatos priežiūros paslaugų kokybės vertinimo modelio (rodiklių švieslentės)1 (V-572)</w:t>
          </w:r>
        </w:p>
        <w:p/>
        <w:p>
          <w:pPr>
            <w:pStyle w:val="PlainText"/>
            <w:rPr>
              <w:rFonts w:ascii="Times New Roman" w:eastAsia="MS Mincho" w:hAnsi="Times New Roman"/>
              <w:sz w:val="20"/>
              <w:iCs/>
            </w:rPr>
          </w:pPr>
          <w:r>
            <w:rPr>
              <w:rFonts w:ascii="Times New Roman" w:eastAsia="MS Mincho" w:hAnsi="Times New Roman"/>
              <w:sz w:val="20"/>
              <w:iCs/>
            </w:rPr>
            <w:t>PžP aprašo 10 priedas. 9.2 ir 9.3 poveiklių GMP automobilių įrangos įsigijimas ir greitosios medicinos pagalbos st2 (V-1392)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9f2e4c76311efa5ddd96c482819f5">
            <w:r w:rsidRPr="00532B9F">
              <w:rPr>
                <w:rFonts w:ascii="Times New Roman" w:eastAsia="MS Mincho" w:hAnsi="Times New Roman"/>
                <w:sz w:val="20"/>
                <w:i/>
                <w:iCs/>
                <w:color w:val="0000FF" w:themeColor="hyperlink"/>
                <w:u w:val="single"/>
              </w:rPr>
              <w:t>V-1392</w:t>
            </w:r>
          </w:fldSimple>
          <w:r>
            <w:rPr>
              <w:rFonts w:ascii="Times New Roman" w:eastAsia="MS Mincho" w:hAnsi="Times New Roman"/>
              <w:sz w:val="20"/>
              <w:i/>
              <w:iCs/>
            </w:rPr>
            <w:t>,
2024-12-31,
paskelbta TAR 2024-12-31, i. k. 2024-23625        </w:t>
          </w:r>
        </w:p>
        <w:p/>
        <w:p>
          <w:pPr>
            <w:pStyle w:val="PlainText"/>
            <w:rPr>
              <w:rFonts w:ascii="Times New Roman" w:eastAsia="MS Mincho" w:hAnsi="Times New Roman"/>
              <w:sz w:val="20"/>
              <w:iCs/>
            </w:rPr>
          </w:pPr>
          <w:r>
            <w:rPr>
              <w:rFonts w:ascii="Times New Roman" w:eastAsia="MS Mincho" w:hAnsi="Times New Roman"/>
              <w:sz w:val="20"/>
              <w:iCs/>
            </w:rPr>
            <w:t>PžP aprašo 11 priedas. 7.4 poveiklės Integruotų psichikos sveikatos paslaugų bei modelių išbandymas ir diegimas PF3 (V-678)</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5d7600350d11efbdaea558de59136c">
            <w:r w:rsidRPr="00532B9F">
              <w:rPr>
                <w:rFonts w:ascii="Times New Roman" w:eastAsia="MS Mincho" w:hAnsi="Times New Roman"/>
                <w:sz w:val="20"/>
                <w:i/>
                <w:iCs/>
                <w:color w:val="0000FF" w:themeColor="hyperlink"/>
                <w:u w:val="single"/>
              </w:rPr>
              <w:t>V-678</w:t>
            </w:r>
          </w:fldSimple>
          <w:r>
            <w:rPr>
              <w:rFonts w:ascii="Times New Roman" w:eastAsia="MS Mincho" w:hAnsi="Times New Roman"/>
              <w:sz w:val="20"/>
              <w:i/>
              <w:iCs/>
            </w:rPr>
            <w:t>,
2024-06-28,
paskelbta TAR 2024-06-28, i. k. 2024-11942        </w:t>
          </w:r>
        </w:p>
        <w:p/>
        <w:p>
          <w:pPr>
            <w:pStyle w:val="PlainText"/>
            <w:rPr>
              <w:rFonts w:ascii="Times New Roman" w:eastAsia="MS Mincho" w:hAnsi="Times New Roman"/>
              <w:sz w:val="20"/>
              <w:iCs/>
            </w:rPr>
          </w:pPr>
          <w:r>
            <w:rPr>
              <w:rFonts w:ascii="Times New Roman" w:eastAsia="MS Mincho" w:hAnsi="Times New Roman"/>
              <w:sz w:val="20"/>
              <w:iCs/>
            </w:rPr>
            <w:t>PžP aprašo 12 priedas. 4.4 poveiklės Sveikatos sektoriaus skaitmeninimo projektai_dekomponavimas_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13 priedas. 7.1_7.2 poveiklių Ambulator. psich. sveikatos paslaugų ir psichosocialinės reabilitacijos p4</w:t>
          </w:r>
        </w:p>
        <w:p/>
        <w:p>
          <w:pPr>
            <w:pStyle w:val="PlainText"/>
            <w:rPr>
              <w:rFonts w:ascii="Times New Roman" w:eastAsia="MS Mincho" w:hAnsi="Times New Roman"/>
              <w:sz w:val="20"/>
              <w:iCs/>
            </w:rPr>
          </w:pPr>
          <w:r>
            <w:rPr>
              <w:rFonts w:ascii="Times New Roman" w:eastAsia="MS Mincho" w:hAnsi="Times New Roman"/>
              <w:sz w:val="20"/>
              <w:iCs/>
            </w:rPr>
            <w:t>PžP aprašo 14 priedas. 4.4 poveiklės Sveikatos sektoriaus skaitmeninimo projektai_GMP_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15 priedas. 11.4 poveiklės Ilgalaikės priežiūros paslaugas teikiančių specialistų parengimas PFSA (V-572)</w:t>
          </w:r>
        </w:p>
        <w:p/>
        <w:p>
          <w:pPr>
            <w:pStyle w:val="PlainText"/>
            <w:rPr>
              <w:rFonts w:ascii="Times New Roman" w:eastAsia="MS Mincho" w:hAnsi="Times New Roman"/>
              <w:sz w:val="20"/>
              <w:iCs/>
            </w:rPr>
          </w:pPr>
          <w:r>
            <w:rPr>
              <w:rFonts w:ascii="Times New Roman" w:eastAsia="MS Mincho" w:hAnsi="Times New Roman"/>
              <w:sz w:val="20"/>
              <w:iCs/>
            </w:rPr>
            <w:t>PžP aprašo 16 priedas. 4.4 poveiklės Sveikatos sektoriaus skaitmeninimo projektai_ULSVIS_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17 priedas. 4.4 poveiklės Sveikatos sektoriaus skaitmeninimo projektai_VLK_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18 priedas. 1.2 Ilgalaikės priežiūros DS įrengimas_1.4 Mobiliųjų komandų aprūpinimas įranga ir transport (V-1226)</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66d130643411efafbb8694c098bac5">
            <w:r w:rsidRPr="00532B9F">
              <w:rPr>
                <w:rFonts w:ascii="Times New Roman" w:eastAsia="MS Mincho" w:hAnsi="Times New Roman"/>
                <w:sz w:val="20"/>
                <w:i/>
                <w:iCs/>
                <w:color w:val="0000FF" w:themeColor="hyperlink"/>
                <w:u w:val="single"/>
              </w:rPr>
              <w:t>V-843</w:t>
            </w:r>
          </w:fldSimple>
          <w:r>
            <w:rPr>
              <w:rFonts w:ascii="Times New Roman" w:eastAsia="MS Mincho" w:hAnsi="Times New Roman"/>
              <w:sz w:val="20"/>
              <w:i/>
              <w:iCs/>
            </w:rPr>
            <w:t>,
2024-08-27,
paskelbta TAR 2024-08-27, i. k. 2024-14871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5c5616b2d311ef88c08519262548c4">
            <w:r w:rsidRPr="00532B9F">
              <w:rPr>
                <w:rFonts w:ascii="Times New Roman" w:eastAsia="MS Mincho" w:hAnsi="Times New Roman"/>
                <w:sz w:val="20"/>
                <w:i/>
                <w:iCs/>
                <w:color w:val="0000FF" w:themeColor="hyperlink"/>
                <w:u w:val="single"/>
              </w:rPr>
              <w:t>V-1226</w:t>
            </w:r>
          </w:fldSimple>
          <w:r>
            <w:rPr>
              <w:rFonts w:ascii="Times New Roman" w:eastAsia="MS Mincho" w:hAnsi="Times New Roman"/>
              <w:sz w:val="20"/>
              <w:i/>
              <w:iCs/>
            </w:rPr>
            <w:t>,
2024-12-05,
paskelbta TAR 2024-12-05, i. k. 2024-21518        </w:t>
          </w:r>
        </w:p>
        <w:p/>
        <w:p>
          <w:pPr>
            <w:pStyle w:val="PlainText"/>
            <w:rPr>
              <w:rFonts w:ascii="Times New Roman" w:eastAsia="MS Mincho" w:hAnsi="Times New Roman"/>
              <w:sz w:val="20"/>
              <w:iCs/>
            </w:rPr>
          </w:pPr>
          <w:r>
            <w:rPr>
              <w:rFonts w:ascii="Times New Roman" w:eastAsia="MS Mincho" w:hAnsi="Times New Roman"/>
              <w:sz w:val="20"/>
              <w:iCs/>
            </w:rPr>
            <w:t>PžP aprašo 19 priedas. 6.2-6.5 poveiklių Sveikatos centro sudėtyje teikiamų sveikatos priežiūros paslaugų infrastr6 (V-572)</w:t>
          </w:r>
        </w:p>
        <w:p/>
        <w:p>
          <w:pPr>
            <w:pStyle w:val="PlainText"/>
            <w:rPr>
              <w:rFonts w:ascii="Times New Roman" w:eastAsia="MS Mincho" w:hAnsi="Times New Roman"/>
              <w:sz w:val="20"/>
              <w:iCs/>
            </w:rPr>
          </w:pPr>
          <w:r>
            <w:rPr>
              <w:rFonts w:ascii="Times New Roman" w:eastAsia="MS Mincho" w:hAnsi="Times New Roman"/>
              <w:sz w:val="20"/>
              <w:iCs/>
            </w:rPr>
            <w:t>PžP aprašo 20 priedas. 4.4 poveiklės Sveikatos sektoriaus skaitmeninimo projektai_EuroHeart_ PFSA (V-1081)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0683219b7d11efa605b9842742bf37">
            <w:r w:rsidRPr="00532B9F">
              <w:rPr>
                <w:rFonts w:ascii="Times New Roman" w:eastAsia="MS Mincho" w:hAnsi="Times New Roman"/>
                <w:sz w:val="20"/>
                <w:i/>
                <w:iCs/>
                <w:color w:val="0000FF" w:themeColor="hyperlink"/>
                <w:u w:val="single"/>
              </w:rPr>
              <w:t>V-1081</w:t>
            </w:r>
          </w:fldSimple>
          <w:r>
            <w:rPr>
              <w:rFonts w:ascii="Times New Roman" w:eastAsia="MS Mincho" w:hAnsi="Times New Roman"/>
              <w:sz w:val="20"/>
              <w:i/>
              <w:iCs/>
            </w:rPr>
            <w:t>,
2024-11-05,
paskelbta TAR 2024-11-05, i. k. 2024-19243        </w:t>
          </w:r>
        </w:p>
        <w:p/>
        <w:p>
          <w:pPr>
            <w:pStyle w:val="PlainText"/>
            <w:rPr>
              <w:rFonts w:ascii="Times New Roman" w:eastAsia="MS Mincho" w:hAnsi="Times New Roman"/>
              <w:sz w:val="20"/>
              <w:iCs/>
            </w:rPr>
          </w:pPr>
          <w:r>
            <w:rPr>
              <w:rFonts w:ascii="Times New Roman" w:eastAsia="MS Mincho" w:hAnsi="Times New Roman"/>
              <w:sz w:val="20"/>
              <w:iCs/>
            </w:rPr>
            <w:t>PžP aprašo 21 priedas. 2.4-2.5 poveiklių Regionų ir savivaldybių sveikatos priežiūros įstaigų infrastruktūros mod7 (V-572)</w:t>
          </w:r>
        </w:p>
        <w:p/>
        <w:p>
          <w:pPr>
            <w:pStyle w:val="PlainText"/>
            <w:rPr>
              <w:rFonts w:ascii="Times New Roman" w:eastAsia="MS Mincho" w:hAnsi="Times New Roman"/>
              <w:sz w:val="20"/>
              <w:iCs/>
            </w:rPr>
          </w:pPr>
          <w:r>
            <w:rPr>
              <w:rFonts w:ascii="Times New Roman" w:eastAsia="MS Mincho" w:hAnsi="Times New Roman"/>
              <w:sz w:val="20"/>
              <w:iCs/>
            </w:rPr>
            <w:t>PžP aprašo 22 priedas. 4.4 poveiklės Sveikatos sektoriaus skaitmeninimo projektai_PFSA (V-931)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87bdd47a9811efabdbb4a1fc8b0b63">
            <w:r w:rsidRPr="00532B9F">
              <w:rPr>
                <w:rFonts w:ascii="Times New Roman" w:eastAsia="MS Mincho" w:hAnsi="Times New Roman"/>
                <w:sz w:val="20"/>
                <w:i/>
                <w:iCs/>
                <w:color w:val="0000FF" w:themeColor="hyperlink"/>
                <w:u w:val="single"/>
              </w:rPr>
              <w:t>V-931</w:t>
            </w:r>
          </w:fldSimple>
          <w:r>
            <w:rPr>
              <w:rFonts w:ascii="Times New Roman" w:eastAsia="MS Mincho" w:hAnsi="Times New Roman"/>
              <w:sz w:val="20"/>
              <w:i/>
              <w:iCs/>
            </w:rPr>
            <w:t>,
2024-09-24,
paskelbta TAR 2024-09-24, i. k. 2024-16616        </w:t>
          </w:r>
        </w:p>
        <w:p/>
        <w:p>
          <w:pPr>
            <w:pStyle w:val="PlainText"/>
            <w:rPr>
              <w:rFonts w:ascii="Times New Roman" w:eastAsia="MS Mincho" w:hAnsi="Times New Roman"/>
              <w:sz w:val="20"/>
              <w:iCs/>
            </w:rPr>
          </w:pPr>
          <w:r>
            <w:rPr>
              <w:rFonts w:ascii="Times New Roman" w:eastAsia="MS Mincho" w:hAnsi="Times New Roman"/>
              <w:sz w:val="20"/>
              <w:iCs/>
            </w:rPr>
            <w:t>PžP aprašo 23 priedas 3.3 poveiklės Inovatyvių specializuotų sveikatos priežiūros paslaugų teikimo ir organizavimo modelių kūrimas ir išbandymas_onkologija_PFSA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24 priedas. 4.4 poveiklės Sveikatos sektoriaus skaitmeninimo projektai_RC_ PFSA (V-931)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87bdd47a9811efabdbb4a1fc8b0b63">
            <w:r w:rsidRPr="00532B9F">
              <w:rPr>
                <w:rFonts w:ascii="Times New Roman" w:eastAsia="MS Mincho" w:hAnsi="Times New Roman"/>
                <w:sz w:val="20"/>
                <w:i/>
                <w:iCs/>
                <w:color w:val="0000FF" w:themeColor="hyperlink"/>
                <w:u w:val="single"/>
              </w:rPr>
              <w:t>V-931</w:t>
            </w:r>
          </w:fldSimple>
          <w:r>
            <w:rPr>
              <w:rFonts w:ascii="Times New Roman" w:eastAsia="MS Mincho" w:hAnsi="Times New Roman"/>
              <w:sz w:val="20"/>
              <w:i/>
              <w:iCs/>
            </w:rPr>
            <w:t>,
2024-09-24,
paskelbta TAR 2024-09-24, i. k. 2024-16616        </w:t>
          </w:r>
        </w:p>
        <w:p/>
        <w:p>
          <w:pPr>
            <w:pStyle w:val="PlainText"/>
            <w:rPr>
              <w:rFonts w:ascii="Times New Roman" w:eastAsia="MS Mincho" w:hAnsi="Times New Roman"/>
              <w:sz w:val="20"/>
              <w:iCs/>
            </w:rPr>
          </w:pPr>
          <w:r>
            <w:rPr>
              <w:rFonts w:ascii="Times New Roman" w:eastAsia="MS Mincho" w:hAnsi="Times New Roman"/>
              <w:sz w:val="20"/>
              <w:iCs/>
            </w:rPr>
            <w:t>PžP aprašo 25 priedas. 10.3 poveiklės Sveikatos priežiūros specialistų rengimas pritraukimas PFSA (V-572)</w:t>
          </w:r>
        </w:p>
        <w:p/>
        <w:p>
          <w:pPr>
            <w:pStyle w:val="PlainText"/>
            <w:rPr>
              <w:rFonts w:ascii="Times New Roman" w:eastAsia="MS Mincho" w:hAnsi="Times New Roman"/>
              <w:sz w:val="20"/>
              <w:iCs/>
            </w:rPr>
          </w:pPr>
          <w:r>
            <w:rPr>
              <w:rFonts w:ascii="Times New Roman" w:eastAsia="MS Mincho" w:hAnsi="Times New Roman"/>
              <w:sz w:val="20"/>
              <w:iCs/>
            </w:rPr>
            <w:t>PžP aprašo 26 priedas. 7.1 poveiklė Ambulatorinių psichik. sveikatos pasl. ir psichosocialinės reabilitac. plėtrai8 (V-572)</w:t>
          </w:r>
        </w:p>
        <w:p/>
        <w:p>
          <w:pPr>
            <w:pStyle w:val="PlainText"/>
            <w:rPr>
              <w:rFonts w:ascii="Times New Roman" w:eastAsia="MS Mincho" w:hAnsi="Times New Roman"/>
              <w:sz w:val="20"/>
              <w:iCs/>
            </w:rPr>
          </w:pPr>
          <w:r>
            <w:rPr>
              <w:rFonts w:ascii="Times New Roman" w:eastAsia="MS Mincho" w:hAnsi="Times New Roman"/>
              <w:sz w:val="20"/>
              <w:iCs/>
            </w:rPr>
            <w:t>PžP aprašo 27 priedas. 6.8 poveiklės Inovatyvių PSPP teikimo ir organizavimo modelių kūrimas ir išbandymas VVL (V-793)</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9621c01cb911ef8b14c5bcce136045">
            <w:r w:rsidRPr="00532B9F">
              <w:rPr>
                <w:rFonts w:ascii="Times New Roman" w:eastAsia="MS Mincho" w:hAnsi="Times New Roman"/>
                <w:sz w:val="20"/>
                <w:i/>
                <w:iCs/>
                <w:color w:val="0000FF" w:themeColor="hyperlink"/>
                <w:u w:val="single"/>
              </w:rPr>
              <w:t>V-594</w:t>
            </w:r>
          </w:fldSimple>
          <w:r>
            <w:rPr>
              <w:rFonts w:ascii="Times New Roman" w:eastAsia="MS Mincho" w:hAnsi="Times New Roman"/>
              <w:sz w:val="20"/>
              <w:i/>
              <w:iCs/>
            </w:rPr>
            <w:t>,
2024-05-28,
paskelbta TAR 2024-05-28, i. k. 2024-09518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28 priedas. 10.1-10.3 poveiklių Sveikatos priežiūros specialistų pasiūlos užtikrinimas PFSA (V-1131)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94a734a72a11ef90b5ee8931e5ce5e">
            <w:r w:rsidRPr="00532B9F">
              <w:rPr>
                <w:rFonts w:ascii="Times New Roman" w:eastAsia="MS Mincho" w:hAnsi="Times New Roman"/>
                <w:sz w:val="20"/>
                <w:i/>
                <w:iCs/>
                <w:color w:val="0000FF" w:themeColor="hyperlink"/>
                <w:u w:val="single"/>
              </w:rPr>
              <w:t>V-1131</w:t>
            </w:r>
          </w:fldSimple>
          <w:r>
            <w:rPr>
              <w:rFonts w:ascii="Times New Roman" w:eastAsia="MS Mincho" w:hAnsi="Times New Roman"/>
              <w:sz w:val="20"/>
              <w:i/>
              <w:iCs/>
            </w:rPr>
            <w:t>,
2024-11-20,
paskelbta TAR 2024-11-20, i. k. 2024-20190        </w:t>
          </w:r>
        </w:p>
        <w:p/>
        <w:p>
          <w:pPr>
            <w:pStyle w:val="PlainText"/>
            <w:rPr>
              <w:rFonts w:ascii="Times New Roman" w:eastAsia="MS Mincho" w:hAnsi="Times New Roman"/>
              <w:sz w:val="20"/>
              <w:iCs/>
            </w:rPr>
          </w:pPr>
          <w:r>
            <w:rPr>
              <w:rFonts w:ascii="Times New Roman" w:eastAsia="MS Mincho" w:hAnsi="Times New Roman"/>
              <w:sz w:val="20"/>
              <w:iCs/>
            </w:rPr>
            <w:t>PžP aprašo 29 priedas 7.4. veikla Projektų finansavimo sąlygų aprašas (V-1131)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817906e7d11efa9a4c2046a78b308">
            <w:r w:rsidRPr="00532B9F">
              <w:rPr>
                <w:rFonts w:ascii="Times New Roman" w:eastAsia="MS Mincho" w:hAnsi="Times New Roman"/>
                <w:sz w:val="20"/>
                <w:i/>
                <w:iCs/>
                <w:color w:val="0000FF" w:themeColor="hyperlink"/>
                <w:u w:val="single"/>
              </w:rPr>
              <w:t>V-884</w:t>
            </w:r>
          </w:fldSimple>
          <w:r>
            <w:rPr>
              <w:rFonts w:ascii="Times New Roman" w:eastAsia="MS Mincho" w:hAnsi="Times New Roman"/>
              <w:sz w:val="20"/>
              <w:i/>
              <w:iCs/>
            </w:rPr>
            <w:t>,
2024-09-09,
paskelbta TAR 2024-09-09, i. k. 2024-15861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94a734a72a11ef90b5ee8931e5ce5e">
            <w:r w:rsidRPr="00532B9F">
              <w:rPr>
                <w:rFonts w:ascii="Times New Roman" w:eastAsia="MS Mincho" w:hAnsi="Times New Roman"/>
                <w:sz w:val="20"/>
                <w:i/>
                <w:iCs/>
                <w:color w:val="0000FF" w:themeColor="hyperlink"/>
                <w:u w:val="single"/>
              </w:rPr>
              <w:t>V-1131</w:t>
            </w:r>
          </w:fldSimple>
          <w:r>
            <w:rPr>
              <w:rFonts w:ascii="Times New Roman" w:eastAsia="MS Mincho" w:hAnsi="Times New Roman"/>
              <w:sz w:val="20"/>
              <w:i/>
              <w:iCs/>
            </w:rPr>
            <w:t>,
2024-11-20,
paskelbta TAR 2024-11-20, i. k. 2024-20190        </w:t>
          </w:r>
        </w:p>
        <w:p/>
        <w:p>
          <w:pPr>
            <w:pStyle w:val="PlainText"/>
            <w:rPr>
              <w:rFonts w:ascii="Times New Roman" w:eastAsia="MS Mincho" w:hAnsi="Times New Roman"/>
              <w:sz w:val="20"/>
              <w:iCs/>
            </w:rPr>
          </w:pPr>
          <w:r>
            <w:rPr>
              <w:rFonts w:ascii="Times New Roman" w:eastAsia="MS Mincho" w:hAnsi="Times New Roman"/>
              <w:sz w:val="20"/>
              <w:iCs/>
            </w:rPr>
            <w:t>Priedas Nr. 30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a81d119d9b11efa605b9842742bf37">
            <w:r w:rsidRPr="00532B9F">
              <w:rPr>
                <w:rFonts w:ascii="Times New Roman" w:eastAsia="MS Mincho" w:hAnsi="Times New Roman"/>
                <w:sz w:val="20"/>
                <w:i/>
                <w:iCs/>
                <w:color w:val="0000FF" w:themeColor="hyperlink"/>
                <w:u w:val="single"/>
              </w:rPr>
              <w:t>V-1085</w:t>
            </w:r>
          </w:fldSimple>
          <w:r>
            <w:rPr>
              <w:rFonts w:ascii="Times New Roman" w:eastAsia="MS Mincho" w:hAnsi="Times New Roman"/>
              <w:sz w:val="20"/>
              <w:i/>
              <w:iCs/>
            </w:rPr>
            <w:t>,
2024-11-08,
paskelbta TAR 2024-11-08, i. k. 2024-19485        </w:t>
          </w:r>
        </w:p>
        <w:p/>
        <w:p>
          <w:pPr>
            <w:pStyle w:val="PlainText"/>
            <w:rPr>
              <w:rFonts w:ascii="Times New Roman" w:eastAsia="MS Mincho" w:hAnsi="Times New Roman"/>
              <w:sz w:val="20"/>
              <w:iCs/>
            </w:rPr>
          </w:pPr>
          <w:r>
            <w:rPr>
              <w:rFonts w:ascii="Times New Roman" w:eastAsia="MS Mincho" w:hAnsi="Times New Roman"/>
              <w:sz w:val="20"/>
              <w:iCs/>
            </w:rPr>
            <w:t>Priedas Nr. 31 (V-1183)</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74a61ad4811ef90b5ee8931e5ce5e">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2024-11-28,
paskelbta TAR 2024-11-28, i. k. 2024-20709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158c100011411ed8fa7d02a65c371ad">
            <w:r w:rsidRPr="00532B9F">
              <w:rPr>
                <w:rFonts w:ascii="Times New Roman" w:eastAsia="MS Mincho" w:hAnsi="Times New Roman"/>
                <w:sz w:val="20"/>
                <w:iCs/>
                <w:color w:val="0000FF" w:themeColor="hyperlink"/>
                <w:u w:val="single"/>
              </w:rPr>
              <w:t>V-1218</w:t>
            </w:r>
          </w:fldSimple>
          <w:r>
            <w:rPr>
              <w:rFonts w:ascii="Times New Roman" w:eastAsia="MS Mincho" w:hAnsi="Times New Roman"/>
              <w:sz w:val="20"/>
              <w:iCs/>
            </w:rPr>
            <w:t>,
2022-07-11,
paskelbta TAR 2022-07-11, i. k. 2022-15213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76b28016e711edb4cae1b158f98ea5">
            <w:r w:rsidRPr="00532B9F">
              <w:rPr>
                <w:rFonts w:ascii="Times New Roman" w:eastAsia="MS Mincho" w:hAnsi="Times New Roman"/>
                <w:sz w:val="20"/>
                <w:iCs/>
                <w:color w:val="0000FF" w:themeColor="hyperlink"/>
                <w:u w:val="single"/>
              </w:rPr>
              <w:t>V-1315</w:t>
            </w:r>
          </w:fldSimple>
          <w:r>
            <w:rPr>
              <w:rFonts w:ascii="Times New Roman" w:eastAsia="MS Mincho" w:hAnsi="Times New Roman"/>
              <w:sz w:val="20"/>
              <w:iCs/>
            </w:rPr>
            <w:t>,
2022-08-05,
paskelbta TAR 2022-08-08, i. k. 2022-16850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3879de01a3a11edb4cae1b158f98ea5">
            <w:r w:rsidRPr="00532B9F">
              <w:rPr>
                <w:rFonts w:ascii="Times New Roman" w:eastAsia="MS Mincho" w:hAnsi="Times New Roman"/>
                <w:sz w:val="20"/>
                <w:iCs/>
                <w:color w:val="0000FF" w:themeColor="hyperlink"/>
                <w:u w:val="single"/>
              </w:rPr>
              <w:t>V-1362</w:t>
            </w:r>
          </w:fldSimple>
          <w:r>
            <w:rPr>
              <w:rFonts w:ascii="Times New Roman" w:eastAsia="MS Mincho" w:hAnsi="Times New Roman"/>
              <w:sz w:val="20"/>
              <w:iCs/>
            </w:rPr>
            <w:t>,
2022-08-12,
paskelbta TAR 2022-08-12, i. k. 2022-17074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9e449e05f7411edbc04912defe897d1">
            <w:r w:rsidRPr="00532B9F">
              <w:rPr>
                <w:rFonts w:ascii="Times New Roman" w:eastAsia="MS Mincho" w:hAnsi="Times New Roman"/>
                <w:sz w:val="20"/>
                <w:iCs/>
                <w:color w:val="0000FF" w:themeColor="hyperlink"/>
                <w:u w:val="single"/>
              </w:rPr>
              <w:t>V-1640</w:t>
            </w:r>
          </w:fldSimple>
          <w:r>
            <w:rPr>
              <w:rFonts w:ascii="Times New Roman" w:eastAsia="MS Mincho" w:hAnsi="Times New Roman"/>
              <w:sz w:val="20"/>
              <w:iCs/>
            </w:rPr>
            <w:t>,
2022-11-08,
paskelbta TAR 2022-11-08, i. k. 2022-22630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84fa5f07b6f11edbc04912defe897d1">
            <w:r w:rsidRPr="00532B9F">
              <w:rPr>
                <w:rFonts w:ascii="Times New Roman" w:eastAsia="MS Mincho" w:hAnsi="Times New Roman"/>
                <w:sz w:val="20"/>
                <w:iCs/>
                <w:color w:val="0000FF" w:themeColor="hyperlink"/>
                <w:u w:val="single"/>
              </w:rPr>
              <w:t>V-1854</w:t>
            </w:r>
          </w:fldSimple>
          <w:r>
            <w:rPr>
              <w:rFonts w:ascii="Times New Roman" w:eastAsia="MS Mincho" w:hAnsi="Times New Roman"/>
              <w:sz w:val="20"/>
              <w:iCs/>
            </w:rPr>
            <w:t>,
2022-12-14,
paskelbta TAR 2022-12-14, i. k. 2022-25434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427e550828711ed8df094f359a60216">
            <w:r w:rsidRPr="00532B9F">
              <w:rPr>
                <w:rFonts w:ascii="Times New Roman" w:eastAsia="MS Mincho" w:hAnsi="Times New Roman"/>
                <w:sz w:val="20"/>
                <w:iCs/>
                <w:color w:val="0000FF" w:themeColor="hyperlink"/>
                <w:u w:val="single"/>
              </w:rPr>
              <w:t>V-1928</w:t>
            </w:r>
          </w:fldSimple>
          <w:r>
            <w:rPr>
              <w:rFonts w:ascii="Times New Roman" w:eastAsia="MS Mincho" w:hAnsi="Times New Roman"/>
              <w:sz w:val="20"/>
              <w:iCs/>
            </w:rPr>
            <w:t>,
2022-12-23,
paskelbta TAR 2022-12-23, i. k. 2022-26581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92fdf082be11ed8df094f359a60216">
            <w:r w:rsidRPr="00532B9F">
              <w:rPr>
                <w:rFonts w:ascii="Times New Roman" w:eastAsia="MS Mincho" w:hAnsi="Times New Roman"/>
                <w:sz w:val="20"/>
                <w:iCs/>
                <w:color w:val="0000FF" w:themeColor="hyperlink"/>
                <w:u w:val="single"/>
              </w:rPr>
              <w:t>V-1956</w:t>
            </w:r>
          </w:fldSimple>
          <w:r>
            <w:rPr>
              <w:rFonts w:ascii="Times New Roman" w:eastAsia="MS Mincho" w:hAnsi="Times New Roman"/>
              <w:sz w:val="20"/>
              <w:iCs/>
            </w:rPr>
            <w:t>,
2022-12-23,
paskelbta TAR 2022-12-23, i. k. 2022-26786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64ce608d0411ed8df094f359a60216">
            <w:r w:rsidRPr="00532B9F">
              <w:rPr>
                <w:rFonts w:ascii="Times New Roman" w:eastAsia="MS Mincho" w:hAnsi="Times New Roman"/>
                <w:sz w:val="20"/>
                <w:iCs/>
                <w:color w:val="0000FF" w:themeColor="hyperlink"/>
                <w:u w:val="single"/>
              </w:rPr>
              <w:t>V-19</w:t>
            </w:r>
          </w:fldSimple>
          <w:r>
            <w:rPr>
              <w:rFonts w:ascii="Times New Roman" w:eastAsia="MS Mincho" w:hAnsi="Times New Roman"/>
              <w:sz w:val="20"/>
              <w:iCs/>
            </w:rPr>
            <w:t>,
2023-01-05,
paskelbta TAR 2023-01-05, i. k. 2023-00285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14d3e095d111ed8df094f359a60216">
            <w:r w:rsidRPr="00532B9F">
              <w:rPr>
                <w:rFonts w:ascii="Times New Roman" w:eastAsia="MS Mincho" w:hAnsi="Times New Roman"/>
                <w:sz w:val="20"/>
                <w:iCs/>
                <w:color w:val="0000FF" w:themeColor="hyperlink"/>
                <w:u w:val="single"/>
              </w:rPr>
              <w:t>V-52</w:t>
            </w:r>
          </w:fldSimple>
          <w:r>
            <w:rPr>
              <w:rFonts w:ascii="Times New Roman" w:eastAsia="MS Mincho" w:hAnsi="Times New Roman"/>
              <w:sz w:val="20"/>
              <w:iCs/>
            </w:rPr>
            <w:t>,
2023-01-16,
paskelbta TAR 2023-01-16, i. k. 2023-00794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2f161909cc111ed8df094f359a60216">
            <w:r w:rsidRPr="00532B9F">
              <w:rPr>
                <w:rFonts w:ascii="Times New Roman" w:eastAsia="MS Mincho" w:hAnsi="Times New Roman"/>
                <w:sz w:val="20"/>
                <w:iCs/>
                <w:color w:val="0000FF" w:themeColor="hyperlink"/>
                <w:u w:val="single"/>
              </w:rPr>
              <w:t>V-114</w:t>
            </w:r>
          </w:fldSimple>
          <w:r>
            <w:rPr>
              <w:rFonts w:ascii="Times New Roman" w:eastAsia="MS Mincho" w:hAnsi="Times New Roman"/>
              <w:sz w:val="20"/>
              <w:iCs/>
            </w:rPr>
            <w:t>,
2023-01-25,
paskelbta TAR 2023-01-25, i. k. 2023-01232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4480390b98d11ed8df094f359a60216">
            <w:r w:rsidRPr="00532B9F">
              <w:rPr>
                <w:rFonts w:ascii="Times New Roman" w:eastAsia="MS Mincho" w:hAnsi="Times New Roman"/>
                <w:sz w:val="20"/>
                <w:iCs/>
                <w:color w:val="0000FF" w:themeColor="hyperlink"/>
                <w:u w:val="single"/>
              </w:rPr>
              <w:t>V-294</w:t>
            </w:r>
          </w:fldSimple>
          <w:r>
            <w:rPr>
              <w:rFonts w:ascii="Times New Roman" w:eastAsia="MS Mincho" w:hAnsi="Times New Roman"/>
              <w:sz w:val="20"/>
              <w:iCs/>
            </w:rPr>
            <w:t>,
2023-03-03,
paskelbta TAR 2023-03-03, i. k. 2023-03954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f58f6f0d43611ed9978886e85107ab2">
            <w:r w:rsidRPr="00532B9F">
              <w:rPr>
                <w:rFonts w:ascii="Times New Roman" w:eastAsia="MS Mincho" w:hAnsi="Times New Roman"/>
                <w:sz w:val="20"/>
                <w:iCs/>
                <w:color w:val="0000FF" w:themeColor="hyperlink"/>
                <w:u w:val="single"/>
              </w:rPr>
              <w:t>V-415</w:t>
            </w:r>
          </w:fldSimple>
          <w:r>
            <w:rPr>
              <w:rFonts w:ascii="Times New Roman" w:eastAsia="MS Mincho" w:hAnsi="Times New Roman"/>
              <w:sz w:val="20"/>
              <w:iCs/>
            </w:rPr>
            <w:t>,
2023-04-06,
paskelbta TAR 2023-04-06, i. k. 2023-06655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6cacd0d49611ed9978886e85107ab2">
            <w:r w:rsidRPr="00532B9F">
              <w:rPr>
                <w:rFonts w:ascii="Times New Roman" w:eastAsia="MS Mincho" w:hAnsi="Times New Roman"/>
                <w:sz w:val="20"/>
                <w:iCs/>
                <w:color w:val="0000FF" w:themeColor="hyperlink"/>
                <w:u w:val="single"/>
              </w:rPr>
              <w:t>V-420</w:t>
            </w:r>
          </w:fldSimple>
          <w:r>
            <w:rPr>
              <w:rFonts w:ascii="Times New Roman" w:eastAsia="MS Mincho" w:hAnsi="Times New Roman"/>
              <w:sz w:val="20"/>
              <w:iCs/>
            </w:rPr>
            <w:t>,
2023-04-06,
paskelbta TAR 2023-04-06, i. k. 2023-06762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81f2100f61311ed9978886e85107ab2">
            <w:r w:rsidRPr="00532B9F">
              <w:rPr>
                <w:rFonts w:ascii="Times New Roman" w:eastAsia="MS Mincho" w:hAnsi="Times New Roman"/>
                <w:sz w:val="20"/>
                <w:iCs/>
                <w:color w:val="0000FF" w:themeColor="hyperlink"/>
                <w:u w:val="single"/>
              </w:rPr>
              <w:t>V-565</w:t>
            </w:r>
          </w:fldSimple>
          <w:r>
            <w:rPr>
              <w:rFonts w:ascii="Times New Roman" w:eastAsia="MS Mincho" w:hAnsi="Times New Roman"/>
              <w:sz w:val="20"/>
              <w:iCs/>
            </w:rPr>
            <w:t>,
2023-05-19,
paskelbta TAR 2023-05-19, i. k. 2023-09467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4acc6c0fb7b11ed9978886e85107ab2">
            <w:r w:rsidRPr="00532B9F">
              <w:rPr>
                <w:rFonts w:ascii="Times New Roman" w:eastAsia="MS Mincho" w:hAnsi="Times New Roman"/>
                <w:sz w:val="20"/>
                <w:iCs/>
                <w:color w:val="0000FF" w:themeColor="hyperlink"/>
                <w:u w:val="single"/>
              </w:rPr>
              <w:t>V-615</w:t>
            </w:r>
          </w:fldSimple>
          <w:r>
            <w:rPr>
              <w:rFonts w:ascii="Times New Roman" w:eastAsia="MS Mincho" w:hAnsi="Times New Roman"/>
              <w:sz w:val="20"/>
              <w:iCs/>
            </w:rPr>
            <w:t>,
2023-05-26,
paskelbta TAR 2023-05-26, i. k. 2023-10022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633f2009da11ee9978886e85107ab2">
            <w:r w:rsidRPr="00532B9F">
              <w:rPr>
                <w:rFonts w:ascii="Times New Roman" w:eastAsia="MS Mincho" w:hAnsi="Times New Roman"/>
                <w:sz w:val="20"/>
                <w:iCs/>
                <w:color w:val="0000FF" w:themeColor="hyperlink"/>
                <w:u w:val="single"/>
              </w:rPr>
              <w:t>V-668</w:t>
            </w:r>
          </w:fldSimple>
          <w:r>
            <w:rPr>
              <w:rFonts w:ascii="Times New Roman" w:eastAsia="MS Mincho" w:hAnsi="Times New Roman"/>
              <w:sz w:val="20"/>
              <w:iCs/>
            </w:rPr>
            <w:t>,
2023-06-12,
paskelbta TAR 2023-06-13, i. k. 2023-11741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2a51d0168811ee9f7ec2ffce8b47bc">
            <w:r w:rsidRPr="00532B9F">
              <w:rPr>
                <w:rFonts w:ascii="Times New Roman" w:eastAsia="MS Mincho" w:hAnsi="Times New Roman"/>
                <w:sz w:val="20"/>
                <w:iCs/>
                <w:color w:val="0000FF" w:themeColor="hyperlink"/>
                <w:u w:val="single"/>
              </w:rPr>
              <w:t>V-745</w:t>
            </w:r>
          </w:fldSimple>
          <w:r>
            <w:rPr>
              <w:rFonts w:ascii="Times New Roman" w:eastAsia="MS Mincho" w:hAnsi="Times New Roman"/>
              <w:sz w:val="20"/>
              <w:iCs/>
            </w:rPr>
            <w:t>,
2023-06-29,
paskelbta TAR 2023-06-29, i. k. 2023-13199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21ab70218411ee9de9e7e0fd363afc">
            <w:r w:rsidRPr="00532B9F">
              <w:rPr>
                <w:rFonts w:ascii="Times New Roman" w:eastAsia="MS Mincho" w:hAnsi="Times New Roman"/>
                <w:sz w:val="20"/>
                <w:iCs/>
                <w:color w:val="0000FF" w:themeColor="hyperlink"/>
                <w:u w:val="single"/>
              </w:rPr>
              <w:t>V-806</w:t>
            </w:r>
          </w:fldSimple>
          <w:r>
            <w:rPr>
              <w:rFonts w:ascii="Times New Roman" w:eastAsia="MS Mincho" w:hAnsi="Times New Roman"/>
              <w:sz w:val="20"/>
              <w:iCs/>
            </w:rPr>
            <w:t>,
2023-07-13,
paskelbta TAR 2023-07-13, i. k. 2023-14577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8e0a50263f11ee9de9e7e0fd363afc">
            <w:r w:rsidRPr="00532B9F">
              <w:rPr>
                <w:rFonts w:ascii="Times New Roman" w:eastAsia="MS Mincho" w:hAnsi="Times New Roman"/>
                <w:sz w:val="20"/>
                <w:iCs/>
                <w:color w:val="0000FF" w:themeColor="hyperlink"/>
                <w:u w:val="single"/>
              </w:rPr>
              <w:t>V-822</w:t>
            </w:r>
          </w:fldSimple>
          <w:r>
            <w:rPr>
              <w:rFonts w:ascii="Times New Roman" w:eastAsia="MS Mincho" w:hAnsi="Times New Roman"/>
              <w:sz w:val="20"/>
              <w:iCs/>
            </w:rPr>
            <w:t>,
2023-07-19,
paskelbta TAR 2023-07-19, i. k. 2023-14870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02dc1c0311f11ee9de9e7e0fd363afc">
            <w:r w:rsidRPr="00532B9F">
              <w:rPr>
                <w:rFonts w:ascii="Times New Roman" w:eastAsia="MS Mincho" w:hAnsi="Times New Roman"/>
                <w:sz w:val="20"/>
                <w:iCs/>
                <w:color w:val="0000FF" w:themeColor="hyperlink"/>
                <w:u w:val="single"/>
              </w:rPr>
              <w:t>V-890</w:t>
            </w:r>
          </w:fldSimple>
          <w:r>
            <w:rPr>
              <w:rFonts w:ascii="Times New Roman" w:eastAsia="MS Mincho" w:hAnsi="Times New Roman"/>
              <w:sz w:val="20"/>
              <w:iCs/>
            </w:rPr>
            <w:t>,
2023-08-02,
paskelbta TAR 2023-08-02, i. k. 2023-15650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83e025047fe11ee9de9e7e0fd363afc">
            <w:r w:rsidRPr="00532B9F">
              <w:rPr>
                <w:rFonts w:ascii="Times New Roman" w:eastAsia="MS Mincho" w:hAnsi="Times New Roman"/>
                <w:sz w:val="20"/>
                <w:iCs/>
                <w:color w:val="0000FF" w:themeColor="hyperlink"/>
                <w:u w:val="single"/>
              </w:rPr>
              <w:t>V-948</w:t>
            </w:r>
          </w:fldSimple>
          <w:r>
            <w:rPr>
              <w:rFonts w:ascii="Times New Roman" w:eastAsia="MS Mincho" w:hAnsi="Times New Roman"/>
              <w:sz w:val="20"/>
              <w:iCs/>
            </w:rPr>
            <w:t>,
2023-08-31,
paskelbta TAR 2023-08-31, i. k. 2023-17204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0692ae053a011ee81b8b446907f594f">
            <w:r w:rsidRPr="00532B9F">
              <w:rPr>
                <w:rFonts w:ascii="Times New Roman" w:eastAsia="MS Mincho" w:hAnsi="Times New Roman"/>
                <w:sz w:val="20"/>
                <w:iCs/>
                <w:color w:val="0000FF" w:themeColor="hyperlink"/>
                <w:u w:val="single"/>
              </w:rPr>
              <w:t>V-1005</w:t>
            </w:r>
          </w:fldSimple>
          <w:r>
            <w:rPr>
              <w:rFonts w:ascii="Times New Roman" w:eastAsia="MS Mincho" w:hAnsi="Times New Roman"/>
              <w:sz w:val="20"/>
              <w:iCs/>
            </w:rPr>
            <w:t>,
2023-09-15,
paskelbta TAR 2023-09-15, i. k. 2023-18231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db8f705e1011ee81b8b446907f594f">
            <w:r w:rsidRPr="00532B9F">
              <w:rPr>
                <w:rFonts w:ascii="Times New Roman" w:eastAsia="MS Mincho" w:hAnsi="Times New Roman"/>
                <w:sz w:val="20"/>
                <w:iCs/>
                <w:color w:val="0000FF" w:themeColor="hyperlink"/>
                <w:u w:val="single"/>
              </w:rPr>
              <w:t>V-1043</w:t>
            </w:r>
          </w:fldSimple>
          <w:r>
            <w:rPr>
              <w:rFonts w:ascii="Times New Roman" w:eastAsia="MS Mincho" w:hAnsi="Times New Roman"/>
              <w:sz w:val="20"/>
              <w:iCs/>
            </w:rPr>
            <w:t>,
2023-09-28,
paskelbta TAR 2023-09-28, i. k. 2023-18954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dae5ed0629411eebc77e58877a83c4e">
            <w:r w:rsidRPr="00532B9F">
              <w:rPr>
                <w:rFonts w:ascii="Times New Roman" w:eastAsia="MS Mincho" w:hAnsi="Times New Roman"/>
                <w:sz w:val="20"/>
                <w:iCs/>
                <w:color w:val="0000FF" w:themeColor="hyperlink"/>
                <w:u w:val="single"/>
              </w:rPr>
              <w:t>V-1052</w:t>
            </w:r>
          </w:fldSimple>
          <w:r>
            <w:rPr>
              <w:rFonts w:ascii="Times New Roman" w:eastAsia="MS Mincho" w:hAnsi="Times New Roman"/>
              <w:sz w:val="20"/>
              <w:iCs/>
            </w:rPr>
            <w:t>,
2023-10-04,
paskelbta TAR 2023-10-04, i. k. 2023-19515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5756d0636511ee9fc7ee37cec6fc59">
            <w:r w:rsidRPr="00532B9F">
              <w:rPr>
                <w:rFonts w:ascii="Times New Roman" w:eastAsia="MS Mincho" w:hAnsi="Times New Roman"/>
                <w:sz w:val="20"/>
                <w:iCs/>
                <w:color w:val="0000FF" w:themeColor="hyperlink"/>
                <w:u w:val="single"/>
              </w:rPr>
              <w:t>V-1063</w:t>
            </w:r>
          </w:fldSimple>
          <w:r>
            <w:rPr>
              <w:rFonts w:ascii="Times New Roman" w:eastAsia="MS Mincho" w:hAnsi="Times New Roman"/>
              <w:sz w:val="20"/>
              <w:iCs/>
            </w:rPr>
            <w:t>,
2023-10-05,
paskelbta TAR 2023-10-05, i. k. 2023-19677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168000674111ee9fc7ee37cec6fc59">
            <w:r w:rsidRPr="00532B9F">
              <w:rPr>
                <w:rFonts w:ascii="Times New Roman" w:eastAsia="MS Mincho" w:hAnsi="Times New Roman"/>
                <w:sz w:val="20"/>
                <w:iCs/>
                <w:color w:val="0000FF" w:themeColor="hyperlink"/>
                <w:u w:val="single"/>
              </w:rPr>
              <w:t>V-1076</w:t>
            </w:r>
          </w:fldSimple>
          <w:r>
            <w:rPr>
              <w:rFonts w:ascii="Times New Roman" w:eastAsia="MS Mincho" w:hAnsi="Times New Roman"/>
              <w:sz w:val="20"/>
              <w:iCs/>
            </w:rPr>
            <w:t>,
2023-10-10,
paskelbta TAR 2023-10-10, i. k. 2023-19971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6f00a106e4111ee8f3cbca2fb16d96d">
            <w:r w:rsidRPr="00532B9F">
              <w:rPr>
                <w:rFonts w:ascii="Times New Roman" w:eastAsia="MS Mincho" w:hAnsi="Times New Roman"/>
                <w:sz w:val="20"/>
                <w:iCs/>
                <w:color w:val="0000FF" w:themeColor="hyperlink"/>
                <w:u w:val="single"/>
              </w:rPr>
              <w:t>V-1098</w:t>
            </w:r>
          </w:fldSimple>
          <w:r>
            <w:rPr>
              <w:rFonts w:ascii="Times New Roman" w:eastAsia="MS Mincho" w:hAnsi="Times New Roman"/>
              <w:sz w:val="20"/>
              <w:iCs/>
            </w:rPr>
            <w:t>,
2023-10-19,
paskelbta TAR 2023-10-19, i. k. 2023-20433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d597a07c0811eea5a28c81c82193a8">
            <w:r w:rsidRPr="00532B9F">
              <w:rPr>
                <w:rFonts w:ascii="Times New Roman" w:eastAsia="MS Mincho" w:hAnsi="Times New Roman"/>
                <w:sz w:val="20"/>
                <w:iCs/>
                <w:color w:val="0000FF" w:themeColor="hyperlink"/>
                <w:u w:val="single"/>
              </w:rPr>
              <w:t>V-1144</w:t>
            </w:r>
          </w:fldSimple>
          <w:r>
            <w:rPr>
              <w:rFonts w:ascii="Times New Roman" w:eastAsia="MS Mincho" w:hAnsi="Times New Roman"/>
              <w:sz w:val="20"/>
              <w:iCs/>
            </w:rPr>
            <w:t>,
2023-11-03,
paskelbta TAR 2023-11-06, i. k. 2023-21542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3dd4a60895311eea5a28c81c82193a8">
            <w:r w:rsidRPr="00532B9F">
              <w:rPr>
                <w:rFonts w:ascii="Times New Roman" w:eastAsia="MS Mincho" w:hAnsi="Times New Roman"/>
                <w:sz w:val="20"/>
                <w:iCs/>
                <w:color w:val="0000FF" w:themeColor="hyperlink"/>
                <w:u w:val="single"/>
              </w:rPr>
              <w:t>V-1212</w:t>
            </w:r>
          </w:fldSimple>
          <w:r>
            <w:rPr>
              <w:rFonts w:ascii="Times New Roman" w:eastAsia="MS Mincho" w:hAnsi="Times New Roman"/>
              <w:sz w:val="20"/>
              <w:iCs/>
            </w:rPr>
            <w:t>,
2023-11-22,
paskelbta TAR 2023-11-22, i. k. 2023-22499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3ec3f40a0f111eea5a28c81c82193a8">
            <w:r w:rsidRPr="00532B9F">
              <w:rPr>
                <w:rFonts w:ascii="Times New Roman" w:eastAsia="MS Mincho" w:hAnsi="Times New Roman"/>
                <w:sz w:val="20"/>
                <w:iCs/>
                <w:color w:val="0000FF" w:themeColor="hyperlink"/>
                <w:u w:val="single"/>
              </w:rPr>
              <w:t>V-1375</w:t>
            </w:r>
          </w:fldSimple>
          <w:r>
            <w:rPr>
              <w:rFonts w:ascii="Times New Roman" w:eastAsia="MS Mincho" w:hAnsi="Times New Roman"/>
              <w:sz w:val="20"/>
              <w:iCs/>
            </w:rPr>
            <w:t>,
2023-12-22,
paskelbta TAR 2023-12-22, i. k. 2023-25268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abec530ae3111eea5a28c81c82193a8">
            <w:r w:rsidRPr="00532B9F">
              <w:rPr>
                <w:rFonts w:ascii="Times New Roman" w:eastAsia="MS Mincho" w:hAnsi="Times New Roman"/>
                <w:sz w:val="20"/>
                <w:iCs/>
                <w:color w:val="0000FF" w:themeColor="hyperlink"/>
                <w:u w:val="single"/>
              </w:rPr>
              <w:t>V-24</w:t>
            </w:r>
          </w:fldSimple>
          <w:r>
            <w:rPr>
              <w:rFonts w:ascii="Times New Roman" w:eastAsia="MS Mincho" w:hAnsi="Times New Roman"/>
              <w:sz w:val="20"/>
              <w:iCs/>
            </w:rPr>
            <w:t>,
2024-01-08,
paskelbta TAR 2024-01-08, i. k. 2024-00270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731ecd0b60511eea5a28c81c82193a8">
            <w:r w:rsidRPr="00532B9F">
              <w:rPr>
                <w:rFonts w:ascii="Times New Roman" w:eastAsia="MS Mincho" w:hAnsi="Times New Roman"/>
                <w:sz w:val="20"/>
                <w:iCs/>
                <w:color w:val="0000FF" w:themeColor="hyperlink"/>
                <w:u w:val="single"/>
              </w:rPr>
              <w:t>V-61</w:t>
            </w:r>
          </w:fldSimple>
          <w:r>
            <w:rPr>
              <w:rFonts w:ascii="Times New Roman" w:eastAsia="MS Mincho" w:hAnsi="Times New Roman"/>
              <w:sz w:val="20"/>
              <w:iCs/>
            </w:rPr>
            <w:t>,
2024-01-18,
paskelbta TAR 2024-01-18, i. k. 2024-00784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3a94f60bb4211eea5a28c81c82193a8">
            <w:r w:rsidRPr="00532B9F">
              <w:rPr>
                <w:rFonts w:ascii="Times New Roman" w:eastAsia="MS Mincho" w:hAnsi="Times New Roman"/>
                <w:sz w:val="20"/>
                <w:iCs/>
                <w:color w:val="0000FF" w:themeColor="hyperlink"/>
                <w:u w:val="single"/>
              </w:rPr>
              <w:t>V-99</w:t>
            </w:r>
          </w:fldSimple>
          <w:r>
            <w:rPr>
              <w:rFonts w:ascii="Times New Roman" w:eastAsia="MS Mincho" w:hAnsi="Times New Roman"/>
              <w:sz w:val="20"/>
              <w:iCs/>
            </w:rPr>
            <w:t>,
2024-01-25,
paskelbta TAR 2024-01-25, i. k. 2024-01177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dddac90bf2f11eea5a28c81c82193a8">
            <w:r w:rsidRPr="00532B9F">
              <w:rPr>
                <w:rFonts w:ascii="Times New Roman" w:eastAsia="MS Mincho" w:hAnsi="Times New Roman"/>
                <w:sz w:val="20"/>
                <w:iCs/>
                <w:color w:val="0000FF" w:themeColor="hyperlink"/>
                <w:u w:val="single"/>
              </w:rPr>
              <w:t>V-125</w:t>
            </w:r>
          </w:fldSimple>
          <w:r>
            <w:rPr>
              <w:rFonts w:ascii="Times New Roman" w:eastAsia="MS Mincho" w:hAnsi="Times New Roman"/>
              <w:sz w:val="20"/>
              <w:iCs/>
            </w:rPr>
            <w:t>,
2024-01-30,
paskelbta TAR 2024-01-30, i. k. 2024-01629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9488ef0c72f11eea5a28c81c82193a8">
            <w:r w:rsidRPr="00532B9F">
              <w:rPr>
                <w:rFonts w:ascii="Times New Roman" w:eastAsia="MS Mincho" w:hAnsi="Times New Roman"/>
                <w:sz w:val="20"/>
                <w:iCs/>
                <w:color w:val="0000FF" w:themeColor="hyperlink"/>
                <w:u w:val="single"/>
              </w:rPr>
              <w:t>V-176</w:t>
            </w:r>
          </w:fldSimple>
          <w:r>
            <w:rPr>
              <w:rFonts w:ascii="Times New Roman" w:eastAsia="MS Mincho" w:hAnsi="Times New Roman"/>
              <w:sz w:val="20"/>
              <w:iCs/>
            </w:rPr>
            <w:t>,
2024-02-09,
paskelbta TAR 2024-02-09, i. k. 2024-02495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9a4c3b0c97511eea5a28c81c82193a8">
            <w:r w:rsidRPr="00532B9F">
              <w:rPr>
                <w:rFonts w:ascii="Times New Roman" w:eastAsia="MS Mincho" w:hAnsi="Times New Roman"/>
                <w:sz w:val="20"/>
                <w:iCs/>
                <w:color w:val="0000FF" w:themeColor="hyperlink"/>
                <w:u w:val="single"/>
              </w:rPr>
              <w:t>V-188</w:t>
            </w:r>
          </w:fldSimple>
          <w:r>
            <w:rPr>
              <w:rFonts w:ascii="Times New Roman" w:eastAsia="MS Mincho" w:hAnsi="Times New Roman"/>
              <w:sz w:val="20"/>
              <w:iCs/>
            </w:rPr>
            <w:t>,
2024-02-12,
paskelbta TAR 2024-02-12, i. k. 2024-02559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2933cc0cef711eea5a28c81c82193a8">
            <w:r w:rsidRPr="00532B9F">
              <w:rPr>
                <w:rFonts w:ascii="Times New Roman" w:eastAsia="MS Mincho" w:hAnsi="Times New Roman"/>
                <w:sz w:val="20"/>
                <w:iCs/>
                <w:color w:val="0000FF" w:themeColor="hyperlink"/>
                <w:u w:val="single"/>
              </w:rPr>
              <w:t>V-212</w:t>
            </w:r>
          </w:fldSimple>
          <w:r>
            <w:rPr>
              <w:rFonts w:ascii="Times New Roman" w:eastAsia="MS Mincho" w:hAnsi="Times New Roman"/>
              <w:sz w:val="20"/>
              <w:iCs/>
            </w:rPr>
            <w:t>,
2024-02-19,
paskelbta TAR 2024-02-19, i. k. 2024-03020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1680cd0d08911eead77e967e3995264">
            <w:r w:rsidRPr="00532B9F">
              <w:rPr>
                <w:rFonts w:ascii="Times New Roman" w:eastAsia="MS Mincho" w:hAnsi="Times New Roman"/>
                <w:sz w:val="20"/>
                <w:iCs/>
                <w:color w:val="0000FF" w:themeColor="hyperlink"/>
                <w:u w:val="single"/>
              </w:rPr>
              <w:t>V-225</w:t>
            </w:r>
          </w:fldSimple>
          <w:r>
            <w:rPr>
              <w:rFonts w:ascii="Times New Roman" w:eastAsia="MS Mincho" w:hAnsi="Times New Roman"/>
              <w:sz w:val="20"/>
              <w:iCs/>
            </w:rPr>
            <w:t>,
2024-02-21,
paskelbta TAR 2024-02-21, i. k. 2024-03264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51319b0db1a11eead77e967e3995264">
            <w:r w:rsidRPr="00532B9F">
              <w:rPr>
                <w:rFonts w:ascii="Times New Roman" w:eastAsia="MS Mincho" w:hAnsi="Times New Roman"/>
                <w:sz w:val="20"/>
                <w:iCs/>
                <w:color w:val="0000FF" w:themeColor="hyperlink"/>
                <w:u w:val="single"/>
              </w:rPr>
              <w:t>V-289</w:t>
            </w:r>
          </w:fldSimple>
          <w:r>
            <w:rPr>
              <w:rFonts w:ascii="Times New Roman" w:eastAsia="MS Mincho" w:hAnsi="Times New Roman"/>
              <w:sz w:val="20"/>
              <w:iCs/>
            </w:rPr>
            <w:t>,
2024-03-05,
paskelbta TAR 2024-03-05, i. k. 2024-04103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cb5fe10166611efbcbfb318996800a8">
            <w:r w:rsidRPr="00532B9F">
              <w:rPr>
                <w:rFonts w:ascii="Times New Roman" w:eastAsia="MS Mincho" w:hAnsi="Times New Roman"/>
                <w:sz w:val="20"/>
                <w:iCs/>
                <w:color w:val="0000FF" w:themeColor="hyperlink"/>
                <w:u w:val="single"/>
              </w:rPr>
              <w:t>V-572</w:t>
            </w:r>
          </w:fldSimple>
          <w:r>
            <w:rPr>
              <w:rFonts w:ascii="Times New Roman" w:eastAsia="MS Mincho" w:hAnsi="Times New Roman"/>
              <w:sz w:val="20"/>
              <w:iCs/>
            </w:rPr>
            <w:t>,
2024-05-20,
paskelbta TAR 2024-05-20, i. k. 2024-09067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69621c01cb911ef8b14c5bcce136045">
            <w:r w:rsidRPr="00532B9F">
              <w:rPr>
                <w:rFonts w:ascii="Times New Roman" w:eastAsia="MS Mincho" w:hAnsi="Times New Roman"/>
                <w:sz w:val="20"/>
                <w:iCs/>
                <w:color w:val="0000FF" w:themeColor="hyperlink"/>
                <w:u w:val="single"/>
              </w:rPr>
              <w:t>V-594</w:t>
            </w:r>
          </w:fldSimple>
          <w:r>
            <w:rPr>
              <w:rFonts w:ascii="Times New Roman" w:eastAsia="MS Mincho" w:hAnsi="Times New Roman"/>
              <w:sz w:val="20"/>
              <w:iCs/>
            </w:rPr>
            <w:t>,
2024-05-28,
paskelbta TAR 2024-05-28, i. k. 2024-09518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75d7600350d11efbdaea558de59136c">
            <w:r w:rsidRPr="00532B9F">
              <w:rPr>
                <w:rFonts w:ascii="Times New Roman" w:eastAsia="MS Mincho" w:hAnsi="Times New Roman"/>
                <w:sz w:val="20"/>
                <w:iCs/>
                <w:color w:val="0000FF" w:themeColor="hyperlink"/>
                <w:u w:val="single"/>
              </w:rPr>
              <w:t>V-678</w:t>
            </w:r>
          </w:fldSimple>
          <w:r>
            <w:rPr>
              <w:rFonts w:ascii="Times New Roman" w:eastAsia="MS Mincho" w:hAnsi="Times New Roman"/>
              <w:sz w:val="20"/>
              <w:iCs/>
            </w:rPr>
            <w:t>,
2024-06-28,
paskelbta TAR 2024-06-28, i. k. 2024-11942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5d80ca04ffd11efbdaea558de59136c">
            <w:r w:rsidRPr="00532B9F">
              <w:rPr>
                <w:rFonts w:ascii="Times New Roman" w:eastAsia="MS Mincho" w:hAnsi="Times New Roman"/>
                <w:sz w:val="20"/>
                <w:iCs/>
                <w:color w:val="0000FF" w:themeColor="hyperlink"/>
                <w:u w:val="single"/>
              </w:rPr>
              <w:t>V-793</w:t>
            </w:r>
          </w:fldSimple>
          <w:r>
            <w:rPr>
              <w:rFonts w:ascii="Times New Roman" w:eastAsia="MS Mincho" w:hAnsi="Times New Roman"/>
              <w:sz w:val="20"/>
              <w:iCs/>
            </w:rPr>
            <w:t>,
2024-08-01,
paskelbta TAR 2024-08-01, i. k. 2024-14036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66d130643411efafbb8694c098bac5">
            <w:r w:rsidRPr="00532B9F">
              <w:rPr>
                <w:rFonts w:ascii="Times New Roman" w:eastAsia="MS Mincho" w:hAnsi="Times New Roman"/>
                <w:sz w:val="20"/>
                <w:iCs/>
                <w:color w:val="0000FF" w:themeColor="hyperlink"/>
                <w:u w:val="single"/>
              </w:rPr>
              <w:t>V-843</w:t>
            </w:r>
          </w:fldSimple>
          <w:r>
            <w:rPr>
              <w:rFonts w:ascii="Times New Roman" w:eastAsia="MS Mincho" w:hAnsi="Times New Roman"/>
              <w:sz w:val="20"/>
              <w:iCs/>
            </w:rPr>
            <w:t>,
2024-08-27,
paskelbta TAR 2024-08-27, i. k. 2024-14871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b7817906e7d11efa9a4c2046a78b308">
            <w:r w:rsidRPr="00532B9F">
              <w:rPr>
                <w:rFonts w:ascii="Times New Roman" w:eastAsia="MS Mincho" w:hAnsi="Times New Roman"/>
                <w:sz w:val="20"/>
                <w:iCs/>
                <w:color w:val="0000FF" w:themeColor="hyperlink"/>
                <w:u w:val="single"/>
              </w:rPr>
              <w:t>V-884</w:t>
            </w:r>
          </w:fldSimple>
          <w:r>
            <w:rPr>
              <w:rFonts w:ascii="Times New Roman" w:eastAsia="MS Mincho" w:hAnsi="Times New Roman"/>
              <w:sz w:val="20"/>
              <w:iCs/>
            </w:rPr>
            <w:t>,
2024-09-09,
paskelbta TAR 2024-09-09, i. k. 2024-15861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0de74d06f3d11efa9a4c2046a78b308">
            <w:r w:rsidRPr="00532B9F">
              <w:rPr>
                <w:rFonts w:ascii="Times New Roman" w:eastAsia="MS Mincho" w:hAnsi="Times New Roman"/>
                <w:sz w:val="20"/>
                <w:iCs/>
                <w:color w:val="0000FF" w:themeColor="hyperlink"/>
                <w:u w:val="single"/>
              </w:rPr>
              <w:t>V-888</w:t>
            </w:r>
          </w:fldSimple>
          <w:r>
            <w:rPr>
              <w:rFonts w:ascii="Times New Roman" w:eastAsia="MS Mincho" w:hAnsi="Times New Roman"/>
              <w:sz w:val="20"/>
              <w:iCs/>
            </w:rPr>
            <w:t>,
2024-09-10,
paskelbta TAR 2024-09-10, i. k. 2024-15910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387bdd47a9811efabdbb4a1fc8b0b63">
            <w:r w:rsidRPr="00532B9F">
              <w:rPr>
                <w:rFonts w:ascii="Times New Roman" w:eastAsia="MS Mincho" w:hAnsi="Times New Roman"/>
                <w:sz w:val="20"/>
                <w:iCs/>
                <w:color w:val="0000FF" w:themeColor="hyperlink"/>
                <w:u w:val="single"/>
              </w:rPr>
              <w:t>V-931</w:t>
            </w:r>
          </w:fldSimple>
          <w:r>
            <w:rPr>
              <w:rFonts w:ascii="Times New Roman" w:eastAsia="MS Mincho" w:hAnsi="Times New Roman"/>
              <w:sz w:val="20"/>
              <w:iCs/>
            </w:rPr>
            <w:t>,
2024-09-24,
paskelbta TAR 2024-09-24, i. k. 2024-16616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b0683219b7d11efa605b9842742bf37">
            <w:r w:rsidRPr="00532B9F">
              <w:rPr>
                <w:rFonts w:ascii="Times New Roman" w:eastAsia="MS Mincho" w:hAnsi="Times New Roman"/>
                <w:sz w:val="20"/>
                <w:iCs/>
                <w:color w:val="0000FF" w:themeColor="hyperlink"/>
                <w:u w:val="single"/>
              </w:rPr>
              <w:t>V-1081</w:t>
            </w:r>
          </w:fldSimple>
          <w:r>
            <w:rPr>
              <w:rFonts w:ascii="Times New Roman" w:eastAsia="MS Mincho" w:hAnsi="Times New Roman"/>
              <w:sz w:val="20"/>
              <w:iCs/>
            </w:rPr>
            <w:t>,
2024-11-05,
paskelbta TAR 2024-11-05, i. k. 2024-19243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5a81d119d9b11efa605b9842742bf37">
            <w:r w:rsidRPr="00532B9F">
              <w:rPr>
                <w:rFonts w:ascii="Times New Roman" w:eastAsia="MS Mincho" w:hAnsi="Times New Roman"/>
                <w:sz w:val="20"/>
                <w:iCs/>
                <w:color w:val="0000FF" w:themeColor="hyperlink"/>
                <w:u w:val="single"/>
              </w:rPr>
              <w:t>V-1085</w:t>
            </w:r>
          </w:fldSimple>
          <w:r>
            <w:rPr>
              <w:rFonts w:ascii="Times New Roman" w:eastAsia="MS Mincho" w:hAnsi="Times New Roman"/>
              <w:sz w:val="20"/>
              <w:iCs/>
            </w:rPr>
            <w:t>,
2024-11-08,
paskelbta TAR 2024-11-08, i. k. 2024-19485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194a734a72a11ef90b5ee8931e5ce5e">
            <w:r w:rsidRPr="00532B9F">
              <w:rPr>
                <w:rFonts w:ascii="Times New Roman" w:eastAsia="MS Mincho" w:hAnsi="Times New Roman"/>
                <w:sz w:val="20"/>
                <w:iCs/>
                <w:color w:val="0000FF" w:themeColor="hyperlink"/>
                <w:u w:val="single"/>
              </w:rPr>
              <w:t>V-1131</w:t>
            </w:r>
          </w:fldSimple>
          <w:r>
            <w:rPr>
              <w:rFonts w:ascii="Times New Roman" w:eastAsia="MS Mincho" w:hAnsi="Times New Roman"/>
              <w:sz w:val="20"/>
              <w:iCs/>
            </w:rPr>
            <w:t>,
2024-11-20,
paskelbta TAR 2024-11-20, i. k. 2024-20190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374a61ad4811ef90b5ee8931e5ce5e">
            <w:r w:rsidRPr="00532B9F">
              <w:rPr>
                <w:rFonts w:ascii="Times New Roman" w:eastAsia="MS Mincho" w:hAnsi="Times New Roman"/>
                <w:sz w:val="20"/>
                <w:iCs/>
                <w:color w:val="0000FF" w:themeColor="hyperlink"/>
                <w:u w:val="single"/>
              </w:rPr>
              <w:t>V-1183</w:t>
            </w:r>
          </w:fldSimple>
          <w:r>
            <w:rPr>
              <w:rFonts w:ascii="Times New Roman" w:eastAsia="MS Mincho" w:hAnsi="Times New Roman"/>
              <w:sz w:val="20"/>
              <w:iCs/>
            </w:rPr>
            <w:t>,
2024-11-28,
paskelbta TAR 2024-11-28, i. k. 2024-20709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a5c5616b2d311ef88c08519262548c4">
            <w:r w:rsidRPr="00532B9F">
              <w:rPr>
                <w:rFonts w:ascii="Times New Roman" w:eastAsia="MS Mincho" w:hAnsi="Times New Roman"/>
                <w:sz w:val="20"/>
                <w:iCs/>
                <w:color w:val="0000FF" w:themeColor="hyperlink"/>
                <w:u w:val="single"/>
              </w:rPr>
              <w:t>V-1226</w:t>
            </w:r>
          </w:fldSimple>
          <w:r>
            <w:rPr>
              <w:rFonts w:ascii="Times New Roman" w:eastAsia="MS Mincho" w:hAnsi="Times New Roman"/>
              <w:sz w:val="20"/>
              <w:iCs/>
            </w:rPr>
            <w:t>,
2024-12-05,
paskelbta TAR 2024-12-05, i. k. 2024-21518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7a9f2e4c76311efa5ddd96c482819f5">
            <w:r w:rsidRPr="00532B9F">
              <w:rPr>
                <w:rFonts w:ascii="Times New Roman" w:eastAsia="MS Mincho" w:hAnsi="Times New Roman"/>
                <w:sz w:val="20"/>
                <w:iCs/>
                <w:color w:val="0000FF" w:themeColor="hyperlink"/>
                <w:u w:val="single"/>
              </w:rPr>
              <w:t>V-1392</w:t>
            </w:r>
          </w:fldSimple>
          <w:r>
            <w:rPr>
              <w:rFonts w:ascii="Times New Roman" w:eastAsia="MS Mincho" w:hAnsi="Times New Roman"/>
              <w:sz w:val="20"/>
              <w:iCs/>
            </w:rPr>
            <w:t>,
2024-12-31,
paskelbta TAR 2024-12-31, i. k. 2024-23625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6838" w:h="11906" w:orient="landscape" w:code="9"/>
      <w:pgMar w:top="1701" w:right="1701" w:bottom="567" w:left="1134" w:header="1134" w:footer="1134"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31</w:t>
    </w:r>
    <w:r>
      <w:rPr>
        <w:szCs w:val="24"/>
      </w:rPr>
      <w:fldChar w:fldCharType="end"/>
    </w:r>
  </w:p>
  <w:p>
    <w:pPr>
      <w:tabs>
        <w:tab w:val="center" w:pos="4153"/>
        <w:tab w:val="right" w:pos="8306"/>
      </w:tabs>
      <w:rPr>
        <w:szCs w:val="24"/>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23</w:t>
    </w:r>
    <w:r>
      <w:rPr>
        <w:szCs w:val="24"/>
      </w:rPr>
      <w:fldChar w:fldCharType="end"/>
    </w:r>
  </w:p>
  <w:p>
    <w:pPr>
      <w:tabs>
        <w:tab w:val="center" w:pos="4153"/>
        <w:tab w:val="right" w:pos="8306"/>
      </w:tabs>
      <w:rPr>
        <w:szCs w:val="24"/>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680"/>
        <w:tab w:val="right" w:pos="9360"/>
      </w:tabs>
      <w:rPr>
        <w:sz w:val="22"/>
        <w:szCs w:val="22"/>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15</w:t>
    </w:r>
    <w:r>
      <w:rPr>
        <w:sz w:val="22"/>
        <w:szCs w:val="22"/>
        <w:lang w:eastAsia="lt-LT"/>
      </w:rPr>
      <w:fldChar w:fldCharType="end"/>
    </w:r>
  </w:p>
  <w:p>
    <w:pPr>
      <w:tabs>
        <w:tab w:val="center" w:pos="4680"/>
        <w:tab w:val="right" w:pos="9360"/>
      </w:tabs>
      <w:rPr>
        <w:sz w:val="22"/>
        <w:szCs w:val="22"/>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680"/>
        <w:tab w:val="right" w:pos="9360"/>
      </w:tabs>
      <w:rPr>
        <w:sz w:val="22"/>
        <w:szCs w:val="22"/>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680"/>
        <w:tab w:val="right" w:pos="9360"/>
      </w:tabs>
      <w:rPr>
        <w:sz w:val="22"/>
        <w:szCs w:val="22"/>
        <w:lang w:eastAsia="lt-LT"/>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680"/>
        <w:tab w:val="right" w:pos="9360"/>
      </w:tabs>
      <w:rPr>
        <w:sz w:val="22"/>
        <w:szCs w:val="22"/>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15</w:t>
    </w:r>
    <w:r>
      <w:rPr>
        <w:sz w:val="22"/>
        <w:szCs w:val="22"/>
        <w:lang w:eastAsia="lt-LT"/>
      </w:rPr>
      <w:fldChar w:fldCharType="end"/>
    </w:r>
  </w:p>
  <w:p>
    <w:pPr>
      <w:tabs>
        <w:tab w:val="center" w:pos="4680"/>
        <w:tab w:val="right" w:pos="9360"/>
      </w:tabs>
      <w:rPr>
        <w:sz w:val="22"/>
        <w:szCs w:val="22"/>
        <w:lang w:eastAsia="lt-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51</w:t>
    </w:r>
    <w:r>
      <w:rPr>
        <w:szCs w:val="24"/>
      </w:rPr>
      <w:fldChar w:fldCharType="end"/>
    </w:r>
  </w:p>
  <w:p>
    <w:pPr>
      <w:tabs>
        <w:tab w:val="center" w:pos="4153"/>
        <w:tab w:val="right" w:pos="8306"/>
      </w:tabs>
      <w:rPr>
        <w:szCs w:val="24"/>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17</w:t>
    </w:r>
    <w:r>
      <w:rPr>
        <w:szCs w:val="24"/>
      </w:rPr>
      <w:fldChar w:fldCharType="end"/>
    </w:r>
  </w:p>
  <w:p>
    <w:pPr>
      <w:tabs>
        <w:tab w:val="center" w:pos="4153"/>
        <w:tab w:val="right" w:pos="8306"/>
      </w:tabs>
      <w:rPr>
        <w:szCs w:val="24"/>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33</w:t>
    </w:r>
    <w:r>
      <w:rPr>
        <w:szCs w:val="24"/>
      </w:rPr>
      <w:fldChar w:fldCharType="end"/>
    </w:r>
  </w:p>
  <w:p>
    <w:pPr>
      <w:tabs>
        <w:tab w:val="center" w:pos="4153"/>
        <w:tab w:val="right" w:pos="8306"/>
      </w:tabs>
      <w:rPr>
        <w:szCs w:val="24"/>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45</w:t>
    </w:r>
    <w:r>
      <w:rPr>
        <w:szCs w:val="24"/>
      </w:rPr>
      <w:fldChar w:fldCharType="end"/>
    </w:r>
  </w:p>
  <w:p>
    <w:pPr>
      <w:tabs>
        <w:tab w:val="center" w:pos="4153"/>
        <w:tab w:val="right" w:pos="8306"/>
      </w:tabs>
      <w:rPr>
        <w:szCs w:val="24"/>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20</w:t>
    </w:r>
    <w:r>
      <w:rPr>
        <w:szCs w:val="24"/>
      </w:rPr>
      <w:fldChar w:fldCharType="end"/>
    </w:r>
  </w:p>
  <w:p>
    <w:pPr>
      <w:tabs>
        <w:tab w:val="center" w:pos="4153"/>
        <w:tab w:val="right" w:pos="8306"/>
      </w:tabs>
      <w:rPr>
        <w:szCs w:val="24"/>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18</w:t>
    </w:r>
    <w:r>
      <w:rPr>
        <w:szCs w:val="24"/>
      </w:rPr>
      <w:fldChar w:fldCharType="end"/>
    </w:r>
  </w:p>
  <w:p>
    <w:pPr>
      <w:tabs>
        <w:tab w:val="center" w:pos="4153"/>
        <w:tab w:val="right" w:pos="8306"/>
      </w:tabs>
      <w:rPr>
        <w:szCs w:val="24"/>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18</w:t>
    </w:r>
    <w:r>
      <w:rPr>
        <w:szCs w:val="24"/>
      </w:rPr>
      <w:fldChar w:fldCharType="end"/>
    </w:r>
  </w:p>
  <w:p>
    <w:pPr>
      <w:tabs>
        <w:tab w:val="center" w:pos="4153"/>
        <w:tab w:val="right" w:pos="8306"/>
      </w:tabs>
      <w:rPr>
        <w:szCs w:val="24"/>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51</w:t>
    </w:r>
    <w:r>
      <w:rPr>
        <w:szCs w:val="24"/>
      </w:rPr>
      <w:fldChar w:fldCharType="end"/>
    </w:r>
  </w:p>
  <w:p>
    <w:pPr>
      <w:tabs>
        <w:tab w:val="center" w:pos="4153"/>
        <w:tab w:val="right" w:pos="8306"/>
      </w:tabs>
      <w:rPr>
        <w:szCs w:val="24"/>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36</w:t>
    </w:r>
    <w:r>
      <w:rPr>
        <w:szCs w:val="24"/>
      </w:rPr>
      <w:fldChar w:fldCharType="end"/>
    </w:r>
  </w:p>
  <w:p>
    <w:pPr>
      <w:tabs>
        <w:tab w:val="center" w:pos="4153"/>
        <w:tab w:val="right" w:pos="8306"/>
      </w:tabs>
      <w:rPr>
        <w:szCs w:val="24"/>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33</w:t>
    </w:r>
    <w:r>
      <w:rPr>
        <w:szCs w:val="24"/>
      </w:rPr>
      <w:fldChar w:fldCharType="end"/>
    </w:r>
  </w:p>
  <w:p>
    <w:pPr>
      <w:tabs>
        <w:tab w:val="center" w:pos="4153"/>
        <w:tab w:val="right" w:pos="8306"/>
      </w:tabs>
      <w:rPr>
        <w:szCs w:val="24"/>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34</w:t>
    </w:r>
    <w:r>
      <w:rPr>
        <w:szCs w:val="24"/>
      </w:rPr>
      <w:fldChar w:fldCharType="end"/>
    </w:r>
  </w:p>
  <w:p>
    <w:pPr>
      <w:tabs>
        <w:tab w:val="center" w:pos="4153"/>
        <w:tab w:val="right" w:pos="8306"/>
      </w:tabs>
      <w:rPr>
        <w:szCs w:val="24"/>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20</w:t>
    </w:r>
    <w:r>
      <w:rPr>
        <w:szCs w:val="24"/>
      </w:rPr>
      <w:fldChar w:fldCharType="end"/>
    </w:r>
  </w:p>
  <w:p>
    <w:pPr>
      <w:tabs>
        <w:tab w:val="center" w:pos="4153"/>
        <w:tab w:val="right" w:pos="8306"/>
      </w:tabs>
      <w:rPr>
        <w:szCs w:val="24"/>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embedSystemFont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13312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109E"/>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33121"/>
    <o:shapelayout v:ext="edit">
      <o:idmap v:ext="edit" data="1"/>
    </o:shapelayout>
  </w:shapeDefaults>
  <w:decimalSymbol w:val=","/>
  <w:listSeparator w:val=";"/>
  <w15:docId w15:val="{C4E21F11-8D66-4C74-A07D-BB4F1A5310B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theme" Target="theme/theme1.xml"/>
  <Relationship Id="rId11" Type="http://schemas.openxmlformats.org/officeDocument/2006/relationships/webSettings" Target="webSettings.xml"/>
  <Relationship Id="rId12" Type="http://schemas.openxmlformats.org/officeDocument/2006/relationships/image" Target="media/image83.png"/>
  <Relationship Id="rId13" Type="http://schemas.openxmlformats.org/officeDocument/2006/relationships/oleObject" Target="embeddings/oleObject83.bin"/>
  <Relationship Id="rId14" Type="http://schemas.openxmlformats.org/officeDocument/2006/relationships/header" Target="header31.xml"/>
  <Relationship Id="rId15" Type="http://schemas.openxmlformats.org/officeDocument/2006/relationships/header" Target="header32.xml"/>
  <Relationship Id="rId16" Type="http://schemas.openxmlformats.org/officeDocument/2006/relationships/footer" Target="footer31.xml"/>
  <Relationship Id="rId17" Type="http://schemas.openxmlformats.org/officeDocument/2006/relationships/footer" Target="footer32.xml"/>
  <Relationship Id="rId18" Type="http://schemas.openxmlformats.org/officeDocument/2006/relationships/header" Target="header33.xml"/>
  <Relationship Id="rId19" Type="http://schemas.openxmlformats.org/officeDocument/2006/relationships/footer" Target="footer33.xml"/>
  <Relationship Id="rId2" Type="http://schemas.openxmlformats.org/officeDocument/2006/relationships/customXml" Target="../customXml/item2.xml"/>
  <Relationship Id="rId20" Type="http://schemas.openxmlformats.org/officeDocument/2006/relationships/header" Target="header61.xml"/>
  <Relationship Id="rId21" Type="http://schemas.openxmlformats.org/officeDocument/2006/relationships/header" Target="header62.xml"/>
  <Relationship Id="rId22" Type="http://schemas.openxmlformats.org/officeDocument/2006/relationships/footer" Target="footer61.xml"/>
  <Relationship Id="rId23" Type="http://schemas.openxmlformats.org/officeDocument/2006/relationships/footer" Target="footer62.xml"/>
  <Relationship Id="rId24" Type="http://schemas.openxmlformats.org/officeDocument/2006/relationships/header" Target="header63.xml"/>
  <Relationship Id="rId25" Type="http://schemas.openxmlformats.org/officeDocument/2006/relationships/footer" Target="footer63.xml"/>
  <Relationship Id="rId26" Type="http://schemas.openxmlformats.org/officeDocument/2006/relationships/customXml" Target="../customXml/item4.xml"/>
  <Relationship Id="rId3" Type="http://schemas.openxmlformats.org/officeDocument/2006/relationships/customXml" Target="../customXml/item3.xml"/>
  <Relationship Id="rId4" Type="http://schemas.openxmlformats.org/officeDocument/2006/relationships/customXml" Target="../customXml/item6.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footnotes" Target="footnotes.xml"/>
  <Relationship Id="rId8" Type="http://schemas.openxmlformats.org/officeDocument/2006/relationships/settings" Target="settings.xml"/>
  <Relationship Id="rId9" Type="http://schemas.openxmlformats.org/officeDocument/2006/relationships/styles" Target="styl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958BDF1B7149A445B634534142DB2BA2" ma:contentTypeVersion="0" ma:contentTypeDescription="Kurkite naują dokumentą." ma:contentTypeScope="" ma:versionID="74b098eb4307a8f6462c52f47f6a7eb9">
  <xsd:schema xmlns:xsd="http://www.w3.org/2001/XMLSchema" targetNamespace="http://schemas.microsoft.com/office/2006/metadata/properties" ma:root="true" ma:fieldsID="6da6224787687129729813aad69afb19">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f8c1caabe0df49e198502b4b17034264" PartId="80e78b501bde46729929b6f79b39f995">
    <Part Type="preambule" DocPartId="a5dc527e952a46629f814acb02a68a8e" PartId="b55119ea5b19448c96fabf90dbccb4b9"/>
    <Part Type="pastraipa" DocPartId="cc90611dd24c491087d0fff5035be87c" PartId="e2e446847dd74fb198f9f4bc120dd735"/>
    <Part Type="signatura" DocPartId="bf3910d75445475e9ba178c29f724398" PartId="8d04719570ea4e7899eed59ab7a0f072"/>
  </Part>
  <Part Type="patvirtinta" Titl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AS" DocPartId="d7b8cd9b6d7b482285af0e9839f22413" PartId="b30ab63848c54765864e9b4d7813cc3a">
    <Part Type="skyrius" Nr="1" Title="PLĖTROS PROGRAMOS PAŽANGOS PRIEMONĖS SIEKIAMI REZULTATAI" DocPartId="e80e9b157a5a4ed1972c3b4a13590405" PartId="3cd88d542e3c4ac994befb62ec5e09b1"/>
    <Part Type="skyrius" Nr="II" Title="PLĖTROS PROGRAMOS PAŽANGOS PRIEMONĖS FINANSAVIMO ŠALTINIAI" DocPartId="fdb43120fd5945b0b28f372d3638606d" PartId="1106cf607dad4a3e9b69a66cb720f4d0"/>
    <Part Type="skyrius" Nr="3" Title="PLĖTROS PROGRAMOS PAŽANGOS PRIEMONĖS VEIKLŲ SUVESTINĖ" DocPartId="1bddb33c08254707be163cb39811516b" PartId="7f0fea1d1b17466b8f284a68eb26c1a9"/>
    <Part Type="pabaiga" DocPartId="0439090d9a81489fa451252c8b318e94" PartId="409a53616be741a5b39ea703920f091a"/>
  </Part>
</Parts>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AB9CFDD4-93A5-48E2-A3E4-27507CA1D5BE}">
  <ds:schemaRefs>
    <ds:schemaRef ds:uri="http://schemas.microsoft.com/office/2006/documentManagement/types"/>
    <ds:schemaRef ds:uri="http://schemas.microsoft.com/office/2006/metadata/properties"/>
    <ds:schemaRef ds:uri="http://purl.org/dc/elements/1.1/"/>
    <ds:schemaRef ds:uri="http://purl.org/dc/terms/"/>
    <ds:schemaRef ds:uri="http://www.w3.org/XML/1998/namespace"/>
    <ds:schemaRef ds:uri="http://schemas.microsoft.com/office/infopath/2007/PartnerControls"/>
    <ds:schemaRef ds:uri="http://purl.org/dc/dcmitype/"/>
    <ds:schemaRef ds:uri="http://schemas.openxmlformats.org/package/2006/metadata/core-properties"/>
  </ds:schemaRefs>
</ds:datastoreItem>
</file>

<file path=customXml/itemProps2.xml><?xml version="1.0" encoding="utf-8"?>
<ds:datastoreItem xmlns:ds="http://schemas.openxmlformats.org/officeDocument/2006/customXml" ds:itemID="{E0C12CCF-4411-4FD2-B6C0-6DF43FBB3A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D4A776F0-D1E3-40A4-B089-5605A11984F0}">
  <ds:schemaRefs>
    <ds:schemaRef ds:uri="http://schemas.microsoft.com/sharepoint/v3/contenttype/forms"/>
  </ds:schemaRefs>
</ds:datastoreItem>
</file>

<file path=customXml/itemProps4.xml><?xml version="1.0" encoding="utf-8"?>
<ds:datastoreItem xmlns:ds="http://schemas.openxmlformats.org/officeDocument/2006/customXml" ds:itemID="{A0173B40-328F-48ED-A145-8406EB84F4BA}">
  <ds:schemaRefs>
    <ds:schemaRef ds:uri="http://lrs.lt/TAIS/DocParts"/>
  </ds:schemaRefs>
</ds:datastoreItem>
</file>

<file path=customXml/itemProps6.xml><?xml version="1.0" encoding="utf-8"?>
<ds:datastoreItem xmlns:ds="http://schemas.openxmlformats.org/officeDocument/2006/customXml" ds:itemID="{54CBD836-44B7-458C-8AFE-972AE7873F22}">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88</TotalTime>
  <Pages>36</Pages>
  <Words>7433</Words>
  <Characters>47944</Characters>
  <Application>Microsoft Office Word</Application>
  <DocSecurity>0</DocSecurity>
  <Lines>399</Lines>
  <Paragraphs>110</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55267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2022-05-20T11:57:00Z</dcterms:created>
  <dc:creator>loginovic</dc:creator>
  <lastModifiedBy>TAMALIŪNIENĖ Vilija</lastModifiedBy>
  <lastPrinted>2001-05-09T09:40:00Z</lastPrinted>
  <dcterms:modified xsi:type="dcterms:W3CDTF">2025-01-07T17:27:00Z</dcterms:modified>
  <revision>71</revision>
  <dc:title>2001-05-00</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0x010100958BDF1B7149A445B634534142DB2BA2</vt:lpwstr>
  </property>
  <property fmtid="{D5CDD505-2E9C-101B-9397-08002B2CF9AE}" pid="3" name="Order">
    <vt:r8 xmlns:vt="http://schemas.openxmlformats.org/officeDocument/2006/docPropsVTypes">28700</vt:r8>
  </property>
  <property fmtid="{D5CDD505-2E9C-101B-9397-08002B2CF9AE}" pid="4" name="xd_Signature">
    <vt:bool xmlns:vt="http://schemas.openxmlformats.org/officeDocument/2006/docPropsVTypes">false</vt:bool>
  </property>
  <property fmtid="{D5CDD505-2E9C-101B-9397-08002B2CF9AE}" pid="5" name="xd_ProgID">
    <vt:lpwstr xmlns:vt="http://schemas.openxmlformats.org/officeDocument/2006/docPropsVTypes"/>
  </property>
  <property fmtid="{D5CDD505-2E9C-101B-9397-08002B2CF9AE}" pid="6" name="_ExtendedDescription">
    <vt:lpwstr xmlns:vt="http://schemas.openxmlformats.org/officeDocument/2006/docPropsVTypes"/>
  </property>
  <property fmtid="{D5CDD505-2E9C-101B-9397-08002B2CF9AE}" pid="7" name="TriggerFlowInfo">
    <vt:lpwstr xmlns:vt="http://schemas.openxmlformats.org/officeDocument/2006/docPropsVTypes"/>
  </property>
  <property fmtid="{D5CDD505-2E9C-101B-9397-08002B2CF9AE}" pid="8" name="TemplateUrl">
    <vt:lpwstr xmlns:vt="http://schemas.openxmlformats.org/officeDocument/2006/docPropsVTypes"/>
  </property>
  <property fmtid="{D5CDD505-2E9C-101B-9397-08002B2CF9AE}" pid="9" name="ComplianceAssetId">
    <vt:lpwstr xmlns:vt="http://schemas.openxmlformats.org/officeDocument/2006/docPropsVTypes"/>
  </property>
</Properties>
</file>