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31239b363e94d17882f57294141f5bf"/>
        <w:lock w:val="sdtLocked"/>
        <w:richText/>
      </w:sdtPr>
      <w:sdtContent>
        <w:p>
          <w:pPr>
            <w:jc w:val="both"/>
            <w:rPr>
              <w:rFonts w:ascii="Times New Roman" w:hAnsi="Times New Roman"/>
            </w:rPr>
          </w:pPr>
          <w:r>
            <w:rPr>
              <w:rFonts w:ascii="Times New Roman" w:hAnsi="Times New Roman"/>
              <w:b/>
              <w:i/>
            </w:rPr>
            <w:t>Suvestinė redakcija nuo 2026-02-11 iki 2026-03-05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5pt;height:43.85pt" o:ole="" fillcolor="window">
                <v:imagedata r:id="rId18" o:title=""/>
              </v:shape>
              <o:OLEObject Type="Embed" ProgID="Word.Picture.8" ShapeID="_x0000_i1025" DrawAspect="Content" ObjectID="_0000000001" r:id="rId19"/>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73e0b85091f246cf97f2e2efd30b8734"/>
        <w:lock w:val="sdtLocked"/>
        <w:richText/>
      </w:sdtPr>
      <w:sdtContent>
        <w:p>
          <w:pPr>
            <w:shd w:val="clear" w:color="000000" w:fill="auto"/>
            <w:ind w:left="6521"/>
            <w:sectPr>
              <w:headerReference w:type="even" r:id="rId20"/>
              <w:headerReference w:type="default" r:id="rId21"/>
              <w:footerReference w:type="even" r:id="rId22"/>
              <w:footerReference w:type="default" r:id="rId23"/>
              <w:headerReference w:type="first" r:id="rId24"/>
              <w:footerReference w:type="first" r:id="rId25"/>
              <w:pgSz w:w="11906" w:h="16838" w:code="9"/>
              <w:pgMar w:top="851" w:right="567" w:bottom="1134" w:left="992" w:header="567" w:footer="567" w:gutter="0"/>
              <w:pgNumType w:start="1"/>
              <w:cols w:space="1296"/>
              <w:titlePg/>
              <w:docGrid w:linePitch="360"/>
            </w:sectPr>
          </w:pPr>
        </w:p>
        <w:p>
          <w:pPr>
            <w:shd w:val="clear" w:color="000000" w:fill="auto"/>
            <w:ind w:left="6521"/>
            <w:rPr>
              <w:sz w:val="22"/>
              <w:szCs w:val="22"/>
            </w:rPr>
          </w:pPr>
          <w:r>
            <w:rPr>
              <w:sz w:val="22"/>
              <w:szCs w:val="22"/>
            </w:rPr>
            <w:t>PATVIRTINTA</w:t>
          </w:r>
        </w:p>
        <w:p>
          <w:pPr>
            <w:shd w:val="clear" w:color="000000" w:fill="auto"/>
            <w:ind w:left="6521"/>
            <w:rPr>
              <w:sz w:val="22"/>
              <w:szCs w:val="22"/>
            </w:rPr>
          </w:pPr>
          <w:r>
            <w:rPr>
              <w:sz w:val="22"/>
              <w:szCs w:val="22"/>
            </w:rPr>
            <w:t>Lietuvos Respublikos sveikatos apsaugos ministro 2022 m. gegužės 20 d. įsakymu</w:t>
          </w:r>
        </w:p>
        <w:p>
          <w:pPr>
            <w:shd w:val="clear" w:color="000000" w:fill="auto"/>
            <w:ind w:left="6521"/>
            <w:rPr>
              <w:sz w:val="22"/>
              <w:szCs w:val="22"/>
            </w:rPr>
          </w:pPr>
          <w:r>
            <w:rPr>
              <w:sz w:val="22"/>
              <w:szCs w:val="22"/>
            </w:rPr>
            <w:t>Nr. V-988</w:t>
          </w:r>
        </w:p>
        <w:p>
          <w:pPr>
            <w:shd w:val="clear" w:color="000000" w:fill="auto"/>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shd w:val="clear" w:color="000000" w:fill="auto"/>
            <w:jc w:val="center"/>
            <w:rPr>
              <w:b/>
              <w:szCs w:val="24"/>
            </w:rPr>
          </w:pPr>
        </w:p>
        <w:p>
          <w:pPr>
            <w:shd w:val="clear" w:color="000000" w:fill="auto"/>
            <w:jc w:val="center"/>
            <w:rPr>
              <w:b/>
              <w:sz w:val="22"/>
              <w:szCs w:val="22"/>
              <w:lang w:eastAsia="lt-LT"/>
            </w:rPr>
          </w:pPr>
          <w:sdt>
            <w:sdtPr>
              <w:alias w:val="Pavadinimas"/>
              <w:tag w:val="title_73e0b85091f246cf97f2e2efd30b8734"/>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shd w:val="clear" w:color="000000" w:fill="auto"/>
            <w:jc w:val="center"/>
            <w:rPr>
              <w:b/>
              <w:sz w:val="22"/>
              <w:szCs w:val="22"/>
              <w:lang w:eastAsia="lt-LT"/>
            </w:rPr>
          </w:pPr>
        </w:p>
        <w:sdt>
          <w:sdtPr>
            <w:alias w:val="skyrius"/>
            <w:tag w:val="part_027bd9b5aef74d63ab4ec1d181d3390d"/>
            <w:lock w:val="sdtLocked"/>
            <w:richText/>
          </w:sdtPr>
          <w:sdtContent>
            <w:p>
              <w:pPr>
                <w:tabs>
                  <w:tab w:val="left" w:pos="1985"/>
                </w:tabs>
                <w:jc w:val="center"/>
                <w:rPr>
                  <w:b/>
                  <w:bCs/>
                  <w:sz w:val="22"/>
                  <w:szCs w:val="22"/>
                </w:rPr>
              </w:pPr>
              <w:sdt>
                <w:sdtPr>
                  <w:alias w:val="Numeris"/>
                  <w:tag w:val="nr_027bd9b5aef74d63ab4ec1d181d3390d"/>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027bd9b5aef74d63ab4ec1d181d3390d"/>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9144" w:type="dxa"/>
                    <w:gridSpan w:val="7"/>
                    <w:shd w:val="clear" w:color="auto" w:fill="FFFFFF" w:themeFill="background1"/>
                  </w:tcPr>
                  <w:p>
                    <w:pPr>
                      <w:rPr>
                        <w:bCs/>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1 823 440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9144" w:type="dxa"/>
                    <w:gridSpan w:val="7"/>
                    <w:shd w:val="clear" w:color="auto" w:fill="FFFFFF" w:themeFill="background1"/>
                  </w:tcPr>
                  <w:p>
                    <w:pPr>
                      <w:rPr>
                        <w:color w:val="FFFFFF"/>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426 000</w:t>
                    </w:r>
                  </w:p>
                  <w:p>
                    <w:pPr>
                      <w:jc w:val="center"/>
                      <w:rPr>
                        <w:sz w:val="20"/>
                      </w:rPr>
                    </w:pPr>
                    <w:r>
                      <w:rPr>
                        <w:sz w:val="20"/>
                      </w:rPr>
                      <w:t>(2024 m.)</w:t>
                    </w:r>
                  </w:p>
                </w:tc>
                <w:tc>
                  <w:tcPr>
                    <w:tcW w:w="1079" w:type="dxa"/>
                    <w:shd w:val="clear" w:color="auto" w:fill="FFFFFF" w:themeFill="background1"/>
                  </w:tcPr>
                  <w:p>
                    <w:pPr>
                      <w:jc w:val="center"/>
                      <w:rPr>
                        <w:sz w:val="20"/>
                      </w:rPr>
                    </w:pPr>
                    <w:r>
                      <w:rPr>
                        <w:sz w:val="20"/>
                      </w:rPr>
                      <w:t>3 543 550</w:t>
                    </w:r>
                  </w:p>
                  <w:p>
                    <w:pPr>
                      <w:jc w:val="center"/>
                      <w:rPr>
                        <w:color w:val="FFFFFF"/>
                        <w:sz w:val="20"/>
                      </w:rPr>
                    </w:pPr>
                    <w:r>
                      <w:rPr>
                        <w:sz w:val="20"/>
                      </w:rPr>
                      <w:t>(2029 m.)</w:t>
                    </w:r>
                  </w:p>
                </w:tc>
                <w:tc>
                  <w:tcPr>
                    <w:tcW w:w="1344" w:type="dxa"/>
                    <w:shd w:val="clear" w:color="auto" w:fill="FFFFFF" w:themeFill="background1"/>
                  </w:tcPr>
                  <w:p>
                    <w:pPr>
                      <w:jc w:val="center"/>
                      <w:rPr>
                        <w:sz w:val="20"/>
                      </w:rPr>
                    </w:pPr>
                    <w:r>
                      <w:rPr>
                        <w:sz w:val="20"/>
                      </w:rPr>
                      <w:t>2021–2027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color w:val="000000"/>
                        <w:sz w:val="20"/>
                      </w:rPr>
                      <w:t>Modernizuotų infekcinių ligų klasterio centrų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Modernizuotų skubiosios medicinos pagalbos, reanimacijos arba intensyviosios terapijos skyrių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AŠĮFP</w:t>
                    </w:r>
                  </w:p>
                </w:tc>
              </w:tr>
              <w:tr>
                <w:trPr>
                  <w:trHeight w:val="330"/>
                </w:trPr>
                <w:tc>
                  <w:tcPr>
                    <w:tcW w:w="1346" w:type="dxa"/>
                    <w:shd w:val="clear" w:color="auto" w:fill="FFFFFF" w:themeFill="background1"/>
                  </w:tcPr>
                  <w:p>
                    <w:pPr>
                      <w:spacing w:line="276" w:lineRule="auto"/>
                      <w:rPr>
                        <w:sz w:val="20"/>
                      </w:rPr>
                    </w:pPr>
                    <w:r>
                      <w:rPr>
                        <w:sz w:val="20"/>
                      </w:rPr>
                      <w:t>R-11-002-02-11-01-89</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Naujų arba modernizuotų e. sveikatos priežiūros</w:t>
                    </w:r>
                  </w:p>
                  <w:p>
                    <w:pPr>
                      <w:rPr>
                        <w:sz w:val="20"/>
                      </w:rPr>
                    </w:pPr>
                    <w:r>
                      <w:rPr>
                        <w:sz w:val="20"/>
                      </w:rPr>
                      <w:t>paslaugų naudotojų skaičius per metus</w:t>
                    </w:r>
                  </w:p>
                </w:tc>
                <w:tc>
                  <w:tcPr>
                    <w:tcW w:w="1078" w:type="dxa"/>
                    <w:shd w:val="clear" w:color="auto" w:fill="FFFFFF" w:themeFill="background1"/>
                  </w:tcPr>
                  <w:p>
                    <w:pPr>
                      <w:spacing w:line="276" w:lineRule="auto"/>
                      <w:jc w:val="center"/>
                      <w:rPr>
                        <w:sz w:val="20"/>
                      </w:rPr>
                    </w:pPr>
                    <w:r>
                      <w:rPr>
                        <w:sz w:val="20"/>
                      </w:rPr>
                      <w:t>Naudotojai per metus</w:t>
                    </w:r>
                  </w:p>
                  <w:p>
                    <w:pPr>
                      <w:spacing w:line="276" w:lineRule="auto"/>
                      <w:jc w:val="center"/>
                      <w:rPr>
                        <w:sz w:val="20"/>
                      </w:rPr>
                    </w:pP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1 400 000</w:t>
                    </w:r>
                  </w:p>
                  <w:p>
                    <w:pPr>
                      <w:jc w:val="center"/>
                      <w:rPr>
                        <w:sz w:val="20"/>
                      </w:rPr>
                    </w:pPr>
                    <w:r>
                      <w:rPr>
                        <w:sz w:val="20"/>
                      </w:rPr>
                      <w:t>(2029 m.)</w:t>
                    </w:r>
                  </w:p>
                  <w:p>
                    <w:pPr>
                      <w:jc w:val="center"/>
                      <w:rPr>
                        <w:sz w:val="20"/>
                        <w:lang w:val="en-US"/>
                      </w:rPr>
                    </w:pPr>
                  </w:p>
                </w:tc>
                <w:tc>
                  <w:tcPr>
                    <w:tcW w:w="1344" w:type="dxa"/>
                    <w:shd w:val="clear" w:color="auto" w:fill="FFFFFF" w:themeFill="background1"/>
                  </w:tcPr>
                  <w:p>
                    <w:pPr>
                      <w:spacing w:line="276" w:lineRule="auto"/>
                      <w:jc w:val="center"/>
                      <w:rPr>
                        <w:bCs/>
                        <w:sz w:val="20"/>
                      </w:rPr>
                    </w:pPr>
                    <w:r>
                      <w:rPr>
                        <w:bCs/>
                        <w:sz w:val="20"/>
                      </w:rPr>
                      <w:t>2021–2027 m. IP (ERPF)</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sdtContent>
        </w:sdt>
        <w:sdt>
          <w:sdtPr>
            <w:alias w:val="skyrius"/>
            <w:tag w:val="part_9660108a9abb403fbff4a371950d0d5a"/>
            <w:lock w:val="sdtLocked"/>
            <w:richText/>
          </w:sdtPr>
          <w:sdtContent>
            <w:p>
              <w:pPr>
                <w:ind w:right="-2"/>
                <w:jc w:val="center"/>
                <w:rPr>
                  <w:color w:val="000000"/>
                  <w:szCs w:val="24"/>
                  <w:lang w:eastAsia="lt-LT"/>
                </w:rPr>
              </w:pPr>
              <w:sdt>
                <w:sdtPr>
                  <w:alias w:val="Numeris"/>
                  <w:tag w:val="nr_9660108a9abb403fbff4a371950d0d5a"/>
                  <w:lock w:val="sdtLocked"/>
                  <w:richText/>
                </w:sdtPr>
                <w:sdtContent>
                  <w:r>
                    <w:rPr>
                      <w:b/>
                      <w:bCs/>
                      <w:color w:val="000000"/>
                      <w:szCs w:val="24"/>
                      <w:lang w:eastAsia="lt-LT"/>
                    </w:rPr>
                    <w:t>II</w:t>
                  </w:r>
                </w:sdtContent>
              </w:sdt>
              <w:r>
                <w:rPr>
                  <w:b/>
                  <w:bCs/>
                  <w:color w:val="000000"/>
                  <w:szCs w:val="24"/>
                  <w:lang w:eastAsia="lt-LT"/>
                </w:rPr>
                <w:t> SKYRIUS</w:t>
              </w:r>
            </w:p>
            <w:p>
              <w:pPr>
                <w:ind w:left="720" w:right="-2"/>
                <w:jc w:val="center"/>
                <w:rPr>
                  <w:color w:val="000000"/>
                  <w:szCs w:val="24"/>
                  <w:lang w:eastAsia="lt-LT"/>
                </w:rPr>
              </w:pPr>
              <w:sdt>
                <w:sdtPr>
                  <w:alias w:val="Pavadinimas"/>
                  <w:tag w:val="title_9660108a9abb403fbff4a371950d0d5a"/>
                  <w:lock w:val="sdtLocked"/>
                  <w:richText/>
                </w:sdtPr>
                <w:sdtContent>
                  <w:r>
                    <w:rPr>
                      <w:b/>
                      <w:bCs/>
                      <w:color w:val="000000"/>
                      <w:szCs w:val="24"/>
                      <w:lang w:eastAsia="lt-LT"/>
                    </w:rPr>
                    <w:t>PLĖTROS PROGRAMOS PAŽANGOS PRIEMONĖS FINANSAVIMO ŠALTINIAI</w:t>
                  </w:r>
                </w:sdtContent>
              </w:sdt>
            </w:p>
            <w:p>
              <w:pPr>
                <w:ind w:left="720" w:firstLine="62"/>
                <w:jc w:val="center"/>
                <w:rPr>
                  <w:color w:val="000000"/>
                  <w:szCs w:val="24"/>
                  <w:lang w:eastAsia="lt-LT"/>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7706"/>
                <w:gridCol w:w="2908"/>
              </w:tblGrid>
              <w:tr>
                <w:trPr>
                  <w:trHeight w:val="557"/>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Finansavimo apimtis ir šaltiniai</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15" w:hanging="15"/>
                      <w:jc w:val="center"/>
                      <w:rPr>
                        <w:szCs w:val="24"/>
                        <w:lang w:eastAsia="lt-LT"/>
                      </w:rPr>
                    </w:pPr>
                    <w:r>
                      <w:rPr>
                        <w:b/>
                        <w:bCs/>
                        <w:szCs w:val="24"/>
                        <w:lang w:eastAsia="lt-LT"/>
                      </w:rPr>
                      <w:t>Lėšų poreikis (tūkst. eurų)</w:t>
                    </w:r>
                  </w:p>
                </w:tc>
              </w:tr>
              <w:tr>
                <w:trPr>
                  <w:trHeight w:val="272"/>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1</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15" w:hanging="15"/>
                      <w:jc w:val="center"/>
                      <w:rPr>
                        <w:szCs w:val="24"/>
                        <w:lang w:eastAsia="lt-LT"/>
                      </w:rPr>
                    </w:pPr>
                    <w:r>
                      <w:rPr>
                        <w:b/>
                        <w:bCs/>
                        <w:szCs w:val="24"/>
                        <w:lang w:eastAsia="lt-LT"/>
                      </w:rPr>
                      <w:t>2</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1.1. Valstybės biudžeto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111 199,719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1.1.1.1.1. Valstybės biudžeto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54 919,719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1.1.1.1.2. Valstybės biudžeto lėšos, skirtos apmokėti bendrai finansuojamų iš ES fondų lėšų projektų netinkamam finansuoti iš ES fondų lėšų pirkimo ir (arba) importo PVM</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56 280</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1.2. Europos Sąjungos ir kitos tarptautinės finansinės paramos bendrojo finansavimo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szCs w:val="24"/>
                        <w:lang w:eastAsia="lt-LT"/>
                      </w:rPr>
                      <w:t>89 381,753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1.2.2.8.1. 2021–2027 m. ES struktūrinių fondų bendrojo finansavimo lėšos, Sostinės regionas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36 571,033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1.2.2.8.1. 2021–2027 m. ES struktūrinių fondų bendrojo finansavimo lėšos, Vidurio ir vakarų Lietuvos regionas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47 677,773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1.2.3.1.68. Antrojo Šveicarijos įnašo finansinės paramos bendrojo finansavimo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5 132,947</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1.3. Europos Sąjungos ir kita tarptautinė finansinė parama</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szCs w:val="24"/>
                        <w:lang w:eastAsia="lt-LT"/>
                      </w:rPr>
                      <w:t>605 631,779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Vidurio ir vakarų Lietuvos regionas (Europos socialinis fondas +)</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88 047,443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Sostinės regionas (Europos regioninės plėtros fondas)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Cs/>
                        <w:szCs w:val="24"/>
                        <w:lang w:eastAsia="lt-LT"/>
                      </w:rPr>
                      <w:t>38 371,033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Vidurio ir vakarų Lietuvos regionas (Europos regioninės plėtros fondas)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182 126,604</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1.3.3.1.57. Ekonomikos gaivinimo ir atsparumo didinimo priemonės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268 000</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1.3.3.1.68. Antrojo Šveicarijos įnašo finansinės paramos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29 086,699</w:t>
                    </w:r>
                  </w:p>
                </w:tc>
              </w:tr>
              <w:tr>
                <w:trPr>
                  <w:trHeight w:val="228"/>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line="276" w:lineRule="atLeast"/>
                      <w:ind w:left="104"/>
                      <w:jc w:val="both"/>
                      <w:rPr>
                        <w:szCs w:val="24"/>
                        <w:lang w:eastAsia="lt-LT"/>
                      </w:rPr>
                    </w:pPr>
                    <w:r>
                      <w:rPr>
                        <w:b/>
                        <w:bCs/>
                        <w:szCs w:val="24"/>
                        <w:lang w:eastAsia="lt-LT"/>
                      </w:rPr>
                      <w:t>1.4.</w:t>
                    </w:r>
                    <w:r>
                      <w:rPr>
                        <w:b/>
                        <w:bCs/>
                        <w:i/>
                        <w:iCs/>
                        <w:szCs w:val="24"/>
                        <w:lang w:eastAsia="lt-LT"/>
                      </w:rPr>
                      <w:t> </w:t>
                    </w:r>
                    <w:r>
                      <w:rPr>
                        <w:b/>
                        <w:bCs/>
                        <w:szCs w:val="24"/>
                        <w:lang w:eastAsia="lt-LT"/>
                      </w:rPr>
                      <w:t>Biudžetinių įstaigų pajamų įmokos ir kitos pajamos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2. Kitos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2.1.Savivaldybių biudžetų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2.2. Privačios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2.3. Kitos viešosios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b/>
                        <w:bCs/>
                        <w:szCs w:val="24"/>
                        <w:lang w:eastAsia="lt-LT"/>
                      </w:rPr>
                      <w:t>IŠ VISO:</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720" w:hanging="236"/>
                      <w:jc w:val="center"/>
                      <w:rPr>
                        <w:szCs w:val="24"/>
                        <w:lang w:eastAsia="lt-LT"/>
                      </w:rPr>
                    </w:pPr>
                    <w:r>
                      <w:rPr>
                        <w:b/>
                        <w:szCs w:val="24"/>
                        <w:lang w:val="en-US" w:eastAsia="lt-LT"/>
                      </w:rPr>
                      <w:t>806 213,251</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sdtContent>
        </w:sdt>
        <w:sdt>
          <w:sdtPr>
            <w:alias w:val="skyrius"/>
            <w:tag w:val="part_f776fefdb5e24cf0998861f10280408c"/>
            <w:lock w:val="sdtLocked"/>
            <w:richText/>
          </w:sdtPr>
          <w:sdtContent>
            <w:p>
              <w:pPr>
                <w:ind w:left="-284"/>
                <w:jc w:val="center"/>
                <w:sectPr>
                  <w:headerReference w:type="even" r:id="rId26"/>
                  <w:headerReference w:type="default" r:id="rId27"/>
                  <w:footerReference w:type="even" r:id="rId28"/>
                  <w:footerReference w:type="default" r:id="rId29"/>
                  <w:headerReference w:type="first" r:id="rId30"/>
                  <w:footerReference w:type="first" r:id="rId31"/>
                  <w:pgSz w:w="11906" w:h="16838" w:code="9"/>
                  <w:pgMar w:top="1701" w:right="567" w:bottom="1134" w:left="709" w:header="1134" w:footer="1134" w:gutter="0"/>
                  <w:cols w:space="1296"/>
                  <w:titlePg/>
                  <w:docGrid w:linePitch="326"/>
                </w:sectPr>
              </w:pPr>
            </w:p>
            <w:p>
              <w:pPr>
                <w:ind w:left="-284"/>
                <w:jc w:val="center"/>
                <w:rPr>
                  <w:b/>
                  <w:bCs/>
                </w:rPr>
              </w:pPr>
              <w:sdt>
                <w:sdtPr>
                  <w:alias w:val="Numeris"/>
                  <w:tag w:val="nr_f776fefdb5e24cf0998861f10280408c"/>
                  <w:lock w:val="sdtLocked"/>
                  <w:richText/>
                </w:sdtPr>
                <w:sdtContent>
                  <w:r>
                    <w:rPr>
                      <w:b/>
                      <w:bCs/>
                    </w:rPr>
                    <w:t>III</w:t>
                  </w:r>
                </w:sdtContent>
              </w:sdt>
              <w:r>
                <w:rPr>
                  <w:b/>
                  <w:bCs/>
                </w:rPr>
                <w:t xml:space="preserve"> SKYRIUS</w:t>
              </w:r>
            </w:p>
            <w:p>
              <w:pPr>
                <w:jc w:val="center"/>
                <w:rPr>
                  <w:b/>
                  <w:bCs/>
                </w:rPr>
              </w:pPr>
              <w:sdt>
                <w:sdtPr>
                  <w:alias w:val="Pavadinimas"/>
                  <w:tag w:val="title_f776fefdb5e24cf0998861f10280408c"/>
                  <w:lock w:val="sdtLocked"/>
                  <w:richText/>
                </w:sdtPr>
                <w:sdtContent>
                  <w:r>
                    <w:rPr>
                      <w:b/>
                      <w:bCs/>
                    </w:rPr>
                    <w:t>PLĖTROS PROGRAMOS PAŽANGOS PRIEMONĖS VEIKLŲ SUVESTINĖ</w:t>
                  </w:r>
                </w:sdtContent>
              </w:sdt>
            </w:p>
            <w:p>
              <w:pPr>
                <w:jc w:val="center"/>
                <w:rPr>
                  <w:b/>
                  <w:bCs/>
                </w:rPr>
              </w:pPr>
            </w:p>
            <w:tbl>
              <w:tblPr>
                <w:tblW w:w="15029"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
                <w:gridCol w:w="2124"/>
                <w:gridCol w:w="699"/>
                <w:gridCol w:w="1985"/>
                <w:gridCol w:w="114"/>
                <w:gridCol w:w="680"/>
                <w:gridCol w:w="35"/>
                <w:gridCol w:w="20"/>
                <w:gridCol w:w="986"/>
                <w:gridCol w:w="8"/>
                <w:gridCol w:w="32"/>
                <w:gridCol w:w="625"/>
                <w:gridCol w:w="24"/>
                <w:gridCol w:w="27"/>
                <w:gridCol w:w="1140"/>
                <w:gridCol w:w="1118"/>
                <w:gridCol w:w="16"/>
                <w:gridCol w:w="1985"/>
                <w:gridCol w:w="1001"/>
                <w:gridCol w:w="133"/>
                <w:gridCol w:w="992"/>
                <w:gridCol w:w="1279"/>
              </w:tblGrid>
              <w:tr>
                <w:trPr>
                  <w:trHeight w:val="1425"/>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69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985"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1118"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69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985"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1118"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001"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1134"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130"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001"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130" w:type="dxa"/>
                    <w:gridSpan w:val="2"/>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69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67"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130" w:type="dxa"/>
                    <w:gridSpan w:val="2"/>
                    <w:vMerge/>
                    <w:tcBorders>
                      <w:left w:val="single" w:sz="4" w:space="0" w:color="auto"/>
                      <w:bottom w:val="single" w:sz="4" w:space="0" w:color="auto"/>
                      <w:right w:val="single" w:sz="4" w:space="0" w:color="auto"/>
                    </w:tcBorders>
                  </w:tcPr>
                  <w:p>
                    <w:pPr>
                      <w:ind w:left="-57" w:right="-57"/>
                      <w:rPr>
                        <w:sz w:val="20"/>
                      </w:rPr>
                    </w:pPr>
                  </w:p>
                </w:tc>
                <w:tc>
                  <w:tcPr>
                    <w:tcW w:w="699" w:type="dxa"/>
                    <w:vMerge/>
                    <w:tcBorders>
                      <w:left w:val="single" w:sz="4" w:space="0" w:color="auto"/>
                      <w:bottom w:val="single" w:sz="4" w:space="0" w:color="auto"/>
                      <w:right w:val="single" w:sz="4" w:space="0" w:color="auto"/>
                    </w:tcBorders>
                  </w:tcPr>
                  <w:p>
                    <w:pPr>
                      <w:ind w:left="-57" w:right="-57"/>
                      <w:jc w:val="center"/>
                      <w:rPr>
                        <w:sz w:val="20"/>
                      </w:rPr>
                    </w:pPr>
                  </w:p>
                </w:tc>
                <w:tc>
                  <w:tcPr>
                    <w:tcW w:w="1985" w:type="dxa"/>
                    <w:vMerge/>
                    <w:tcBorders>
                      <w:left w:val="single" w:sz="4" w:space="0" w:color="auto"/>
                      <w:bottom w:val="single" w:sz="4" w:space="0" w:color="auto"/>
                      <w:right w:val="single" w:sz="4" w:space="0" w:color="auto"/>
                    </w:tcBorders>
                  </w:tcPr>
                  <w:p>
                    <w:pPr>
                      <w:ind w:left="-57" w:right="-57"/>
                      <w:jc w:val="center"/>
                      <w:rPr>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167"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1118" w:type="dxa"/>
                    <w:vMerge/>
                    <w:tcBorders>
                      <w:left w:val="single" w:sz="4" w:space="0" w:color="auto"/>
                      <w:bottom w:val="single" w:sz="4" w:space="0" w:color="auto"/>
                      <w:right w:val="single" w:sz="4" w:space="0" w:color="auto"/>
                    </w:tcBorders>
                  </w:tcPr>
                  <w:p>
                    <w:pPr>
                      <w:ind w:left="-57" w:right="-57"/>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9"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167"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1118"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130" w:type="dxa"/>
                    <w:gridSpan w:val="2"/>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69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985"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167" w:type="dxa"/>
                    <w:gridSpan w:val="2"/>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1118"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130" w:type="dxa"/>
                    <w:gridSpan w:val="2"/>
                    <w:vMerge/>
                    <w:tcBorders>
                      <w:left w:val="single" w:sz="4" w:space="0" w:color="auto"/>
                      <w:bottom w:val="single" w:sz="4" w:space="0" w:color="auto"/>
                      <w:right w:val="single" w:sz="4" w:space="0" w:color="auto"/>
                    </w:tcBorders>
                  </w:tcPr>
                  <w:p>
                    <w:pPr>
                      <w:ind w:left="-57" w:right="-57"/>
                      <w:rPr>
                        <w:iCs/>
                        <w:sz w:val="20"/>
                      </w:rPr>
                    </w:pPr>
                  </w:p>
                </w:tc>
                <w:tc>
                  <w:tcPr>
                    <w:tcW w:w="699" w:type="dxa"/>
                    <w:vMerge/>
                    <w:tcBorders>
                      <w:left w:val="single" w:sz="4" w:space="0" w:color="auto"/>
                      <w:bottom w:val="single" w:sz="4" w:space="0" w:color="auto"/>
                      <w:right w:val="single" w:sz="4" w:space="0" w:color="auto"/>
                    </w:tcBorders>
                  </w:tcPr>
                  <w:p>
                    <w:pPr>
                      <w:ind w:left="-57" w:right="-57"/>
                      <w:jc w:val="center"/>
                      <w:rPr>
                        <w:sz w:val="20"/>
                      </w:rPr>
                    </w:pPr>
                  </w:p>
                </w:tc>
                <w:tc>
                  <w:tcPr>
                    <w:tcW w:w="1985"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167" w:type="dxa"/>
                    <w:gridSpan w:val="2"/>
                    <w:vMerge/>
                    <w:tcBorders>
                      <w:left w:val="single" w:sz="4" w:space="0" w:color="auto"/>
                      <w:bottom w:val="single" w:sz="4" w:space="0" w:color="auto"/>
                      <w:right w:val="single" w:sz="4" w:space="0" w:color="auto"/>
                    </w:tcBorders>
                  </w:tcPr>
                  <w:p>
                    <w:pPr>
                      <w:jc w:val="center"/>
                      <w:rPr>
                        <w:color w:val="000000"/>
                        <w:sz w:val="20"/>
                      </w:rPr>
                    </w:pPr>
                  </w:p>
                </w:tc>
                <w:tc>
                  <w:tcPr>
                    <w:tcW w:w="1118" w:type="dxa"/>
                    <w:vMerge/>
                    <w:tcBorders>
                      <w:left w:val="single" w:sz="4" w:space="0" w:color="auto"/>
                      <w:bottom w:val="single" w:sz="4" w:space="0" w:color="auto"/>
                      <w:right w:val="single" w:sz="4" w:space="0" w:color="auto"/>
                    </w:tcBorders>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9"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69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985"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167" w:type="dxa"/>
                    <w:gridSpan w:val="2"/>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1118"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001" w:type="dxa"/>
                    <w:gridSpan w:val="2"/>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1134" w:type="dxa"/>
                    <w:gridSpan w:val="2"/>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130" w:type="dxa"/>
                    <w:gridSpan w:val="2"/>
                    <w:vMerge/>
                    <w:tcBorders>
                      <w:left w:val="single" w:sz="4" w:space="0" w:color="auto"/>
                      <w:right w:val="single" w:sz="4" w:space="0" w:color="auto"/>
                    </w:tcBorders>
                  </w:tcPr>
                  <w:p>
                    <w:pPr>
                      <w:ind w:left="-57" w:right="-57"/>
                      <w:rPr>
                        <w:iCs/>
                        <w:sz w:val="20"/>
                      </w:rPr>
                    </w:pPr>
                  </w:p>
                </w:tc>
                <w:tc>
                  <w:tcPr>
                    <w:tcW w:w="699" w:type="dxa"/>
                    <w:vMerge/>
                    <w:tcBorders>
                      <w:left w:val="single" w:sz="4" w:space="0" w:color="auto"/>
                      <w:right w:val="single" w:sz="4" w:space="0" w:color="auto"/>
                    </w:tcBorders>
                  </w:tcPr>
                  <w:p>
                    <w:pPr>
                      <w:ind w:left="-57" w:right="-57"/>
                      <w:jc w:val="center"/>
                      <w:rPr>
                        <w:color w:val="000000"/>
                        <w:sz w:val="20"/>
                      </w:rPr>
                    </w:pPr>
                  </w:p>
                </w:tc>
                <w:tc>
                  <w:tcPr>
                    <w:tcW w:w="1985" w:type="dxa"/>
                    <w:vMerge/>
                    <w:tcBorders>
                      <w:left w:val="single" w:sz="4" w:space="0" w:color="auto"/>
                      <w:right w:val="single" w:sz="4" w:space="0" w:color="auto"/>
                    </w:tcBorders>
                  </w:tcPr>
                  <w:p>
                    <w:pPr>
                      <w:ind w:left="-57" w:right="-57"/>
                      <w:jc w:val="center"/>
                      <w:rPr>
                        <w:color w:val="FF0000"/>
                        <w:sz w:val="20"/>
                      </w:rPr>
                    </w:pPr>
                  </w:p>
                </w:tc>
                <w:tc>
                  <w:tcPr>
                    <w:tcW w:w="829" w:type="dxa"/>
                    <w:gridSpan w:val="3"/>
                    <w:vMerge/>
                    <w:tcBorders>
                      <w:left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right w:val="single" w:sz="4" w:space="0" w:color="auto"/>
                    </w:tcBorders>
                  </w:tcPr>
                  <w:p>
                    <w:pPr>
                      <w:ind w:left="-57" w:right="-57"/>
                      <w:jc w:val="center"/>
                      <w:rPr>
                        <w:color w:val="000000"/>
                        <w:sz w:val="20"/>
                      </w:rPr>
                    </w:pPr>
                  </w:p>
                </w:tc>
                <w:tc>
                  <w:tcPr>
                    <w:tcW w:w="1167" w:type="dxa"/>
                    <w:gridSpan w:val="2"/>
                    <w:tcBorders>
                      <w:left w:val="single" w:sz="4" w:space="0" w:color="auto"/>
                      <w:right w:val="single" w:sz="4" w:space="0" w:color="auto"/>
                    </w:tcBorders>
                  </w:tcPr>
                  <w:p>
                    <w:pPr>
                      <w:ind w:left="-57" w:right="-57"/>
                      <w:jc w:val="center"/>
                      <w:rPr>
                        <w:sz w:val="20"/>
                      </w:rPr>
                    </w:pPr>
                    <w:r>
                      <w:rPr>
                        <w:sz w:val="20"/>
                      </w:rPr>
                      <w:t>740</w:t>
                    </w:r>
                  </w:p>
                </w:tc>
                <w:tc>
                  <w:tcPr>
                    <w:tcW w:w="1118"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001" w:type="dxa"/>
                    <w:gridSpan w:val="2"/>
                    <w:vMerge/>
                    <w:tcBorders>
                      <w:left w:val="single" w:sz="4" w:space="0" w:color="auto"/>
                      <w:right w:val="single" w:sz="4" w:space="0" w:color="auto"/>
                    </w:tcBorders>
                    <w:shd w:val="clear" w:color="auto" w:fill="auto"/>
                  </w:tcPr>
                  <w:p>
                    <w:pPr>
                      <w:ind w:left="-57" w:right="-57"/>
                      <w:rPr>
                        <w:sz w:val="20"/>
                      </w:rPr>
                    </w:pPr>
                  </w:p>
                </w:tc>
                <w:tc>
                  <w:tcPr>
                    <w:tcW w:w="1134" w:type="dxa"/>
                    <w:gridSpan w:val="2"/>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9"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130" w:type="dxa"/>
                    <w:gridSpan w:val="2"/>
                    <w:vMerge/>
                    <w:tcBorders>
                      <w:left w:val="single" w:sz="4" w:space="0" w:color="auto"/>
                      <w:bottom w:val="single" w:sz="4" w:space="0" w:color="auto"/>
                      <w:right w:val="single" w:sz="4" w:space="0" w:color="auto"/>
                    </w:tcBorders>
                  </w:tcPr>
                  <w:p>
                    <w:pPr>
                      <w:ind w:left="-57" w:right="-57"/>
                      <w:rPr>
                        <w:iCs/>
                        <w:sz w:val="20"/>
                      </w:rPr>
                    </w:pPr>
                  </w:p>
                </w:tc>
                <w:tc>
                  <w:tcPr>
                    <w:tcW w:w="69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167" w:type="dxa"/>
                    <w:gridSpan w:val="2"/>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1118"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001" w:type="dxa"/>
                    <w:gridSpan w:val="2"/>
                    <w:vMerge/>
                    <w:tcBorders>
                      <w:left w:val="single" w:sz="4" w:space="0" w:color="auto"/>
                      <w:bottom w:val="single" w:sz="4" w:space="0" w:color="auto"/>
                      <w:right w:val="single" w:sz="4" w:space="0" w:color="auto"/>
                    </w:tcBorders>
                    <w:shd w:val="clear" w:color="auto" w:fill="auto"/>
                  </w:tcPr>
                  <w:p>
                    <w:pPr>
                      <w:ind w:left="-57" w:right="-57"/>
                      <w:rPr>
                        <w:sz w:val="20"/>
                      </w:rPr>
                    </w:pPr>
                  </w:p>
                </w:tc>
                <w:tc>
                  <w:tcPr>
                    <w:tcW w:w="1134" w:type="dxa"/>
                    <w:gridSpan w:val="2"/>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9"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79"/>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 Pasirengimo grėsmėms stiprinimas: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bCs/>
                        <w:sz w:val="20"/>
                      </w:rPr>
                    </w:pPr>
                    <w:r>
                      <w:rPr>
                        <w:bCs/>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bCs/>
                        <w:sz w:val="20"/>
                      </w:rPr>
                    </w:pPr>
                    <w:r>
                      <w:rPr>
                        <w:bCs/>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bCs/>
                        <w:sz w:val="20"/>
                      </w:rPr>
                    </w:pPr>
                    <w:r>
                      <w:rPr>
                        <w:bCs/>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bCs/>
                        <w:sz w:val="20"/>
                      </w:rPr>
                    </w:pPr>
                    <w:r>
                      <w:rPr>
                        <w:bCs/>
                        <w:sz w:val="20"/>
                      </w:rPr>
                      <w:t>-</w:t>
                    </w: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320 199,779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Mirštamumas nuo miokardo infarkto per 30 dienų nuo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9</w:t>
                    </w:r>
                  </w:p>
                  <w:p>
                    <w:pPr>
                      <w:ind w:left="-57" w:right="-57"/>
                      <w:jc w:val="center"/>
                      <w:rPr>
                        <w:bCs/>
                        <w:sz w:val="20"/>
                      </w:rPr>
                    </w:pPr>
                    <w:r>
                      <w:rPr>
                        <w:bCs/>
                        <w:sz w:val="20"/>
                      </w:rPr>
                      <w:t>(2030 m.)</w:t>
                    </w:r>
                  </w:p>
                  <w:p>
                    <w:pPr>
                      <w:ind w:left="-57" w:right="-57"/>
                      <w:jc w:val="center"/>
                      <w:rPr>
                        <w:bCs/>
                        <w:sz w:val="20"/>
                      </w:rPr>
                    </w:pPr>
                  </w:p>
                  <w:p>
                    <w:pPr>
                      <w:ind w:left="-57" w:right="-57"/>
                      <w:jc w:val="center"/>
                      <w:rPr>
                        <w:bCs/>
                        <w:sz w:val="20"/>
                      </w:rPr>
                    </w:pPr>
                  </w:p>
                </w:tc>
                <w:tc>
                  <w:tcPr>
                    <w:tcW w:w="992"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194 283,999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EGADP</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12</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40 798,741</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Efektyvių organų donorų skaičius 1 mln. gyventojų</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11 933,495</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(ERPF, Sostinės regionas)</w:t>
                    </w:r>
                  </w:p>
                </w:tc>
                <w:tc>
                  <w:tcPr>
                    <w:tcW w:w="2001"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Aktyviojo gydymo sveikatos priežiūros įstaigose nustatytų invazinių </w:t>
                    </w:r>
                    <w:r>
                      <w:rPr>
                        <w:bCs/>
                        <w:i/>
                        <w:iCs/>
                        <w:sz w:val="20"/>
                      </w:rPr>
                      <w:t>Klebsiella pneumoniae</w:t>
                    </w:r>
                    <w:r>
                      <w:rPr>
                        <w:bCs/>
                        <w:sz w:val="20"/>
                      </w:rPr>
                      <w:t>, atsparių  trečios kartos cefalosporinams, dalis (EARS-Net duomenimis), proc.</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10 133,495</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(BF, Sostinės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firstLine="53"/>
                      <w:rPr>
                        <w:sz w:val="20"/>
                      </w:rPr>
                    </w:pPr>
                    <w:r>
                      <w:rPr>
                        <w:sz w:val="20"/>
                      </w:rPr>
                      <w:t>45 252,182</w:t>
                    </w:r>
                  </w:p>
                  <w:p>
                    <w:pPr>
                      <w:ind w:left="-57" w:right="-57"/>
                      <w:jc w:val="center"/>
                      <w:rPr>
                        <w:sz w:val="20"/>
                      </w:rPr>
                    </w:pP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(ERPF,</w:t>
                    </w:r>
                  </w:p>
                  <w:p>
                    <w:pPr>
                      <w:ind w:left="-57" w:right="-57"/>
                      <w:jc w:val="center"/>
                      <w:rPr>
                        <w:sz w:val="20"/>
                      </w:rPr>
                    </w:pPr>
                    <w:r>
                      <w:rPr>
                        <w:sz w:val="20"/>
                      </w:rPr>
                      <w:t>Vidurio ir vakarų Lietuvos (toliau –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firstLine="106"/>
                      <w:rPr>
                        <w:sz w:val="20"/>
                      </w:rPr>
                    </w:pPr>
                    <w:r>
                      <w:rPr>
                        <w:sz w:val="20"/>
                      </w:rPr>
                      <w:t>7 985,679</w:t>
                    </w:r>
                  </w:p>
                  <w:p>
                    <w:pPr>
                      <w:ind w:left="-57" w:right="-57"/>
                      <w:jc w:val="center"/>
                      <w:rPr>
                        <w:bCs/>
                        <w:sz w:val="20"/>
                      </w:rPr>
                    </w:pP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8 340,359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(ESF+,</w:t>
                    </w:r>
                  </w:p>
                  <w:p>
                    <w:pPr>
                      <w:ind w:left="-57" w:right="-57"/>
                      <w:jc w:val="center"/>
                      <w:rPr>
                        <w:sz w:val="20"/>
                      </w:rPr>
                    </w:pPr>
                    <w:r>
                      <w:rPr>
                        <w:sz w:val="20"/>
                      </w:rPr>
                      <w:t>VVL regionas)</w:t>
                    </w:r>
                  </w:p>
                </w:tc>
                <w:tc>
                  <w:tcPr>
                    <w:tcW w:w="2001"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R – Specialistų, kurie po dalyvavimo veiklose įgijo ar patobulino kvalifikaciją, dalis proc.</w:t>
                    </w:r>
                  </w:p>
                </w:tc>
                <w:tc>
                  <w:tcPr>
                    <w:tcW w:w="1134"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(90 proc.)</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98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1 471,829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126"/>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69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167" w:type="dxa"/>
                    <w:gridSpan w:val="2"/>
                    <w:vMerge w:val="restart"/>
                    <w:tcBorders>
                      <w:top w:val="single" w:sz="4" w:space="0" w:color="auto"/>
                      <w:left w:val="single" w:sz="4" w:space="0" w:color="auto"/>
                      <w:right w:val="single" w:sz="4" w:space="0" w:color="auto"/>
                    </w:tcBorders>
                  </w:tcPr>
                  <w:p>
                    <w:pPr>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color w:val="000000"/>
                        <w:sz w:val="20"/>
                      </w:rPr>
                      <w:t xml:space="preserve">P  – Įsigaliojęs sveikatos priežiūros įstaigų bendradarbiavimo gerinimo ir infrastruktūros pritaikymo ekstremaliosioms situacijoms modernizavimo veiksmų planas,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87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ind w:left="-57" w:right="-57"/>
                      <w:jc w:val="center"/>
                      <w:rPr>
                        <w:color w:val="000000"/>
                        <w:sz w:val="20"/>
                      </w:rPr>
                    </w:pPr>
                  </w:p>
                </w:tc>
                <w:tc>
                  <w:tcPr>
                    <w:tcW w:w="1118" w:type="dxa"/>
                    <w:vMerge/>
                    <w:tcBorders>
                      <w:left w:val="single" w:sz="4" w:space="0" w:color="auto"/>
                      <w:right w:val="single" w:sz="4" w:space="0" w:color="auto"/>
                    </w:tcBorders>
                    <w:vAlign w:val="center"/>
                  </w:tcPr>
                  <w:p>
                    <w:pPr>
                      <w:ind w:left="-57" w:right="-57"/>
                      <w:jc w:val="cente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P – Nustatyti infekcinių ligų centrų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color w:val="000000"/>
                        <w:sz w:val="20"/>
                      </w:rPr>
                      <w:t>P – Nustatyti ligoninių skubiosios medicinos pagalbos, reanimacijos ir intensyviosios terapijos skyrių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1294"/>
                </w:trPr>
                <w:tc>
                  <w:tcPr>
                    <w:tcW w:w="2130" w:type="dxa"/>
                    <w:gridSpan w:val="2"/>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69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ASPĮ</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rPr>
                        <w:sz w:val="20"/>
                      </w:rPr>
                    </w:pPr>
                    <w:r>
                      <w:rPr>
                        <w:sz w:val="20"/>
                      </w:rPr>
                      <w:t>146 153,509</w:t>
                    </w:r>
                  </w:p>
                </w:tc>
                <w:tc>
                  <w:tcPr>
                    <w:tcW w:w="1118" w:type="dxa"/>
                    <w:tcBorders>
                      <w:top w:val="single" w:sz="4" w:space="0" w:color="auto"/>
                      <w:left w:val="single" w:sz="4" w:space="0" w:color="auto"/>
                      <w:right w:val="single" w:sz="4" w:space="0" w:color="auto"/>
                    </w:tcBorders>
                  </w:tcPr>
                  <w:p>
                    <w:pPr>
                      <w:rPr>
                        <w:sz w:val="20"/>
                      </w:rPr>
                    </w:pPr>
                    <w:r>
                      <w:rPr>
                        <w:sz w:val="20"/>
                      </w:rPr>
                      <w:t>EGADP</w:t>
                    </w: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1134" w:type="dxa"/>
                    <w:gridSpan w:val="2"/>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787"/>
                </w:trPr>
                <w:tc>
                  <w:tcPr>
                    <w:tcW w:w="2130"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699" w:type="dxa"/>
                    <w:vMerge/>
                    <w:tcBorders>
                      <w:left w:val="single" w:sz="4" w:space="0" w:color="auto"/>
                      <w:bottom w:val="single" w:sz="4" w:space="0" w:color="auto"/>
                      <w:right w:val="single" w:sz="4" w:space="0" w:color="auto"/>
                    </w:tcBorders>
                    <w:vAlign w:val="center"/>
                  </w:tcPr>
                  <w:p>
                    <w:pPr>
                      <w:rPr>
                        <w:color w:val="000000"/>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30 691,338</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9"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rPr>
                        <w:iCs/>
                        <w:sz w:val="20"/>
                      </w:rPr>
                    </w:pPr>
                    <w:r>
                      <w:rPr>
                        <w:iCs/>
                        <w:sz w:val="20"/>
                      </w:rPr>
                      <w:t>2.3. Regioninių sveikatos priežiūros įstaigų infrastruktūros modernizavimas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ASPĮ</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lang w:val="en-US"/>
                      </w:rPr>
                    </w:pPr>
                    <w:r>
                      <w:rPr>
                        <w:color w:val="000000"/>
                        <w:sz w:val="20"/>
                      </w:rPr>
                      <w:t>48 130,490</w:t>
                    </w:r>
                  </w:p>
                </w:tc>
                <w:tc>
                  <w:tcPr>
                    <w:tcW w:w="1118"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Modernizuotų ligoninių skubiosios medicinos pagalbos ir</w:t>
                    </w:r>
                  </w:p>
                  <w:p>
                    <w:pPr>
                      <w:ind w:left="-57" w:right="-57"/>
                      <w:rPr>
                        <w:sz w:val="20"/>
                      </w:rPr>
                    </w:pPr>
                    <w:r>
                      <w:rPr>
                        <w:sz w:val="20"/>
                      </w:rPr>
                      <w:t>reanimacijos bei intensyviosios terapijos skyrių sveikatos priežiūros</w:t>
                    </w:r>
                  </w:p>
                  <w:p>
                    <w:pPr>
                      <w:ind w:left="-57" w:right="-57"/>
                      <w:rPr>
                        <w:sz w:val="20"/>
                      </w:rPr>
                    </w:pPr>
                    <w:r>
                      <w:rPr>
                        <w:sz w:val="20"/>
                      </w:rPr>
                      <w:t>infrastruktūros objektų skaičius, vnt.</w:t>
                    </w:r>
                  </w:p>
                </w:tc>
                <w:tc>
                  <w:tcPr>
                    <w:tcW w:w="1134"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SAM</w:t>
                    </w:r>
                  </w:p>
                </w:tc>
              </w:tr>
              <w:tr>
                <w:trPr>
                  <w:trHeight w:val="801"/>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color w:val="000000"/>
                        <w:sz w:val="20"/>
                      </w:rPr>
                      <w:t>10 107,403</w:t>
                    </w:r>
                  </w:p>
                </w:tc>
                <w:tc>
                  <w:tcPr>
                    <w:tcW w:w="1118" w:type="dxa"/>
                    <w:vMerge w:val="restart"/>
                    <w:tcBorders>
                      <w:top w:val="single" w:sz="4" w:space="0" w:color="auto"/>
                      <w:left w:val="single" w:sz="4" w:space="0" w:color="auto"/>
                      <w:bottom w:val="single" w:sz="4" w:space="0" w:color="auto"/>
                      <w:right w:val="single" w:sz="4" w:space="0" w:color="auto"/>
                    </w:tcBorders>
                    <w:hideMark/>
                  </w:tcPr>
                  <w:p>
                    <w:pPr>
                      <w:ind w:left="-57" w:right="-57"/>
                      <w:rPr>
                        <w:sz w:val="20"/>
                      </w:rPr>
                    </w:pPr>
                    <w:r>
                      <w:rPr>
                        <w:color w:val="000000"/>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1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gridBefore w:val="1"/>
                  <w:wBefore w:w="6" w:type="dxa"/>
                  <w:trHeight w:val="1025"/>
                </w:trPr>
                <w:tc>
                  <w:tcPr>
                    <w:tcW w:w="2124" w:type="dxa"/>
                    <w:vMerge w:val="restart"/>
                  </w:tcPr>
                  <w:p>
                    <w:pPr>
                      <w:rPr>
                        <w:sz w:val="20"/>
                      </w:rPr>
                    </w:pPr>
                    <w:r>
                      <w:rPr>
                        <w:sz w:val="20"/>
                      </w:rPr>
                      <w:t>2.4. Regionų ir savivaldybių sveikatos priežiūros įstaigų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p>
                    <w:pPr>
                      <w:rPr>
                        <w:sz w:val="20"/>
                      </w:rPr>
                    </w:pPr>
                  </w:p>
                </w:tc>
                <w:tc>
                  <w:tcPr>
                    <w:tcW w:w="849" w:type="dxa"/>
                    <w:gridSpan w:val="4"/>
                    <w:vMerge w:val="restart"/>
                  </w:tcPr>
                  <w:p>
                    <w:pPr>
                      <w:rPr>
                        <w:sz w:val="20"/>
                      </w:rPr>
                    </w:pPr>
                    <w:r>
                      <w:rPr>
                        <w:sz w:val="20"/>
                      </w:rPr>
                      <w:t>P</w:t>
                    </w:r>
                  </w:p>
                </w:tc>
                <w:tc>
                  <w:tcPr>
                    <w:tcW w:w="994" w:type="dxa"/>
                    <w:gridSpan w:val="2"/>
                    <w:vMerge w:val="restart"/>
                  </w:tcPr>
                  <w:p>
                    <w:pPr>
                      <w:rPr>
                        <w:sz w:val="20"/>
                      </w:rPr>
                    </w:pPr>
                    <w:r>
                      <w:rPr>
                        <w:sz w:val="20"/>
                      </w:rPr>
                      <w:t>Taip</w:t>
                    </w:r>
                  </w:p>
                </w:tc>
                <w:tc>
                  <w:tcPr>
                    <w:tcW w:w="708" w:type="dxa"/>
                    <w:gridSpan w:val="4"/>
                    <w:vMerge w:val="restart"/>
                  </w:tcPr>
                  <w:p>
                    <w:pPr>
                      <w:rPr>
                        <w:sz w:val="20"/>
                      </w:rPr>
                    </w:pPr>
                    <w:r>
                      <w:rPr>
                        <w:sz w:val="20"/>
                      </w:rPr>
                      <w:t>D</w:t>
                    </w:r>
                  </w:p>
                </w:tc>
                <w:tc>
                  <w:tcPr>
                    <w:tcW w:w="1140" w:type="dxa"/>
                    <w:tcBorders>
                      <w:left w:val="single" w:sz="4" w:space="0" w:color="auto"/>
                      <w:bottom w:val="single" w:sz="4" w:space="0" w:color="auto"/>
                      <w:right w:val="single" w:sz="4" w:space="0" w:color="auto"/>
                    </w:tcBorders>
                  </w:tcPr>
                  <w:p>
                    <w:pPr>
                      <w:jc w:val="center"/>
                      <w:rPr>
                        <w:sz w:val="20"/>
                      </w:rPr>
                    </w:pPr>
                    <w:r>
                      <w:rPr>
                        <w:color w:val="000000"/>
                        <w:sz w:val="20"/>
                      </w:rPr>
                      <w:t>11 250,490</w:t>
                    </w:r>
                  </w:p>
                </w:tc>
                <w:tc>
                  <w:tcPr>
                    <w:tcW w:w="1134" w:type="dxa"/>
                    <w:gridSpan w:val="2"/>
                  </w:tcPr>
                  <w:p>
                    <w:pPr>
                      <w:rPr>
                        <w:sz w:val="20"/>
                      </w:rPr>
                    </w:pPr>
                    <w:r>
                      <w:rPr>
                        <w:sz w:val="20"/>
                      </w:rPr>
                      <w:t>2021–2027 m. IP (ERPF)</w:t>
                    </w:r>
                  </w:p>
                  <w:p>
                    <w:pPr>
                      <w:rPr>
                        <w:sz w:val="20"/>
                      </w:rPr>
                    </w:pPr>
                  </w:p>
                </w:tc>
                <w:tc>
                  <w:tcPr>
                    <w:tcW w:w="1985"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1134" w:type="dxa"/>
                    <w:gridSpan w:val="2"/>
                  </w:tcPr>
                  <w:p>
                    <w:pPr>
                      <w:ind w:left="-57" w:right="-57"/>
                      <w:jc w:val="center"/>
                      <w:rPr>
                        <w:sz w:val="20"/>
                      </w:rPr>
                    </w:pPr>
                    <w:r>
                      <w:rPr>
                        <w:sz w:val="20"/>
                      </w:rPr>
                      <w:t>57 050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gridBefore w:val="1"/>
                  <w:wBefore w:w="6" w:type="dxa"/>
                  <w:trHeight w:val="983"/>
                </w:trPr>
                <w:tc>
                  <w:tcPr>
                    <w:tcW w:w="2124" w:type="dxa"/>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49" w:type="dxa"/>
                    <w:gridSpan w:val="4"/>
                    <w:vMerge/>
                  </w:tcPr>
                  <w:p>
                    <w:pPr>
                      <w:rPr>
                        <w:color w:val="000000"/>
                        <w:sz w:val="20"/>
                      </w:rPr>
                    </w:pPr>
                  </w:p>
                </w:tc>
                <w:tc>
                  <w:tcPr>
                    <w:tcW w:w="994" w:type="dxa"/>
                    <w:gridSpan w:val="2"/>
                    <w:vMerge/>
                  </w:tcPr>
                  <w:p>
                    <w:pPr>
                      <w:rPr>
                        <w:color w:val="000000"/>
                        <w:sz w:val="20"/>
                      </w:rPr>
                    </w:pPr>
                  </w:p>
                </w:tc>
                <w:tc>
                  <w:tcPr>
                    <w:tcW w:w="708" w:type="dxa"/>
                    <w:gridSpan w:val="4"/>
                    <w:vMerge/>
                  </w:tcPr>
                  <w:p>
                    <w:pPr>
                      <w:rPr>
                        <w:color w:val="000000"/>
                        <w:sz w:val="20"/>
                      </w:rPr>
                    </w:pPr>
                  </w:p>
                </w:tc>
                <w:tc>
                  <w:tcPr>
                    <w:tcW w:w="1140" w:type="dxa"/>
                    <w:tcBorders>
                      <w:left w:val="single" w:sz="4" w:space="0" w:color="auto"/>
                      <w:bottom w:val="single" w:sz="4" w:space="0" w:color="auto"/>
                      <w:right w:val="single" w:sz="4" w:space="0" w:color="auto"/>
                    </w:tcBorders>
                  </w:tcPr>
                  <w:p>
                    <w:pPr>
                      <w:jc w:val="center"/>
                      <w:rPr>
                        <w:color w:val="000000"/>
                        <w:sz w:val="20"/>
                      </w:rPr>
                    </w:pPr>
                    <w:r>
                      <w:rPr>
                        <w:color w:val="000000"/>
                        <w:sz w:val="20"/>
                      </w:rPr>
                      <w:t>9 450,490</w:t>
                    </w:r>
                  </w:p>
                </w:tc>
                <w:tc>
                  <w:tcPr>
                    <w:tcW w:w="1134" w:type="dxa"/>
                    <w:gridSpan w:val="2"/>
                  </w:tcPr>
                  <w:p>
                    <w:pPr>
                      <w:rPr>
                        <w:sz w:val="20"/>
                      </w:rPr>
                    </w:pPr>
                    <w:r>
                      <w:rPr>
                        <w:sz w:val="20"/>
                      </w:rPr>
                      <w:t>2021–2027 m. IP (BF)</w:t>
                    </w:r>
                  </w:p>
                </w:tc>
                <w:tc>
                  <w:tcPr>
                    <w:tcW w:w="1985"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1134" w:type="dxa"/>
                    <w:gridSpan w:val="2"/>
                  </w:tcPr>
                  <w:p>
                    <w:pPr>
                      <w:ind w:left="-57" w:right="-57"/>
                      <w:jc w:val="center"/>
                      <w:rPr>
                        <w:sz w:val="20"/>
                      </w:rPr>
                    </w:pPr>
                    <w:r>
                      <w:rPr>
                        <w:sz w:val="20"/>
                      </w:rPr>
                      <w:t>51 920</w:t>
                    </w:r>
                  </w:p>
                  <w:p>
                    <w:pPr>
                      <w:ind w:left="423" w:right="-57" w:hanging="480"/>
                      <w:jc w:val="center"/>
                      <w:rPr>
                        <w:sz w:val="20"/>
                      </w:rPr>
                    </w:pPr>
                    <w:r>
                      <w:rPr>
                        <w:sz w:val="20"/>
                      </w:rPr>
                      <w:t>(2029</w:t>
                      <w:tab/>
                      <w:t xml:space="preserve"> m.)</w:t>
                    </w: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1023"/>
                </w:trPr>
                <w:tc>
                  <w:tcPr>
                    <w:tcW w:w="2130" w:type="dxa"/>
                    <w:gridSpan w:val="2"/>
                    <w:vMerge w:val="restart"/>
                  </w:tcPr>
                  <w:p>
                    <w:pPr>
                      <w:rPr>
                        <w:sz w:val="20"/>
                      </w:rPr>
                    </w:pPr>
                    <w:r>
                      <w:rPr>
                        <w:sz w:val="20"/>
                      </w:rPr>
                      <w:t>2.5. Regionų ir savivaldybių sveikatos priežiūros įstaigų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p>
                    <w:pP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rPr>
                    </w:pPr>
                    <w:r>
                      <w:rPr>
                        <w:sz w:val="20"/>
                      </w:rPr>
                      <w:t>38 717,928</w:t>
                    </w:r>
                  </w:p>
                  <w:p>
                    <w:pPr>
                      <w:rPr>
                        <w:sz w:val="20"/>
                      </w:rPr>
                    </w:pP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 w:val="20"/>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149 950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rPr>
                    </w:pPr>
                    <w:r>
                      <w:rPr>
                        <w:sz w:val="20"/>
                      </w:rPr>
                      <w:t>6 832,575</w:t>
                    </w:r>
                  </w:p>
                </w:tc>
                <w:tc>
                  <w:tcPr>
                    <w:tcW w:w="1118" w:type="dxa"/>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 w:val="20"/>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rPr>
                    </w:pPr>
                    <w:r>
                      <w:rPr>
                        <w:sz w:val="20"/>
                      </w:rPr>
                      <w:t>134 490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60"/>
                </w:trPr>
                <w:tc>
                  <w:tcPr>
                    <w:tcW w:w="2130" w:type="dxa"/>
                    <w:gridSpan w:val="2"/>
                    <w:vMerge w:val="restart"/>
                  </w:tcPr>
                  <w:p>
                    <w:pPr>
                      <w:rPr>
                        <w:sz w:val="20"/>
                      </w:rPr>
                    </w:pPr>
                    <w:r>
                      <w:rPr>
                        <w:sz w:val="20"/>
                      </w:rPr>
                      <w:t>2.6. Skubios telemedicinos paslaugų diegimas,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rPr>
                    </w:pPr>
                    <w:r>
                      <w:rPr>
                        <w:sz w:val="20"/>
                      </w:rPr>
                      <w:t>3 825</w:t>
                    </w:r>
                  </w:p>
                  <w:p>
                    <w:pPr>
                      <w:rPr>
                        <w:sz w:val="20"/>
                      </w:rPr>
                    </w:pPr>
                  </w:p>
                </w:tc>
                <w:tc>
                  <w:tcPr>
                    <w:tcW w:w="1118" w:type="dxa"/>
                  </w:tcPr>
                  <w:p>
                    <w:pPr>
                      <w:rPr>
                        <w:sz w:val="20"/>
                      </w:rPr>
                    </w:pPr>
                    <w:r>
                      <w:rPr>
                        <w:sz w:val="20"/>
                      </w:rPr>
                      <w:t>2021–2027 m. IP (ERPF)</w:t>
                    </w:r>
                  </w:p>
                </w:tc>
                <w:tc>
                  <w:tcPr>
                    <w:tcW w:w="2001" w:type="dxa"/>
                    <w:gridSpan w:val="2"/>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Pr>
                  <w:p>
                    <w:pPr>
                      <w:rPr>
                        <w:color w:val="000000"/>
                        <w:sz w:val="20"/>
                      </w:rPr>
                    </w:pPr>
                  </w:p>
                </w:tc>
                <w:tc>
                  <w:tcPr>
                    <w:tcW w:w="681" w:type="dxa"/>
                    <w:gridSpan w:val="3"/>
                    <w:vMerge/>
                  </w:tcPr>
                  <w:p>
                    <w:pPr>
                      <w:rPr>
                        <w:color w:val="000000"/>
                        <w:sz w:val="20"/>
                      </w:rPr>
                    </w:pPr>
                  </w:p>
                </w:tc>
                <w:tc>
                  <w:tcPr>
                    <w:tcW w:w="1167" w:type="dxa"/>
                    <w:gridSpan w:val="2"/>
                    <w:vMerge w:val="restart"/>
                  </w:tcPr>
                  <w:p>
                    <w:pPr>
                      <w:rPr>
                        <w:sz w:val="20"/>
                      </w:rPr>
                    </w:pPr>
                    <w:r>
                      <w:rPr>
                        <w:sz w:val="20"/>
                      </w:rPr>
                      <w:t>675</w:t>
                    </w:r>
                  </w:p>
                  <w:p>
                    <w:pPr>
                      <w:rPr>
                        <w:color w:val="000000"/>
                        <w:sz w:val="20"/>
                      </w:rPr>
                    </w:pPr>
                  </w:p>
                </w:tc>
                <w:tc>
                  <w:tcPr>
                    <w:tcW w:w="1118" w:type="dxa"/>
                    <w:vMerge w:val="restart"/>
                  </w:tcPr>
                  <w:p>
                    <w:pPr>
                      <w:rPr>
                        <w:color w:val="000000"/>
                        <w:sz w:val="20"/>
                      </w:rPr>
                    </w:pPr>
                    <w:r>
                      <w:rPr>
                        <w:sz w:val="20"/>
                      </w:rPr>
                      <w:t>2021–2027 m. IP (BF)</w:t>
                    </w:r>
                  </w:p>
                </w:tc>
                <w:tc>
                  <w:tcPr>
                    <w:tcW w:w="2001" w:type="dxa"/>
                    <w:gridSpan w:val="2"/>
                    <w:vMerge/>
                  </w:tcPr>
                  <w:p>
                    <w:pPr>
                      <w:ind w:left="-57" w:right="-57"/>
                      <w:rPr>
                        <w:color w:val="FF0000"/>
                        <w:sz w:val="20"/>
                      </w:rPr>
                    </w:pPr>
                  </w:p>
                </w:tc>
                <w:tc>
                  <w:tcPr>
                    <w:tcW w:w="1134" w:type="dxa"/>
                    <w:gridSpan w:val="2"/>
                    <w:vMerge/>
                    <w:shd w:val="clear" w:color="auto" w:fill="auto"/>
                  </w:tcPr>
                  <w:p>
                    <w:pPr>
                      <w:ind w:left="-57" w:right="-57"/>
                      <w:jc w:val="center"/>
                      <w:rPr>
                        <w:color w:val="FF0000"/>
                        <w:sz w:val="20"/>
                      </w:rPr>
                    </w:pP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970"/>
                </w:trPr>
                <w:tc>
                  <w:tcPr>
                    <w:tcW w:w="2130" w:type="dxa"/>
                    <w:gridSpan w:val="2"/>
                    <w:vMerge/>
                    <w:vAlign w:val="center"/>
                  </w:tcPr>
                  <w:p>
                    <w:pPr>
                      <w:rPr>
                        <w:color w:val="000000"/>
                        <w:sz w:val="20"/>
                      </w:rPr>
                    </w:pPr>
                  </w:p>
                </w:tc>
                <w:tc>
                  <w:tcPr>
                    <w:tcW w:w="699" w:type="dxa"/>
                    <w:vMerge/>
                    <w:vAlign w:val="center"/>
                  </w:tcPr>
                  <w:p>
                    <w:pPr>
                      <w:rPr>
                        <w:color w:val="000000"/>
                        <w:sz w:val="20"/>
                      </w:rPr>
                    </w:pPr>
                  </w:p>
                </w:tc>
                <w:tc>
                  <w:tcPr>
                    <w:tcW w:w="1985" w:type="dxa"/>
                    <w:vMerge/>
                    <w:vAlign w:val="center"/>
                  </w:tcPr>
                  <w:p>
                    <w:pPr>
                      <w:rPr>
                        <w:color w:val="000000"/>
                        <w:sz w:val="20"/>
                      </w:rPr>
                    </w:pPr>
                  </w:p>
                </w:tc>
                <w:tc>
                  <w:tcPr>
                    <w:tcW w:w="829" w:type="dxa"/>
                    <w:gridSpan w:val="3"/>
                    <w:vMerge/>
                    <w:vAlign w:val="center"/>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167" w:type="dxa"/>
                    <w:gridSpan w:val="2"/>
                    <w:vMerge/>
                    <w:vAlign w:val="center"/>
                  </w:tcPr>
                  <w:p>
                    <w:pPr>
                      <w:rPr>
                        <w:color w:val="000000"/>
                        <w:sz w:val="20"/>
                      </w:rPr>
                    </w:pPr>
                  </w:p>
                </w:tc>
                <w:tc>
                  <w:tcPr>
                    <w:tcW w:w="1118" w:type="dxa"/>
                    <w:vMerge/>
                    <w:vAlign w:val="center"/>
                  </w:tcPr>
                  <w:p>
                    <w:pPr>
                      <w:rPr>
                        <w:color w:val="000000"/>
                        <w:sz w:val="20"/>
                      </w:rPr>
                    </w:pPr>
                  </w:p>
                </w:tc>
                <w:tc>
                  <w:tcPr>
                    <w:tcW w:w="2001" w:type="dxa"/>
                    <w:gridSpan w:val="2"/>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1134" w:type="dxa"/>
                    <w:gridSpan w:val="2"/>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975"/>
                </w:trPr>
                <w:tc>
                  <w:tcPr>
                    <w:tcW w:w="2130" w:type="dxa"/>
                    <w:gridSpan w:val="2"/>
                    <w:vMerge w:val="restart"/>
                    <w:tcMar>
                      <w:left w:w="105" w:type="dxa"/>
                      <w:right w:w="105" w:type="dxa"/>
                    </w:tcMar>
                  </w:tcPr>
                  <w:p>
                    <w:pPr>
                      <w:rPr>
                        <w:color w:val="000000"/>
                        <w:sz w:val="20"/>
                      </w:rPr>
                    </w:pPr>
                    <w:r>
                      <w:rPr>
                        <w:color w:val="000000"/>
                        <w:sz w:val="20"/>
                      </w:rPr>
                      <w:t xml:space="preserve">2.7. Medicinos darbuotojų (pirminės sveikatos priežiūros) paruošimas operatyviai ir koordinuotai teikti asmens sveikatos priežiūros paslaugas sužalotiems kariams ir civiliams </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sz w:val="20"/>
                      </w:rPr>
                      <w:t>Sveikatos apsaugos ministerijos Ekstremalių sveikatai situacijų centras (toliau – ESSC), Vilniaus universitetas (toliau – VU), Lietuvos sveikatos mokslų universitetas (toliau – LSMU)</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rPr>
                        <w:color w:val="000000"/>
                        <w:sz w:val="20"/>
                      </w:rPr>
                    </w:pPr>
                    <w:r>
                      <w:rPr>
                        <w:color w:val="000000"/>
                        <w:sz w:val="20"/>
                      </w:rPr>
                      <w:t>1 616,463</w:t>
                    </w:r>
                  </w:p>
                </w:tc>
                <w:tc>
                  <w:tcPr>
                    <w:tcW w:w="1118" w:type="dxa"/>
                    <w:tcMar>
                      <w:left w:w="105" w:type="dxa"/>
                      <w:right w:w="105" w:type="dxa"/>
                    </w:tcMar>
                  </w:tcPr>
                  <w:p>
                    <w:pPr>
                      <w:rPr>
                        <w:color w:val="000000"/>
                        <w:sz w:val="20"/>
                      </w:rPr>
                    </w:pPr>
                    <w:r>
                      <w:rPr>
                        <w:color w:val="000000"/>
                        <w:sz w:val="20"/>
                      </w:rPr>
                      <w:t xml:space="preserve">2021–2027 m. IP (ESF+) </w:t>
                    </w:r>
                  </w:p>
                </w:tc>
                <w:tc>
                  <w:tcPr>
                    <w:tcW w:w="2001" w:type="dxa"/>
                    <w:gridSpan w:val="2"/>
                    <w:tcMar>
                      <w:left w:w="105" w:type="dxa"/>
                      <w:right w:w="105" w:type="dxa"/>
                    </w:tcMar>
                  </w:tcPr>
                  <w:p>
                    <w:pPr>
                      <w:ind w:left="-57" w:right="-57"/>
                      <w:rPr>
                        <w:color w:val="000000"/>
                        <w:sz w:val="20"/>
                      </w:rPr>
                    </w:pPr>
                    <w:r>
                      <w:rPr>
                        <w:color w:val="000000"/>
                        <w:sz w:val="20"/>
                      </w:rPr>
                      <w:t>P – Specialistai, dalyvavę kvalifikacijos tobulinimo ar perkvalifikavimo veiklose, asmenys</w:t>
                    </w:r>
                  </w:p>
                </w:tc>
                <w:tc>
                  <w:tcPr>
                    <w:tcW w:w="1134" w:type="dxa"/>
                    <w:gridSpan w:val="2"/>
                    <w:tcMar>
                      <w:left w:w="105" w:type="dxa"/>
                      <w:right w:w="105" w:type="dxa"/>
                    </w:tcMar>
                  </w:tcPr>
                  <w:p>
                    <w:pPr>
                      <w:ind w:left="-57" w:right="-57"/>
                      <w:jc w:val="center"/>
                      <w:rPr>
                        <w:color w:val="000000"/>
                        <w:sz w:val="20"/>
                      </w:rPr>
                    </w:pPr>
                    <w:r>
                      <w:rPr>
                        <w:color w:val="000000"/>
                        <w:sz w:val="20"/>
                      </w:rPr>
                      <w:t>1 090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tc>
                <w:tc>
                  <w:tcPr>
                    <w:tcW w:w="699" w:type="dxa"/>
                    <w:vMerge/>
                    <w:vAlign w:val="center"/>
                  </w:tcPr>
                  <w:p/>
                </w:tc>
                <w:tc>
                  <w:tcPr>
                    <w:tcW w:w="1985" w:type="dxa"/>
                    <w:vMerge/>
                    <w:vAlign w:val="center"/>
                  </w:tcPr>
                  <w:p/>
                </w:tc>
                <w:tc>
                  <w:tcPr>
                    <w:tcW w:w="829" w:type="dxa"/>
                    <w:gridSpan w:val="3"/>
                    <w:vMerge/>
                    <w:vAlign w:val="center"/>
                  </w:tcPr>
                  <w:p/>
                </w:tc>
                <w:tc>
                  <w:tcPr>
                    <w:tcW w:w="1014" w:type="dxa"/>
                    <w:gridSpan w:val="3"/>
                    <w:vMerge/>
                    <w:vAlign w:val="center"/>
                  </w:tcPr>
                  <w:p/>
                </w:tc>
                <w:tc>
                  <w:tcPr>
                    <w:tcW w:w="681" w:type="dxa"/>
                    <w:gridSpan w:val="3"/>
                    <w:vMerge/>
                    <w:vAlign w:val="center"/>
                  </w:tcPr>
                  <w:p/>
                </w:tc>
                <w:tc>
                  <w:tcPr>
                    <w:tcW w:w="1167" w:type="dxa"/>
                    <w:gridSpan w:val="2"/>
                    <w:tcMar>
                      <w:left w:w="105" w:type="dxa"/>
                      <w:right w:w="105" w:type="dxa"/>
                    </w:tcMar>
                  </w:tcPr>
                  <w:p>
                    <w:pPr>
                      <w:rPr>
                        <w:color w:val="000000"/>
                        <w:sz w:val="20"/>
                      </w:rPr>
                    </w:pPr>
                    <w:r>
                      <w:rPr>
                        <w:color w:val="000000"/>
                        <w:sz w:val="20"/>
                      </w:rPr>
                      <w:t>285,259</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R – Specialistų, kurie po dalyvavimo veiklose įgijo ar patobulino kvalifikaciją, dalis proc.</w:t>
                    </w:r>
                  </w:p>
                </w:tc>
                <w:tc>
                  <w:tcPr>
                    <w:tcW w:w="1134" w:type="dxa"/>
                    <w:gridSpan w:val="2"/>
                    <w:tcMar>
                      <w:left w:w="105" w:type="dxa"/>
                      <w:right w:w="105" w:type="dxa"/>
                    </w:tcMar>
                  </w:tcPr>
                  <w:p>
                    <w:pPr>
                      <w:ind w:left="-57" w:right="-57"/>
                      <w:jc w:val="center"/>
                      <w:rPr>
                        <w:color w:val="000000"/>
                        <w:sz w:val="20"/>
                      </w:rPr>
                    </w:pPr>
                    <w:r>
                      <w:rPr>
                        <w:color w:val="000000"/>
                        <w:sz w:val="20"/>
                      </w:rPr>
                      <w:t>90</w:t>
                    </w:r>
                  </w:p>
                  <w:p>
                    <w:pPr>
                      <w:ind w:left="-57" w:right="-57"/>
                      <w:jc w:val="center"/>
                      <w:rPr>
                        <w:color w:val="000000"/>
                        <w:sz w:val="20"/>
                      </w:rPr>
                    </w:pPr>
                    <w:r>
                      <w:rPr>
                        <w:color w:val="000000"/>
                        <w:sz w:val="20"/>
                      </w:rPr>
                      <w:t>(2029 m.)</w:t>
                    </w:r>
                  </w:p>
                  <w:p>
                    <w:pPr>
                      <w:ind w:left="-57" w:right="-57"/>
                      <w:jc w:val="center"/>
                      <w:rPr>
                        <w:color w:val="000000"/>
                        <w:sz w:val="20"/>
                      </w:rPr>
                    </w:pPr>
                  </w:p>
                </w:tc>
                <w:tc>
                  <w:tcPr>
                    <w:tcW w:w="992" w:type="dxa"/>
                    <w:vMerge/>
                    <w:vAlign w:val="center"/>
                  </w:tcPr>
                  <w:p/>
                </w:tc>
                <w:tc>
                  <w:tcPr>
                    <w:tcW w:w="1279" w:type="dxa"/>
                    <w:vMerge/>
                    <w:vAlign w:val="center"/>
                  </w:tcPr>
                  <w:p/>
                </w:tc>
              </w:tr>
              <w:tr>
                <w:trPr>
                  <w:trHeight w:val="975"/>
                </w:trPr>
                <w:tc>
                  <w:tcPr>
                    <w:tcW w:w="2130" w:type="dxa"/>
                    <w:gridSpan w:val="2"/>
                    <w:vMerge w:val="restart"/>
                    <w:tcMar>
                      <w:left w:w="105" w:type="dxa"/>
                      <w:right w:w="105" w:type="dxa"/>
                    </w:tcMar>
                  </w:tcPr>
                  <w:p>
                    <w:pPr>
                      <w:rPr>
                        <w:color w:val="000000"/>
                        <w:sz w:val="20"/>
                      </w:rPr>
                    </w:pPr>
                    <w:r>
                      <w:rPr>
                        <w:color w:val="000000"/>
                        <w:sz w:val="20"/>
                      </w:rPr>
                      <w:t>2.8. Skubiosios medicinos pagalbos paslaugų skaitmeninių sprendimų diegimas, Sostinės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tc>
                <w:tc>
                  <w:tcPr>
                    <w:tcW w:w="699" w:type="dxa"/>
                    <w:vMerge/>
                    <w:vAlign w:val="center"/>
                  </w:tcPr>
                  <w:p/>
                </w:tc>
                <w:tc>
                  <w:tcPr>
                    <w:tcW w:w="1985" w:type="dxa"/>
                    <w:vMerge/>
                    <w:vAlign w:val="center"/>
                  </w:tcPr>
                  <w:p/>
                </w:tc>
                <w:tc>
                  <w:tcPr>
                    <w:tcW w:w="829" w:type="dxa"/>
                    <w:gridSpan w:val="3"/>
                    <w:vMerge/>
                    <w:vAlign w:val="center"/>
                  </w:tcPr>
                  <w:p/>
                </w:tc>
                <w:tc>
                  <w:tcPr>
                    <w:tcW w:w="1014" w:type="dxa"/>
                    <w:gridSpan w:val="3"/>
                    <w:vMerge/>
                    <w:vAlign w:val="center"/>
                  </w:tcPr>
                  <w:p/>
                </w:tc>
                <w:tc>
                  <w:tcPr>
                    <w:tcW w:w="681" w:type="dxa"/>
                    <w:gridSpan w:val="3"/>
                    <w:vMerge/>
                    <w:vAlign w:val="center"/>
                  </w:tcP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ign w:val="center"/>
                  </w:tcPr>
                  <w:p/>
                </w:tc>
                <w:tc>
                  <w:tcPr>
                    <w:tcW w:w="1279" w:type="dxa"/>
                    <w:vMerge/>
                    <w:vAlign w:val="center"/>
                  </w:tcPr>
                  <w:p/>
                </w:tc>
              </w:tr>
              <w:tr>
                <w:trPr>
                  <w:trHeight w:val="975"/>
                </w:trPr>
                <w:tc>
                  <w:tcPr>
                    <w:tcW w:w="2130" w:type="dxa"/>
                    <w:gridSpan w:val="2"/>
                    <w:vMerge w:val="restart"/>
                    <w:tcMar>
                      <w:left w:w="105" w:type="dxa"/>
                      <w:right w:w="105" w:type="dxa"/>
                    </w:tcMar>
                  </w:tcPr>
                  <w:p>
                    <w:pPr>
                      <w:rPr>
                        <w:color w:val="000000"/>
                        <w:sz w:val="20"/>
                      </w:rPr>
                    </w:pPr>
                    <w:r>
                      <w:rPr>
                        <w:color w:val="000000"/>
                        <w:sz w:val="20"/>
                      </w:rPr>
                      <w:t>2.9. Skubiosios medicinos pagalbos paslaugų skaitmeninių sprendimų diegimas,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2 709,254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tc>
                <w:tc>
                  <w:tcPr>
                    <w:tcW w:w="699" w:type="dxa"/>
                    <w:vMerge/>
                    <w:vAlign w:val="center"/>
                  </w:tcPr>
                  <w:p/>
                </w:tc>
                <w:tc>
                  <w:tcPr>
                    <w:tcW w:w="1985" w:type="dxa"/>
                    <w:vMerge/>
                    <w:vAlign w:val="center"/>
                  </w:tcPr>
                  <w:p/>
                </w:tc>
                <w:tc>
                  <w:tcPr>
                    <w:tcW w:w="829" w:type="dxa"/>
                    <w:gridSpan w:val="3"/>
                    <w:vMerge/>
                    <w:vAlign w:val="center"/>
                  </w:tcPr>
                  <w:p/>
                </w:tc>
                <w:tc>
                  <w:tcPr>
                    <w:tcW w:w="1014" w:type="dxa"/>
                    <w:gridSpan w:val="3"/>
                    <w:vMerge/>
                    <w:vAlign w:val="center"/>
                  </w:tcPr>
                  <w:p/>
                </w:tc>
                <w:tc>
                  <w:tcPr>
                    <w:tcW w:w="681" w:type="dxa"/>
                    <w:gridSpan w:val="3"/>
                    <w:vMerge/>
                    <w:vAlign w:val="center"/>
                  </w:tcPr>
                  <w:p/>
                </w:tc>
                <w:tc>
                  <w:tcPr>
                    <w:tcW w:w="1167" w:type="dxa"/>
                    <w:gridSpan w:val="2"/>
                    <w:tcMar>
                      <w:left w:w="105" w:type="dxa"/>
                      <w:right w:w="105" w:type="dxa"/>
                    </w:tcMar>
                  </w:tcPr>
                  <w:p>
                    <w:pPr>
                      <w:jc w:val="center"/>
                      <w:rPr>
                        <w:color w:val="000000"/>
                        <w:sz w:val="20"/>
                      </w:rPr>
                    </w:pPr>
                    <w:r>
                      <w:rPr>
                        <w:color w:val="000000"/>
                        <w:sz w:val="20"/>
                      </w:rPr>
                      <w:t xml:space="preserve">478,104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ign w:val="center"/>
                  </w:tcPr>
                  <w:p/>
                </w:tc>
                <w:tc>
                  <w:tcPr>
                    <w:tcW w:w="1279" w:type="dxa"/>
                    <w:vMerge/>
                    <w:vAlign w:val="center"/>
                  </w:tcPr>
                  <w:p/>
                </w:tc>
              </w:tr>
              <w:tr>
                <w:trPr>
                  <w:trHeight w:val="975"/>
                </w:trPr>
                <w:tc>
                  <w:tcPr>
                    <w:tcW w:w="2130" w:type="dxa"/>
                    <w:gridSpan w:val="2"/>
                    <w:vMerge w:val="restart"/>
                  </w:tcPr>
                  <w:p>
                    <w:r>
                      <w:rPr>
                        <w:sz w:val="20"/>
                      </w:rPr>
                      <w:t>2.10. Medicinos darbuotojų (specializuotos sveikatos priežiūros) paruošimas operatyviai ir koordinuotai teikti asmens sveikatos priežiūros paslaugas sužalotiems kariams ir civiliams</w:t>
                    </w:r>
                  </w:p>
                </w:tc>
                <w:tc>
                  <w:tcPr>
                    <w:tcW w:w="699" w:type="dxa"/>
                    <w:vMerge w:val="restart"/>
                  </w:tcPr>
                  <w:p>
                    <w:r>
                      <w:rPr>
                        <w:sz w:val="20"/>
                      </w:rPr>
                      <w:t>I</w:t>
                    </w:r>
                  </w:p>
                </w:tc>
                <w:tc>
                  <w:tcPr>
                    <w:tcW w:w="1985" w:type="dxa"/>
                    <w:vMerge w:val="restart"/>
                  </w:tcPr>
                  <w:p>
                    <w:r>
                      <w:rPr>
                        <w:sz w:val="20"/>
                      </w:rPr>
                      <w:t>ESSC, VU ir LSMU</w:t>
                    </w:r>
                  </w:p>
                </w:tc>
                <w:tc>
                  <w:tcPr>
                    <w:tcW w:w="829" w:type="dxa"/>
                    <w:gridSpan w:val="3"/>
                    <w:vMerge w:val="restart"/>
                  </w:tcPr>
                  <w:p>
                    <w:r>
                      <w:rPr>
                        <w:sz w:val="20"/>
                      </w:rPr>
                      <w:t>P</w:t>
                    </w:r>
                  </w:p>
                </w:tc>
                <w:tc>
                  <w:tcPr>
                    <w:tcW w:w="1014" w:type="dxa"/>
                    <w:gridSpan w:val="3"/>
                    <w:vMerge w:val="restart"/>
                  </w:tcPr>
                  <w:p>
                    <w:r>
                      <w:rPr>
                        <w:sz w:val="20"/>
                      </w:rPr>
                      <w:t>Taip</w:t>
                    </w:r>
                  </w:p>
                </w:tc>
                <w:tc>
                  <w:tcPr>
                    <w:tcW w:w="681" w:type="dxa"/>
                    <w:gridSpan w:val="3"/>
                    <w:vMerge w:val="restart"/>
                  </w:tcPr>
                  <w:p>
                    <w:r>
                      <w:rPr>
                        <w:sz w:val="20"/>
                      </w:rPr>
                      <w:t>D</w:t>
                    </w:r>
                  </w:p>
                </w:tc>
                <w:tc>
                  <w:tcPr>
                    <w:tcW w:w="1167" w:type="dxa"/>
                    <w:gridSpan w:val="2"/>
                    <w:tcMar>
                      <w:left w:w="105" w:type="dxa"/>
                      <w:right w:w="105" w:type="dxa"/>
                    </w:tcMar>
                  </w:tcPr>
                  <w:p>
                    <w:pPr>
                      <w:jc w:val="center"/>
                      <w:rPr>
                        <w:color w:val="000000"/>
                        <w:sz w:val="20"/>
                      </w:rPr>
                    </w:pPr>
                    <w:r>
                      <w:rPr>
                        <w:sz w:val="20"/>
                      </w:rPr>
                      <w:t>6 723,896</w:t>
                    </w:r>
                  </w:p>
                </w:tc>
                <w:tc>
                  <w:tcPr>
                    <w:tcW w:w="1118" w:type="dxa"/>
                    <w:tcMar>
                      <w:left w:w="105" w:type="dxa"/>
                      <w:right w:w="105" w:type="dxa"/>
                    </w:tcMar>
                  </w:tcPr>
                  <w:p>
                    <w:pPr>
                      <w:rPr>
                        <w:color w:val="000000"/>
                        <w:sz w:val="20"/>
                      </w:rPr>
                    </w:pPr>
                    <w:r>
                      <w:rPr>
                        <w:sz w:val="20"/>
                      </w:rPr>
                      <w:t xml:space="preserve">2021–2027 m. IP (ESF+) </w:t>
                    </w:r>
                  </w:p>
                </w:tc>
                <w:tc>
                  <w:tcPr>
                    <w:tcW w:w="2001" w:type="dxa"/>
                    <w:gridSpan w:val="2"/>
                    <w:tcMar>
                      <w:left w:w="105" w:type="dxa"/>
                      <w:right w:w="105" w:type="dxa"/>
                    </w:tcMar>
                  </w:tcPr>
                  <w:p>
                    <w:pPr>
                      <w:ind w:left="-57" w:right="-57"/>
                      <w:rPr>
                        <w:color w:val="000000"/>
                        <w:sz w:val="20"/>
                      </w:rPr>
                    </w:pPr>
                    <w:r>
                      <w:rPr>
                        <w:sz w:val="20"/>
                      </w:rPr>
                      <w:t>P – Specialistai, dalyvavę kvalifikacijos tobulinimo ar perkvalifikavimo veiklose, asmenys</w:t>
                    </w:r>
                  </w:p>
                </w:tc>
                <w:tc>
                  <w:tcPr>
                    <w:tcW w:w="1134" w:type="dxa"/>
                    <w:gridSpan w:val="2"/>
                    <w:tcMar>
                      <w:left w:w="105" w:type="dxa"/>
                      <w:right w:w="105" w:type="dxa"/>
                    </w:tcMar>
                  </w:tcPr>
                  <w:p>
                    <w:pPr>
                      <w:ind w:left="-57" w:right="-57"/>
                      <w:jc w:val="center"/>
                    </w:pPr>
                    <w:r>
                      <w:rPr>
                        <w:sz w:val="20"/>
                      </w:rPr>
                      <w:t>3 830</w:t>
                    </w:r>
                  </w:p>
                  <w:p>
                    <w:pPr>
                      <w:ind w:left="-57" w:right="-57"/>
                      <w:jc w:val="center"/>
                      <w:rPr>
                        <w:color w:val="000000"/>
                        <w:sz w:val="20"/>
                      </w:rPr>
                    </w:pPr>
                    <w:r>
                      <w:rPr>
                        <w:sz w:val="20"/>
                      </w:rPr>
                      <w:t>(2029 m.)</w:t>
                    </w:r>
                  </w:p>
                </w:tc>
                <w:tc>
                  <w:tcPr>
                    <w:tcW w:w="992" w:type="dxa"/>
                  </w:tcPr>
                  <w:p>
                    <w:r>
                      <w:rPr>
                        <w:sz w:val="20"/>
                      </w:rPr>
                      <w:t>CPVA</w:t>
                    </w:r>
                  </w:p>
                </w:tc>
                <w:tc>
                  <w:tcPr>
                    <w:tcW w:w="1279" w:type="dxa"/>
                  </w:tcPr>
                  <w:p>
                    <w:r>
                      <w:rPr>
                        <w:sz w:val="20"/>
                      </w:rPr>
                      <w:t>SAM</w:t>
                    </w:r>
                  </w:p>
                </w:tc>
              </w:tr>
              <w:tr>
                <w:trPr>
                  <w:trHeight w:val="975"/>
                </w:trPr>
                <w:tc>
                  <w:tcPr>
                    <w:tcW w:w="2130" w:type="dxa"/>
                    <w:gridSpan w:val="2"/>
                    <w:vMerge/>
                    <w:vAlign w:val="center"/>
                  </w:tcPr>
                  <w:p/>
                </w:tc>
                <w:tc>
                  <w:tcPr>
                    <w:tcW w:w="699" w:type="dxa"/>
                    <w:vMerge/>
                    <w:vAlign w:val="center"/>
                  </w:tcPr>
                  <w:p/>
                </w:tc>
                <w:tc>
                  <w:tcPr>
                    <w:tcW w:w="1985" w:type="dxa"/>
                    <w:vMerge/>
                    <w:vAlign w:val="center"/>
                  </w:tcPr>
                  <w:p/>
                </w:tc>
                <w:tc>
                  <w:tcPr>
                    <w:tcW w:w="829" w:type="dxa"/>
                    <w:gridSpan w:val="3"/>
                    <w:vMerge/>
                    <w:vAlign w:val="center"/>
                  </w:tcPr>
                  <w:p/>
                </w:tc>
                <w:tc>
                  <w:tcPr>
                    <w:tcW w:w="1014" w:type="dxa"/>
                    <w:gridSpan w:val="3"/>
                    <w:vMerge/>
                    <w:vAlign w:val="center"/>
                  </w:tcPr>
                  <w:p/>
                </w:tc>
                <w:tc>
                  <w:tcPr>
                    <w:tcW w:w="681" w:type="dxa"/>
                    <w:gridSpan w:val="3"/>
                    <w:vMerge/>
                    <w:vAlign w:val="center"/>
                  </w:tcPr>
                  <w:p/>
                </w:tc>
                <w:tc>
                  <w:tcPr>
                    <w:tcW w:w="1167" w:type="dxa"/>
                    <w:gridSpan w:val="2"/>
                    <w:tcMar>
                      <w:left w:w="105" w:type="dxa"/>
                      <w:right w:w="105" w:type="dxa"/>
                    </w:tcMar>
                  </w:tcPr>
                  <w:p>
                    <w:pPr>
                      <w:jc w:val="center"/>
                      <w:rPr>
                        <w:color w:val="000000"/>
                        <w:sz w:val="20"/>
                      </w:rPr>
                    </w:pPr>
                    <w:r>
                      <w:rPr>
                        <w:sz w:val="20"/>
                      </w:rPr>
                      <w:t>1 186,570</w:t>
                    </w:r>
                  </w:p>
                </w:tc>
                <w:tc>
                  <w:tcPr>
                    <w:tcW w:w="1118" w:type="dxa"/>
                    <w:tcMar>
                      <w:left w:w="105" w:type="dxa"/>
                      <w:right w:w="105" w:type="dxa"/>
                    </w:tcMar>
                  </w:tcPr>
                  <w:p>
                    <w:pPr>
                      <w:rPr>
                        <w:color w:val="000000"/>
                        <w:sz w:val="20"/>
                      </w:rPr>
                    </w:pPr>
                    <w:r>
                      <w:rPr>
                        <w:sz w:val="20"/>
                      </w:rPr>
                      <w:t>2021–2027 m. IP (BF)</w:t>
                    </w:r>
                  </w:p>
                </w:tc>
                <w:tc>
                  <w:tcPr>
                    <w:tcW w:w="2001" w:type="dxa"/>
                    <w:gridSpan w:val="2"/>
                    <w:tcMar>
                      <w:left w:w="105" w:type="dxa"/>
                      <w:right w:w="105" w:type="dxa"/>
                    </w:tcMar>
                  </w:tcPr>
                  <w:p>
                    <w:pPr>
                      <w:ind w:left="-57" w:right="-57"/>
                      <w:rPr>
                        <w:color w:val="000000"/>
                        <w:sz w:val="20"/>
                      </w:rPr>
                    </w:pPr>
                    <w:r>
                      <w:rPr>
                        <w:sz w:val="20"/>
                      </w:rPr>
                      <w:t>R – Specialistų, kurie po dalyvavimo veiklose įgijo ar patobulino kvalifikaciją, dalis proc.</w:t>
                    </w:r>
                  </w:p>
                </w:tc>
                <w:tc>
                  <w:tcPr>
                    <w:tcW w:w="1134" w:type="dxa"/>
                    <w:gridSpan w:val="2"/>
                    <w:tcMar>
                      <w:left w:w="105" w:type="dxa"/>
                      <w:right w:w="105" w:type="dxa"/>
                    </w:tcMar>
                  </w:tcPr>
                  <w:p>
                    <w:pPr>
                      <w:ind w:left="-57" w:right="-57"/>
                      <w:jc w:val="center"/>
                    </w:pPr>
                    <w:r>
                      <w:rPr>
                        <w:sz w:val="20"/>
                      </w:rPr>
                      <w:t>90</w:t>
                    </w:r>
                  </w:p>
                  <w:p>
                    <w:pPr>
                      <w:ind w:left="-57" w:right="-57"/>
                      <w:jc w:val="center"/>
                    </w:pPr>
                    <w:r>
                      <w:rPr>
                        <w:sz w:val="20"/>
                      </w:rPr>
                      <w:t>(2029 m.)</w:t>
                    </w:r>
                  </w:p>
                  <w:p>
                    <w:pPr>
                      <w:ind w:left="-57" w:right="-57"/>
                      <w:jc w:val="center"/>
                      <w:rPr>
                        <w:color w:val="000000"/>
                        <w:sz w:val="20"/>
                      </w:rPr>
                    </w:pPr>
                  </w:p>
                </w:tc>
                <w:tc>
                  <w:tcPr>
                    <w:tcW w:w="992" w:type="dxa"/>
                    <w:vAlign w:val="center"/>
                  </w:tcPr>
                  <w:p/>
                </w:tc>
                <w:tc>
                  <w:tcPr>
                    <w:tcW w:w="1279" w:type="dxa"/>
                    <w:vAlign w:val="center"/>
                  </w:tcPr>
                  <w:p/>
                </w:tc>
              </w:tr>
              <w:tr>
                <w:trPr>
                  <w:trHeight w:val="414"/>
                </w:trPr>
                <w:tc>
                  <w:tcPr>
                    <w:tcW w:w="2130" w:type="dxa"/>
                    <w:gridSpan w:val="2"/>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699" w:type="dxa"/>
                    <w:vMerge w:val="restart"/>
                    <w:shd w:val="clear" w:color="auto" w:fill="F2F2F2" w:themeFill="background1" w:themeFillShade="F2"/>
                  </w:tcPr>
                  <w:p>
                    <w:pPr>
                      <w:rPr>
                        <w:color w:val="000000"/>
                        <w:sz w:val="20"/>
                      </w:rPr>
                    </w:pPr>
                    <w:r>
                      <w:rPr>
                        <w:sz w:val="20"/>
                      </w:rPr>
                      <w:t>-</w:t>
                    </w:r>
                  </w:p>
                </w:tc>
                <w:tc>
                  <w:tcPr>
                    <w:tcW w:w="1985" w:type="dxa"/>
                    <w:vMerge w:val="restart"/>
                    <w:shd w:val="clear" w:color="auto" w:fill="F2F2F2" w:themeFill="background1" w:themeFillShade="F2"/>
                  </w:tcPr>
                  <w:p>
                    <w:pPr>
                      <w:rPr>
                        <w:color w:val="000000"/>
                        <w:sz w:val="20"/>
                      </w:rPr>
                    </w:pPr>
                    <w:r>
                      <w:rPr>
                        <w:sz w:val="20"/>
                      </w:rPr>
                      <w:t>-</w:t>
                    </w:r>
                  </w:p>
                </w:tc>
                <w:tc>
                  <w:tcPr>
                    <w:tcW w:w="829" w:type="dxa"/>
                    <w:gridSpan w:val="3"/>
                    <w:vMerge w:val="restart"/>
                    <w:shd w:val="clear" w:color="auto" w:fill="F2F2F2" w:themeFill="background1" w:themeFillShade="F2"/>
                  </w:tcPr>
                  <w:p>
                    <w:pPr>
                      <w:rPr>
                        <w:color w:val="000000"/>
                        <w:sz w:val="20"/>
                      </w:rPr>
                    </w:pPr>
                    <w:r>
                      <w:rPr>
                        <w:sz w:val="20"/>
                      </w:rPr>
                      <w:t>-</w:t>
                    </w:r>
                  </w:p>
                </w:tc>
                <w:tc>
                  <w:tcPr>
                    <w:tcW w:w="1014" w:type="dxa"/>
                    <w:gridSpan w:val="3"/>
                    <w:vMerge w:val="restart"/>
                    <w:shd w:val="clear" w:color="auto" w:fill="F2F2F2" w:themeFill="background1" w:themeFillShade="F2"/>
                  </w:tcPr>
                  <w:p>
                    <w:pPr>
                      <w:rPr>
                        <w:color w:val="000000"/>
                        <w:sz w:val="20"/>
                      </w:rPr>
                    </w:pPr>
                    <w:r>
                      <w:rPr>
                        <w:sz w:val="20"/>
                      </w:rPr>
                      <w:t>-</w:t>
                    </w:r>
                  </w:p>
                </w:tc>
                <w:tc>
                  <w:tcPr>
                    <w:tcW w:w="681" w:type="dxa"/>
                    <w:gridSpan w:val="3"/>
                    <w:vMerge w:val="restart"/>
                    <w:shd w:val="clear" w:color="auto" w:fill="F2F2F2" w:themeFill="background1" w:themeFillShade="F2"/>
                  </w:tcPr>
                  <w:p>
                    <w:pPr>
                      <w:rPr>
                        <w:color w:val="000000"/>
                        <w:sz w:val="20"/>
                      </w:rPr>
                    </w:pPr>
                    <w:r>
                      <w:rPr>
                        <w:sz w:val="20"/>
                      </w:rPr>
                      <w:t>-</w:t>
                    </w:r>
                  </w:p>
                </w:tc>
                <w:tc>
                  <w:tcPr>
                    <w:tcW w:w="1167" w:type="dxa"/>
                    <w:gridSpan w:val="2"/>
                    <w:shd w:val="clear" w:color="auto" w:fill="F2F2F2" w:themeFill="background1" w:themeFillShade="F2"/>
                  </w:tcPr>
                  <w:p>
                    <w:pPr>
                      <w:rPr>
                        <w:color w:val="000000"/>
                        <w:sz w:val="20"/>
                      </w:rPr>
                    </w:pPr>
                    <w:r>
                      <w:rPr>
                        <w:b/>
                        <w:bCs/>
                        <w:sz w:val="20"/>
                      </w:rPr>
                      <w:t>52 970,227</w:t>
                    </w:r>
                  </w:p>
                </w:tc>
                <w:tc>
                  <w:tcPr>
                    <w:tcW w:w="1118" w:type="dxa"/>
                    <w:shd w:val="clear" w:color="auto" w:fill="F2F2F2" w:themeFill="background1" w:themeFillShade="F2"/>
                  </w:tcPr>
                  <w:p>
                    <w:pPr>
                      <w:rPr>
                        <w:color w:val="000000"/>
                        <w:sz w:val="20"/>
                      </w:rPr>
                    </w:pPr>
                    <w:r>
                      <w:rPr>
                        <w:sz w:val="20"/>
                      </w:rPr>
                      <w:t>-</w:t>
                    </w:r>
                  </w:p>
                </w:tc>
                <w:tc>
                  <w:tcPr>
                    <w:tcW w:w="2001" w:type="dxa"/>
                    <w:gridSpan w:val="2"/>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9"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19 500</w:t>
                    </w:r>
                  </w:p>
                </w:tc>
                <w:tc>
                  <w:tcPr>
                    <w:tcW w:w="1118" w:type="dxa"/>
                    <w:shd w:val="clear" w:color="auto" w:fill="F2F2F2" w:themeFill="background1" w:themeFillShade="F2"/>
                  </w:tcPr>
                  <w:p>
                    <w:pPr>
                      <w:rPr>
                        <w:sz w:val="20"/>
                      </w:rPr>
                    </w:pPr>
                    <w:r>
                      <w:rPr>
                        <w:sz w:val="20"/>
                      </w:rPr>
                      <w:t>EGADP</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4 090</w:t>
                    </w:r>
                  </w:p>
                </w:tc>
                <w:tc>
                  <w:tcPr>
                    <w:tcW w:w="1118" w:type="dxa"/>
                    <w:shd w:val="clear" w:color="auto" w:fill="F2F2F2" w:themeFill="background1" w:themeFillShade="F2"/>
                  </w:tcPr>
                  <w:p>
                    <w:pPr>
                      <w:rPr>
                        <w:sz w:val="20"/>
                      </w:rPr>
                    </w:pPr>
                    <w:r>
                      <w:rPr>
                        <w:sz w:val="20"/>
                      </w:rPr>
                      <w:t>PVM iš VB</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8 823,193</w:t>
                    </w:r>
                  </w:p>
                </w:tc>
                <w:tc>
                  <w:tcPr>
                    <w:tcW w:w="1118" w:type="dxa"/>
                    <w:shd w:val="clear" w:color="auto" w:fill="F2F2F2" w:themeFill="background1" w:themeFillShade="F2"/>
                  </w:tcPr>
                  <w:p>
                    <w:pPr>
                      <w:rPr>
                        <w:sz w:val="20"/>
                      </w:rPr>
                    </w:pPr>
                    <w:r>
                      <w:rPr>
                        <w:sz w:val="20"/>
                      </w:rPr>
                      <w:t xml:space="preserve">2021–2027 m. IP (ESF+, VVL regionas) </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1134" w:type="dxa"/>
                    <w:gridSpan w:val="2"/>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1 557,034</w:t>
                    </w:r>
                  </w:p>
                </w:tc>
                <w:tc>
                  <w:tcPr>
                    <w:tcW w:w="1118" w:type="dxa"/>
                    <w:shd w:val="clear" w:color="auto" w:fill="F2F2F2" w:themeFill="background1" w:themeFillShade="F2"/>
                  </w:tcPr>
                  <w:p>
                    <w:pPr>
                      <w:rPr>
                        <w:sz w:val="20"/>
                      </w:rPr>
                    </w:pPr>
                    <w:r>
                      <w:rPr>
                        <w:sz w:val="20"/>
                      </w:rPr>
                      <w:t xml:space="preserve">2021–2027 m. IP (BF, VVL regionas) </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1134" w:type="dxa"/>
                    <w:gridSpan w:val="2"/>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19 000</w:t>
                    </w:r>
                  </w:p>
                </w:tc>
                <w:tc>
                  <w:tcPr>
                    <w:tcW w:w="1118" w:type="dxa"/>
                    <w:shd w:val="clear" w:color="auto" w:fill="F2F2F2" w:themeFill="background1" w:themeFillShade="F2"/>
                  </w:tcPr>
                  <w:p>
                    <w:pPr>
                      <w:rPr>
                        <w:sz w:val="20"/>
                      </w:rPr>
                    </w:pPr>
                    <w:r>
                      <w:rPr>
                        <w:sz w:val="20"/>
                      </w:rPr>
                      <w:t>VB</w:t>
                    </w:r>
                  </w:p>
                </w:tc>
                <w:tc>
                  <w:tcPr>
                    <w:tcW w:w="2001" w:type="dxa"/>
                    <w:gridSpan w:val="2"/>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130" w:type="dxa"/>
                    <w:gridSpan w:val="2"/>
                    <w:vMerge w:val="restart"/>
                  </w:tcPr>
                  <w:p>
                    <w:pPr>
                      <w:rPr>
                        <w:color w:val="000000"/>
                        <w:sz w:val="20"/>
                      </w:rPr>
                    </w:pPr>
                    <w:r>
                      <w:rPr>
                        <w:sz w:val="20"/>
                      </w:rPr>
                      <w:t>3.1. Pažangios terapijos centro statyba</w:t>
                    </w:r>
                  </w:p>
                </w:tc>
                <w:tc>
                  <w:tcPr>
                    <w:tcW w:w="699" w:type="dxa"/>
                    <w:vMerge w:val="restart"/>
                  </w:tcPr>
                  <w:p>
                    <w:pPr>
                      <w:rPr>
                        <w:color w:val="000000"/>
                        <w:sz w:val="20"/>
                      </w:rPr>
                    </w:pPr>
                    <w:r>
                      <w:rPr>
                        <w:sz w:val="20"/>
                      </w:rPr>
                      <w:t>I</w:t>
                    </w:r>
                  </w:p>
                </w:tc>
                <w:tc>
                  <w:tcPr>
                    <w:tcW w:w="1985" w:type="dxa"/>
                    <w:vMerge w:val="restart"/>
                  </w:tcPr>
                  <w:p>
                    <w:pPr>
                      <w:rPr>
                        <w:color w:val="000000"/>
                        <w:sz w:val="20"/>
                      </w:rPr>
                    </w:pPr>
                    <w:r>
                      <w:rPr>
                        <w:sz w:val="20"/>
                      </w:rPr>
                      <w:t>VšĮ Vilniaus universiteto ligoninė Santaros klinikos</w:t>
                    </w:r>
                  </w:p>
                </w:tc>
                <w:tc>
                  <w:tcPr>
                    <w:tcW w:w="829" w:type="dxa"/>
                    <w:gridSpan w:val="3"/>
                    <w:vMerge w:val="restart"/>
                  </w:tcPr>
                  <w:p>
                    <w:pPr>
                      <w:rPr>
                        <w:color w:val="000000"/>
                        <w:sz w:val="20"/>
                      </w:rPr>
                    </w:pPr>
                    <w:r>
                      <w:rPr>
                        <w:sz w:val="20"/>
                      </w:rPr>
                      <w:t>P</w:t>
                    </w:r>
                  </w:p>
                </w:tc>
                <w:tc>
                  <w:tcPr>
                    <w:tcW w:w="1014" w:type="dxa"/>
                    <w:gridSpan w:val="3"/>
                    <w:vMerge w:val="restart"/>
                    <w:tcBorders>
                      <w:left w:val="single" w:sz="4" w:space="0" w:color="auto"/>
                      <w:right w:val="single" w:sz="4" w:space="0" w:color="auto"/>
                    </w:tcBorders>
                  </w:tcPr>
                  <w:p>
                    <w:pPr>
                      <w:jc w:val="center"/>
                      <w:rPr>
                        <w:color w:val="000000"/>
                        <w:sz w:val="20"/>
                      </w:rPr>
                    </w:pPr>
                    <w:r>
                      <w:rPr>
                        <w:color w:val="000000"/>
                        <w:sz w:val="20"/>
                      </w:rPr>
                      <w:t>Taip</w:t>
                    </w:r>
                  </w:p>
                </w:tc>
                <w:tc>
                  <w:tcPr>
                    <w:tcW w:w="681" w:type="dxa"/>
                    <w:gridSpan w:val="3"/>
                    <w:vMerge w:val="restart"/>
                    <w:tcBorders>
                      <w:left w:val="single" w:sz="4" w:space="0" w:color="auto"/>
                      <w:right w:val="single" w:sz="4" w:space="0" w:color="auto"/>
                    </w:tcBorders>
                  </w:tcPr>
                  <w:p>
                    <w:pPr>
                      <w:jc w:val="center"/>
                      <w:rPr>
                        <w:color w:val="000000"/>
                        <w:sz w:val="20"/>
                      </w:rPr>
                    </w:pPr>
                    <w:r>
                      <w:rPr>
                        <w:color w:val="000000"/>
                        <w:sz w:val="20"/>
                      </w:rPr>
                      <w:t>D</w:t>
                    </w:r>
                  </w:p>
                </w:tc>
                <w:tc>
                  <w:tcPr>
                    <w:tcW w:w="1167" w:type="dxa"/>
                    <w:gridSpan w:val="2"/>
                    <w:tcBorders>
                      <w:left w:val="single" w:sz="4" w:space="0" w:color="auto"/>
                      <w:right w:val="single" w:sz="4" w:space="0" w:color="auto"/>
                    </w:tcBorders>
                    <w:vAlign w:val="center"/>
                  </w:tcPr>
                  <w:p>
                    <w:pPr>
                      <w:rPr>
                        <w:color w:val="000000"/>
                        <w:sz w:val="20"/>
                      </w:rPr>
                    </w:pPr>
                    <w:r>
                      <w:rPr>
                        <w:color w:val="000000"/>
                        <w:sz w:val="20"/>
                      </w:rPr>
                      <w:t>13 200</w:t>
                    </w:r>
                  </w:p>
                </w:tc>
                <w:tc>
                  <w:tcPr>
                    <w:tcW w:w="1118" w:type="dxa"/>
                    <w:tcBorders>
                      <w:left w:val="single" w:sz="4" w:space="0" w:color="auto"/>
                      <w:right w:val="single" w:sz="4" w:space="0" w:color="auto"/>
                    </w:tcBorders>
                    <w:vAlign w:val="center"/>
                  </w:tcPr>
                  <w:p>
                    <w:pPr>
                      <w:rPr>
                        <w:color w:val="000000"/>
                        <w:sz w:val="20"/>
                      </w:rPr>
                    </w:pPr>
                    <w:r>
                      <w:rPr>
                        <w:color w:val="000000"/>
                        <w:sz w:val="20"/>
                      </w:rPr>
                      <w:t>EGADP</w:t>
                    </w:r>
                  </w:p>
                </w:tc>
                <w:tc>
                  <w:tcPr>
                    <w:tcW w:w="2001" w:type="dxa"/>
                    <w:gridSpan w:val="2"/>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1134" w:type="dxa"/>
                    <w:gridSpan w:val="2"/>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tcBorders>
                      <w:left w:val="single" w:sz="4" w:space="0" w:color="auto"/>
                      <w:right w:val="single" w:sz="4" w:space="0" w:color="auto"/>
                    </w:tcBorders>
                    <w:vAlign w:val="center"/>
                  </w:tcPr>
                  <w:p>
                    <w:pPr>
                      <w:rPr>
                        <w:color w:val="000000"/>
                        <w:sz w:val="20"/>
                      </w:rPr>
                    </w:pPr>
                    <w:r>
                      <w:rPr>
                        <w:color w:val="000000"/>
                        <w:sz w:val="20"/>
                      </w:rPr>
                      <w:t>2 770</w:t>
                    </w:r>
                  </w:p>
                </w:tc>
                <w:tc>
                  <w:tcPr>
                    <w:tcW w:w="1118" w:type="dxa"/>
                    <w:tcBorders>
                      <w:left w:val="single" w:sz="4" w:space="0" w:color="auto"/>
                      <w:right w:val="single" w:sz="4" w:space="0" w:color="auto"/>
                    </w:tcBorders>
                    <w:vAlign w:val="center"/>
                  </w:tcPr>
                  <w:p>
                    <w:pPr>
                      <w:rPr>
                        <w:color w:val="000000"/>
                        <w:sz w:val="20"/>
                      </w:rPr>
                    </w:pPr>
                    <w:r>
                      <w:rPr>
                        <w:color w:val="000000"/>
                        <w:sz w:val="20"/>
                      </w:rPr>
                      <w:t>PVM iš VB</w:t>
                    </w:r>
                  </w:p>
                </w:tc>
                <w:tc>
                  <w:tcPr>
                    <w:tcW w:w="2001" w:type="dxa"/>
                    <w:gridSpan w:val="2"/>
                    <w:vMerge/>
                    <w:tcBorders>
                      <w:left w:val="single" w:sz="4" w:space="0" w:color="auto"/>
                      <w:right w:val="single" w:sz="4" w:space="0" w:color="auto"/>
                    </w:tcBorders>
                    <w:shd w:val="clear" w:color="auto" w:fill="auto"/>
                  </w:tcPr>
                  <w:p>
                    <w:pPr>
                      <w:ind w:left="-57" w:right="-57"/>
                      <w:rPr>
                        <w:color w:val="FF0000"/>
                        <w:sz w:val="20"/>
                      </w:rPr>
                    </w:pPr>
                  </w:p>
                </w:tc>
                <w:tc>
                  <w:tcPr>
                    <w:tcW w:w="1134" w:type="dxa"/>
                    <w:gridSpan w:val="2"/>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val="restart"/>
                    <w:tcBorders>
                      <w:left w:val="single" w:sz="4" w:space="0" w:color="auto"/>
                      <w:right w:val="single" w:sz="4" w:space="0" w:color="auto"/>
                    </w:tcBorders>
                    <w:vAlign w:val="center"/>
                  </w:tcPr>
                  <w:p>
                    <w:pPr>
                      <w:rPr>
                        <w:color w:val="000000"/>
                        <w:sz w:val="20"/>
                      </w:rPr>
                    </w:pPr>
                  </w:p>
                </w:tc>
                <w:tc>
                  <w:tcPr>
                    <w:tcW w:w="1118" w:type="dxa"/>
                    <w:vMerge w:val="restart"/>
                    <w:tcBorders>
                      <w:left w:val="single" w:sz="4" w:space="0" w:color="auto"/>
                      <w:right w:val="single" w:sz="4" w:space="0" w:color="auto"/>
                    </w:tcBorders>
                    <w:vAlign w:val="center"/>
                  </w:tcPr>
                  <w:p>
                    <w:pPr>
                      <w:rPr>
                        <w:color w:val="000000"/>
                        <w:sz w:val="20"/>
                      </w:rPr>
                    </w:pPr>
                  </w:p>
                </w:tc>
                <w:tc>
                  <w:tcPr>
                    <w:tcW w:w="2001" w:type="dxa"/>
                    <w:gridSpan w:val="2"/>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1134" w:type="dxa"/>
                    <w:gridSpan w:val="2"/>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761"/>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520"/>
                </w:trPr>
                <w:tc>
                  <w:tcPr>
                    <w:tcW w:w="2130" w:type="dxa"/>
                    <w:gridSpan w:val="2"/>
                    <w:vMerge w:val="restart"/>
                  </w:tcPr>
                  <w:p>
                    <w:pPr>
                      <w:rPr>
                        <w:color w:val="000000"/>
                        <w:sz w:val="20"/>
                      </w:rPr>
                    </w:pPr>
                    <w:r>
                      <w:rPr>
                        <w:sz w:val="20"/>
                      </w:rPr>
                      <w:t>3.2. Genomo tyrimams atlikti reikalingos įrangos įsigijimas ir tyrimų atlikimas</w:t>
                    </w:r>
                  </w:p>
                </w:tc>
                <w:tc>
                  <w:tcPr>
                    <w:tcW w:w="699" w:type="dxa"/>
                    <w:vMerge w:val="restart"/>
                  </w:tcPr>
                  <w:p>
                    <w:pPr>
                      <w:rPr>
                        <w:color w:val="000000"/>
                        <w:sz w:val="20"/>
                      </w:rPr>
                    </w:pPr>
                    <w:r>
                      <w:rPr>
                        <w:sz w:val="20"/>
                      </w:rPr>
                      <w:t>I</w:t>
                    </w:r>
                  </w:p>
                </w:tc>
                <w:tc>
                  <w:tcPr>
                    <w:tcW w:w="1985" w:type="dxa"/>
                    <w:vMerge w:val="restart"/>
                  </w:tcPr>
                  <w:p>
                    <w:pPr>
                      <w:rPr>
                        <w:color w:val="000000"/>
                        <w:sz w:val="20"/>
                      </w:rPr>
                    </w:pPr>
                    <w:r>
                      <w:rPr>
                        <w:sz w:val="20"/>
                      </w:rPr>
                      <w:t>ASPĮ</w:t>
                    </w:r>
                  </w:p>
                </w:tc>
                <w:tc>
                  <w:tcPr>
                    <w:tcW w:w="829" w:type="dxa"/>
                    <w:gridSpan w:val="3"/>
                    <w:vMerge w:val="restart"/>
                  </w:tcPr>
                  <w:p>
                    <w:pPr>
                      <w:rPr>
                        <w:color w:val="000000"/>
                        <w:sz w:val="20"/>
                      </w:rPr>
                    </w:pPr>
                    <w:r>
                      <w:rPr>
                        <w:sz w:val="20"/>
                      </w:rPr>
                      <w:t>P</w:t>
                    </w:r>
                  </w:p>
                </w:tc>
                <w:tc>
                  <w:tcPr>
                    <w:tcW w:w="1014" w:type="dxa"/>
                    <w:gridSpan w:val="3"/>
                    <w:vMerge w:val="restart"/>
                  </w:tcPr>
                  <w:p>
                    <w:pPr>
                      <w:rPr>
                        <w:color w:val="000000"/>
                        <w:sz w:val="20"/>
                      </w:rPr>
                    </w:pPr>
                    <w:r>
                      <w:rPr>
                        <w:sz w:val="20"/>
                      </w:rPr>
                      <w:t>Taip</w:t>
                    </w:r>
                  </w:p>
                </w:tc>
                <w:tc>
                  <w:tcPr>
                    <w:tcW w:w="681" w:type="dxa"/>
                    <w:gridSpan w:val="3"/>
                    <w:vMerge w:val="restart"/>
                  </w:tcPr>
                  <w:p>
                    <w:pPr>
                      <w:rPr>
                        <w:color w:val="000000"/>
                        <w:sz w:val="20"/>
                      </w:rPr>
                    </w:pPr>
                    <w:r>
                      <w:rPr>
                        <w:sz w:val="20"/>
                      </w:rPr>
                      <w:t>D</w:t>
                    </w:r>
                  </w:p>
                </w:tc>
                <w:tc>
                  <w:tcPr>
                    <w:tcW w:w="1167" w:type="dxa"/>
                    <w:gridSpan w:val="2"/>
                  </w:tcPr>
                  <w:p>
                    <w:pPr>
                      <w:rPr>
                        <w:color w:val="000000"/>
                        <w:sz w:val="20"/>
                      </w:rPr>
                    </w:pPr>
                    <w:r>
                      <w:rPr>
                        <w:sz w:val="20"/>
                      </w:rPr>
                      <w:t>6 300</w:t>
                    </w:r>
                  </w:p>
                </w:tc>
                <w:tc>
                  <w:tcPr>
                    <w:tcW w:w="1118" w:type="dxa"/>
                  </w:tcPr>
                  <w:p>
                    <w:pPr>
                      <w:rPr>
                        <w:color w:val="000000"/>
                        <w:sz w:val="20"/>
                      </w:rPr>
                    </w:pPr>
                    <w:r>
                      <w:rPr>
                        <w:sz w:val="20"/>
                      </w:rPr>
                      <w:t>EGADP</w:t>
                    </w:r>
                  </w:p>
                </w:tc>
                <w:tc>
                  <w:tcPr>
                    <w:tcW w:w="2001" w:type="dxa"/>
                    <w:gridSpan w:val="2"/>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1134" w:type="dxa"/>
                    <w:gridSpan w:val="2"/>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167" w:type="dxa"/>
                    <w:gridSpan w:val="2"/>
                    <w:vMerge w:val="restart"/>
                  </w:tcPr>
                  <w:p>
                    <w:pPr>
                      <w:rPr>
                        <w:color w:val="000000"/>
                        <w:sz w:val="20"/>
                      </w:rPr>
                    </w:pPr>
                    <w:r>
                      <w:rPr>
                        <w:sz w:val="20"/>
                      </w:rPr>
                      <w:t>1 320</w:t>
                    </w:r>
                  </w:p>
                </w:tc>
                <w:tc>
                  <w:tcPr>
                    <w:tcW w:w="1118" w:type="dxa"/>
                    <w:vMerge w:val="restart"/>
                  </w:tcPr>
                  <w:p>
                    <w:pPr>
                      <w:rPr>
                        <w:color w:val="000000"/>
                        <w:sz w:val="20"/>
                      </w:rPr>
                    </w:pPr>
                    <w:r>
                      <w:rPr>
                        <w:iCs/>
                        <w:sz w:val="20"/>
                      </w:rPr>
                      <w:t>PVM iš VB</w:t>
                    </w:r>
                  </w:p>
                </w:tc>
                <w:tc>
                  <w:tcPr>
                    <w:tcW w:w="2001" w:type="dxa"/>
                    <w:gridSpan w:val="2"/>
                    <w:vMerge/>
                    <w:tcBorders>
                      <w:bottom w:val="single" w:sz="4" w:space="0" w:color="auto"/>
                    </w:tcBorders>
                    <w:shd w:val="clear" w:color="auto" w:fill="auto"/>
                  </w:tcPr>
                  <w:p>
                    <w:pPr>
                      <w:ind w:left="-57" w:right="-57"/>
                      <w:rPr>
                        <w:sz w:val="20"/>
                      </w:rPr>
                    </w:pPr>
                  </w:p>
                </w:tc>
                <w:tc>
                  <w:tcPr>
                    <w:tcW w:w="1134" w:type="dxa"/>
                    <w:gridSpan w:val="2"/>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41"/>
                </w:trPr>
                <w:tc>
                  <w:tcPr>
                    <w:tcW w:w="2130" w:type="dxa"/>
                    <w:gridSpan w:val="2"/>
                    <w:vMerge/>
                    <w:shd w:val="clear" w:color="auto" w:fill="auto"/>
                  </w:tcPr>
                  <w:p>
                    <w:pPr>
                      <w:rPr>
                        <w:iCs/>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1134" w:type="dxa"/>
                    <w:gridSpan w:val="2"/>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9"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130" w:type="dxa"/>
                    <w:gridSpan w:val="2"/>
                    <w:vMerge/>
                    <w:shd w:val="clear" w:color="auto" w:fill="auto"/>
                  </w:tcPr>
                  <w:p>
                    <w:pPr>
                      <w:rPr>
                        <w:iCs/>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1134" w:type="dxa"/>
                    <w:gridSpan w:val="2"/>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9"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130" w:type="dxa"/>
                    <w:gridSpan w:val="2"/>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699" w:type="dxa"/>
                    <w:vMerge w:val="restart"/>
                  </w:tcPr>
                  <w:p>
                    <w:pPr>
                      <w:rPr>
                        <w:sz w:val="20"/>
                      </w:rPr>
                    </w:pPr>
                    <w:r>
                      <w:rPr>
                        <w:sz w:val="20"/>
                      </w:rPr>
                      <w:t>I</w:t>
                    </w:r>
                  </w:p>
                </w:tc>
                <w:tc>
                  <w:tcPr>
                    <w:tcW w:w="1985"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rPr>
                    </w:pPr>
                    <w:r>
                      <w:rPr>
                        <w:sz w:val="20"/>
                      </w:rPr>
                      <w:t>5 525</w:t>
                    </w:r>
                  </w:p>
                  <w:p>
                    <w:pPr>
                      <w:rPr>
                        <w:sz w:val="20"/>
                      </w:rPr>
                    </w:pPr>
                  </w:p>
                  <w:p>
                    <w:pPr>
                      <w:rPr>
                        <w:sz w:val="20"/>
                      </w:rPr>
                    </w:pPr>
                  </w:p>
                </w:tc>
                <w:tc>
                  <w:tcPr>
                    <w:tcW w:w="1118" w:type="dxa"/>
                    <w:vMerge w:val="restart"/>
                  </w:tcPr>
                  <w:p>
                    <w:pPr>
                      <w:rPr>
                        <w:sz w:val="20"/>
                      </w:rPr>
                    </w:pPr>
                    <w:r>
                      <w:rPr>
                        <w:sz w:val="20"/>
                      </w:rPr>
                      <w:t>2021–2027 m. IP (ESF</w:t>
                    </w:r>
                    <w:r>
                      <w:rPr>
                        <w:sz w:val="20"/>
                        <w:lang w:val="en-US"/>
                      </w:rPr>
                      <w:t>+</w:t>
                    </w:r>
                    <w:r>
                      <w:rPr>
                        <w:sz w:val="20"/>
                      </w:rPr>
                      <w:t xml:space="preserve">) </w:t>
                    </w: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1134" w:type="dxa"/>
                    <w:gridSpan w:val="2"/>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1134" w:type="dxa"/>
                    <w:gridSpan w:val="2"/>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rPr>
                    </w:pPr>
                    <w:r>
                      <w:rPr>
                        <w:sz w:val="20"/>
                      </w:rPr>
                      <w:t>975</w:t>
                    </w:r>
                  </w:p>
                </w:tc>
                <w:tc>
                  <w:tcPr>
                    <w:tcW w:w="1118" w:type="dxa"/>
                    <w:vMerge w:val="restart"/>
                  </w:tcPr>
                  <w:p>
                    <w:pPr>
                      <w:rPr>
                        <w:sz w:val="20"/>
                      </w:rPr>
                    </w:pPr>
                    <w:r>
                      <w:rPr>
                        <w:sz w:val="20"/>
                      </w:rPr>
                      <w:t xml:space="preserve">2021–2027 m. IP (BF) </w:t>
                    </w:r>
                  </w:p>
                </w:tc>
                <w:tc>
                  <w:tcPr>
                    <w:tcW w:w="2001" w:type="dxa"/>
                    <w:gridSpan w:val="2"/>
                    <w:shd w:val="clear" w:color="auto" w:fill="FFFFFF" w:themeFill="background1"/>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1134" w:type="dxa"/>
                    <w:gridSpan w:val="2"/>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264"/>
                </w:trPr>
                <w:tc>
                  <w:tcPr>
                    <w:tcW w:w="2130" w:type="dxa"/>
                    <w:gridSpan w:val="2"/>
                  </w:tcPr>
                  <w:p>
                    <w:pPr>
                      <w:rPr>
                        <w:iCs/>
                        <w:sz w:val="20"/>
                      </w:rPr>
                    </w:pPr>
                    <w:r>
                      <w:rPr>
                        <w:iCs/>
                        <w:sz w:val="20"/>
                      </w:rPr>
                      <w:t>3.4. Sudėtingų sveikatos priežiūros diagnostikos ir gydymo paslaugų infrastruktūros modernizavimas</w:t>
                    </w:r>
                  </w:p>
                </w:tc>
                <w:tc>
                  <w:tcPr>
                    <w:tcW w:w="699" w:type="dxa"/>
                  </w:tcPr>
                  <w:p>
                    <w:pPr>
                      <w:rPr>
                        <w:color w:val="000000"/>
                        <w:sz w:val="20"/>
                      </w:rPr>
                    </w:pPr>
                    <w:r>
                      <w:rPr>
                        <w:sz w:val="20"/>
                      </w:rPr>
                      <w:t>I</w:t>
                    </w:r>
                  </w:p>
                </w:tc>
                <w:tc>
                  <w:tcPr>
                    <w:tcW w:w="1985" w:type="dxa"/>
                  </w:tcPr>
                  <w:p>
                    <w:pPr>
                      <w:rPr>
                        <w:color w:val="000000"/>
                        <w:sz w:val="20"/>
                      </w:rPr>
                    </w:pPr>
                    <w:r>
                      <w:rPr>
                        <w:sz w:val="20"/>
                      </w:rPr>
                      <w:t>ASPĮ</w:t>
                    </w:r>
                  </w:p>
                </w:tc>
                <w:tc>
                  <w:tcPr>
                    <w:tcW w:w="829" w:type="dxa"/>
                    <w:gridSpan w:val="3"/>
                  </w:tcPr>
                  <w:p>
                    <w:pPr>
                      <w:rPr>
                        <w:color w:val="000000"/>
                        <w:sz w:val="20"/>
                      </w:rPr>
                    </w:pPr>
                    <w:r>
                      <w:rPr>
                        <w:sz w:val="20"/>
                      </w:rPr>
                      <w:t>P</w:t>
                    </w:r>
                  </w:p>
                </w:tc>
                <w:tc>
                  <w:tcPr>
                    <w:tcW w:w="1014" w:type="dxa"/>
                    <w:gridSpan w:val="3"/>
                  </w:tcPr>
                  <w:p>
                    <w:pPr>
                      <w:rPr>
                        <w:color w:val="000000"/>
                        <w:sz w:val="20"/>
                      </w:rPr>
                    </w:pPr>
                    <w:r>
                      <w:rPr>
                        <w:sz w:val="20"/>
                      </w:rPr>
                      <w:t>Taip</w:t>
                    </w:r>
                  </w:p>
                </w:tc>
                <w:tc>
                  <w:tcPr>
                    <w:tcW w:w="681" w:type="dxa"/>
                    <w:gridSpan w:val="3"/>
                  </w:tcPr>
                  <w:p>
                    <w:pPr>
                      <w:rPr>
                        <w:color w:val="000000"/>
                        <w:sz w:val="20"/>
                      </w:rPr>
                    </w:pPr>
                    <w:r>
                      <w:rPr>
                        <w:sz w:val="20"/>
                      </w:rPr>
                      <w:t>D</w:t>
                    </w:r>
                  </w:p>
                </w:tc>
                <w:tc>
                  <w:tcPr>
                    <w:tcW w:w="1167" w:type="dxa"/>
                    <w:gridSpan w:val="2"/>
                  </w:tcPr>
                  <w:p>
                    <w:pPr>
                      <w:rPr>
                        <w:sz w:val="20"/>
                      </w:rPr>
                    </w:pPr>
                    <w:r>
                      <w:rPr>
                        <w:sz w:val="20"/>
                      </w:rPr>
                      <w:t>19 000</w:t>
                    </w:r>
                  </w:p>
                </w:tc>
                <w:tc>
                  <w:tcPr>
                    <w:tcW w:w="1118" w:type="dxa"/>
                  </w:tcPr>
                  <w:p>
                    <w:pPr>
                      <w:rPr>
                        <w:sz w:val="20"/>
                      </w:rPr>
                    </w:pPr>
                    <w:r>
                      <w:rPr>
                        <w:sz w:val="20"/>
                      </w:rPr>
                      <w:t>VB</w:t>
                    </w:r>
                  </w:p>
                </w:tc>
                <w:tc>
                  <w:tcPr>
                    <w:tcW w:w="2001" w:type="dxa"/>
                    <w:gridSpan w:val="2"/>
                    <w:shd w:val="clear" w:color="auto" w:fill="auto"/>
                  </w:tcPr>
                  <w:p>
                    <w:pPr>
                      <w:ind w:left="-57" w:right="-57"/>
                      <w:rPr>
                        <w:sz w:val="20"/>
                      </w:rPr>
                    </w:pPr>
                    <w:r>
                      <w:rPr>
                        <w:sz w:val="20"/>
                      </w:rPr>
                      <w:t>P – Modernizuotų asmens sveikatos priežiūros įstaigų skaičius</w:t>
                    </w:r>
                  </w:p>
                </w:tc>
                <w:tc>
                  <w:tcPr>
                    <w:tcW w:w="1134" w:type="dxa"/>
                    <w:gridSpan w:val="2"/>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69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985"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829"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1014"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681"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9"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tcPr>
                  <w:p>
                    <w:pPr>
                      <w:rPr>
                        <w:iCs/>
                        <w:sz w:val="20"/>
                      </w:rPr>
                    </w:pPr>
                  </w:p>
                </w:tc>
                <w:tc>
                  <w:tcPr>
                    <w:tcW w:w="699" w:type="dxa"/>
                    <w:tcBorders>
                      <w:top w:val="single" w:sz="4" w:space="0" w:color="auto"/>
                      <w:left w:val="single" w:sz="4" w:space="0" w:color="auto"/>
                      <w:bottom w:val="single" w:sz="4" w:space="0" w:color="auto"/>
                      <w:right w:val="single" w:sz="4" w:space="0" w:color="auto"/>
                    </w:tcBorders>
                  </w:tcPr>
                  <w:p>
                    <w:pPr>
                      <w:rPr>
                        <w:sz w:val="20"/>
                      </w:rPr>
                    </w:pPr>
                  </w:p>
                </w:tc>
                <w:tc>
                  <w:tcPr>
                    <w:tcW w:w="1985" w:type="dxa"/>
                    <w:tcBorders>
                      <w:top w:val="single" w:sz="4" w:space="0" w:color="auto"/>
                      <w:left w:val="single" w:sz="4" w:space="0" w:color="auto"/>
                      <w:bottom w:val="single" w:sz="4" w:space="0" w:color="auto"/>
                      <w:right w:val="single" w:sz="4" w:space="0" w:color="auto"/>
                    </w:tcBorders>
                  </w:tcPr>
                  <w:p>
                    <w:pPr>
                      <w:rPr>
                        <w:sz w:val="20"/>
                      </w:rPr>
                    </w:pPr>
                  </w:p>
                </w:tc>
                <w:tc>
                  <w:tcPr>
                    <w:tcW w:w="829" w:type="dxa"/>
                    <w:gridSpan w:val="3"/>
                    <w:tcBorders>
                      <w:top w:val="single" w:sz="4" w:space="0" w:color="auto"/>
                      <w:left w:val="single" w:sz="4" w:space="0" w:color="auto"/>
                      <w:bottom w:val="single" w:sz="4" w:space="0" w:color="auto"/>
                      <w:right w:val="single" w:sz="4" w:space="0" w:color="auto"/>
                    </w:tcBorders>
                  </w:tcPr>
                  <w:p>
                    <w:pPr>
                      <w:rPr>
                        <w:sz w:val="20"/>
                      </w:rPr>
                    </w:pPr>
                  </w:p>
                </w:tc>
                <w:tc>
                  <w:tcPr>
                    <w:tcW w:w="1014" w:type="dxa"/>
                    <w:gridSpan w:val="3"/>
                    <w:tcBorders>
                      <w:top w:val="single" w:sz="4" w:space="0" w:color="auto"/>
                      <w:left w:val="single" w:sz="4" w:space="0" w:color="auto"/>
                      <w:bottom w:val="single" w:sz="4" w:space="0" w:color="auto"/>
                      <w:right w:val="single" w:sz="4" w:space="0" w:color="auto"/>
                    </w:tcBorders>
                  </w:tcPr>
                  <w:p>
                    <w:pPr>
                      <w:rPr>
                        <w:sz w:val="20"/>
                      </w:rPr>
                    </w:pP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9"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77 320,412</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Mirštamumas nuo miokardo infarkto per 30 dienų nuo hospitalizacijos, proc.</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43 216,001</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76"/>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9 081,259</w:t>
                    </w:r>
                  </w:p>
                </w:tc>
                <w:tc>
                  <w:tcPr>
                    <w:tcW w:w="1118"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 xml:space="preserve">R – Mirštamumas nuo išeminio galvos smegenų insulto per 30 dienų po hospitalizacijos, proc. </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Gyventojų, dėl laukimo laiko (ilgų eilių) atidėjusių kreipimąsi dėl sveikatos priežiūros paslaugų, dalis,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14 888,775</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w:t>
                    </w:r>
                  </w:p>
                  <w:p>
                    <w:pPr>
                      <w:rPr>
                        <w:sz w:val="20"/>
                      </w:rPr>
                    </w:pPr>
                    <w:r>
                      <w:rPr>
                        <w:sz w:val="20"/>
                      </w:rPr>
                      <w:t>VVL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bottom w:val="single" w:sz="4" w:space="0" w:color="auto"/>
                      <w:right w:val="single" w:sz="4" w:space="0" w:color="auto"/>
                    </w:tcBorders>
                    <w:vAlign w:val="center"/>
                  </w:tcPr>
                  <w:p>
                    <w:pPr>
                      <w:rPr>
                        <w:sz w:val="20"/>
                      </w:rPr>
                    </w:pPr>
                  </w:p>
                </w:tc>
                <w:tc>
                  <w:tcPr>
                    <w:tcW w:w="699" w:type="dxa"/>
                    <w:vMerge/>
                    <w:tcBorders>
                      <w:left w:val="single" w:sz="4" w:space="0" w:color="auto"/>
                      <w:bottom w:val="single" w:sz="4" w:space="0" w:color="auto"/>
                      <w:right w:val="single" w:sz="4" w:space="0" w:color="auto"/>
                    </w:tcBorders>
                    <w:vAlign w:val="center"/>
                  </w:tcPr>
                  <w:p>
                    <w:pPr>
                      <w:rPr>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2 627,431</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4.1. Teisės aktų ir kitų sveikatos skaitmeninimo srities dokumentų parengimas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R</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P – Įsigalioję teisės aktai, reglamentuojantys pakartotinį sveikatos duomenų naudojimą,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(2026 m. 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1134" w:type="dxa"/>
                    <w:gridSpan w:val="2"/>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37"/>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4.2. Sveikatos priežiūros specialistų kompetencijų platformos sukūrimas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akreditavimo sveikatos priežiūros veiklai tarnyba prie Sveikatos apsaugos ministerijos (toliau – VASPVT)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1 998,840</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300,922</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Sveikatos priežiūros specialistų kompetencijų platformos sukūrimas,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IV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Sveikatos priežiūros specialistų, kurių licencija įregistruota ir jos priežiūra vykdoma skaitmeniniu būdu, dalis,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90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55"/>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4.3. S</w:t>
                    </w:r>
                    <w:r>
                      <w:rPr>
                        <w:sz w:val="20"/>
                        <w:lang w:eastAsia="lt-LT"/>
                      </w:rPr>
                      <w:t>veikatos priežiūros paslaugų kokybės vertinimo modelio (rodiklių švieslentės) sukūrimas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ligonių kasa prie Sveikatos apsaugos ministerijos</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404,322</w:t>
                    </w:r>
                  </w:p>
                  <w:p>
                    <w:pPr>
                      <w:jc w:val="center"/>
                      <w:rPr>
                        <w:sz w:val="20"/>
                        <w:highlight w:val="yellow"/>
                      </w:rPr>
                    </w:pP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69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jc w:val="center"/>
                      <w:rPr>
                        <w:sz w:val="20"/>
                        <w:highlight w:val="yellow"/>
                      </w:rPr>
                    </w:pPr>
                    <w:r>
                      <w:rPr>
                        <w:sz w:val="20"/>
                      </w:rPr>
                      <w:t>3,933</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iCs/>
                        <w:sz w:val="20"/>
                      </w:rPr>
                    </w:pPr>
                    <w:r>
                      <w:rPr>
                        <w:iCs/>
                        <w:sz w:val="20"/>
                      </w:rPr>
                      <w:t>4.4. Sveikatos sektoriaus skaitmeninimo projektai</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VĮ Registrų centras, SAM pavaldžios įstaigos</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40 812,839</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n/a</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SAM</w:t>
                    </w:r>
                  </w:p>
                </w:tc>
              </w:tr>
              <w:tr>
                <w:trPr>
                  <w:trHeight w:val="115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8 776,404</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4.5. E. sveikatos sistemos tobulinimas, Sostinės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right w:val="single" w:sz="4" w:space="0" w:color="auto"/>
                    </w:tcBorders>
                  </w:tcPr>
                  <w:p>
                    <w:pPr>
                      <w:rPr>
                        <w:sz w:val="20"/>
                      </w:rPr>
                    </w:pPr>
                    <w:r>
                      <w:rPr>
                        <w:sz w:val="20"/>
                      </w:rPr>
                      <w:t>2021–2027 m. IP (ERPF)</w:t>
                    </w:r>
                  </w:p>
                </w:tc>
                <w:tc>
                  <w:tcPr>
                    <w:tcW w:w="2001" w:type="dxa"/>
                    <w:gridSpan w:val="2"/>
                  </w:tcPr>
                  <w:p>
                    <w:pPr>
                      <w:ind w:left="-57" w:right="-57"/>
                      <w:rPr>
                        <w:sz w:val="20"/>
                      </w:rPr>
                    </w:pPr>
                    <w:r>
                      <w:rPr>
                        <w:sz w:val="20"/>
                      </w:rPr>
                      <w:t>P – Naujos arba modernizuotos sveikatos priežiūros infrastruktūros talpumas, asmenys per metus</w:t>
                    </w:r>
                  </w:p>
                </w:tc>
                <w:tc>
                  <w:tcPr>
                    <w:tcW w:w="1134"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val="restart"/>
                  </w:tcPr>
                  <w:p>
                    <w:pPr>
                      <w:rPr>
                        <w:sz w:val="20"/>
                      </w:rPr>
                    </w:pPr>
                    <w:r>
                      <w:rPr>
                        <w:sz w:val="20"/>
                      </w:rPr>
                      <w:t xml:space="preserve">CPVA </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right w:val="single" w:sz="4" w:space="0" w:color="auto"/>
                    </w:tcBorders>
                  </w:tcPr>
                  <w:p>
                    <w:pPr>
                      <w:rPr>
                        <w:sz w:val="20"/>
                      </w:rPr>
                    </w:pPr>
                    <w:r>
                      <w:rPr>
                        <w:sz w:val="20"/>
                      </w:rPr>
                      <w:t>2021–2027 m. IP (BF)</w:t>
                    </w:r>
                  </w:p>
                </w:tc>
                <w:tc>
                  <w:tcPr>
                    <w:tcW w:w="2001" w:type="dxa"/>
                    <w:gridSpan w:val="2"/>
                  </w:tcPr>
                  <w:p>
                    <w:pPr>
                      <w:ind w:left="-57" w:right="-57"/>
                      <w:rPr>
                        <w:sz w:val="20"/>
                      </w:rPr>
                    </w:pPr>
                    <w:r>
                      <w:rPr>
                        <w:sz w:val="20"/>
                      </w:rPr>
                      <w:t>Naujų arba modernizuotų e. sveikatos priežiūros paslaugų naudotojų skaičius per metus, naudotojai per metus</w:t>
                    </w:r>
                  </w:p>
                </w:tc>
                <w:tc>
                  <w:tcPr>
                    <w:tcW w:w="1134"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tcBorders>
                      <w:right w:val="single" w:sz="4" w:space="0" w:color="auto"/>
                    </w:tcBorders>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4.6 E. sveikatos sistemos tobulinimas, Vidurio ir vakarų Lietuvos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14 888,775</w:t>
                    </w:r>
                  </w:p>
                </w:tc>
                <w:tc>
                  <w:tcPr>
                    <w:tcW w:w="1118" w:type="dxa"/>
                    <w:tcBorders>
                      <w:top w:val="single" w:sz="4" w:space="0" w:color="auto"/>
                      <w:left w:val="single" w:sz="4" w:space="0" w:color="auto"/>
                      <w:right w:val="single" w:sz="4" w:space="0" w:color="auto"/>
                    </w:tcBorders>
                  </w:tcPr>
                  <w:p>
                    <w:pPr>
                      <w:rPr>
                        <w:sz w:val="20"/>
                      </w:rPr>
                    </w:pPr>
                    <w:r>
                      <w:rPr>
                        <w:sz w:val="20"/>
                      </w:rPr>
                      <w:t>2021–2027 m. IP (ERPF)</w:t>
                    </w:r>
                  </w:p>
                </w:tc>
                <w:tc>
                  <w:tcPr>
                    <w:tcW w:w="2001" w:type="dxa"/>
                    <w:gridSpan w:val="2"/>
                  </w:tcPr>
                  <w:p>
                    <w:pPr>
                      <w:ind w:left="-57" w:right="-57"/>
                      <w:rPr>
                        <w:sz w:val="20"/>
                      </w:rPr>
                    </w:pPr>
                    <w:r>
                      <w:rPr>
                        <w:sz w:val="20"/>
                      </w:rPr>
                      <w:t>P – Naujos arba modernizuotos sveikatos priežiūros infrastruktūros talpumas, asmenys per metus</w:t>
                    </w:r>
                  </w:p>
                </w:tc>
                <w:tc>
                  <w:tcPr>
                    <w:tcW w:w="1134"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2 627,431</w:t>
                    </w:r>
                  </w:p>
                </w:tc>
                <w:tc>
                  <w:tcPr>
                    <w:tcW w:w="1118" w:type="dxa"/>
                    <w:tcBorders>
                      <w:top w:val="single" w:sz="4" w:space="0" w:color="auto"/>
                      <w:left w:val="single" w:sz="4" w:space="0" w:color="auto"/>
                      <w:right w:val="single" w:sz="4" w:space="0" w:color="auto"/>
                    </w:tcBorders>
                  </w:tcPr>
                  <w:p>
                    <w:pPr>
                      <w:rPr>
                        <w:sz w:val="20"/>
                      </w:rPr>
                    </w:pPr>
                    <w:r>
                      <w:rPr>
                        <w:sz w:val="20"/>
                      </w:rPr>
                      <w:t>2021–2027 m. IP (BF)</w:t>
                    </w:r>
                  </w:p>
                </w:tc>
                <w:tc>
                  <w:tcPr>
                    <w:tcW w:w="2001" w:type="dxa"/>
                    <w:gridSpan w:val="2"/>
                  </w:tcPr>
                  <w:p>
                    <w:pPr>
                      <w:ind w:left="-57" w:right="-57"/>
                      <w:rPr>
                        <w:sz w:val="20"/>
                      </w:rPr>
                    </w:pPr>
                    <w:r>
                      <w:rPr>
                        <w:sz w:val="20"/>
                      </w:rPr>
                      <w:t>Naujų arba modernizuotų e. sveikatos priežiūros</w:t>
                    </w:r>
                  </w:p>
                  <w:p>
                    <w:pPr>
                      <w:ind w:left="-57" w:right="-57"/>
                      <w:rPr>
                        <w:sz w:val="20"/>
                      </w:rPr>
                    </w:pPr>
                    <w:r>
                      <w:rPr>
                        <w:sz w:val="20"/>
                      </w:rPr>
                      <w:t>paslaugų naudotojų skaičius per metus, naudotojai per metus</w:t>
                    </w:r>
                  </w:p>
                </w:tc>
                <w:tc>
                  <w:tcPr>
                    <w:tcW w:w="1134"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699" w:type="dxa"/>
                    <w:shd w:val="clear" w:color="auto" w:fill="F2F2F2" w:themeFill="background1" w:themeFillShade="F2"/>
                  </w:tcPr>
                  <w:p>
                    <w:pPr>
                      <w:rPr>
                        <w:sz w:val="20"/>
                      </w:rPr>
                    </w:pPr>
                    <w:r>
                      <w:rPr>
                        <w:sz w:val="20"/>
                      </w:rPr>
                      <w:t>A</w:t>
                    </w:r>
                  </w:p>
                </w:tc>
                <w:tc>
                  <w:tcPr>
                    <w:tcW w:w="1985" w:type="dxa"/>
                    <w:shd w:val="clear" w:color="auto" w:fill="F2F2F2" w:themeFill="background1" w:themeFillShade="F2"/>
                  </w:tcPr>
                  <w:p>
                    <w:pPr>
                      <w:rPr>
                        <w:sz w:val="20"/>
                      </w:rPr>
                    </w:pPr>
                    <w:r>
                      <w:rPr>
                        <w:sz w:val="20"/>
                      </w:rPr>
                      <w:t>SAM</w:t>
                    </w:r>
                  </w:p>
                </w:tc>
                <w:tc>
                  <w:tcPr>
                    <w:tcW w:w="829" w:type="dxa"/>
                    <w:gridSpan w:val="3"/>
                    <w:shd w:val="clear" w:color="auto" w:fill="F2F2F2" w:themeFill="background1" w:themeFillShade="F2"/>
                  </w:tcPr>
                  <w:p>
                    <w:pPr>
                      <w:rPr>
                        <w:sz w:val="20"/>
                      </w:rPr>
                    </w:pPr>
                    <w:r>
                      <w:rPr>
                        <w:sz w:val="20"/>
                      </w:rPr>
                      <w:t>P</w:t>
                    </w:r>
                  </w:p>
                </w:tc>
                <w:tc>
                  <w:tcPr>
                    <w:tcW w:w="1014" w:type="dxa"/>
                    <w:gridSpan w:val="3"/>
                    <w:shd w:val="clear" w:color="auto" w:fill="F2F2F2" w:themeFill="background1" w:themeFillShade="F2"/>
                  </w:tcPr>
                  <w:p>
                    <w:pPr>
                      <w:rPr>
                        <w:sz w:val="20"/>
                      </w:rPr>
                    </w:pPr>
                    <w:r>
                      <w:rPr>
                        <w:sz w:val="20"/>
                      </w:rPr>
                      <w:t>Ne</w:t>
                    </w:r>
                  </w:p>
                </w:tc>
                <w:tc>
                  <w:tcPr>
                    <w:tcW w:w="681" w:type="dxa"/>
                    <w:gridSpan w:val="3"/>
                    <w:shd w:val="clear" w:color="auto" w:fill="F2F2F2" w:themeFill="background1" w:themeFillShade="F2"/>
                  </w:tcPr>
                  <w:p>
                    <w:pPr>
                      <w:rPr>
                        <w:sz w:val="20"/>
                      </w:rPr>
                    </w:pPr>
                    <w:r>
                      <w:rPr>
                        <w:sz w:val="20"/>
                      </w:rPr>
                      <w:t>D</w:t>
                    </w:r>
                  </w:p>
                </w:tc>
                <w:tc>
                  <w:tcPr>
                    <w:tcW w:w="1167" w:type="dxa"/>
                    <w:gridSpan w:val="2"/>
                    <w:shd w:val="clear" w:color="auto" w:fill="F2F2F2" w:themeFill="background1" w:themeFillShade="F2"/>
                  </w:tcPr>
                  <w:p>
                    <w:pPr>
                      <w:rPr>
                        <w:b/>
                        <w:bCs/>
                        <w:sz w:val="20"/>
                      </w:rPr>
                    </w:pPr>
                    <w:r>
                      <w:rPr>
                        <w:b/>
                        <w:bCs/>
                        <w:sz w:val="20"/>
                        <w:lang w:val="en-US"/>
                      </w:rPr>
                      <w:t>169,719</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1134" w:type="dxa"/>
                    <w:gridSpan w:val="2"/>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130" w:type="dxa"/>
                    <w:gridSpan w:val="2"/>
                    <w:vMerge w:val="restart"/>
                    <w:hideMark/>
                  </w:tcPr>
                  <w:p>
                    <w:pPr>
                      <w:rPr>
                        <w:iCs/>
                        <w:sz w:val="20"/>
                      </w:rPr>
                    </w:pPr>
                    <w:r>
                      <w:rPr>
                        <w:iCs/>
                        <w:sz w:val="20"/>
                      </w:rPr>
                      <w:t>6. Bazinių sveikatos priežiūros paslaugų užtikrinimas:</w:t>
                    </w:r>
                  </w:p>
                </w:tc>
                <w:tc>
                  <w:tcPr>
                    <w:tcW w:w="699" w:type="dxa"/>
                    <w:vMerge w:val="restart"/>
                    <w:hideMark/>
                  </w:tcPr>
                  <w:p>
                    <w:pPr>
                      <w:rPr>
                        <w:sz w:val="20"/>
                      </w:rPr>
                    </w:pPr>
                    <w:r>
                      <w:rPr>
                        <w:sz w:val="20"/>
                      </w:rPr>
                      <w:t>-</w:t>
                    </w:r>
                  </w:p>
                </w:tc>
                <w:tc>
                  <w:tcPr>
                    <w:tcW w:w="1985" w:type="dxa"/>
                    <w:vMerge w:val="restart"/>
                    <w:hideMark/>
                  </w:tcPr>
                  <w:p>
                    <w:pPr>
                      <w:rPr>
                        <w:sz w:val="20"/>
                      </w:rPr>
                    </w:pPr>
                    <w:r>
                      <w:rPr>
                        <w:sz w:val="20"/>
                      </w:rPr>
                      <w:t>-</w:t>
                    </w:r>
                  </w:p>
                </w:tc>
                <w:tc>
                  <w:tcPr>
                    <w:tcW w:w="829" w:type="dxa"/>
                    <w:gridSpan w:val="3"/>
                    <w:vMerge w:val="restart"/>
                    <w:hideMark/>
                  </w:tcPr>
                  <w:p>
                    <w:pPr>
                      <w:rPr>
                        <w:sz w:val="20"/>
                      </w:rPr>
                    </w:pPr>
                    <w:r>
                      <w:rPr>
                        <w:sz w:val="20"/>
                      </w:rPr>
                      <w:t>-</w:t>
                    </w:r>
                  </w:p>
                </w:tc>
                <w:tc>
                  <w:tcPr>
                    <w:tcW w:w="1014" w:type="dxa"/>
                    <w:gridSpan w:val="3"/>
                    <w:vMerge w:val="restart"/>
                    <w:hideMark/>
                  </w:tcPr>
                  <w:p>
                    <w:pPr>
                      <w:rPr>
                        <w:sz w:val="20"/>
                      </w:rPr>
                    </w:pPr>
                    <w:r>
                      <w:rPr>
                        <w:sz w:val="20"/>
                      </w:rPr>
                      <w:t>-</w:t>
                    </w:r>
                  </w:p>
                </w:tc>
                <w:tc>
                  <w:tcPr>
                    <w:tcW w:w="681" w:type="dxa"/>
                    <w:gridSpan w:val="3"/>
                    <w:vMerge w:val="restart"/>
                    <w:hideMark/>
                  </w:tcPr>
                  <w:p>
                    <w:pPr>
                      <w:rPr>
                        <w:sz w:val="20"/>
                      </w:rPr>
                    </w:pPr>
                    <w:r>
                      <w:rPr>
                        <w:sz w:val="20"/>
                      </w:rPr>
                      <w:t>-</w:t>
                    </w:r>
                  </w:p>
                </w:tc>
                <w:tc>
                  <w:tcPr>
                    <w:tcW w:w="1167" w:type="dxa"/>
                    <w:gridSpan w:val="2"/>
                    <w:hideMark/>
                  </w:tcPr>
                  <w:p>
                    <w:pPr>
                      <w:jc w:val="center"/>
                      <w:rPr>
                        <w:sz w:val="20"/>
                      </w:rPr>
                    </w:pPr>
                    <w:r>
                      <w:rPr>
                        <w:sz w:val="20"/>
                      </w:rPr>
                      <w:t>159 958,803</w:t>
                    </w:r>
                  </w:p>
                </w:tc>
                <w:tc>
                  <w:tcPr>
                    <w:tcW w:w="1118" w:type="dxa"/>
                    <w:hideMark/>
                  </w:tcPr>
                  <w:p>
                    <w:pPr>
                      <w:rPr>
                        <w:sz w:val="20"/>
                      </w:rPr>
                    </w:pPr>
                    <w:r>
                      <w:rPr>
                        <w:sz w:val="20"/>
                      </w:rPr>
                      <w:t>-</w:t>
                    </w:r>
                  </w:p>
                </w:tc>
                <w:tc>
                  <w:tcPr>
                    <w:tcW w:w="2001" w:type="dxa"/>
                    <w:gridSpan w:val="2"/>
                    <w:hideMark/>
                  </w:tcPr>
                  <w:p>
                    <w:pPr>
                      <w:ind w:left="-57" w:right="-57"/>
                      <w:rPr>
                        <w:sz w:val="20"/>
                      </w:rPr>
                    </w:pPr>
                    <w:r>
                      <w:rPr>
                        <w:sz w:val="20"/>
                      </w:rPr>
                      <w:t>R – Šeimos gydytojo ir jo komandos narių suteiktų sveikatos priežiūros paslaugų santykis</w:t>
                    </w:r>
                  </w:p>
                </w:tc>
                <w:tc>
                  <w:tcPr>
                    <w:tcW w:w="1134" w:type="dxa"/>
                    <w:gridSpan w:val="2"/>
                    <w:hideMark/>
                  </w:tcPr>
                  <w:p>
                    <w:pPr>
                      <w:ind w:left="-57" w:right="-57"/>
                      <w:jc w:val="center"/>
                      <w:rPr>
                        <w:sz w:val="20"/>
                      </w:rPr>
                    </w:pPr>
                    <w:r>
                      <w:rPr>
                        <w:sz w:val="20"/>
                      </w:rPr>
                      <w:t>40/60</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13 303,764</w:t>
                    </w:r>
                  </w:p>
                </w:tc>
                <w:tc>
                  <w:tcPr>
                    <w:tcW w:w="1118" w:type="dxa"/>
                    <w:hideMark/>
                  </w:tcPr>
                  <w:p>
                    <w:pPr>
                      <w:rPr>
                        <w:sz w:val="20"/>
                      </w:rPr>
                    </w:pPr>
                    <w:r>
                      <w:rPr>
                        <w:sz w:val="20"/>
                      </w:rPr>
                      <w:t>2021–2027 m. IP (ERPF, Sostinės regionas)</w:t>
                    </w:r>
                  </w:p>
                </w:tc>
                <w:tc>
                  <w:tcPr>
                    <w:tcW w:w="2001" w:type="dxa"/>
                    <w:gridSpan w:val="2"/>
                    <w:hideMark/>
                  </w:tcPr>
                  <w:p>
                    <w:pPr>
                      <w:ind w:left="-57" w:right="-57"/>
                      <w:rPr>
                        <w:sz w:val="20"/>
                      </w:rPr>
                    </w:pPr>
                    <w:r>
                      <w:rPr>
                        <w:sz w:val="20"/>
                      </w:rPr>
                      <w:t>R – Asmenų, kuriems onkologinė liga diagnozuota ankstyvoje stadijoje (I–II st.), dalis, proc.</w:t>
                    </w:r>
                  </w:p>
                </w:tc>
                <w:tc>
                  <w:tcPr>
                    <w:tcW w:w="1134" w:type="dxa"/>
                    <w:gridSpan w:val="2"/>
                    <w:hideMark/>
                  </w:tcPr>
                  <w:p>
                    <w:pPr>
                      <w:ind w:left="-57" w:right="-57"/>
                      <w:jc w:val="center"/>
                      <w:rPr>
                        <w:sz w:val="20"/>
                      </w:rPr>
                    </w:pPr>
                    <w:r>
                      <w:rPr>
                        <w:sz w:val="20"/>
                      </w:rPr>
                      <w:t>60,0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tcPr>
                  <w:p>
                    <w:pPr>
                      <w:jc w:val="center"/>
                      <w:rPr>
                        <w:sz w:val="20"/>
                      </w:rPr>
                    </w:pPr>
                    <w:r>
                      <w:rPr>
                        <w:sz w:val="20"/>
                      </w:rPr>
                      <w:t>13 303,764</w:t>
                    </w:r>
                  </w:p>
                  <w:p>
                    <w:pPr>
                      <w:jc w:val="center"/>
                      <w:rPr>
                        <w:sz w:val="20"/>
                      </w:rPr>
                    </w:pPr>
                  </w:p>
                </w:tc>
                <w:tc>
                  <w:tcPr>
                    <w:tcW w:w="1118" w:type="dxa"/>
                    <w:hideMark/>
                  </w:tcPr>
                  <w:p>
                    <w:pPr>
                      <w:rPr>
                        <w:sz w:val="20"/>
                      </w:rPr>
                    </w:pPr>
                    <w:r>
                      <w:rPr>
                        <w:sz w:val="20"/>
                      </w:rPr>
                      <w:t>2021–2027 m. IP (BF, Sostinės regionas)</w:t>
                    </w:r>
                  </w:p>
                </w:tc>
                <w:tc>
                  <w:tcPr>
                    <w:tcW w:w="2001" w:type="dxa"/>
                    <w:gridSpan w:val="2"/>
                    <w:hideMark/>
                  </w:tcPr>
                  <w:p>
                    <w:pPr>
                      <w:ind w:left="-57" w:right="-57"/>
                      <w:rPr>
                        <w:sz w:val="20"/>
                      </w:rPr>
                    </w:pPr>
                    <w:r>
                      <w:rPr>
                        <w:sz w:val="20"/>
                      </w:rPr>
                      <w:t xml:space="preserve">R – Gyventojų, dėl laukimo laiko (ilgų eilių) atidėjusių kreipimąsi dėl sveikatos priežiūros paslaugų, dalis,  proc.</w:t>
                    </w:r>
                  </w:p>
                </w:tc>
                <w:tc>
                  <w:tcPr>
                    <w:tcW w:w="1134" w:type="dxa"/>
                    <w:gridSpan w:val="2"/>
                    <w:hideMark/>
                  </w:tcPr>
                  <w:p>
                    <w:pPr>
                      <w:ind w:left="-57" w:right="-57"/>
                      <w:jc w:val="center"/>
                      <w:rPr>
                        <w:sz w:val="20"/>
                      </w:rPr>
                    </w:pPr>
                    <w:r>
                      <w:rPr>
                        <w:sz w:val="20"/>
                      </w:rPr>
                      <w:t>6</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lang w:val="en-US"/>
                      </w:rPr>
                    </w:pPr>
                    <w:r>
                      <w:rPr>
                        <w:sz w:val="20"/>
                        <w:lang w:val="en-US"/>
                      </w:rPr>
                      <w:t>75 115,004</w:t>
                    </w:r>
                  </w:p>
                  <w:p>
                    <w:pPr>
                      <w:jc w:val="center"/>
                      <w:rPr>
                        <w:sz w:val="20"/>
                      </w:rPr>
                    </w:pPr>
                  </w:p>
                </w:tc>
                <w:tc>
                  <w:tcPr>
                    <w:tcW w:w="1118" w:type="dxa"/>
                    <w:hideMark/>
                  </w:tcPr>
                  <w:p>
                    <w:pPr>
                      <w:rPr>
                        <w:sz w:val="20"/>
                      </w:rPr>
                    </w:pPr>
                    <w:r>
                      <w:rPr>
                        <w:sz w:val="20"/>
                      </w:rPr>
                      <w:t>2021–2027 m. IP (ERPF, VVL regionas)</w:t>
                    </w:r>
                  </w:p>
                </w:tc>
                <w:tc>
                  <w:tcPr>
                    <w:tcW w:w="2001" w:type="dxa"/>
                    <w:gridSpan w:val="2"/>
                    <w:hideMark/>
                  </w:tcPr>
                  <w:p>
                    <w:pPr>
                      <w:ind w:left="-57" w:right="-57"/>
                      <w:rPr>
                        <w:sz w:val="20"/>
                      </w:rPr>
                    </w:pPr>
                    <w:r>
                      <w:rPr>
                        <w:sz w:val="20"/>
                      </w:rPr>
                      <w:t>R – Stacionarinio aktyviojo gydymo atvejų skaičiaus sumažėjimas lyginant su 2019 m., atvejų skaičius</w:t>
                    </w:r>
                  </w:p>
                </w:tc>
                <w:tc>
                  <w:tcPr>
                    <w:tcW w:w="1134" w:type="dxa"/>
                    <w:gridSpan w:val="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trike/>
                        <w:sz w:val="20"/>
                      </w:rPr>
                    </w:pPr>
                    <w:r>
                      <w:rPr>
                        <w:sz w:val="20"/>
                      </w:rPr>
                      <w:t>31 433,580</w:t>
                    </w:r>
                  </w:p>
                </w:tc>
                <w:tc>
                  <w:tcPr>
                    <w:tcW w:w="1118" w:type="dxa"/>
                    <w:hideMark/>
                  </w:tcPr>
                  <w:p>
                    <w:pPr>
                      <w:rPr>
                        <w:sz w:val="20"/>
                      </w:rPr>
                    </w:pPr>
                    <w:r>
                      <w:rPr>
                        <w:sz w:val="20"/>
                      </w:rPr>
                      <w:t>2021–2027 m. IP (ESF+, VVL regionas)</w:t>
                    </w:r>
                  </w:p>
                </w:tc>
                <w:tc>
                  <w:tcPr>
                    <w:tcW w:w="2001" w:type="dxa"/>
                    <w:gridSpan w:val="2"/>
                  </w:tcPr>
                  <w:p>
                    <w:pPr>
                      <w:ind w:left="-57" w:right="-57"/>
                      <w:rPr>
                        <w:sz w:val="20"/>
                      </w:rPr>
                    </w:pPr>
                    <w:r>
                      <w:rPr>
                        <w:sz w:val="20"/>
                      </w:rPr>
                      <w:t>R – Dienos stacionaro atvejų skaičiaus padidėjimas lyginant su 2019 m., atvejų skaičius</w:t>
                    </w:r>
                  </w:p>
                  <w:p>
                    <w:pPr>
                      <w:ind w:right="-57"/>
                      <w:rPr>
                        <w:sz w:val="20"/>
                      </w:rPr>
                    </w:pPr>
                  </w:p>
                </w:tc>
                <w:tc>
                  <w:tcPr>
                    <w:tcW w:w="1134" w:type="dxa"/>
                    <w:gridSpan w:val="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lang w:val="en-US"/>
                      </w:rPr>
                    </w:pPr>
                    <w:r>
                      <w:rPr>
                        <w:sz w:val="20"/>
                        <w:lang w:val="en-US"/>
                      </w:rPr>
                      <w:t>18 802,691</w:t>
                    </w:r>
                  </w:p>
                  <w:p>
                    <w:pPr>
                      <w:jc w:val="center"/>
                      <w:rPr>
                        <w:sz w:val="20"/>
                      </w:rPr>
                    </w:pPr>
                  </w:p>
                </w:tc>
                <w:tc>
                  <w:tcPr>
                    <w:tcW w:w="1118" w:type="dxa"/>
                    <w:hideMark/>
                  </w:tcPr>
                  <w:p>
                    <w:pPr>
                      <w:rPr>
                        <w:sz w:val="20"/>
                      </w:rPr>
                    </w:pPr>
                    <w:r>
                      <w:rPr>
                        <w:sz w:val="20"/>
                      </w:rPr>
                      <w:t>2021–2027 m. IP (BF, VVL regionas)</w:t>
                    </w:r>
                  </w:p>
                </w:tc>
                <w:tc>
                  <w:tcPr>
                    <w:tcW w:w="2001" w:type="dxa"/>
                    <w:gridSpan w:val="2"/>
                    <w:hideMark/>
                  </w:tcPr>
                  <w:p>
                    <w:pPr>
                      <w:ind w:left="-57" w:right="-57"/>
                      <w:rPr>
                        <w:sz w:val="20"/>
                      </w:rPr>
                    </w:pPr>
                    <w:r>
                      <w:rPr>
                        <w:sz w:val="20"/>
                      </w:rPr>
                      <w:t>R – Dienos chirurgijos atvejų skaičiaus padidėjimas lyginant su 2019 m., atvejų skaičius</w:t>
                    </w:r>
                  </w:p>
                </w:tc>
                <w:tc>
                  <w:tcPr>
                    <w:tcW w:w="1134" w:type="dxa"/>
                    <w:gridSpan w:val="2"/>
                    <w:hideMark/>
                  </w:tcPr>
                  <w:p>
                    <w:pPr>
                      <w:ind w:left="-57" w:right="-57"/>
                      <w:jc w:val="center"/>
                      <w:rPr>
                        <w:sz w:val="20"/>
                      </w:rPr>
                    </w:pPr>
                    <w:r>
                      <w:rPr>
                        <w:sz w:val="20"/>
                      </w:rPr>
                      <w:t>73 020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1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8 000</w:t>
                    </w:r>
                  </w:p>
                </w:tc>
                <w:tc>
                  <w:tcPr>
                    <w:tcW w:w="1118" w:type="dxa"/>
                    <w:hideMark/>
                  </w:tcPr>
                  <w:p>
                    <w:pPr>
                      <w:rPr>
                        <w:sz w:val="20"/>
                      </w:rPr>
                    </w:pPr>
                    <w:r>
                      <w:rPr>
                        <w:sz w:val="20"/>
                      </w:rPr>
                      <w:t>VB</w:t>
                    </w:r>
                  </w:p>
                </w:tc>
                <w:tc>
                  <w:tcPr>
                    <w:tcW w:w="2001" w:type="dxa"/>
                    <w:gridSpan w:val="2"/>
                    <w:hideMark/>
                  </w:tcPr>
                  <w:p>
                    <w:pPr>
                      <w:ind w:left="-57" w:right="-57"/>
                      <w:rPr>
                        <w:sz w:val="20"/>
                      </w:rPr>
                    </w:pPr>
                    <w:r>
                      <w:rPr>
                        <w:sz w:val="20"/>
                      </w:rPr>
                      <w:t>R – Aktyviojo gydymo lovų užimtumas, proc.</w:t>
                    </w:r>
                  </w:p>
                </w:tc>
                <w:tc>
                  <w:tcPr>
                    <w:tcW w:w="1134" w:type="dxa"/>
                    <w:gridSpan w:val="2"/>
                    <w:hideMark/>
                  </w:tcPr>
                  <w:p>
                    <w:pPr>
                      <w:ind w:left="-57" w:right="-57"/>
                      <w:jc w:val="center"/>
                      <w:rPr>
                        <w:sz w:val="20"/>
                      </w:rPr>
                    </w:pPr>
                    <w:r>
                      <w:rPr>
                        <w:sz w:val="20"/>
                      </w:rPr>
                      <w:t>82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699" w:type="dxa"/>
                    <w:vMerge w:val="restart"/>
                  </w:tcPr>
                  <w:p>
                    <w:pPr>
                      <w:rPr>
                        <w:sz w:val="20"/>
                      </w:rPr>
                    </w:pPr>
                    <w:r>
                      <w:rPr>
                        <w:sz w:val="20"/>
                      </w:rPr>
                      <w:t>R</w:t>
                    </w:r>
                  </w:p>
                </w:tc>
                <w:tc>
                  <w:tcPr>
                    <w:tcW w:w="1985" w:type="dxa"/>
                    <w:vMerge w:val="restart"/>
                  </w:tcPr>
                  <w:p>
                    <w:pPr>
                      <w:rPr>
                        <w:sz w:val="20"/>
                      </w:rPr>
                    </w:pPr>
                    <w:r>
                      <w:rPr>
                        <w:sz w:val="20"/>
                      </w:rPr>
                      <w:t>-</w:t>
                    </w:r>
                  </w:p>
                </w:tc>
                <w:tc>
                  <w:tcPr>
                    <w:tcW w:w="829" w:type="dxa"/>
                    <w:gridSpan w:val="3"/>
                    <w:vMerge w:val="restart"/>
                  </w:tcPr>
                  <w:p>
                    <w:pPr>
                      <w:rPr>
                        <w:sz w:val="20"/>
                      </w:rPr>
                    </w:pPr>
                    <w:r>
                      <w:rPr>
                        <w:sz w:val="20"/>
                      </w:rPr>
                      <w:t>-</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w:t>
                    </w:r>
                  </w:p>
                </w:tc>
                <w:tc>
                  <w:tcPr>
                    <w:tcW w:w="1167" w:type="dxa"/>
                    <w:gridSpan w:val="2"/>
                    <w:vMerge w:val="restart"/>
                  </w:tcPr>
                  <w:p>
                    <w:pPr>
                      <w:rPr>
                        <w:sz w:val="20"/>
                      </w:rPr>
                    </w:pPr>
                    <w:r>
                      <w:rPr>
                        <w:sz w:val="20"/>
                      </w:rPr>
                      <w:t>-</w:t>
                    </w:r>
                  </w:p>
                </w:tc>
                <w:tc>
                  <w:tcPr>
                    <w:tcW w:w="1118" w:type="dxa"/>
                    <w:vMerge w:val="restart"/>
                  </w:tcPr>
                  <w:p>
                    <w:pPr>
                      <w:rPr>
                        <w:sz w:val="20"/>
                      </w:rPr>
                    </w:pPr>
                    <w:r>
                      <w:rPr>
                        <w:sz w:val="20"/>
                      </w:rPr>
                      <w:t>-</w:t>
                    </w:r>
                  </w:p>
                </w:tc>
                <w:tc>
                  <w:tcPr>
                    <w:tcW w:w="2001" w:type="dxa"/>
                    <w:gridSpan w:val="2"/>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1134" w:type="dxa"/>
                    <w:gridSpan w:val="2"/>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Sprendimo dėl reguliavimo, investavimo ir komunikacijos veiksmų, siekiant sukurti tvarų sveikatos priežiūros įstaigų tinklą, priėmimas</w:t>
                    </w:r>
                  </w:p>
                </w:tc>
                <w:tc>
                  <w:tcPr>
                    <w:tcW w:w="1134" w:type="dxa"/>
                    <w:gridSpan w:val="2"/>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Patvirtintas atnaujintas Šeimos medicinos plėtros 2016–2025 m. veiksmų planas</w:t>
                    </w:r>
                  </w:p>
                </w:tc>
                <w:tc>
                  <w:tcPr>
                    <w:tcW w:w="1134" w:type="dxa"/>
                    <w:gridSpan w:val="2"/>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920"/>
                </w:trPr>
                <w:tc>
                  <w:tcPr>
                    <w:tcW w:w="2130" w:type="dxa"/>
                    <w:gridSpan w:val="2"/>
                    <w:vMerge w:val="restart"/>
                  </w:tcPr>
                  <w:p>
                    <w:pPr>
                      <w:rPr>
                        <w:sz w:val="20"/>
                      </w:rPr>
                    </w:pPr>
                    <w:r>
                      <w:rPr>
                        <w:sz w:val="20"/>
                      </w:rPr>
                      <w:t>6.2. Sveikatos centro pirminės ambulatorinės asmens sveikatos priežiūros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5 700,000</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5 700,000</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86"/>
                </w:trPr>
                <w:tc>
                  <w:tcPr>
                    <w:tcW w:w="2130" w:type="dxa"/>
                    <w:gridSpan w:val="2"/>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7 603,764</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7 603,764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20"/>
                </w:trPr>
                <w:tc>
                  <w:tcPr>
                    <w:tcW w:w="2130" w:type="dxa"/>
                    <w:gridSpan w:val="2"/>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trike/>
                        <w:sz w:val="20"/>
                      </w:rPr>
                    </w:pPr>
                    <w:r>
                      <w:rPr>
                        <w:sz w:val="20"/>
                      </w:rPr>
                      <w:t>27 218,273</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jc w:val="center"/>
                      <w:rPr>
                        <w:sz w:val="20"/>
                      </w:rPr>
                    </w:pPr>
                    <w:r>
                      <w:rPr>
                        <w:sz w:val="20"/>
                      </w:rPr>
                      <w:t>4 803,224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1120"/>
                </w:trPr>
                <w:tc>
                  <w:tcPr>
                    <w:tcW w:w="2130" w:type="dxa"/>
                    <w:gridSpan w:val="2"/>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z w:val="20"/>
                        <w:lang w:val="en-US"/>
                      </w:rPr>
                    </w:pPr>
                    <w:r>
                      <w:rPr>
                        <w:sz w:val="20"/>
                        <w:lang w:val="en-US"/>
                      </w:rPr>
                      <w:t>47 896,731</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 w:val="20"/>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8 452,365</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 w:val="20"/>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tcPr>
                  <w:p>
                    <w:pPr>
                      <w:ind w:left="-57" w:right="-57"/>
                      <w:rPr>
                        <w:sz w:val="20"/>
                      </w:rPr>
                    </w:pPr>
                    <w:r>
                      <w:rPr>
                        <w:sz w:val="20"/>
                      </w:rPr>
                      <w:t xml:space="preserve">R </w:t>
                    </w:r>
                    <w:r>
                      <w:rPr>
                        <w:color w:val="000000"/>
                        <w:sz w:val="20"/>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03"/>
                </w:trPr>
                <w:tc>
                  <w:tcPr>
                    <w:tcW w:w="12758" w:type="dxa"/>
                    <w:gridSpan w:val="20"/>
                  </w:tcPr>
                  <w:p>
                    <w:pPr>
                      <w:ind w:right="-57"/>
                      <w:rPr>
                        <w:sz w:val="20"/>
                      </w:rPr>
                    </w:pPr>
                    <w:r>
                      <w:rPr>
                        <w:sz w:val="20"/>
                      </w:rPr>
                      <w:t xml:space="preserve">6.6. </w:t>
                    </w:r>
                    <w:r>
                      <w:rPr>
                        <w:i/>
                        <w:sz w:val="20"/>
                      </w:rPr>
                      <w:t>Neteko galios nuo 2025-10-04</w:t>
                    </w:r>
                  </w:p>
                </w:tc>
                <w:tc>
                  <w:tcPr>
                    <w:tcW w:w="992" w:type="dxa"/>
                    <w:vMerge w:val="restart"/>
                  </w:tcPr>
                  <w:p>
                    <w:pPr>
                      <w:rPr>
                        <w:sz w:val="20"/>
                      </w:rPr>
                    </w:pPr>
                  </w:p>
                </w:tc>
                <w:tc>
                  <w:tcPr>
                    <w:tcW w:w="1279" w:type="dxa"/>
                    <w:vMerge w:val="restart"/>
                    <w:tcBorders>
                      <w:left w:val="single" w:sz="4" w:space="0" w:color="auto"/>
                      <w:right w:val="single" w:sz="4" w:space="0" w:color="auto"/>
                    </w:tcBorders>
                  </w:tcPr>
                  <w:p>
                    <w:pPr>
                      <w:rPr>
                        <w:color w:val="000000"/>
                        <w:sz w:val="20"/>
                      </w:rPr>
                    </w:pPr>
                  </w:p>
                </w:tc>
              </w:tr>
              <w:tr>
                <w:trPr>
                  <w:trHeight w:val="557"/>
                </w:trPr>
                <w:tc>
                  <w:tcPr>
                    <w:tcW w:w="12758" w:type="dxa"/>
                    <w:gridSpan w:val="20"/>
                  </w:tcPr>
                  <w:p>
                    <w:pPr>
                      <w:ind w:left="-57" w:right="-57"/>
                      <w:rPr>
                        <w:sz w:val="20"/>
                      </w:rPr>
                    </w:pPr>
                    <w:r>
                      <w:rPr>
                        <w:sz w:val="20"/>
                      </w:rPr>
                      <w:t xml:space="preserve">6.7. </w:t>
                    </w:r>
                    <w:r>
                      <w:rPr>
                        <w:i/>
                        <w:sz w:val="20"/>
                      </w:rPr>
                      <w:t>Neteko galios nuo 2025-10-04</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57"/>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6.8. Inovatyvių pirminės sveikatos priežiūros paslaugų teikimo ir organizavimo modelių kūrimas ir išbandymas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Savivaldybių administracijos,ASPĮ, SAM</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rPr>
                        <w:sz w:val="20"/>
                        <w:highlight w:val="green"/>
                      </w:rPr>
                    </w:pPr>
                    <w:r>
                      <w:rPr>
                        <w:sz w:val="20"/>
                      </w:rPr>
                      <w:t>31 433,580</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3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5 547,102</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2021–2027m.  IP (BF)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69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b/>
                        <w:bCs/>
                        <w:color w:val="FF0000"/>
                        <w:sz w:val="20"/>
                      </w:rPr>
                    </w:pPr>
                    <w:r>
                      <w:rPr>
                        <w:color w:val="000000"/>
                        <w:sz w:val="20"/>
                      </w:rPr>
                      <w:t xml:space="preserve">R – Pacientų pasitenkinimas gautomis paslaugomis,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tcPr>
                  <w:p>
                    <w:pPr>
                      <w:rPr>
                        <w:sz w:val="20"/>
                      </w:rPr>
                    </w:pPr>
                    <w:r>
                      <w:rPr>
                        <w:sz w:val="20"/>
                      </w:rPr>
                      <w:t>6.9. ASPĮ išlaidų, patirtų įgyvendinant pertvarką, kompensavimas</w:t>
                    </w:r>
                  </w:p>
                </w:tc>
                <w:tc>
                  <w:tcPr>
                    <w:tcW w:w="699" w:type="dxa"/>
                  </w:tcPr>
                  <w:p>
                    <w:pPr>
                      <w:rPr>
                        <w:sz w:val="20"/>
                      </w:rPr>
                    </w:pPr>
                    <w:r>
                      <w:rPr>
                        <w:sz w:val="20"/>
                      </w:rPr>
                      <w:t>I</w:t>
                    </w:r>
                  </w:p>
                </w:tc>
                <w:tc>
                  <w:tcPr>
                    <w:tcW w:w="1985" w:type="dxa"/>
                  </w:tcPr>
                  <w:p>
                    <w:pPr>
                      <w:rPr>
                        <w:sz w:val="20"/>
                      </w:rPr>
                    </w:pPr>
                    <w:r>
                      <w:rPr>
                        <w:sz w:val="20"/>
                      </w:rPr>
                      <w:t>ASPĮ</w:t>
                    </w:r>
                  </w:p>
                </w:tc>
                <w:tc>
                  <w:tcPr>
                    <w:tcW w:w="829" w:type="dxa"/>
                    <w:gridSpan w:val="3"/>
                  </w:tcPr>
                  <w:p>
                    <w:pPr>
                      <w:rPr>
                        <w:sz w:val="20"/>
                      </w:rPr>
                    </w:pPr>
                    <w:r>
                      <w:rPr>
                        <w:sz w:val="20"/>
                      </w:rPr>
                      <w:t>P</w:t>
                    </w:r>
                  </w:p>
                </w:tc>
                <w:tc>
                  <w:tcPr>
                    <w:tcW w:w="1014" w:type="dxa"/>
                    <w:gridSpan w:val="3"/>
                  </w:tcPr>
                  <w:p>
                    <w:pPr>
                      <w:rPr>
                        <w:sz w:val="20"/>
                      </w:rPr>
                    </w:pPr>
                    <w:r>
                      <w:rPr>
                        <w:sz w:val="20"/>
                      </w:rPr>
                      <w:t>Taip</w:t>
                    </w:r>
                  </w:p>
                </w:tc>
                <w:tc>
                  <w:tcPr>
                    <w:tcW w:w="681" w:type="dxa"/>
                    <w:gridSpan w:val="3"/>
                  </w:tcPr>
                  <w:p>
                    <w:pPr>
                      <w:rPr>
                        <w:sz w:val="20"/>
                      </w:rPr>
                    </w:pPr>
                    <w:r>
                      <w:rPr>
                        <w:sz w:val="20"/>
                      </w:rPr>
                      <w:t>D</w:t>
                    </w:r>
                  </w:p>
                </w:tc>
                <w:tc>
                  <w:tcPr>
                    <w:tcW w:w="1167" w:type="dxa"/>
                    <w:gridSpan w:val="2"/>
                  </w:tcPr>
                  <w:p>
                    <w:pPr>
                      <w:rPr>
                        <w:sz w:val="20"/>
                      </w:rPr>
                    </w:pPr>
                    <w:r>
                      <w:rPr>
                        <w:sz w:val="20"/>
                        <w:lang w:val="en-US"/>
                      </w:rPr>
                      <w:t>8 000</w:t>
                    </w:r>
                  </w:p>
                </w:tc>
                <w:tc>
                  <w:tcPr>
                    <w:tcW w:w="1118" w:type="dxa"/>
                  </w:tcPr>
                  <w:p>
                    <w:pPr>
                      <w:rPr>
                        <w:sz w:val="20"/>
                      </w:rPr>
                    </w:pPr>
                    <w:r>
                      <w:rPr>
                        <w:sz w:val="20"/>
                      </w:rPr>
                      <w:t>VB</w:t>
                    </w:r>
                  </w:p>
                </w:tc>
                <w:tc>
                  <w:tcPr>
                    <w:tcW w:w="2001" w:type="dxa"/>
                    <w:gridSpan w:val="2"/>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1134" w:type="dxa"/>
                    <w:gridSpan w:val="2"/>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9" w:type="dxa"/>
                    <w:tcBorders>
                      <w:left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7. Ambulatorinių psichikos sveikatos priežiūros paslaugų plėtra ir kokybės gerinimas: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 xml:space="preserve">37 355,406 </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i/>
                        <w:iCs/>
                        <w:sz w:val="20"/>
                      </w:rPr>
                    </w:pPr>
                    <w:r>
                      <w:rPr>
                        <w:sz w:val="20"/>
                      </w:rPr>
                      <w:t>-</w:t>
                      <w:br w:type="column"/>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431714</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12 710,597</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9 652,095</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3 946,358</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6 000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382"/>
                </w:trPr>
                <w:tc>
                  <w:tcPr>
                    <w:tcW w:w="2130" w:type="dxa"/>
                    <w:gridSpan w:val="2"/>
                    <w:vMerge w:val="restart"/>
                  </w:tcPr>
                  <w:p>
                    <w:pPr>
                      <w:rPr>
                        <w:sz w:val="20"/>
                      </w:rPr>
                    </w:pPr>
                    <w:r>
                      <w:rPr>
                        <w:sz w:val="20"/>
                      </w:rPr>
                      <w:t>7.1. Ambulatorinių psichikos sveikatos paslaugų ir psichosocialinės reabilitacijos plėtrai reikalingos infrastruktūros įrengimas,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shd w:val="clear" w:color="auto" w:fill="auto"/>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2 523,178</w:t>
                    </w:r>
                  </w:p>
                  <w:p>
                    <w:pPr>
                      <w:rPr>
                        <w:sz w:val="20"/>
                        <w:lang w:val="en-US"/>
                      </w:rPr>
                    </w:pPr>
                  </w:p>
                </w:tc>
                <w:tc>
                  <w:tcPr>
                    <w:tcW w:w="1118" w:type="dxa"/>
                  </w:tcPr>
                  <w:p>
                    <w:pPr>
                      <w:rPr>
                        <w:sz w:val="20"/>
                      </w:rPr>
                    </w:pPr>
                    <w:r>
                      <w:rPr>
                        <w:sz w:val="20"/>
                      </w:rPr>
                      <w:t>2021–2027 m. IP (ERPF)</w:t>
                    </w: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shd w:val="clear" w:color="auto" w:fill="auto"/>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2 523,178</w:t>
                    </w:r>
                  </w:p>
                </w:tc>
                <w:tc>
                  <w:tcPr>
                    <w:tcW w:w="1118" w:type="dxa"/>
                  </w:tcPr>
                  <w:p>
                    <w:pPr>
                      <w:rPr>
                        <w:sz w:val="20"/>
                      </w:rPr>
                    </w:pPr>
                    <w:r>
                      <w:rPr>
                        <w:sz w:val="20"/>
                      </w:rPr>
                      <w:t>2021–2027 m. IP (BF)</w:t>
                    </w: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025"/>
                </w:trPr>
                <w:tc>
                  <w:tcPr>
                    <w:tcW w:w="2130" w:type="dxa"/>
                    <w:gridSpan w:val="2"/>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699" w:type="dxa"/>
                    <w:vMerge w:val="restart"/>
                  </w:tcPr>
                  <w:p>
                    <w:pPr>
                      <w:rPr>
                        <w:sz w:val="20"/>
                      </w:rPr>
                    </w:pPr>
                    <w:r>
                      <w:rPr>
                        <w:sz w:val="20"/>
                      </w:rPr>
                      <w:t>I</w:t>
                    </w:r>
                  </w:p>
                  <w:p>
                    <w:pPr>
                      <w:rPr>
                        <w:sz w:val="20"/>
                      </w:rPr>
                    </w:pPr>
                  </w:p>
                </w:tc>
                <w:tc>
                  <w:tcPr>
                    <w:tcW w:w="1985" w:type="dxa"/>
                    <w:vMerge w:val="restart"/>
                  </w:tcPr>
                  <w:p>
                    <w:pPr>
                      <w:rPr>
                        <w:sz w:val="20"/>
                      </w:rPr>
                    </w:pPr>
                    <w:r>
                      <w:rPr>
                        <w:sz w:val="20"/>
                      </w:rPr>
                      <w:t>ASPĮ</w:t>
                    </w:r>
                  </w:p>
                  <w:p>
                    <w:pPr>
                      <w:rPr>
                        <w:sz w:val="20"/>
                      </w:rPr>
                    </w:pPr>
                  </w:p>
                </w:tc>
                <w:tc>
                  <w:tcPr>
                    <w:tcW w:w="829" w:type="dxa"/>
                    <w:gridSpan w:val="3"/>
                    <w:vMerge w:val="restart"/>
                    <w:shd w:val="clear" w:color="auto" w:fill="auto"/>
                  </w:tcPr>
                  <w:p>
                    <w:pPr>
                      <w:rPr>
                        <w:sz w:val="20"/>
                      </w:rPr>
                    </w:pPr>
                    <w:r>
                      <w:rPr>
                        <w:sz w:val="20"/>
                      </w:rPr>
                      <w:t>P</w:t>
                    </w:r>
                  </w:p>
                  <w:p>
                    <w:pPr>
                      <w:rPr>
                        <w:sz w:val="20"/>
                      </w:rPr>
                    </w:pPr>
                  </w:p>
                </w:tc>
                <w:tc>
                  <w:tcPr>
                    <w:tcW w:w="1014" w:type="dxa"/>
                    <w:gridSpan w:val="3"/>
                    <w:vMerge w:val="restart"/>
                  </w:tcPr>
                  <w:p>
                    <w:pPr>
                      <w:rPr>
                        <w:sz w:val="20"/>
                      </w:rPr>
                    </w:pPr>
                    <w:r>
                      <w:rPr>
                        <w:sz w:val="20"/>
                      </w:rPr>
                      <w:t>Taip</w:t>
                    </w:r>
                  </w:p>
                  <w:p>
                    <w:pPr>
                      <w:rPr>
                        <w:sz w:val="20"/>
                      </w:rPr>
                    </w:pPr>
                  </w:p>
                </w:tc>
                <w:tc>
                  <w:tcPr>
                    <w:tcW w:w="681" w:type="dxa"/>
                    <w:gridSpan w:val="3"/>
                    <w:vMerge w:val="restart"/>
                  </w:tcPr>
                  <w:p>
                    <w:pPr>
                      <w:rPr>
                        <w:sz w:val="20"/>
                      </w:rPr>
                    </w:pPr>
                    <w:r>
                      <w:rPr>
                        <w:sz w:val="20"/>
                      </w:rPr>
                      <w:t>D</w:t>
                    </w:r>
                  </w:p>
                  <w:p>
                    <w:pPr>
                      <w:rPr>
                        <w:sz w:val="20"/>
                      </w:rPr>
                    </w:pPr>
                  </w:p>
                </w:tc>
                <w:tc>
                  <w:tcPr>
                    <w:tcW w:w="1167" w:type="dxa"/>
                    <w:gridSpan w:val="2"/>
                  </w:tcPr>
                  <w:p>
                    <w:pPr>
                      <w:rPr>
                        <w:sz w:val="20"/>
                        <w:lang w:val="en-US"/>
                      </w:rPr>
                    </w:pPr>
                    <w:r>
                      <w:rPr>
                        <w:sz w:val="20"/>
                        <w:lang w:val="en-US"/>
                      </w:rPr>
                      <w:t>12 710,597</w:t>
                    </w:r>
                  </w:p>
                </w:tc>
                <w:tc>
                  <w:tcPr>
                    <w:tcW w:w="1118" w:type="dxa"/>
                  </w:tcPr>
                  <w:p>
                    <w:pPr>
                      <w:rPr>
                        <w:sz w:val="20"/>
                      </w:rPr>
                    </w:pPr>
                    <w:r>
                      <w:rPr>
                        <w:sz w:val="20"/>
                      </w:rPr>
                      <w:t>2021–2027 m. IP (ERPF)</w:t>
                    </w:r>
                  </w:p>
                  <w:p>
                    <w:pPr>
                      <w:rPr>
                        <w:sz w:val="20"/>
                      </w:rPr>
                    </w:pP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97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shd w:val="clear" w:color="auto" w:fill="auto"/>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2 243,047</w:t>
                    </w:r>
                  </w:p>
                  <w:p>
                    <w:pPr>
                      <w:rPr>
                        <w:sz w:val="20"/>
                      </w:rPr>
                    </w:pPr>
                  </w:p>
                </w:tc>
                <w:tc>
                  <w:tcPr>
                    <w:tcW w:w="1118" w:type="dxa"/>
                  </w:tcPr>
                  <w:p>
                    <w:pPr>
                      <w:rPr>
                        <w:sz w:val="20"/>
                      </w:rPr>
                    </w:pPr>
                    <w:r>
                      <w:rPr>
                        <w:sz w:val="20"/>
                      </w:rPr>
                      <w:t>2021–2027 m. IP (BF)</w:t>
                    </w:r>
                  </w:p>
                  <w:p>
                    <w:pPr>
                      <w:rPr>
                        <w:sz w:val="20"/>
                      </w:rPr>
                    </w:pP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14"/>
                </w:trPr>
                <w:tc>
                  <w:tcPr>
                    <w:tcW w:w="2130" w:type="dxa"/>
                    <w:gridSpan w:val="2"/>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699" w:type="dxa"/>
                  </w:tcPr>
                  <w:p>
                    <w:pPr>
                      <w:rPr>
                        <w:sz w:val="22"/>
                        <w:szCs w:val="22"/>
                      </w:rPr>
                    </w:pPr>
                    <w:r>
                      <w:rPr>
                        <w:sz w:val="20"/>
                      </w:rPr>
                      <w:t>I</w:t>
                    </w:r>
                  </w:p>
                </w:tc>
                <w:tc>
                  <w:tcPr>
                    <w:tcW w:w="1985" w:type="dxa"/>
                  </w:tcPr>
                  <w:p>
                    <w:pPr>
                      <w:rPr>
                        <w:sz w:val="22"/>
                        <w:szCs w:val="22"/>
                      </w:rPr>
                    </w:pPr>
                    <w:r>
                      <w:rPr>
                        <w:sz w:val="20"/>
                      </w:rPr>
                      <w:t>ASPĮ</w:t>
                    </w:r>
                  </w:p>
                </w:tc>
                <w:tc>
                  <w:tcPr>
                    <w:tcW w:w="829" w:type="dxa"/>
                    <w:gridSpan w:val="3"/>
                  </w:tcPr>
                  <w:p>
                    <w:pPr>
                      <w:rPr>
                        <w:sz w:val="22"/>
                        <w:szCs w:val="22"/>
                      </w:rPr>
                    </w:pPr>
                    <w:r>
                      <w:rPr>
                        <w:sz w:val="20"/>
                      </w:rPr>
                      <w:t>P</w:t>
                    </w:r>
                  </w:p>
                </w:tc>
                <w:tc>
                  <w:tcPr>
                    <w:tcW w:w="1014" w:type="dxa"/>
                    <w:gridSpan w:val="3"/>
                  </w:tcPr>
                  <w:p>
                    <w:pPr>
                      <w:rPr>
                        <w:sz w:val="22"/>
                        <w:szCs w:val="22"/>
                      </w:rPr>
                    </w:pPr>
                    <w:r>
                      <w:rPr>
                        <w:sz w:val="20"/>
                      </w:rPr>
                      <w:t>Taip</w:t>
                    </w:r>
                  </w:p>
                </w:tc>
                <w:tc>
                  <w:tcPr>
                    <w:tcW w:w="681" w:type="dxa"/>
                    <w:gridSpan w:val="3"/>
                  </w:tcPr>
                  <w:p>
                    <w:pPr>
                      <w:rPr>
                        <w:sz w:val="22"/>
                        <w:szCs w:val="22"/>
                      </w:rPr>
                    </w:pPr>
                    <w:r>
                      <w:rPr>
                        <w:sz w:val="20"/>
                      </w:rPr>
                      <w:t>D</w:t>
                    </w:r>
                  </w:p>
                </w:tc>
                <w:tc>
                  <w:tcPr>
                    <w:tcW w:w="1167" w:type="dxa"/>
                    <w:gridSpan w:val="2"/>
                  </w:tcPr>
                  <w:p>
                    <w:pPr>
                      <w:rPr>
                        <w:sz w:val="22"/>
                        <w:szCs w:val="22"/>
                        <w:lang w:val="en-US"/>
                      </w:rPr>
                    </w:pPr>
                    <w:r>
                      <w:rPr>
                        <w:sz w:val="20"/>
                      </w:rPr>
                      <w:t>6 000</w:t>
                    </w:r>
                  </w:p>
                </w:tc>
                <w:tc>
                  <w:tcPr>
                    <w:tcW w:w="1118" w:type="dxa"/>
                  </w:tcPr>
                  <w:p>
                    <w:pPr>
                      <w:rPr>
                        <w:sz w:val="22"/>
                        <w:szCs w:val="22"/>
                      </w:rPr>
                    </w:pPr>
                    <w:r>
                      <w:rPr>
                        <w:sz w:val="20"/>
                      </w:rPr>
                      <w:t>VB</w:t>
                    </w:r>
                  </w:p>
                </w:tc>
                <w:tc>
                  <w:tcPr>
                    <w:tcW w:w="2001" w:type="dxa"/>
                    <w:gridSpan w:val="2"/>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1134" w:type="dxa"/>
                    <w:gridSpan w:val="2"/>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9"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7.4. Integruotų psichikos sveikatos paslaugų bei modelių išbandymas ir diegimas,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highlight w:val="green"/>
                      </w:rPr>
                    </w:pPr>
                  </w:p>
                  <w:p>
                    <w:pPr>
                      <w:rPr>
                        <w:sz w:val="20"/>
                      </w:rPr>
                    </w:pPr>
                    <w:r>
                      <w:rPr>
                        <w:sz w:val="20"/>
                      </w:rPr>
                      <w:t>6 107,250</w:t>
                    </w:r>
                  </w:p>
                  <w:p>
                    <w:pPr>
                      <w:rPr>
                        <w:sz w:val="20"/>
                        <w:highlight w:val="green"/>
                      </w:rPr>
                    </w:pPr>
                    <w:r>
                      <w:rPr>
                        <w:sz w:val="20"/>
                      </w:rPr>
                      <w:t> </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1 077,750</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pPr>
                      <w:ind w:left="-57" w:right="-57"/>
                      <w:rPr>
                        <w:color w:val="000000"/>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920"/>
                </w:trPr>
                <w:tc>
                  <w:tcPr>
                    <w:tcW w:w="2130" w:type="dxa"/>
                    <w:gridSpan w:val="2"/>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LMB</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3 544,845</w:t>
                    </w:r>
                  </w:p>
                </w:tc>
                <w:tc>
                  <w:tcPr>
                    <w:tcW w:w="1118"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001" w:type="dxa"/>
                    <w:gridSpan w:val="2"/>
                    <w:tcBorders>
                      <w:top w:val="single" w:sz="4" w:space="0" w:color="auto"/>
                      <w:left w:val="single" w:sz="4" w:space="0" w:color="auto"/>
                      <w:right w:val="single" w:sz="4" w:space="0" w:color="auto"/>
                    </w:tcBorders>
                    <w:shd w:val="clear" w:color="auto" w:fill="auto"/>
                  </w:tcPr>
                  <w:p>
                    <w:pPr>
                      <w:ind w:left="-57" w:right="-57"/>
                      <w:rPr>
                        <w:color w:val="000000"/>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jc w:val="center"/>
                      <w:rPr>
                        <w:color w:val="000000"/>
                        <w:sz w:val="20"/>
                      </w:rPr>
                    </w:pPr>
                    <w:r>
                      <w:rPr>
                        <w:sz w:val="20"/>
                      </w:rPr>
                      <w:t>SAM</w:t>
                    </w:r>
                  </w:p>
                </w:tc>
              </w:tr>
              <w:tr>
                <w:trPr>
                  <w:trHeight w:val="920"/>
                </w:trPr>
                <w:tc>
                  <w:tcPr>
                    <w:tcW w:w="2130" w:type="dxa"/>
                    <w:gridSpan w:val="2"/>
                    <w:vMerge/>
                    <w:tcBorders>
                      <w:left w:val="single" w:sz="4" w:space="0" w:color="auto"/>
                      <w:right w:val="single" w:sz="4" w:space="0" w:color="auto"/>
                    </w:tcBorders>
                    <w:shd w:val="clear" w:color="auto" w:fill="auto"/>
                  </w:tcPr>
                  <w:p>
                    <w:pPr>
                      <w:rPr>
                        <w:sz w:val="20"/>
                      </w:rPr>
                    </w:pPr>
                  </w:p>
                </w:tc>
                <w:tc>
                  <w:tcPr>
                    <w:tcW w:w="699" w:type="dxa"/>
                    <w:vMerge/>
                    <w:tcBorders>
                      <w:left w:val="single" w:sz="4" w:space="0" w:color="auto"/>
                      <w:right w:val="single" w:sz="4" w:space="0" w:color="auto"/>
                    </w:tcBorders>
                  </w:tcPr>
                  <w:p>
                    <w:pPr>
                      <w:rPr>
                        <w:sz w:val="20"/>
                      </w:rPr>
                    </w:pPr>
                  </w:p>
                </w:tc>
                <w:tc>
                  <w:tcPr>
                    <w:tcW w:w="1985" w:type="dxa"/>
                    <w:vMerge/>
                    <w:tcBorders>
                      <w:left w:val="single" w:sz="4" w:space="0" w:color="auto"/>
                      <w:right w:val="single" w:sz="4" w:space="0" w:color="auto"/>
                    </w:tcBorders>
                  </w:tcPr>
                  <w:p>
                    <w:pPr>
                      <w:rPr>
                        <w:sz w:val="20"/>
                      </w:rPr>
                    </w:pPr>
                  </w:p>
                </w:tc>
                <w:tc>
                  <w:tcPr>
                    <w:tcW w:w="829" w:type="dxa"/>
                    <w:gridSpan w:val="3"/>
                    <w:vMerge/>
                    <w:tcBorders>
                      <w:left w:val="single" w:sz="4" w:space="0" w:color="auto"/>
                      <w:right w:val="single" w:sz="4" w:space="0" w:color="auto"/>
                    </w:tcBorders>
                  </w:tcPr>
                  <w:p>
                    <w:pPr>
                      <w:rPr>
                        <w:sz w:val="20"/>
                      </w:rPr>
                    </w:pPr>
                  </w:p>
                </w:tc>
                <w:tc>
                  <w:tcPr>
                    <w:tcW w:w="1014" w:type="dxa"/>
                    <w:gridSpan w:val="3"/>
                    <w:vMerge/>
                    <w:tcBorders>
                      <w:left w:val="single" w:sz="4" w:space="0" w:color="auto"/>
                      <w:right w:val="single" w:sz="4" w:space="0" w:color="auto"/>
                    </w:tcBorders>
                  </w:tcPr>
                  <w:p>
                    <w:pPr>
                      <w:rPr>
                        <w:sz w:val="20"/>
                      </w:rPr>
                    </w:pPr>
                  </w:p>
                </w:tc>
                <w:tc>
                  <w:tcPr>
                    <w:tcW w:w="681" w:type="dxa"/>
                    <w:gridSpan w:val="3"/>
                    <w:vMerge/>
                    <w:tcBorders>
                      <w:left w:val="single" w:sz="4" w:space="0" w:color="auto"/>
                      <w:right w:val="single" w:sz="4" w:space="0" w:color="auto"/>
                    </w:tcBorders>
                  </w:tcPr>
                  <w:p>
                    <w:pPr>
                      <w:rPr>
                        <w:sz w:val="20"/>
                      </w:rPr>
                    </w:pP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625, 561</w:t>
                    </w:r>
                  </w:p>
                </w:tc>
                <w:tc>
                  <w:tcPr>
                    <w:tcW w:w="1118" w:type="dxa"/>
                    <w:tcBorders>
                      <w:left w:val="single" w:sz="4" w:space="0" w:color="auto"/>
                      <w:right w:val="single" w:sz="4" w:space="0" w:color="auto"/>
                    </w:tcBorders>
                  </w:tcPr>
                  <w:p>
                    <w:pPr>
                      <w:rPr>
                        <w:sz w:val="20"/>
                      </w:rPr>
                    </w:pPr>
                    <w:r>
                      <w:rPr>
                        <w:sz w:val="20"/>
                      </w:rPr>
                      <w:t>2021–2027 m. IP (BF)</w:t>
                    </w:r>
                  </w:p>
                </w:tc>
                <w:tc>
                  <w:tcPr>
                    <w:tcW w:w="2001" w:type="dxa"/>
                    <w:gridSpan w:val="2"/>
                    <w:tcBorders>
                      <w:left w:val="single" w:sz="4" w:space="0" w:color="auto"/>
                      <w:right w:val="single" w:sz="4" w:space="0" w:color="auto"/>
                    </w:tcBorders>
                    <w:shd w:val="clear" w:color="auto" w:fill="auto"/>
                  </w:tcPr>
                  <w:p>
                    <w:pPr>
                      <w:ind w:left="-57" w:right="-57"/>
                      <w:rPr>
                        <w:color w:val="000000"/>
                        <w:sz w:val="20"/>
                      </w:rPr>
                    </w:pPr>
                    <w:r>
                      <w:rPr>
                        <w:sz w:val="20"/>
                      </w:rPr>
                      <w:t>R – Pacientų pasitenkinimas gautomis paslaugomis, proc.</w:t>
                    </w:r>
                  </w:p>
                </w:tc>
                <w:tc>
                  <w:tcPr>
                    <w:tcW w:w="1134" w:type="dxa"/>
                    <w:gridSpan w:val="2"/>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P – Specialistai, dalyvavę kvalifikacijos tobulinimo ar perkvalifikavimo veiklose, asmenys</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550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R – Specialistų, kurie po dalyvavimo veiklose įgijo ar patobulino kvalifikaciją, dalis proc.</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90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shd w:val="clear" w:color="auto" w:fill="F2F2F2" w:themeFill="background1" w:themeFillShade="F2"/>
                  </w:tcPr>
                  <w:p>
                    <w:pPr>
                      <w:rPr>
                        <w:i/>
                        <w:iCs/>
                        <w:sz w:val="20"/>
                      </w:rPr>
                    </w:pPr>
                    <w:r>
                      <w:rPr>
                        <w:b/>
                        <w:bCs/>
                        <w:sz w:val="20"/>
                      </w:rPr>
                      <w:t>8. Pacientų pavėžėjimo paslaugos modelio sukūrimas ir išbandymas</w:t>
                    </w:r>
                  </w:p>
                </w:tc>
                <w:tc>
                  <w:tcPr>
                    <w:tcW w:w="699" w:type="dxa"/>
                    <w:shd w:val="clear" w:color="auto" w:fill="F2F2F2" w:themeFill="background1" w:themeFillShade="F2"/>
                  </w:tcPr>
                  <w:p>
                    <w:pPr>
                      <w:rPr>
                        <w:sz w:val="20"/>
                      </w:rPr>
                    </w:pPr>
                    <w:r>
                      <w:rPr>
                        <w:sz w:val="20"/>
                      </w:rPr>
                      <w:t>-</w:t>
                    </w:r>
                  </w:p>
                </w:tc>
                <w:tc>
                  <w:tcPr>
                    <w:tcW w:w="1985" w:type="dxa"/>
                    <w:shd w:val="clear" w:color="auto" w:fill="F2F2F2" w:themeFill="background1" w:themeFillShade="F2"/>
                  </w:tcPr>
                  <w:p>
                    <w:pPr>
                      <w:rPr>
                        <w:sz w:val="20"/>
                      </w:rPr>
                    </w:pPr>
                    <w:r>
                      <w:rPr>
                        <w:sz w:val="20"/>
                      </w:rPr>
                      <w:t>-</w:t>
                    </w:r>
                  </w:p>
                </w:tc>
                <w:tc>
                  <w:tcPr>
                    <w:tcW w:w="829" w:type="dxa"/>
                    <w:gridSpan w:val="3"/>
                    <w:shd w:val="clear" w:color="auto" w:fill="F2F2F2" w:themeFill="background1" w:themeFillShade="F2"/>
                  </w:tcPr>
                  <w:p>
                    <w:pPr>
                      <w:rPr>
                        <w:sz w:val="20"/>
                      </w:rPr>
                    </w:pPr>
                    <w:r>
                      <w:rPr>
                        <w:sz w:val="20"/>
                      </w:rPr>
                      <w:t>-</w:t>
                    </w:r>
                  </w:p>
                </w:tc>
                <w:tc>
                  <w:tcPr>
                    <w:tcW w:w="1014" w:type="dxa"/>
                    <w:gridSpan w:val="3"/>
                    <w:shd w:val="clear" w:color="auto" w:fill="F2F2F2" w:themeFill="background1" w:themeFillShade="F2"/>
                  </w:tcPr>
                  <w:p>
                    <w:pPr>
                      <w:rPr>
                        <w:sz w:val="20"/>
                      </w:rPr>
                    </w:pPr>
                    <w:r>
                      <w:rPr>
                        <w:sz w:val="20"/>
                      </w:rPr>
                      <w:t>-</w:t>
                    </w:r>
                  </w:p>
                </w:tc>
                <w:tc>
                  <w:tcPr>
                    <w:tcW w:w="681" w:type="dxa"/>
                    <w:gridSpan w:val="3"/>
                    <w:shd w:val="clear" w:color="auto" w:fill="F2F2F2" w:themeFill="background1" w:themeFillShade="F2"/>
                  </w:tcPr>
                  <w:p>
                    <w:pPr>
                      <w:rPr>
                        <w:sz w:val="20"/>
                      </w:rPr>
                    </w:pPr>
                    <w:r>
                      <w:rPr>
                        <w:sz w:val="20"/>
                      </w:rPr>
                      <w:t>-</w:t>
                    </w:r>
                  </w:p>
                </w:tc>
                <w:tc>
                  <w:tcPr>
                    <w:tcW w:w="1167" w:type="dxa"/>
                    <w:gridSpan w:val="2"/>
                    <w:shd w:val="clear" w:color="auto" w:fill="F2F2F2" w:themeFill="background1" w:themeFillShade="F2"/>
                  </w:tcPr>
                  <w:p>
                    <w:pPr>
                      <w:rPr>
                        <w:sz w:val="20"/>
                        <w:lang w:val="en-US"/>
                      </w:rPr>
                    </w:pPr>
                    <w:r>
                      <w:rPr>
                        <w:b/>
                        <w:bCs/>
                        <w:sz w:val="20"/>
                      </w:rPr>
                      <w:t>7 000</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w:t>
                    </w:r>
                  </w:p>
                </w:tc>
                <w:tc>
                  <w:tcPr>
                    <w:tcW w:w="1134" w:type="dxa"/>
                    <w:gridSpan w:val="2"/>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tcPr>
                  <w:p>
                    <w:pPr>
                      <w:rPr>
                        <w:sz w:val="20"/>
                      </w:rPr>
                    </w:pPr>
                    <w:r>
                      <w:rPr>
                        <w:sz w:val="20"/>
                      </w:rPr>
                      <w:t>8.1. Pavėžėjimo paslaugų organizavimą ir teikimą reglamentuojančių teisės aktų parengimas</w:t>
                    </w:r>
                  </w:p>
                </w:tc>
                <w:tc>
                  <w:tcPr>
                    <w:tcW w:w="699" w:type="dxa"/>
                  </w:tcPr>
                  <w:p>
                    <w:pPr>
                      <w:rPr>
                        <w:sz w:val="20"/>
                      </w:rPr>
                    </w:pPr>
                    <w:r>
                      <w:rPr>
                        <w:sz w:val="20"/>
                      </w:rPr>
                      <w:t>R</w:t>
                    </w:r>
                  </w:p>
                </w:tc>
                <w:tc>
                  <w:tcPr>
                    <w:tcW w:w="1985" w:type="dxa"/>
                  </w:tcPr>
                  <w:p>
                    <w:pPr>
                      <w:rPr>
                        <w:sz w:val="20"/>
                      </w:rPr>
                    </w:pPr>
                    <w:r>
                      <w:rPr>
                        <w:sz w:val="20"/>
                      </w:rPr>
                      <w:t>-</w:t>
                    </w:r>
                  </w:p>
                </w:tc>
                <w:tc>
                  <w:tcPr>
                    <w:tcW w:w="829" w:type="dxa"/>
                    <w:gridSpan w:val="3"/>
                  </w:tcPr>
                  <w:p>
                    <w:pPr>
                      <w:rPr>
                        <w:sz w:val="20"/>
                      </w:rPr>
                    </w:pPr>
                    <w:r>
                      <w:rPr>
                        <w:sz w:val="20"/>
                      </w:rPr>
                      <w:t>-</w:t>
                    </w:r>
                  </w:p>
                </w:tc>
                <w:tc>
                  <w:tcPr>
                    <w:tcW w:w="1014" w:type="dxa"/>
                    <w:gridSpan w:val="3"/>
                  </w:tcPr>
                  <w:p>
                    <w:pPr>
                      <w:rPr>
                        <w:sz w:val="20"/>
                      </w:rPr>
                    </w:pPr>
                    <w:r>
                      <w:rPr>
                        <w:sz w:val="20"/>
                      </w:rPr>
                      <w:t>Taip</w:t>
                    </w:r>
                  </w:p>
                </w:tc>
                <w:tc>
                  <w:tcPr>
                    <w:tcW w:w="681" w:type="dxa"/>
                    <w:gridSpan w:val="3"/>
                  </w:tcPr>
                  <w:p>
                    <w:pPr>
                      <w:rPr>
                        <w:sz w:val="20"/>
                      </w:rPr>
                    </w:pPr>
                    <w:r>
                      <w:rPr>
                        <w:sz w:val="20"/>
                      </w:rPr>
                      <w:t>-</w:t>
                    </w:r>
                  </w:p>
                </w:tc>
                <w:tc>
                  <w:tcPr>
                    <w:tcW w:w="1167" w:type="dxa"/>
                    <w:gridSpan w:val="2"/>
                  </w:tcPr>
                  <w:p>
                    <w:pPr>
                      <w:rPr>
                        <w:sz w:val="20"/>
                        <w:lang w:val="en-US"/>
                      </w:rPr>
                    </w:pPr>
                    <w:r>
                      <w:rPr>
                        <w:sz w:val="20"/>
                        <w:lang w:val="en-US"/>
                      </w:rPr>
                      <w:t>-</w:t>
                    </w:r>
                  </w:p>
                </w:tc>
                <w:tc>
                  <w:tcPr>
                    <w:tcW w:w="1118" w:type="dxa"/>
                  </w:tcPr>
                  <w:p>
                    <w:pPr>
                      <w:rPr>
                        <w:sz w:val="20"/>
                      </w:rPr>
                    </w:pPr>
                    <w:r>
                      <w:rPr>
                        <w:sz w:val="20"/>
                      </w:rPr>
                      <w:t>-</w:t>
                    </w:r>
                  </w:p>
                </w:tc>
                <w:tc>
                  <w:tcPr>
                    <w:tcW w:w="2001" w:type="dxa"/>
                    <w:gridSpan w:val="2"/>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1134" w:type="dxa"/>
                    <w:gridSpan w:val="2"/>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9"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130" w:type="dxa"/>
                    <w:gridSpan w:val="2"/>
                    <w:vMerge w:val="restart"/>
                  </w:tcPr>
                  <w:p>
                    <w:pPr>
                      <w:rPr>
                        <w:sz w:val="20"/>
                      </w:rPr>
                    </w:pPr>
                    <w:r>
                      <w:rPr>
                        <w:sz w:val="20"/>
                      </w:rPr>
                      <w:t>8.2. Bandomojo pavėžėjimo paslaugų teikimo projekto įgyvendinimas</w:t>
                    </w:r>
                  </w:p>
                </w:tc>
                <w:tc>
                  <w:tcPr>
                    <w:tcW w:w="699" w:type="dxa"/>
                    <w:vMerge w:val="restart"/>
                  </w:tcPr>
                  <w:p>
                    <w:pPr>
                      <w:rPr>
                        <w:sz w:val="20"/>
                      </w:rPr>
                    </w:pPr>
                    <w:r>
                      <w:rPr>
                        <w:sz w:val="20"/>
                      </w:rPr>
                      <w:t>M</w:t>
                    </w:r>
                  </w:p>
                </w:tc>
                <w:tc>
                  <w:tcPr>
                    <w:tcW w:w="1985" w:type="dxa"/>
                    <w:vMerge w:val="restart"/>
                  </w:tcPr>
                  <w:p>
                    <w:pPr>
                      <w:rPr>
                        <w:sz w:val="20"/>
                      </w:rPr>
                    </w:pPr>
                    <w:r>
                      <w:rPr>
                        <w:sz w:val="20"/>
                      </w:rPr>
                      <w:t>V</w:t>
                    </w:r>
                    <w:r>
                      <w:rPr>
                        <w:sz w:val="18"/>
                        <w:szCs w:val="18"/>
                      </w:rPr>
                      <w:t>šĮ Kauno miesto greitosios medicinos pagalbos stotis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lang w:val="en-US"/>
                      </w:rPr>
                    </w:pPr>
                    <w:r>
                      <w:rPr>
                        <w:sz w:val="20"/>
                        <w:lang w:val="en-US"/>
                      </w:rPr>
                      <w:t>7 000</w:t>
                    </w:r>
                  </w:p>
                </w:tc>
                <w:tc>
                  <w:tcPr>
                    <w:tcW w:w="1118" w:type="dxa"/>
                    <w:vMerge w:val="restart"/>
                  </w:tcPr>
                  <w:p>
                    <w:pPr>
                      <w:rPr>
                        <w:sz w:val="20"/>
                      </w:rPr>
                    </w:pPr>
                    <w:r>
                      <w:rPr>
                        <w:sz w:val="20"/>
                      </w:rPr>
                      <w:t>VB</w:t>
                    </w:r>
                  </w:p>
                </w:tc>
                <w:tc>
                  <w:tcPr>
                    <w:tcW w:w="2001" w:type="dxa"/>
                    <w:gridSpan w:val="2"/>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1134" w:type="dxa"/>
                    <w:gridSpan w:val="2"/>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1134" w:type="dxa"/>
                    <w:gridSpan w:val="2"/>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20"/>
                </w:trPr>
                <w:tc>
                  <w:tcPr>
                    <w:tcW w:w="2130" w:type="dxa"/>
                    <w:gridSpan w:val="2"/>
                    <w:vMerge w:val="restart"/>
                    <w:tcMar>
                      <w:left w:w="105" w:type="dxa"/>
                      <w:right w:w="105" w:type="dxa"/>
                    </w:tcMar>
                  </w:tcPr>
                  <w:p>
                    <w:pPr>
                      <w:rPr>
                        <w:color w:val="000000"/>
                        <w:sz w:val="20"/>
                      </w:rPr>
                    </w:pPr>
                    <w:r>
                      <w:rPr>
                        <w:b/>
                        <w:bCs/>
                        <w:color w:val="000000"/>
                        <w:sz w:val="20"/>
                      </w:rPr>
                      <w:t>9. Greitosios medicinos pagalbos tinklo veiklos efektyvumo didinimas:</w:t>
                    </w:r>
                  </w:p>
                </w:tc>
                <w:tc>
                  <w:tcPr>
                    <w:tcW w:w="699" w:type="dxa"/>
                    <w:vMerge w:val="restart"/>
                    <w:tcMar>
                      <w:left w:w="105" w:type="dxa"/>
                      <w:right w:w="105" w:type="dxa"/>
                    </w:tcMar>
                  </w:tcPr>
                  <w:p>
                    <w:pPr>
                      <w:rPr>
                        <w:color w:val="000000"/>
                        <w:sz w:val="20"/>
                      </w:rPr>
                    </w:pPr>
                    <w:r>
                      <w:rPr>
                        <w:color w:val="000000"/>
                        <w:sz w:val="20"/>
                      </w:rPr>
                      <w:t>-</w:t>
                    </w:r>
                  </w:p>
                </w:tc>
                <w:tc>
                  <w:tcPr>
                    <w:tcW w:w="2099" w:type="dxa"/>
                    <w:gridSpan w:val="2"/>
                    <w:vMerge w:val="restart"/>
                    <w:tcMar>
                      <w:left w:w="105" w:type="dxa"/>
                      <w:right w:w="105" w:type="dxa"/>
                    </w:tcMar>
                  </w:tcPr>
                  <w:p>
                    <w:pPr>
                      <w:rPr>
                        <w:color w:val="000000"/>
                        <w:sz w:val="20"/>
                      </w:rPr>
                    </w:pPr>
                    <w:r>
                      <w:rPr>
                        <w:color w:val="000000"/>
                        <w:sz w:val="20"/>
                      </w:rPr>
                      <w:t>-</w:t>
                    </w:r>
                  </w:p>
                </w:tc>
                <w:tc>
                  <w:tcPr>
                    <w:tcW w:w="680" w:type="dxa"/>
                    <w:vMerge w:val="restart"/>
                    <w:tcMar>
                      <w:left w:w="105" w:type="dxa"/>
                      <w:right w:w="105" w:type="dxa"/>
                    </w:tcMar>
                  </w:tcPr>
                  <w:p>
                    <w:pPr>
                      <w:rPr>
                        <w:color w:val="000000"/>
                        <w:sz w:val="20"/>
                      </w:rPr>
                    </w:pPr>
                    <w:r>
                      <w:rPr>
                        <w:color w:val="000000"/>
                        <w:sz w:val="20"/>
                      </w:rPr>
                      <w:t>-</w:t>
                    </w:r>
                  </w:p>
                </w:tc>
                <w:tc>
                  <w:tcPr>
                    <w:tcW w:w="1081" w:type="dxa"/>
                    <w:gridSpan w:val="5"/>
                    <w:vMerge w:val="restart"/>
                    <w:tcMar>
                      <w:left w:w="105" w:type="dxa"/>
                      <w:right w:w="105" w:type="dxa"/>
                    </w:tcMar>
                  </w:tcPr>
                  <w:p>
                    <w:pPr>
                      <w:rPr>
                        <w:color w:val="000000"/>
                        <w:sz w:val="20"/>
                      </w:rPr>
                    </w:pPr>
                    <w:r>
                      <w:rPr>
                        <w:color w:val="000000"/>
                        <w:sz w:val="20"/>
                      </w:rPr>
                      <w:t>-</w:t>
                    </w:r>
                  </w:p>
                </w:tc>
                <w:tc>
                  <w:tcPr>
                    <w:tcW w:w="625" w:type="dxa"/>
                    <w:vMerge w:val="restart"/>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sz w:val="4"/>
                        <w:szCs w:val="4"/>
                      </w:rPr>
                    </w:pPr>
                  </w:p>
                  <w:p>
                    <w:pPr>
                      <w:spacing w:afterLines="40" w:after="96"/>
                      <w:jc w:val="center"/>
                      <w:rPr>
                        <w:color w:val="000000"/>
                        <w:sz w:val="20"/>
                      </w:rPr>
                    </w:pPr>
                    <w:r>
                      <w:rPr>
                        <w:color w:val="000000"/>
                        <w:sz w:val="20"/>
                      </w:rPr>
                      <w:t>53 902,535</w:t>
                    </w:r>
                  </w:p>
                </w:tc>
                <w:tc>
                  <w:tcPr>
                    <w:tcW w:w="1118" w:type="dxa"/>
                    <w:tcMar>
                      <w:left w:w="105" w:type="dxa"/>
                      <w:right w:w="105" w:type="dxa"/>
                    </w:tcMar>
                  </w:tcPr>
                  <w:p>
                    <w:pPr>
                      <w:rPr>
                        <w:color w:val="000000"/>
                        <w:sz w:val="20"/>
                      </w:rPr>
                    </w:pPr>
                    <w:r>
                      <w:rPr>
                        <w:color w:val="000000"/>
                        <w:sz w:val="20"/>
                      </w:rPr>
                      <w:t xml:space="preserve">- </w:t>
                    </w:r>
                  </w:p>
                </w:tc>
                <w:tc>
                  <w:tcPr>
                    <w:tcW w:w="2001" w:type="dxa"/>
                    <w:gridSpan w:val="2"/>
                    <w:vMerge w:val="restart"/>
                    <w:tcMar>
                      <w:left w:w="105" w:type="dxa"/>
                      <w:right w:w="105" w:type="dxa"/>
                    </w:tcMar>
                  </w:tcPr>
                  <w:p>
                    <w:pPr>
                      <w:ind w:left="-57" w:right="-57"/>
                      <w:rPr>
                        <w:color w:val="000000"/>
                        <w:sz w:val="20"/>
                      </w:rPr>
                    </w:pPr>
                    <w:r>
                      <w:rPr>
                        <w:color w:val="000000"/>
                        <w:sz w:val="20"/>
                      </w:rPr>
                      <w:t>-</w:t>
                    </w:r>
                  </w:p>
                </w:tc>
                <w:tc>
                  <w:tcPr>
                    <w:tcW w:w="1001" w:type="dxa"/>
                    <w:vMerge w:val="restart"/>
                    <w:tcMar>
                      <w:left w:w="105" w:type="dxa"/>
                      <w:right w:w="105" w:type="dxa"/>
                    </w:tcMar>
                  </w:tcPr>
                  <w:p>
                    <w:pPr>
                      <w:ind w:left="-57" w:right="-57"/>
                      <w:jc w:val="center"/>
                      <w:rPr>
                        <w:color w:val="000000"/>
                        <w:sz w:val="20"/>
                      </w:rPr>
                    </w:pPr>
                    <w:r>
                      <w:rPr>
                        <w:color w:val="000000"/>
                        <w:sz w:val="20"/>
                      </w:rPr>
                      <w:t>-</w:t>
                    </w:r>
                  </w:p>
                </w:tc>
                <w:tc>
                  <w:tcPr>
                    <w:tcW w:w="1125" w:type="dxa"/>
                    <w:gridSpan w:val="2"/>
                    <w:vMerge w:val="restart"/>
                    <w:tcMar>
                      <w:left w:w="105" w:type="dxa"/>
                      <w:right w:w="105" w:type="dxa"/>
                    </w:tcMar>
                  </w:tcPr>
                  <w:p>
                    <w:pPr>
                      <w:rPr>
                        <w:color w:val="000000"/>
                        <w:sz w:val="20"/>
                      </w:rPr>
                    </w:pPr>
                    <w:r>
                      <w:rPr>
                        <w:color w:val="000000"/>
                        <w:sz w:val="20"/>
                      </w:rPr>
                      <w:t>-</w:t>
                    </w:r>
                  </w:p>
                </w:tc>
                <w:tc>
                  <w:tcPr>
                    <w:tcW w:w="1279" w:type="dxa"/>
                    <w:vMerge w:val="restart"/>
                    <w:tcMar>
                      <w:left w:w="105" w:type="dxa"/>
                      <w:right w:w="105" w:type="dxa"/>
                    </w:tcMar>
                    <w:vAlign w:val="center"/>
                  </w:tcPr>
                  <w:p>
                    <w:pPr>
                      <w:ind w:firstLine="53"/>
                      <w:rPr>
                        <w:color w:val="000000"/>
                        <w:sz w:val="20"/>
                      </w:rPr>
                    </w:pPr>
                  </w:p>
                </w:tc>
              </w:tr>
              <w:tr>
                <w:trPr>
                  <w:trHeight w:val="765"/>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 Sostinės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(BF, Sostinės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 VVL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6 028,243</w:t>
                    </w:r>
                  </w:p>
                </w:tc>
                <w:tc>
                  <w:tcPr>
                    <w:tcW w:w="1118" w:type="dxa"/>
                    <w:tcMar>
                      <w:left w:w="105" w:type="dxa"/>
                      <w:right w:w="105" w:type="dxa"/>
                    </w:tcMar>
                  </w:tcPr>
                  <w:p>
                    <w:pPr>
                      <w:rPr>
                        <w:color w:val="000000"/>
                        <w:sz w:val="20"/>
                      </w:rPr>
                    </w:pPr>
                    <w:r>
                      <w:rPr>
                        <w:color w:val="000000"/>
                        <w:sz w:val="20"/>
                      </w:rPr>
                      <w:t>2021–2027 m. IP (BF, VVL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tcMar>
                      <w:left w:w="105" w:type="dxa"/>
                      <w:right w:w="105" w:type="dxa"/>
                    </w:tcMar>
                  </w:tcPr>
                  <w:p>
                    <w:pPr>
                      <w:rPr>
                        <w:color w:val="000000"/>
                        <w:sz w:val="20"/>
                      </w:rPr>
                    </w:pPr>
                    <w:r>
                      <w:rPr>
                        <w:color w:val="000000"/>
                        <w:sz w:val="20"/>
                      </w:rPr>
                      <w:t>9.1. Centralizuotą greitosios medicinos pagalbos teikimą reglamentuojančių teisės aktų parengimas</w:t>
                    </w:r>
                  </w:p>
                </w:tc>
                <w:tc>
                  <w:tcPr>
                    <w:tcW w:w="699" w:type="dxa"/>
                    <w:tcMar>
                      <w:left w:w="105" w:type="dxa"/>
                      <w:right w:w="105" w:type="dxa"/>
                    </w:tcMar>
                  </w:tcPr>
                  <w:p>
                    <w:pPr>
                      <w:rPr>
                        <w:color w:val="000000"/>
                        <w:sz w:val="20"/>
                      </w:rPr>
                    </w:pPr>
                    <w:r>
                      <w:rPr>
                        <w:color w:val="000000"/>
                        <w:sz w:val="20"/>
                      </w:rPr>
                      <w:t>R</w:t>
                    </w:r>
                  </w:p>
                </w:tc>
                <w:tc>
                  <w:tcPr>
                    <w:tcW w:w="2099" w:type="dxa"/>
                    <w:gridSpan w:val="2"/>
                    <w:tcMar>
                      <w:left w:w="105" w:type="dxa"/>
                      <w:right w:w="105" w:type="dxa"/>
                    </w:tcMar>
                  </w:tcPr>
                  <w:p>
                    <w:pPr>
                      <w:rPr>
                        <w:color w:val="000000"/>
                        <w:sz w:val="20"/>
                      </w:rPr>
                    </w:pPr>
                    <w:r>
                      <w:rPr>
                        <w:color w:val="000000"/>
                        <w:sz w:val="20"/>
                      </w:rPr>
                      <w:t>-</w:t>
                    </w:r>
                  </w:p>
                </w:tc>
                <w:tc>
                  <w:tcPr>
                    <w:tcW w:w="680" w:type="dxa"/>
                    <w:tcMar>
                      <w:left w:w="105" w:type="dxa"/>
                      <w:right w:w="105" w:type="dxa"/>
                    </w:tcMar>
                  </w:tcPr>
                  <w:p>
                    <w:pPr>
                      <w:rPr>
                        <w:color w:val="000000"/>
                        <w:sz w:val="20"/>
                      </w:rPr>
                    </w:pPr>
                    <w:r>
                      <w:rPr>
                        <w:color w:val="000000"/>
                        <w:sz w:val="20"/>
                      </w:rPr>
                      <w:t>-</w:t>
                    </w:r>
                  </w:p>
                </w:tc>
                <w:tc>
                  <w:tcPr>
                    <w:tcW w:w="1081" w:type="dxa"/>
                    <w:gridSpan w:val="5"/>
                    <w:tcMar>
                      <w:left w:w="105" w:type="dxa"/>
                      <w:right w:w="105" w:type="dxa"/>
                    </w:tcMar>
                  </w:tcPr>
                  <w:p>
                    <w:pPr>
                      <w:rPr>
                        <w:color w:val="000000"/>
                        <w:sz w:val="20"/>
                      </w:rPr>
                    </w:pPr>
                    <w:r>
                      <w:rPr>
                        <w:color w:val="000000"/>
                        <w:sz w:val="20"/>
                      </w:rPr>
                      <w:t>Taip</w:t>
                    </w:r>
                  </w:p>
                </w:tc>
                <w:tc>
                  <w:tcPr>
                    <w:tcW w:w="625" w:type="dxa"/>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color w:val="000000"/>
                        <w:sz w:val="20"/>
                      </w:rPr>
                    </w:pPr>
                    <w:r>
                      <w:rPr>
                        <w:color w:val="000000"/>
                        <w:sz w:val="20"/>
                        <w:lang w:val="en-US"/>
                      </w:rPr>
                      <w:t>-</w:t>
                    </w:r>
                  </w:p>
                </w:tc>
                <w:tc>
                  <w:tcPr>
                    <w:tcW w:w="1118" w:type="dxa"/>
                    <w:tcMar>
                      <w:left w:w="105" w:type="dxa"/>
                      <w:right w:w="105" w:type="dxa"/>
                    </w:tcMar>
                  </w:tcPr>
                  <w:p>
                    <w:pPr>
                      <w:rPr>
                        <w:color w:val="000000"/>
                        <w:sz w:val="20"/>
                      </w:rPr>
                    </w:pPr>
                    <w:r>
                      <w:rPr>
                        <w:color w:val="000000"/>
                        <w:sz w:val="20"/>
                      </w:rPr>
                      <w:t>-</w:t>
                    </w:r>
                  </w:p>
                </w:tc>
                <w:tc>
                  <w:tcPr>
                    <w:tcW w:w="2001" w:type="dxa"/>
                    <w:gridSpan w:val="2"/>
                    <w:tcMar>
                      <w:left w:w="105" w:type="dxa"/>
                      <w:right w:w="105" w:type="dxa"/>
                    </w:tcMar>
                  </w:tcPr>
                  <w:p>
                    <w:pPr>
                      <w:ind w:left="-57" w:right="-57"/>
                      <w:rPr>
                        <w:color w:val="000000"/>
                        <w:sz w:val="20"/>
                      </w:rPr>
                    </w:pPr>
                    <w:r>
                      <w:rPr>
                        <w:color w:val="000000"/>
                        <w:sz w:val="20"/>
                      </w:rPr>
                      <w:t xml:space="preserve">P – Lietuvos Respublikos sveikatos priežiūros įstaigų įstatymo, Lietuvos Respublikos sveikatos sistemos įstatymo ir susijusių teisės aktų pakeitimų įsigaliojimas, kompl. </w:t>
                    </w:r>
                  </w:p>
                </w:tc>
                <w:tc>
                  <w:tcPr>
                    <w:tcW w:w="1001" w:type="dxa"/>
                    <w:tcMar>
                      <w:left w:w="105" w:type="dxa"/>
                      <w:right w:w="105" w:type="dxa"/>
                    </w:tcMar>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IV ketv.)</w:t>
                    </w:r>
                  </w:p>
                </w:tc>
                <w:tc>
                  <w:tcPr>
                    <w:tcW w:w="1125" w:type="dxa"/>
                    <w:gridSpan w:val="2"/>
                    <w:tcMar>
                      <w:left w:w="105" w:type="dxa"/>
                      <w:right w:w="105" w:type="dxa"/>
                    </w:tcMar>
                  </w:tcPr>
                  <w:p>
                    <w:pPr>
                      <w:jc w:val="center"/>
                      <w:rPr>
                        <w:color w:val="000000"/>
                        <w:sz w:val="20"/>
                      </w:rPr>
                    </w:pPr>
                    <w:r>
                      <w:rPr>
                        <w:color w:val="000000"/>
                        <w:sz w:val="20"/>
                      </w:rPr>
                      <w:t>-</w:t>
                    </w:r>
                  </w:p>
                </w:tc>
                <w:tc>
                  <w:tcPr>
                    <w:tcW w:w="1279" w:type="dxa"/>
                    <w:tcMar>
                      <w:left w:w="105" w:type="dxa"/>
                      <w:right w:w="105" w:type="dxa"/>
                    </w:tcMar>
                  </w:tcPr>
                  <w:p>
                    <w:pPr>
                      <w:jc w:val="center"/>
                      <w:rPr>
                        <w:color w:val="000000"/>
                        <w:sz w:val="20"/>
                      </w:rPr>
                    </w:pPr>
                    <w:r>
                      <w:rPr>
                        <w:color w:val="000000"/>
                        <w:sz w:val="20"/>
                      </w:rPr>
                      <w:t>SAM</w:t>
                    </w:r>
                  </w:p>
                </w:tc>
              </w:tr>
              <w:tr>
                <w:trPr>
                  <w:trHeight w:val="1290"/>
                </w:trPr>
                <w:tc>
                  <w:tcPr>
                    <w:tcW w:w="2130" w:type="dxa"/>
                    <w:gridSpan w:val="2"/>
                    <w:vMerge w:val="restart"/>
                    <w:tcMar>
                      <w:left w:w="105" w:type="dxa"/>
                      <w:right w:w="105" w:type="dxa"/>
                    </w:tcMar>
                  </w:tcPr>
                  <w:p>
                    <w:pPr>
                      <w:rPr>
                        <w:color w:val="000000"/>
                        <w:sz w:val="20"/>
                      </w:rPr>
                    </w:pPr>
                    <w:r>
                      <w:rPr>
                        <w:color w:val="000000"/>
                        <w:sz w:val="20"/>
                      </w:rPr>
                      <w:t>9.2. Greitosios medicinos pagalbos automobilių, įrangos įsigijimas</w:t>
                    </w:r>
                    <w:r>
                      <w:rPr>
                        <w:color w:val="0070C0"/>
                        <w:sz w:val="20"/>
                      </w:rPr>
                      <w:t xml:space="preserve">, </w:t>
                    </w:r>
                    <w:r>
                      <w:rPr>
                        <w:color w:val="000000"/>
                        <w:sz w:val="20"/>
                      </w:rPr>
                      <w:t>greitosios medicinos pagalbos stočių infrastruktūros pritaikymas, Sostinės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Greitosios medicinos pagalbos tarnyba (toliau –GMP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790 000</w:t>
                    </w:r>
                  </w:p>
                  <w:p>
                    <w:pPr>
                      <w:ind w:left="-57" w:right="-57"/>
                      <w:jc w:val="center"/>
                      <w:rPr>
                        <w:color w:val="000000"/>
                        <w:sz w:val="20"/>
                      </w:rPr>
                    </w:pPr>
                    <w:r>
                      <w:rPr>
                        <w:color w:val="000000"/>
                        <w:sz w:val="20"/>
                      </w:rPr>
                      <w:t>(2029 m.)</w:t>
                    </w:r>
                  </w:p>
                </w:tc>
                <w:tc>
                  <w:tcPr>
                    <w:tcW w:w="1125" w:type="dxa"/>
                    <w:gridSpan w:val="2"/>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jc w:val="center"/>
                      <w:rPr>
                        <w:color w:val="000000"/>
                        <w:sz w:val="20"/>
                      </w:rPr>
                    </w:pPr>
                    <w:r>
                      <w:rPr>
                        <w:color w:val="000000"/>
                        <w:sz w:val="20"/>
                      </w:rPr>
                      <w:t>SAM</w:t>
                    </w:r>
                  </w:p>
                </w:tc>
              </w:tr>
              <w:tr>
                <w:trPr>
                  <w:trHeight w:val="93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restart"/>
                    <w:tcMar>
                      <w:left w:w="105" w:type="dxa"/>
                      <w:right w:w="105" w:type="dxa"/>
                    </w:tcMar>
                  </w:tcPr>
                  <w:p>
                    <w:pPr>
                      <w:jc w:val="center"/>
                      <w:rPr>
                        <w:color w:val="000000"/>
                        <w:sz w:val="20"/>
                      </w:rPr>
                    </w:pPr>
                    <w:r>
                      <w:rPr>
                        <w:color w:val="000000"/>
                        <w:sz w:val="20"/>
                      </w:rPr>
                      <w:t>6 857,123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93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ign w:val="center"/>
                  </w:tcPr>
                  <w:p/>
                </w:tc>
                <w:tc>
                  <w:tcPr>
                    <w:tcW w:w="1118" w:type="dxa"/>
                    <w:vMerge/>
                    <w:vAlign w:val="center"/>
                  </w:tc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645"/>
                </w:trPr>
                <w:tc>
                  <w:tcPr>
                    <w:tcW w:w="2130" w:type="dxa"/>
                    <w:gridSpan w:val="2"/>
                    <w:vMerge w:val="restart"/>
                    <w:tcMar>
                      <w:left w:w="105" w:type="dxa"/>
                      <w:right w:w="105" w:type="dxa"/>
                    </w:tcMar>
                  </w:tcPr>
                  <w:p>
                    <w:pPr>
                      <w:rPr>
                        <w:color w:val="000000"/>
                        <w:sz w:val="20"/>
                      </w:rPr>
                    </w:pPr>
                    <w:r>
                      <w:rPr>
                        <w:color w:val="000000"/>
                        <w:sz w:val="20"/>
                      </w:rPr>
                      <w:t>9.3. Greitosios medicinos pagalbos automobilių, įrangos įsigijimas</w:t>
                    </w:r>
                    <w:r>
                      <w:rPr>
                        <w:color w:val="0070C0"/>
                        <w:sz w:val="20"/>
                      </w:rPr>
                      <w:t xml:space="preserve">,  </w:t>
                    </w:r>
                    <w:r>
                      <w:rPr>
                        <w:color w:val="000000"/>
                        <w:sz w:val="20"/>
                      </w:rPr>
                      <w:t>greitosios medicinos pagalbos stočių infrastruktūros pritaikymas,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 xml:space="preserve">2 000 000 </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645"/>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restart"/>
                    <w:tcMar>
                      <w:left w:w="105" w:type="dxa"/>
                      <w:right w:w="105" w:type="dxa"/>
                    </w:tcMar>
                  </w:tcPr>
                  <w:p>
                    <w:pPr>
                      <w:jc w:val="center"/>
                      <w:rPr>
                        <w:color w:val="000000"/>
                        <w:sz w:val="20"/>
                      </w:rPr>
                    </w:pPr>
                    <w:r>
                      <w:rPr>
                        <w:color w:val="000000"/>
                        <w:sz w:val="20"/>
                      </w:rPr>
                      <w:t>6 028, 243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ign w:val="center"/>
                  </w:tcPr>
                  <w:p/>
                </w:tc>
                <w:tc>
                  <w:tcPr>
                    <w:tcW w:w="1118" w:type="dxa"/>
                    <w:vMerge/>
                    <w:vAlign w:val="center"/>
                  </w:tc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b/>
                        <w:bCs/>
                        <w:color w:val="000000"/>
                        <w:sz w:val="20"/>
                      </w:rPr>
                    </w:pPr>
                    <w:r>
                      <w:rPr>
                        <w:color w:val="000000"/>
                        <w:sz w:val="20"/>
                      </w:rPr>
                      <w:t>(2029 m.)</w:t>
                    </w:r>
                  </w:p>
                </w:tc>
                <w:tc>
                  <w:tcPr>
                    <w:tcW w:w="1125" w:type="dxa"/>
                    <w:gridSpan w:val="2"/>
                    <w:vMerge/>
                    <w:vAlign w:val="center"/>
                  </w:tcPr>
                  <w:p/>
                </w:tc>
                <w:tc>
                  <w:tcPr>
                    <w:tcW w:w="1279" w:type="dxa"/>
                    <w:vMerge/>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860"/>
                      </w:tabs>
                    </w:pPr>
                    <w:r>
                      <w:rPr>
                        <w:b/>
                        <w:bCs/>
                        <w:color w:val="000000"/>
                        <w:sz w:val="20"/>
                      </w:rPr>
                      <w:t>10. Sveikatos priežiūros specialistų pasiūlos užtikrinimas: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24 906,182</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color w:val="000000"/>
                        <w:sz w:val="20"/>
                      </w:rPr>
                      <w:t xml:space="preserve">R </w:t>
                    </w:r>
                    <w:r>
                      <w:rPr>
                        <w:color w:val="000000"/>
                        <w:szCs w:val="24"/>
                      </w:rPr>
                      <w:t>–</w:t>
                    </w:r>
                    <w:r>
                      <w:rPr>
                        <w:color w:val="000000"/>
                        <w:sz w:val="20"/>
                      </w:rPr>
                      <w:t xml:space="preserve"> Gyventojų, dėl laukimo laiko (ilgų eilių) atidėjusių kreipimąsi dėl sveikatos priežiūros paslaugų, dalis, proc.</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color w:val="000000"/>
                        <w:sz w:val="20"/>
                      </w:rPr>
                      <w:t>6</w:t>
                    </w:r>
                  </w:p>
                  <w:p>
                    <w:pPr>
                      <w:ind w:left="-57" w:right="-57"/>
                      <w:jc w:val="center"/>
                    </w:pPr>
                    <w:r>
                      <w:rPr>
                        <w:color w:val="000000"/>
                        <w:sz w:val="20"/>
                      </w:rPr>
                      <w:t>(2030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53"/>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21 170,255</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3 735,927</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6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10.1. Sveikatos žmogiškųjų išteklių valdymo efektyvumo didinimas,</w:t>
                    </w:r>
                    <w:r>
                      <w:rPr>
                        <w:szCs w:val="24"/>
                      </w:rPr>
                      <w:t xml:space="preserve"> </w:t>
                    </w:r>
                    <w:r>
                      <w:rPr>
                        <w:sz w:val="20"/>
                      </w:rPr>
                      <w:t>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M</w:t>
                    </w:r>
                  </w:p>
                  <w:p>
                    <w:pPr>
                      <w:ind w:firstLine="53"/>
                    </w:pP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SAM</w:t>
                    </w:r>
                  </w:p>
                  <w:p>
                    <w:pPr>
                      <w:ind w:firstLine="53"/>
                    </w:pP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P</w:t>
                    </w:r>
                  </w:p>
                  <w:p>
                    <w:pPr>
                      <w:ind w:firstLine="53"/>
                    </w:pP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275,385</w:t>
                    </w:r>
                  </w:p>
                  <w:p>
                    <w:pPr>
                      <w:ind w:firstLine="53"/>
                    </w:pPr>
                  </w:p>
                  <w:p>
                    <w:pPr>
                      <w:ind w:firstLine="53"/>
                    </w:pPr>
                  </w:p>
                  <w:p>
                    <w:pPr>
                      <w:ind w:firstLine="53"/>
                    </w:pPr>
                  </w:p>
                  <w:p>
                    <w:pPr>
                      <w:ind w:firstLine="53"/>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2021–2027 m. IP (ESF+)</w:t>
                    </w:r>
                  </w:p>
                  <w:p>
                    <w:pPr>
                      <w:ind w:firstLine="53"/>
                    </w:pP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1</w:t>
                    </w:r>
                  </w:p>
                  <w:p>
                    <w:pPr>
                      <w:ind w:left="-57" w:right="-57"/>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3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48,597</w:t>
                    </w:r>
                  </w:p>
                </w:tc>
                <w:tc>
                  <w:tcPr>
                    <w:tcW w:w="1118"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 xml:space="preserve">2021–2027 m.  IP (BF)</w:t>
                    </w:r>
                  </w:p>
                  <w:p>
                    <w:pPr>
                      <w:ind w:firstLine="53"/>
                    </w:pP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9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Parengta ir patvirtinta ilgalaikė sveikatos žmogiškųjų išteklių valdymo strategija, vnt.</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w:t>
                    </w:r>
                  </w:p>
                  <w:p>
                    <w:pPr>
                      <w:ind w:left="-57" w:right="-57" w:firstLine="53"/>
                      <w:jc w:val="center"/>
                    </w:pPr>
                    <w:r>
                      <w:rPr>
                        <w:sz w:val="20"/>
                      </w:rPr>
                      <w:t>(2026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615"/>
                </w:trPr>
                <w:tc>
                  <w:tcPr>
                    <w:tcW w:w="2130" w:type="dxa"/>
                    <w:gridSpan w:val="2"/>
                    <w:vMerge w:val="restart"/>
                    <w:tcBorders>
                      <w:top w:val="single" w:sz="4" w:space="0" w:color="auto"/>
                      <w:left w:val="single" w:sz="4" w:space="0" w:color="auto"/>
                      <w:bottom w:val="single" w:sz="4" w:space="0" w:color="auto"/>
                      <w:right w:val="single" w:sz="4" w:space="0" w:color="auto"/>
                    </w:tcBorders>
                  </w:tcPr>
                  <w:p>
                    <w:pPr>
                      <w:rPr>
                        <w:sz w:val="20"/>
                      </w:rPr>
                    </w:pPr>
                    <w:r>
                      <w:rPr>
                        <w:sz w:val="20"/>
                      </w:rPr>
                      <w:t>10.2. Sveikatos priežiūros specialistų įgalinimo, pritraukimo ir išlaikymo sveikatos priežiūros įstaigoje modelio kūrimas ir diegimas, Vidurio ir vakarų Lietuvos regionas</w:t>
                    </w:r>
                  </w:p>
                  <w:p/>
                </w:tc>
                <w:tc>
                  <w:tcPr>
                    <w:tcW w:w="699" w:type="dxa"/>
                    <w:vMerge w:val="restart"/>
                    <w:tcBorders>
                      <w:top w:val="single" w:sz="4" w:space="0" w:color="auto"/>
                      <w:left w:val="single" w:sz="4" w:space="0" w:color="auto"/>
                      <w:right w:val="single" w:sz="4" w:space="0" w:color="auto"/>
                    </w:tcBorders>
                  </w:tcPr>
                  <w:p>
                    <w:r>
                      <w:rPr>
                        <w:sz w:val="20"/>
                      </w:rPr>
                      <w:t>I</w:t>
                    </w:r>
                  </w:p>
                  <w:p>
                    <w:pPr>
                      <w:ind w:firstLine="53"/>
                      <w:rPr>
                        <w:sz w:val="20"/>
                      </w:rPr>
                    </w:pPr>
                  </w:p>
                </w:tc>
                <w:tc>
                  <w:tcPr>
                    <w:tcW w:w="1985" w:type="dxa"/>
                    <w:vMerge w:val="restart"/>
                    <w:tcBorders>
                      <w:top w:val="single" w:sz="4" w:space="0" w:color="auto"/>
                      <w:left w:val="single" w:sz="4" w:space="0" w:color="auto"/>
                      <w:right w:val="single" w:sz="4" w:space="0" w:color="auto"/>
                    </w:tcBorders>
                  </w:tcPr>
                  <w:p>
                    <w:r>
                      <w:rPr>
                        <w:sz w:val="20"/>
                      </w:rPr>
                      <w:t>SAM</w:t>
                    </w:r>
                  </w:p>
                  <w:p>
                    <w:pPr>
                      <w:ind w:firstLine="53"/>
                      <w:rPr>
                        <w:sz w:val="20"/>
                      </w:rPr>
                    </w:pPr>
                  </w:p>
                </w:tc>
                <w:tc>
                  <w:tcPr>
                    <w:tcW w:w="829" w:type="dxa"/>
                    <w:gridSpan w:val="3"/>
                    <w:vMerge w:val="restart"/>
                    <w:tcBorders>
                      <w:top w:val="single" w:sz="4" w:space="0" w:color="auto"/>
                      <w:left w:val="single" w:sz="4" w:space="0" w:color="auto"/>
                      <w:right w:val="single" w:sz="4" w:space="0" w:color="auto"/>
                    </w:tcBorders>
                  </w:tcPr>
                  <w:p>
                    <w:r>
                      <w:rPr>
                        <w:sz w:val="20"/>
                      </w:rPr>
                      <w:t>P</w:t>
                    </w:r>
                  </w:p>
                  <w:p>
                    <w:pPr>
                      <w:ind w:firstLine="53"/>
                      <w:rPr>
                        <w:sz w:val="20"/>
                      </w:rPr>
                    </w:pPr>
                  </w:p>
                </w:tc>
                <w:tc>
                  <w:tcPr>
                    <w:tcW w:w="1006" w:type="dxa"/>
                    <w:gridSpan w:val="2"/>
                    <w:vMerge w:val="restart"/>
                    <w:tcBorders>
                      <w:top w:val="single" w:sz="4" w:space="0" w:color="auto"/>
                      <w:left w:val="single" w:sz="4" w:space="0" w:color="auto"/>
                      <w:right w:val="single" w:sz="4" w:space="0" w:color="auto"/>
                    </w:tcBorders>
                  </w:tcPr>
                  <w:p>
                    <w:r>
                      <w:rPr>
                        <w:sz w:val="20"/>
                      </w:rPr>
                      <w:t>Taip</w:t>
                    </w:r>
                  </w:p>
                  <w:p>
                    <w:pPr>
                      <w:ind w:firstLine="53"/>
                      <w:rPr>
                        <w:sz w:val="20"/>
                      </w:rPr>
                    </w:pPr>
                  </w:p>
                </w:tc>
                <w:tc>
                  <w:tcPr>
                    <w:tcW w:w="689" w:type="dxa"/>
                    <w:gridSpan w:val="4"/>
                    <w:vMerge w:val="restart"/>
                    <w:tcBorders>
                      <w:top w:val="single" w:sz="4" w:space="0" w:color="auto"/>
                      <w:left w:val="single" w:sz="4" w:space="0" w:color="auto"/>
                      <w:right w:val="single" w:sz="4" w:space="0" w:color="auto"/>
                    </w:tcBorders>
                  </w:tcPr>
                  <w:p>
                    <w:r>
                      <w:rPr>
                        <w:sz w:val="20"/>
                      </w:rPr>
                      <w:t>D</w:t>
                    </w:r>
                  </w:p>
                  <w:p>
                    <w:pPr>
                      <w:ind w:firstLine="53"/>
                      <w:rPr>
                        <w:sz w:val="20"/>
                      </w:rPr>
                    </w:pPr>
                  </w:p>
                </w:tc>
                <w:tc>
                  <w:tcPr>
                    <w:tcW w:w="1167" w:type="dxa"/>
                    <w:gridSpan w:val="2"/>
                    <w:tcBorders>
                      <w:top w:val="single" w:sz="4" w:space="0" w:color="auto"/>
                      <w:left w:val="single" w:sz="4" w:space="0" w:color="auto"/>
                      <w:bottom w:val="single" w:sz="4" w:space="0" w:color="auto"/>
                      <w:right w:val="single" w:sz="4" w:space="0" w:color="auto"/>
                    </w:tcBorders>
                  </w:tcPr>
                  <w:p>
                    <w:r>
                      <w:rPr>
                        <w:sz w:val="20"/>
                      </w:rPr>
                      <w:t>3 113,920</w:t>
                    </w:r>
                  </w:p>
                  <w:p>
                    <w:pPr>
                      <w:ind w:firstLine="53"/>
                    </w:pPr>
                  </w:p>
                  <w:p>
                    <w:pPr>
                      <w:ind w:firstLine="53"/>
                    </w:pPr>
                  </w:p>
                  <w:p>
                    <w:pPr>
                      <w:ind w:firstLine="53"/>
                      <w:rPr>
                        <w:sz w:val="20"/>
                        <w:lang w:val="en-US"/>
                      </w:rPr>
                    </w:pPr>
                  </w:p>
                  <w:p>
                    <w:pPr>
                      <w:rPr>
                        <w:sz w:val="20"/>
                        <w:lang w:val="en-US"/>
                      </w:rPr>
                    </w:pPr>
                  </w:p>
                  <w:p>
                    <w:pPr>
                      <w:rPr>
                        <w:sz w:val="20"/>
                        <w:lang w:val="en-US"/>
                      </w:rPr>
                    </w:pPr>
                  </w:p>
                  <w:p>
                    <w:pPr>
                      <w:rPr>
                        <w:sz w:val="20"/>
                        <w:lang w:val="en-US"/>
                      </w:rPr>
                    </w:pPr>
                  </w:p>
                  <w:p/>
                </w:tc>
                <w:tc>
                  <w:tcPr>
                    <w:tcW w:w="1118" w:type="dxa"/>
                    <w:tcBorders>
                      <w:top w:val="single" w:sz="4" w:space="0" w:color="auto"/>
                      <w:left w:val="single" w:sz="4" w:space="0" w:color="auto"/>
                      <w:bottom w:val="single" w:sz="4" w:space="0" w:color="auto"/>
                      <w:right w:val="single" w:sz="4" w:space="0" w:color="auto"/>
                    </w:tcBorders>
                  </w:tcPr>
                  <w:p>
                    <w:r>
                      <w:rPr>
                        <w:sz w:val="20"/>
                      </w:rPr>
                      <w:t xml:space="preserve">2021–2027 m. IP (ESF+) </w:t>
                    </w:r>
                  </w:p>
                  <w:p>
                    <w:pPr>
                      <w:ind w:firstLine="53"/>
                      <w:rPr>
                        <w:sz w:val="20"/>
                      </w:rPr>
                    </w:pPr>
                  </w:p>
                  <w:p>
                    <w:pPr>
                      <w:rPr>
                        <w:sz w:val="20"/>
                      </w:rPr>
                    </w:pPr>
                  </w:p>
                  <w:p>
                    <w:pPr>
                      <w:rPr>
                        <w:sz w:val="20"/>
                      </w:rPr>
                    </w:pPr>
                  </w:p>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p>
                    <w:pPr>
                      <w:ind w:right="-57"/>
                    </w:pP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184"/>
                        <w:tab w:val="center" w:pos="317"/>
                      </w:tabs>
                      <w:ind w:left="-57" w:right="-57"/>
                      <w:jc w:val="center"/>
                    </w:pPr>
                    <w:r>
                      <w:rPr>
                        <w:sz w:val="20"/>
                      </w:rPr>
                      <w:t>1</w:t>
                    </w:r>
                  </w:p>
                  <w:p>
                    <w:pPr>
                      <w:tabs>
                        <w:tab w:val="left" w:pos="184"/>
                        <w:tab w:val="center" w:pos="317"/>
                      </w:tabs>
                      <w:ind w:left="-57" w:right="-57"/>
                      <w:jc w:val="center"/>
                    </w:pPr>
                    <w:r>
                      <w:rPr>
                        <w:sz w:val="20"/>
                      </w:rPr>
                      <w:t>(2029 m.)</w:t>
                    </w: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tc>
                <w:tc>
                  <w:tcPr>
                    <w:tcW w:w="992" w:type="dxa"/>
                    <w:vMerge w:val="restart"/>
                    <w:tcBorders>
                      <w:top w:val="single" w:sz="4" w:space="0" w:color="auto"/>
                      <w:left w:val="single" w:sz="4" w:space="0" w:color="auto"/>
                      <w:right w:val="single" w:sz="4" w:space="0" w:color="auto"/>
                    </w:tcBorders>
                    <w:tcMar>
                      <w:left w:w="108" w:type="dxa"/>
                      <w:right w:w="108" w:type="dxa"/>
                    </w:tcMar>
                  </w:tcPr>
                  <w:p>
                    <w:r>
                      <w:rPr>
                        <w:sz w:val="20"/>
                      </w:rPr>
                      <w:t>CPVA</w:t>
                    </w:r>
                  </w:p>
                  <w:p>
                    <w:pPr>
                      <w:ind w:firstLine="53"/>
                    </w:pPr>
                  </w:p>
                  <w:p>
                    <w:pPr>
                      <w:ind w:firstLine="53"/>
                    </w:pPr>
                  </w:p>
                  <w:p>
                    <w:pPr>
                      <w:ind w:firstLine="53"/>
                    </w:pPr>
                  </w:p>
                </w:tc>
                <w:tc>
                  <w:tcPr>
                    <w:tcW w:w="1279" w:type="dxa"/>
                    <w:vMerge w:val="restart"/>
                    <w:tcBorders>
                      <w:top w:val="single" w:sz="4" w:space="0" w:color="auto"/>
                      <w:left w:val="single" w:sz="4" w:space="0" w:color="auto"/>
                      <w:right w:val="single" w:sz="4" w:space="0" w:color="auto"/>
                    </w:tcBorders>
                    <w:tcMar>
                      <w:left w:w="108" w:type="dxa"/>
                      <w:right w:w="108" w:type="dxa"/>
                    </w:tcMar>
                  </w:tcPr>
                  <w:p>
                    <w:pPr>
                      <w:jc w:val="center"/>
                    </w:pPr>
                    <w:r>
                      <w:rPr>
                        <w:sz w:val="20"/>
                      </w:rPr>
                      <w:t>SAM</w:t>
                    </w:r>
                  </w:p>
                  <w:p>
                    <w:pPr>
                      <w:ind w:firstLine="53"/>
                      <w:jc w:val="center"/>
                    </w:pPr>
                  </w:p>
                  <w:p>
                    <w:pPr>
                      <w:ind w:firstLine="53"/>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48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left w:val="single" w:sz="4" w:space="0" w:color="auto"/>
                      <w:right w:val="single" w:sz="4" w:space="0" w:color="auto"/>
                    </w:tcBorders>
                    <w:vAlign w:val="center"/>
                  </w:tcPr>
                  <w:p/>
                </w:tc>
                <w:tc>
                  <w:tcPr>
                    <w:tcW w:w="1985" w:type="dxa"/>
                    <w:vMerge/>
                    <w:tcBorders>
                      <w:left w:val="single" w:sz="4" w:space="0" w:color="auto"/>
                      <w:right w:val="single" w:sz="4" w:space="0" w:color="auto"/>
                    </w:tcBorders>
                    <w:vAlign w:val="center"/>
                  </w:tcPr>
                  <w:p/>
                </w:tc>
                <w:tc>
                  <w:tcPr>
                    <w:tcW w:w="829" w:type="dxa"/>
                    <w:gridSpan w:val="3"/>
                    <w:vMerge/>
                    <w:tcBorders>
                      <w:left w:val="single" w:sz="4" w:space="0" w:color="auto"/>
                      <w:right w:val="single" w:sz="4" w:space="0" w:color="auto"/>
                    </w:tcBorders>
                    <w:vAlign w:val="center"/>
                  </w:tcPr>
                  <w:p/>
                </w:tc>
                <w:tc>
                  <w:tcPr>
                    <w:tcW w:w="1006" w:type="dxa"/>
                    <w:gridSpan w:val="2"/>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vAlign w:val="center"/>
                  </w:tcPr>
                  <w:p>
                    <w:pPr>
                      <w:rPr>
                        <w:sz w:val="20"/>
                      </w:rPr>
                    </w:pPr>
                    <w:r>
                      <w:rPr>
                        <w:sz w:val="20"/>
                      </w:rPr>
                      <w:t>549,515</w:t>
                    </w:r>
                  </w:p>
                  <w:p/>
                </w:tc>
                <w:tc>
                  <w:tcPr>
                    <w:tcW w:w="111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2021–2027 m. IP (BF)</w:t>
                    </w:r>
                  </w:p>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6</w:t>
                    </w:r>
                  </w:p>
                  <w:p>
                    <w:pPr>
                      <w:ind w:left="-57" w:right="-57"/>
                      <w:jc w:val="center"/>
                      <w:rPr>
                        <w:sz w:val="20"/>
                      </w:rPr>
                    </w:pPr>
                    <w:r>
                      <w:rPr>
                        <w:sz w:val="20"/>
                      </w:rPr>
                      <w:t>(2029 m.)</w:t>
                    </w:r>
                  </w:p>
                </w:tc>
                <w:tc>
                  <w:tcPr>
                    <w:tcW w:w="992" w:type="dxa"/>
                    <w:vMerge/>
                    <w:tcBorders>
                      <w:left w:val="single" w:sz="4" w:space="0" w:color="auto"/>
                      <w:right w:val="single" w:sz="4" w:space="0" w:color="auto"/>
                    </w:tcBorders>
                    <w:vAlign w:val="center"/>
                  </w:tc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30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left w:val="single" w:sz="4" w:space="0" w:color="auto"/>
                      <w:right w:val="single" w:sz="4" w:space="0" w:color="auto"/>
                    </w:tcBorders>
                    <w:vAlign w:val="center"/>
                  </w:tcPr>
                  <w:p/>
                </w:tc>
                <w:tc>
                  <w:tcPr>
                    <w:tcW w:w="1985" w:type="dxa"/>
                    <w:vMerge/>
                    <w:tcBorders>
                      <w:left w:val="single" w:sz="4" w:space="0" w:color="auto"/>
                      <w:right w:val="single" w:sz="4" w:space="0" w:color="auto"/>
                    </w:tcBorders>
                    <w:vAlign w:val="center"/>
                  </w:tcPr>
                  <w:p/>
                </w:tc>
                <w:tc>
                  <w:tcPr>
                    <w:tcW w:w="829" w:type="dxa"/>
                    <w:gridSpan w:val="3"/>
                    <w:vMerge/>
                    <w:tcBorders>
                      <w:left w:val="single" w:sz="4" w:space="0" w:color="auto"/>
                      <w:right w:val="single" w:sz="4" w:space="0" w:color="auto"/>
                    </w:tcBorders>
                    <w:vAlign w:val="center"/>
                  </w:tcPr>
                  <w:p/>
                </w:tc>
                <w:tc>
                  <w:tcPr>
                    <w:tcW w:w="1006" w:type="dxa"/>
                    <w:gridSpan w:val="2"/>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167" w:type="dxa"/>
                    <w:gridSpan w:val="2"/>
                    <w:vMerge w:val="restart"/>
                    <w:tcBorders>
                      <w:top w:val="single" w:sz="4" w:space="0" w:color="auto"/>
                      <w:left w:val="single" w:sz="4" w:space="0" w:color="auto"/>
                      <w:bottom w:val="single" w:sz="4" w:space="0" w:color="auto"/>
                      <w:right w:val="single" w:sz="4" w:space="0" w:color="auto"/>
                    </w:tcBorders>
                    <w:vAlign w:val="center"/>
                  </w:tcPr>
                  <w:p/>
                </w:tc>
                <w:tc>
                  <w:tcPr>
                    <w:tcW w:w="1118" w:type="dxa"/>
                    <w:vMerge w:val="restart"/>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80</w:t>
                    </w:r>
                  </w:p>
                  <w:p>
                    <w:pPr>
                      <w:ind w:left="-57" w:right="-57"/>
                      <w:jc w:val="center"/>
                    </w:pPr>
                    <w:r>
                      <w:rPr>
                        <w:sz w:val="20"/>
                      </w:rPr>
                      <w:t>(2029 m.)</w:t>
                    </w:r>
                  </w:p>
                </w:tc>
                <w:tc>
                  <w:tcPr>
                    <w:tcW w:w="992" w:type="dxa"/>
                    <w:vMerge/>
                    <w:tcBorders>
                      <w:left w:val="single" w:sz="4" w:space="0" w:color="auto"/>
                      <w:right w:val="single" w:sz="4" w:space="0" w:color="auto"/>
                    </w:tcBorders>
                    <w:vAlign w:val="center"/>
                  </w:tc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699" w:type="dxa"/>
                    <w:vMerge/>
                    <w:tcBorders>
                      <w:left w:val="single" w:sz="4" w:space="0" w:color="auto"/>
                      <w:right w:val="single" w:sz="4" w:space="0" w:color="auto"/>
                    </w:tcBorders>
                    <w:tcMar>
                      <w:left w:w="108" w:type="dxa"/>
                      <w:right w:w="108" w:type="dxa"/>
                    </w:tcMar>
                  </w:tcPr>
                  <w:p/>
                </w:tc>
                <w:tc>
                  <w:tcPr>
                    <w:tcW w:w="1985" w:type="dxa"/>
                    <w:vMerge/>
                    <w:tcBorders>
                      <w:left w:val="single" w:sz="4" w:space="0" w:color="auto"/>
                      <w:right w:val="single" w:sz="4" w:space="0" w:color="auto"/>
                    </w:tcBorders>
                    <w:tcMar>
                      <w:left w:w="108" w:type="dxa"/>
                      <w:right w:w="108" w:type="dxa"/>
                    </w:tcMar>
                  </w:tcPr>
                  <w:p/>
                </w:tc>
                <w:tc>
                  <w:tcPr>
                    <w:tcW w:w="829" w:type="dxa"/>
                    <w:gridSpan w:val="3"/>
                    <w:vMerge/>
                    <w:tcBorders>
                      <w:left w:val="single" w:sz="4" w:space="0" w:color="auto"/>
                      <w:right w:val="single" w:sz="4" w:space="0" w:color="auto"/>
                    </w:tcBorders>
                    <w:tcMar>
                      <w:left w:w="108" w:type="dxa"/>
                      <w:right w:w="108" w:type="dxa"/>
                    </w:tcMar>
                  </w:tcPr>
                  <w:p/>
                </w:tc>
                <w:tc>
                  <w:tcPr>
                    <w:tcW w:w="1006" w:type="dxa"/>
                    <w:gridSpan w:val="2"/>
                    <w:vMerge/>
                    <w:tcBorders>
                      <w:left w:val="single" w:sz="4" w:space="0" w:color="auto"/>
                      <w:right w:val="single" w:sz="4" w:space="0" w:color="auto"/>
                    </w:tcBorders>
                    <w:tcMar>
                      <w:left w:w="108" w:type="dxa"/>
                      <w:right w:w="108" w:type="dxa"/>
                    </w:tcMar>
                  </w:tcPr>
                  <w:p/>
                </w:tc>
                <w:tc>
                  <w:tcPr>
                    <w:tcW w:w="689" w:type="dxa"/>
                    <w:gridSpan w:val="4"/>
                    <w:vMerge/>
                    <w:tcBorders>
                      <w:left w:val="single" w:sz="4" w:space="0" w:color="auto"/>
                      <w:right w:val="single" w:sz="4" w:space="0" w:color="auto"/>
                    </w:tcBorders>
                    <w:tcMar>
                      <w:left w:w="108" w:type="dxa"/>
                      <w:right w:w="108" w:type="dxa"/>
                    </w:tcMar>
                  </w:tcPr>
                  <w:p/>
                </w:tc>
                <w:tc>
                  <w:tcPr>
                    <w:tcW w:w="1167"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1118" w:type="dxa"/>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490</w:t>
                    </w:r>
                  </w:p>
                  <w:p>
                    <w:pPr>
                      <w:ind w:left="-57" w:right="-57"/>
                      <w:jc w:val="center"/>
                    </w:pPr>
                    <w:r>
                      <w:rPr>
                        <w:sz w:val="20"/>
                      </w:rPr>
                      <w:t>(2029 m.)</w:t>
                    </w:r>
                  </w:p>
                  <w:p>
                    <w:pPr>
                      <w:ind w:left="-57" w:right="-57" w:firstLine="53"/>
                      <w:jc w:val="center"/>
                    </w:pPr>
                  </w:p>
                </w:tc>
                <w:tc>
                  <w:tcPr>
                    <w:tcW w:w="992" w:type="dxa"/>
                    <w:vMerge/>
                    <w:tcBorders>
                      <w:left w:val="single" w:sz="4" w:space="0" w:color="auto"/>
                      <w:right w:val="single" w:sz="4" w:space="0" w:color="auto"/>
                    </w:tcBorders>
                    <w:tcMar>
                      <w:left w:w="108" w:type="dxa"/>
                      <w:right w:w="108" w:type="dxa"/>
                    </w:tcMar>
                  </w:tcPr>
                  <w:p/>
                </w:tc>
                <w:tc>
                  <w:tcPr>
                    <w:tcW w:w="1279" w:type="dxa"/>
                    <w:vMerge/>
                    <w:tcBorders>
                      <w:left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08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left w:val="single" w:sz="4" w:space="0" w:color="auto"/>
                      <w:bottom w:val="single" w:sz="4" w:space="0" w:color="auto"/>
                      <w:right w:val="single" w:sz="4" w:space="0" w:color="auto"/>
                    </w:tcBorders>
                    <w:vAlign w:val="center"/>
                  </w:tcPr>
                  <w:p/>
                </w:tc>
                <w:tc>
                  <w:tcPr>
                    <w:tcW w:w="1985" w:type="dxa"/>
                    <w:vMerge/>
                    <w:tcBorders>
                      <w:left w:val="single" w:sz="4" w:space="0" w:color="auto"/>
                      <w:bottom w:val="single" w:sz="4" w:space="0" w:color="auto"/>
                      <w:right w:val="single" w:sz="4" w:space="0" w:color="auto"/>
                    </w:tcBorders>
                    <w:vAlign w:val="center"/>
                  </w:tcPr>
                  <w:p/>
                </w:tc>
                <w:tc>
                  <w:tcPr>
                    <w:tcW w:w="829" w:type="dxa"/>
                    <w:gridSpan w:val="3"/>
                    <w:vMerge/>
                    <w:tcBorders>
                      <w:left w:val="single" w:sz="4" w:space="0" w:color="auto"/>
                      <w:bottom w:val="single" w:sz="4" w:space="0" w:color="auto"/>
                      <w:right w:val="single" w:sz="4" w:space="0" w:color="auto"/>
                    </w:tcBorders>
                    <w:vAlign w:val="center"/>
                  </w:tcPr>
                  <w:p/>
                </w:tc>
                <w:tc>
                  <w:tcPr>
                    <w:tcW w:w="1006" w:type="dxa"/>
                    <w:gridSpan w:val="2"/>
                    <w:vMerge/>
                    <w:tcBorders>
                      <w:left w:val="single" w:sz="4" w:space="0" w:color="auto"/>
                      <w:bottom w:val="single" w:sz="4" w:space="0" w:color="auto"/>
                      <w:right w:val="single" w:sz="4" w:space="0" w:color="auto"/>
                    </w:tcBorders>
                    <w:vAlign w:val="center"/>
                  </w:tcPr>
                  <w:p/>
                </w:tc>
                <w:tc>
                  <w:tcPr>
                    <w:tcW w:w="689" w:type="dxa"/>
                    <w:gridSpan w:val="4"/>
                    <w:vMerge/>
                    <w:tcBorders>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90</w:t>
                    </w:r>
                  </w:p>
                  <w:p>
                    <w:pPr>
                      <w:ind w:left="-57" w:right="-57"/>
                      <w:jc w:val="center"/>
                    </w:pPr>
                    <w:r>
                      <w:rPr>
                        <w:sz w:val="20"/>
                      </w:rPr>
                      <w:t>(2029 m.)</w:t>
                    </w:r>
                  </w:p>
                </w:tc>
                <w:tc>
                  <w:tcPr>
                    <w:tcW w:w="992" w:type="dxa"/>
                    <w:vMerge/>
                    <w:tcBorders>
                      <w:left w:val="single" w:sz="4" w:space="0" w:color="auto"/>
                      <w:bottom w:val="single" w:sz="4" w:space="0" w:color="auto"/>
                      <w:right w:val="single" w:sz="4" w:space="0" w:color="auto"/>
                    </w:tcBorders>
                    <w:tcMar>
                      <w:left w:w="108" w:type="dxa"/>
                      <w:right w:w="108" w:type="dxa"/>
                    </w:tcMar>
                  </w:tcPr>
                  <w:p/>
                </w:tc>
                <w:tc>
                  <w:tcPr>
                    <w:tcW w:w="1279" w:type="dxa"/>
                    <w:vMerge/>
                    <w:tcBorders>
                      <w:left w:val="single" w:sz="4" w:space="0" w:color="auto"/>
                      <w:bottom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4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10.3.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Savivaldybių administracijos</w:t>
                    </w:r>
                    <w:r>
                      <w:rPr>
                        <w:strike/>
                        <w:color w:val="000000"/>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15 230,950</w:t>
                    </w:r>
                  </w:p>
                  <w:p>
                    <w:pPr>
                      <w:ind w:firstLine="62"/>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w:t>
                    </w: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P – Asmenys, dalyvavę kvalifikacijos įgijimo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240</w:t>
                    </w:r>
                  </w:p>
                  <w:p>
                    <w:pPr>
                      <w:jc w:val="center"/>
                    </w:pPr>
                    <w:r>
                      <w:rPr>
                        <w:color w:val="000000"/>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2 687,815</w:t>
                    </w:r>
                  </w:p>
                  <w:p>
                    <w:pPr>
                      <w:ind w:firstLine="62"/>
                    </w:pPr>
                  </w:p>
                </w:tc>
                <w:tc>
                  <w:tcPr>
                    <w:tcW w:w="1118"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w:t>
                    </w:r>
                  </w:p>
                  <w:p>
                    <w:pPr>
                      <w:ind w:firstLine="53"/>
                    </w:pP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R – Asmenų, kurie po dalyvavimo veiklose įgijo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10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 –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98</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82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10.4.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SAM, VASPVT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2 550,00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w:t>
                    </w: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P – Specialistai, dalyvavę kvalifikacijos tobulinimo ar perkvalifikavimo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10</w:t>
                    </w:r>
                  </w:p>
                  <w:p>
                    <w:pPr>
                      <w:jc w:val="center"/>
                    </w:pPr>
                    <w:r>
                      <w:rPr>
                        <w:sz w:val="20"/>
                      </w:rPr>
                      <w:t>(2029 m.)</w:t>
                    </w:r>
                  </w:p>
                  <w:p>
                    <w:pPr>
                      <w:ind w:firstLine="53"/>
                      <w:jc w:val="center"/>
                    </w:pP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450,00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w:t>
                    </w:r>
                  </w:p>
                  <w:p>
                    <w:pPr>
                      <w:ind w:firstLine="53"/>
                    </w:pP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11. Specialistų kvalifikacijos tobulinimas ir perkvalifikavimas: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17 690,542</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color w:val="000000"/>
                        <w:sz w:val="20"/>
                      </w:rPr>
                    </w:pPr>
                    <w:r>
                      <w:rPr>
                        <w:color w:val="000000"/>
                        <w:sz w:val="20"/>
                      </w:rPr>
                      <w:t>-</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8 627,961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 xml:space="preserve">2021–2027 m. IP (ESF+, VVL regionas) </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1 522,581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it-IT"/>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2 100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440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5 000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198"/>
                </w:trPr>
                <w:tc>
                  <w:tcPr>
                    <w:tcW w:w="2130" w:type="dxa"/>
                    <w:gridSpan w:val="2"/>
                    <w:shd w:val="clear" w:color="auto" w:fill="auto"/>
                  </w:tcPr>
                  <w:p>
                    <w:pPr>
                      <w:rPr>
                        <w:sz w:val="20"/>
                      </w:rPr>
                    </w:pPr>
                    <w:r>
                      <w:rPr>
                        <w:sz w:val="20"/>
                      </w:rPr>
                      <w:t xml:space="preserve">11.1. Sveikatos priežiūros  specialistų kvalifikaciją ir darbo sąlygas tobulinančių teisės aktų rengimas</w:t>
                    </w:r>
                  </w:p>
                </w:tc>
                <w:tc>
                  <w:tcPr>
                    <w:tcW w:w="699" w:type="dxa"/>
                    <w:shd w:val="clear" w:color="auto" w:fill="auto"/>
                  </w:tcPr>
                  <w:p>
                    <w:pPr>
                      <w:rPr>
                        <w:sz w:val="20"/>
                      </w:rPr>
                    </w:pPr>
                    <w:r>
                      <w:rPr>
                        <w:sz w:val="20"/>
                      </w:rPr>
                      <w:t>R</w:t>
                    </w:r>
                  </w:p>
                </w:tc>
                <w:tc>
                  <w:tcPr>
                    <w:tcW w:w="1985" w:type="dxa"/>
                    <w:shd w:val="clear" w:color="auto" w:fill="auto"/>
                  </w:tcPr>
                  <w:p>
                    <w:pPr>
                      <w:rPr>
                        <w:sz w:val="20"/>
                      </w:rPr>
                    </w:pPr>
                    <w:r>
                      <w:rPr>
                        <w:sz w:val="20"/>
                      </w:rPr>
                      <w:t>-</w:t>
                    </w:r>
                  </w:p>
                </w:tc>
                <w:tc>
                  <w:tcPr>
                    <w:tcW w:w="829" w:type="dxa"/>
                    <w:gridSpan w:val="3"/>
                    <w:shd w:val="clear" w:color="auto" w:fill="auto"/>
                  </w:tcPr>
                  <w:p>
                    <w:pPr>
                      <w:rPr>
                        <w:sz w:val="20"/>
                      </w:rPr>
                    </w:pPr>
                    <w:r>
                      <w:rPr>
                        <w:sz w:val="20"/>
                      </w:rPr>
                      <w:t>-</w:t>
                    </w:r>
                  </w:p>
                </w:tc>
                <w:tc>
                  <w:tcPr>
                    <w:tcW w:w="1014" w:type="dxa"/>
                    <w:gridSpan w:val="3"/>
                    <w:shd w:val="clear" w:color="auto" w:fill="auto"/>
                  </w:tcPr>
                  <w:p>
                    <w:pPr>
                      <w:rPr>
                        <w:sz w:val="20"/>
                      </w:rPr>
                    </w:pPr>
                    <w:r>
                      <w:rPr>
                        <w:sz w:val="20"/>
                      </w:rPr>
                      <w:t>Taip</w:t>
                    </w:r>
                  </w:p>
                </w:tc>
                <w:tc>
                  <w:tcPr>
                    <w:tcW w:w="681" w:type="dxa"/>
                    <w:gridSpan w:val="3"/>
                    <w:shd w:val="clear" w:color="auto" w:fill="auto"/>
                  </w:tcPr>
                  <w:p>
                    <w:pPr>
                      <w:rPr>
                        <w:sz w:val="20"/>
                      </w:rPr>
                    </w:pPr>
                    <w:r>
                      <w:rPr>
                        <w:sz w:val="20"/>
                      </w:rPr>
                      <w:t>-</w:t>
                    </w:r>
                  </w:p>
                </w:tc>
                <w:tc>
                  <w:tcPr>
                    <w:tcW w:w="1167" w:type="dxa"/>
                    <w:gridSpan w:val="2"/>
                    <w:shd w:val="clear" w:color="auto" w:fill="auto"/>
                  </w:tcPr>
                  <w:p>
                    <w:pPr>
                      <w:rPr>
                        <w:sz w:val="20"/>
                        <w:lang w:val="en-US"/>
                      </w:rPr>
                    </w:pPr>
                    <w:r>
                      <w:rPr>
                        <w:sz w:val="20"/>
                        <w:lang w:val="en-US"/>
                      </w:rPr>
                      <w:t>-</w:t>
                    </w:r>
                  </w:p>
                </w:tc>
                <w:tc>
                  <w:tcPr>
                    <w:tcW w:w="1118" w:type="dxa"/>
                    <w:shd w:val="clear" w:color="auto" w:fill="auto"/>
                  </w:tcPr>
                  <w:p>
                    <w:pPr>
                      <w:rPr>
                        <w:sz w:val="20"/>
                      </w:rPr>
                    </w:pPr>
                    <w:r>
                      <w:rPr>
                        <w:sz w:val="20"/>
                      </w:rPr>
                      <w:t>-</w:t>
                    </w:r>
                  </w:p>
                </w:tc>
                <w:tc>
                  <w:tcPr>
                    <w:tcW w:w="2001" w:type="dxa"/>
                    <w:gridSpan w:val="2"/>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1134" w:type="dxa"/>
                    <w:gridSpan w:val="2"/>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9"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11.2. Sveikatos priežiūros  specialistų kvalifikacijos tobulinimas,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SAM</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8 627,961</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vMerge w:val="restart"/>
                    <w:tcBorders>
                      <w:top w:val="single" w:sz="4" w:space="0" w:color="auto"/>
                      <w:left w:val="single" w:sz="4" w:space="0" w:color="auto"/>
                      <w:bottom w:val="single" w:sz="4" w:space="0" w:color="auto"/>
                      <w:right w:val="single" w:sz="4" w:space="0" w:color="auto"/>
                    </w:tcBorders>
                    <w:hideMark/>
                  </w:tcPr>
                  <w:p>
                    <w:pPr>
                      <w:ind w:right="-57"/>
                      <w:rPr>
                        <w:sz w:val="20"/>
                      </w:rPr>
                    </w:pPr>
                    <w:r>
                      <w:rPr>
                        <w:sz w:val="20"/>
                      </w:rPr>
                      <w:t>P – Specialistai, dalyvavę kvalifikacijos tobulinimo ar perkvalifikavimo veiklose, asmenys</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22 130</w:t>
                    </w:r>
                  </w:p>
                  <w:p>
                    <w:pPr>
                      <w:ind w:left="-57" w:right="-57"/>
                      <w:jc w:val="center"/>
                      <w:rPr>
                        <w:strike/>
                        <w:sz w:val="20"/>
                      </w:rPr>
                    </w:pPr>
                  </w:p>
                  <w:p>
                    <w:pPr>
                      <w:ind w:left="-57" w:right="-57"/>
                      <w:jc w:val="center"/>
                      <w:rPr>
                        <w:sz w:val="20"/>
                      </w:rPr>
                    </w:pPr>
                    <w:r>
                      <w:rPr>
                        <w:sz w:val="20"/>
                      </w:rPr>
                      <w:t>(2029 m.)</w:t>
                    </w:r>
                  </w:p>
                  <w:p>
                    <w:pP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76"/>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1 522,581</w:t>
                    </w:r>
                  </w:p>
                </w:tc>
                <w:tc>
                  <w:tcPr>
                    <w:tcW w:w="111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2021–2027 m. IP (BF)</w:t>
                    </w:r>
                  </w:p>
                  <w:p>
                    <w:pPr>
                      <w:rPr>
                        <w:sz w:val="20"/>
                      </w:rPr>
                    </w:pP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3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w:t>
                    </w:r>
                    <w:r>
                      <w:rPr>
                        <w:sz w:val="20"/>
                        <w:lang w:eastAsia="lt-LT"/>
                      </w:rPr>
                      <w:t xml:space="preserve">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shd w:val="clear" w:color="auto" w:fill="auto"/>
                  </w:tcPr>
                  <w:p>
                    <w:pPr>
                      <w:rPr>
                        <w:sz w:val="20"/>
                      </w:rPr>
                    </w:pPr>
                    <w:r>
                      <w:rPr>
                        <w:sz w:val="20"/>
                      </w:rPr>
                      <w:t>11.3. Sveikatos priežiūros specialistų kvalifikacijos tobulinimas</w:t>
                    </w:r>
                  </w:p>
                </w:tc>
                <w:tc>
                  <w:tcPr>
                    <w:tcW w:w="699" w:type="dxa"/>
                    <w:shd w:val="clear" w:color="auto" w:fill="auto"/>
                  </w:tcPr>
                  <w:p>
                    <w:pPr>
                      <w:rPr>
                        <w:sz w:val="20"/>
                      </w:rPr>
                    </w:pPr>
                    <w:r>
                      <w:rPr>
                        <w:sz w:val="20"/>
                      </w:rPr>
                      <w:t>I</w:t>
                    </w:r>
                  </w:p>
                </w:tc>
                <w:tc>
                  <w:tcPr>
                    <w:tcW w:w="1985" w:type="dxa"/>
                    <w:shd w:val="clear" w:color="auto" w:fill="auto"/>
                  </w:tcPr>
                  <w:p>
                    <w:pPr>
                      <w:rPr>
                        <w:sz w:val="20"/>
                      </w:rPr>
                    </w:pPr>
                    <w:r>
                      <w:rPr>
                        <w:sz w:val="20"/>
                      </w:rPr>
                      <w:t>SAM</w:t>
                    </w:r>
                  </w:p>
                </w:tc>
                <w:tc>
                  <w:tcPr>
                    <w:tcW w:w="829" w:type="dxa"/>
                    <w:gridSpan w:val="3"/>
                    <w:shd w:val="clear" w:color="auto" w:fill="auto"/>
                  </w:tcPr>
                  <w:p>
                    <w:pPr>
                      <w:rPr>
                        <w:sz w:val="20"/>
                      </w:rPr>
                    </w:pPr>
                    <w:r>
                      <w:rPr>
                        <w:sz w:val="20"/>
                      </w:rPr>
                      <w:t>P</w:t>
                    </w:r>
                  </w:p>
                </w:tc>
                <w:tc>
                  <w:tcPr>
                    <w:tcW w:w="1014" w:type="dxa"/>
                    <w:gridSpan w:val="3"/>
                    <w:shd w:val="clear" w:color="auto" w:fill="auto"/>
                  </w:tcPr>
                  <w:p>
                    <w:pPr>
                      <w:rPr>
                        <w:sz w:val="20"/>
                      </w:rPr>
                    </w:pPr>
                    <w:r>
                      <w:rPr>
                        <w:sz w:val="20"/>
                      </w:rPr>
                      <w:t>Taip</w:t>
                    </w:r>
                  </w:p>
                </w:tc>
                <w:tc>
                  <w:tcPr>
                    <w:tcW w:w="681" w:type="dxa"/>
                    <w:gridSpan w:val="3"/>
                    <w:shd w:val="clear" w:color="auto" w:fill="auto"/>
                  </w:tcPr>
                  <w:p>
                    <w:pPr>
                      <w:rPr>
                        <w:sz w:val="20"/>
                      </w:rPr>
                    </w:pPr>
                    <w:r>
                      <w:rPr>
                        <w:sz w:val="20"/>
                      </w:rPr>
                      <w:t>D</w:t>
                    </w:r>
                  </w:p>
                </w:tc>
                <w:tc>
                  <w:tcPr>
                    <w:tcW w:w="1167" w:type="dxa"/>
                    <w:gridSpan w:val="2"/>
                    <w:shd w:val="clear" w:color="auto" w:fill="auto"/>
                  </w:tcPr>
                  <w:p>
                    <w:pPr>
                      <w:rPr>
                        <w:sz w:val="20"/>
                        <w:lang w:val="en-US"/>
                      </w:rPr>
                    </w:pPr>
                    <w:r>
                      <w:rPr>
                        <w:sz w:val="20"/>
                        <w:lang w:val="en-US"/>
                      </w:rPr>
                      <w:t>5 000</w:t>
                    </w:r>
                  </w:p>
                  <w:p>
                    <w:pPr>
                      <w:rPr>
                        <w:sz w:val="20"/>
                        <w:lang w:val="en-US"/>
                      </w:rPr>
                    </w:pPr>
                  </w:p>
                </w:tc>
                <w:tc>
                  <w:tcPr>
                    <w:tcW w:w="1118" w:type="dxa"/>
                    <w:shd w:val="clear" w:color="auto" w:fill="auto"/>
                  </w:tcPr>
                  <w:p>
                    <w:pPr>
                      <w:ind w:left="-57" w:right="-57"/>
                      <w:rPr>
                        <w:sz w:val="20"/>
                      </w:rPr>
                    </w:pPr>
                    <w:r>
                      <w:rPr>
                        <w:sz w:val="20"/>
                      </w:rPr>
                      <w:t>VB</w:t>
                    </w:r>
                  </w:p>
                </w:tc>
                <w:tc>
                  <w:tcPr>
                    <w:tcW w:w="2001" w:type="dxa"/>
                    <w:gridSpan w:val="2"/>
                    <w:shd w:val="clear" w:color="auto" w:fill="auto"/>
                  </w:tcPr>
                  <w:p>
                    <w:pPr>
                      <w:ind w:left="-57" w:right="-57"/>
                      <w:rPr>
                        <w:sz w:val="20"/>
                      </w:rPr>
                    </w:pPr>
                    <w:r>
                      <w:rPr>
                        <w:sz w:val="20"/>
                      </w:rPr>
                      <w:t>P – Specialistai, dalyvavę kvalifikacijos tobulinimo veiklose, asmenys</w:t>
                    </w:r>
                  </w:p>
                </w:tc>
                <w:tc>
                  <w:tcPr>
                    <w:tcW w:w="1134" w:type="dxa"/>
                    <w:gridSpan w:val="2"/>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9"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130" w:type="dxa"/>
                    <w:gridSpan w:val="2"/>
                    <w:vMerge w:val="restart"/>
                    <w:shd w:val="clear" w:color="auto" w:fill="auto"/>
                  </w:tcPr>
                  <w:p>
                    <w:pPr>
                      <w:rPr>
                        <w:sz w:val="20"/>
                      </w:rPr>
                    </w:pPr>
                    <w:r>
                      <w:rPr>
                        <w:sz w:val="20"/>
                      </w:rPr>
                      <w:t>11.4. Ilgalaikės priežiūros paslaugas teikiančių specialistų parengimas</w:t>
                    </w:r>
                  </w:p>
                </w:tc>
                <w:tc>
                  <w:tcPr>
                    <w:tcW w:w="699" w:type="dxa"/>
                    <w:vMerge w:val="restart"/>
                    <w:shd w:val="clear" w:color="auto" w:fill="auto"/>
                  </w:tcPr>
                  <w:p>
                    <w:pPr>
                      <w:rPr>
                        <w:sz w:val="20"/>
                      </w:rPr>
                    </w:pPr>
                    <w:r>
                      <w:rPr>
                        <w:sz w:val="20"/>
                      </w:rPr>
                      <w:t>I</w:t>
                    </w:r>
                  </w:p>
                </w:tc>
                <w:tc>
                  <w:tcPr>
                    <w:tcW w:w="1985" w:type="dxa"/>
                    <w:vMerge w:val="restart"/>
                    <w:shd w:val="clear" w:color="auto" w:fill="auto"/>
                  </w:tcPr>
                  <w:p>
                    <w:pPr>
                      <w:rPr>
                        <w:sz w:val="20"/>
                      </w:rPr>
                    </w:pPr>
                    <w:r>
                      <w:rPr>
                        <w:sz w:val="20"/>
                      </w:rPr>
                      <w:t>SAM</w:t>
                    </w:r>
                  </w:p>
                </w:tc>
                <w:tc>
                  <w:tcPr>
                    <w:tcW w:w="829" w:type="dxa"/>
                    <w:gridSpan w:val="3"/>
                    <w:vMerge w:val="restart"/>
                    <w:shd w:val="clear" w:color="auto" w:fill="auto"/>
                  </w:tcPr>
                  <w:p>
                    <w:pPr>
                      <w:rPr>
                        <w:sz w:val="20"/>
                      </w:rPr>
                    </w:pPr>
                    <w:r>
                      <w:rPr>
                        <w:sz w:val="20"/>
                      </w:rPr>
                      <w:t>P</w:t>
                    </w:r>
                  </w:p>
                </w:tc>
                <w:tc>
                  <w:tcPr>
                    <w:tcW w:w="1014" w:type="dxa"/>
                    <w:gridSpan w:val="3"/>
                    <w:vMerge w:val="restart"/>
                    <w:shd w:val="clear" w:color="auto" w:fill="auto"/>
                  </w:tcPr>
                  <w:p>
                    <w:pPr>
                      <w:rPr>
                        <w:sz w:val="20"/>
                      </w:rPr>
                    </w:pPr>
                    <w:r>
                      <w:rPr>
                        <w:sz w:val="20"/>
                      </w:rPr>
                      <w:t>Taip</w:t>
                    </w:r>
                  </w:p>
                </w:tc>
                <w:tc>
                  <w:tcPr>
                    <w:tcW w:w="681" w:type="dxa"/>
                    <w:gridSpan w:val="3"/>
                    <w:vMerge w:val="restart"/>
                    <w:shd w:val="clear" w:color="auto" w:fill="auto"/>
                  </w:tcPr>
                  <w:p>
                    <w:pPr>
                      <w:rPr>
                        <w:sz w:val="20"/>
                      </w:rPr>
                    </w:pPr>
                    <w:r>
                      <w:rPr>
                        <w:sz w:val="20"/>
                      </w:rPr>
                      <w:t>D</w:t>
                    </w:r>
                  </w:p>
                </w:tc>
                <w:tc>
                  <w:tcPr>
                    <w:tcW w:w="1167" w:type="dxa"/>
                    <w:gridSpan w:val="2"/>
                    <w:shd w:val="clear" w:color="auto" w:fill="auto"/>
                  </w:tcPr>
                  <w:p>
                    <w:pPr>
                      <w:rPr>
                        <w:sz w:val="20"/>
                        <w:lang w:val="en-US"/>
                      </w:rPr>
                    </w:pPr>
                    <w:r>
                      <w:rPr>
                        <w:sz w:val="20"/>
                        <w:lang w:val="en-US"/>
                      </w:rPr>
                      <w:t>2 100</w:t>
                    </w:r>
                  </w:p>
                  <w:p>
                    <w:pPr>
                      <w:rPr>
                        <w:sz w:val="20"/>
                        <w:lang w:val="en-US"/>
                      </w:rPr>
                    </w:pPr>
                  </w:p>
                </w:tc>
                <w:tc>
                  <w:tcPr>
                    <w:tcW w:w="1118" w:type="dxa"/>
                    <w:shd w:val="clear" w:color="auto" w:fill="auto"/>
                  </w:tcPr>
                  <w:p>
                    <w:pPr>
                      <w:ind w:left="-57" w:right="-57"/>
                      <w:rPr>
                        <w:sz w:val="20"/>
                      </w:rPr>
                    </w:pPr>
                    <w:r>
                      <w:rPr>
                        <w:sz w:val="20"/>
                      </w:rPr>
                      <w:t>EGADP</w:t>
                    </w:r>
                  </w:p>
                  <w:p>
                    <w:pPr>
                      <w:ind w:left="-57" w:right="-57"/>
                      <w:rPr>
                        <w:sz w:val="20"/>
                      </w:rPr>
                    </w:pPr>
                  </w:p>
                </w:tc>
                <w:tc>
                  <w:tcPr>
                    <w:tcW w:w="2001" w:type="dxa"/>
                    <w:gridSpan w:val="2"/>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1134" w:type="dxa"/>
                    <w:gridSpan w:val="2"/>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9"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shd w:val="clear" w:color="auto" w:fill="auto"/>
                  </w:tcPr>
                  <w:p>
                    <w:pPr>
                      <w:rPr>
                        <w:sz w:val="20"/>
                        <w:lang w:val="en-US"/>
                      </w:rPr>
                    </w:pPr>
                    <w:r>
                      <w:rPr>
                        <w:sz w:val="20"/>
                        <w:lang w:val="en-US"/>
                      </w:rPr>
                      <w:t>440</w:t>
                    </w:r>
                  </w:p>
                </w:tc>
                <w:tc>
                  <w:tcPr>
                    <w:tcW w:w="1118" w:type="dxa"/>
                    <w:shd w:val="clear" w:color="auto" w:fill="auto"/>
                  </w:tcPr>
                  <w:p>
                    <w:pPr>
                      <w:rPr>
                        <w:sz w:val="20"/>
                      </w:rPr>
                    </w:pPr>
                    <w:r>
                      <w:rPr>
                        <w:sz w:val="20"/>
                      </w:rPr>
                      <w:t>PVM iš VB</w:t>
                    </w:r>
                  </w:p>
                </w:tc>
                <w:tc>
                  <w:tcPr>
                    <w:tcW w:w="2001" w:type="dxa"/>
                    <w:gridSpan w:val="2"/>
                    <w:vMerge/>
                    <w:tcBorders>
                      <w:bottom w:val="single" w:sz="4" w:space="0" w:color="auto"/>
                    </w:tcBorders>
                    <w:shd w:val="clear" w:color="auto" w:fill="FFFFFF" w:themeFill="background1"/>
                  </w:tcPr>
                  <w:p>
                    <w:pPr>
                      <w:ind w:left="-57" w:right="-57"/>
                      <w:rPr>
                        <w:sz w:val="20"/>
                      </w:rPr>
                    </w:pPr>
                  </w:p>
                </w:tc>
                <w:tc>
                  <w:tcPr>
                    <w:tcW w:w="1134" w:type="dxa"/>
                    <w:gridSpan w:val="2"/>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shd w:val="clear" w:color="auto" w:fill="F2F2F2" w:themeFill="background1" w:themeFillShade="F2"/>
                  </w:tcPr>
                  <w:p>
                    <w:pPr>
                      <w:rPr>
                        <w:b/>
                        <w:bCs/>
                        <w:sz w:val="20"/>
                      </w:rPr>
                    </w:pPr>
                    <w:r>
                      <w:rPr>
                        <w:b/>
                        <w:bCs/>
                        <w:sz w:val="20"/>
                      </w:rPr>
                      <w:t>12. ASPĮ tinklo optimizavimo reformos valdymas ir komunikacija</w:t>
                    </w:r>
                  </w:p>
                </w:tc>
                <w:tc>
                  <w:tcPr>
                    <w:tcW w:w="699" w:type="dxa"/>
                    <w:vMerge w:val="restart"/>
                    <w:shd w:val="clear" w:color="auto" w:fill="F2F2F2" w:themeFill="background1" w:themeFillShade="F2"/>
                  </w:tcPr>
                  <w:p>
                    <w:pPr>
                      <w:rPr>
                        <w:sz w:val="20"/>
                      </w:rPr>
                    </w:pPr>
                    <w:r>
                      <w:rPr>
                        <w:sz w:val="20"/>
                      </w:rPr>
                      <w:t>M</w:t>
                    </w:r>
                  </w:p>
                </w:tc>
                <w:tc>
                  <w:tcPr>
                    <w:tcW w:w="1985" w:type="dxa"/>
                    <w:vMerge w:val="restart"/>
                    <w:shd w:val="clear" w:color="auto" w:fill="F2F2F2" w:themeFill="background1" w:themeFillShade="F2"/>
                  </w:tcPr>
                  <w:p>
                    <w:pPr>
                      <w:rPr>
                        <w:sz w:val="20"/>
                      </w:rPr>
                    </w:pPr>
                    <w:r>
                      <w:rPr>
                        <w:sz w:val="20"/>
                      </w:rPr>
                      <w:t>SAM</w:t>
                    </w:r>
                  </w:p>
                </w:tc>
                <w:tc>
                  <w:tcPr>
                    <w:tcW w:w="829" w:type="dxa"/>
                    <w:gridSpan w:val="3"/>
                    <w:vMerge w:val="restart"/>
                    <w:shd w:val="clear" w:color="auto" w:fill="F2F2F2" w:themeFill="background1" w:themeFillShade="F2"/>
                  </w:tcPr>
                  <w:p>
                    <w:pPr>
                      <w:rPr>
                        <w:sz w:val="20"/>
                      </w:rPr>
                    </w:pPr>
                    <w:r>
                      <w:rPr>
                        <w:sz w:val="20"/>
                      </w:rPr>
                      <w:t>P</w:t>
                    </w:r>
                  </w:p>
                </w:tc>
                <w:tc>
                  <w:tcPr>
                    <w:tcW w:w="1014" w:type="dxa"/>
                    <w:gridSpan w:val="3"/>
                    <w:vMerge w:val="restart"/>
                    <w:shd w:val="clear" w:color="auto" w:fill="F2F2F2" w:themeFill="background1" w:themeFillShade="F2"/>
                  </w:tcPr>
                  <w:p>
                    <w:pPr>
                      <w:rPr>
                        <w:sz w:val="20"/>
                      </w:rPr>
                    </w:pPr>
                    <w:r>
                      <w:rPr>
                        <w:sz w:val="20"/>
                      </w:rPr>
                      <w:t>Taip</w:t>
                    </w:r>
                  </w:p>
                </w:tc>
                <w:tc>
                  <w:tcPr>
                    <w:tcW w:w="681" w:type="dxa"/>
                    <w:gridSpan w:val="3"/>
                    <w:vMerge w:val="restart"/>
                    <w:shd w:val="clear" w:color="auto" w:fill="F2F2F2" w:themeFill="background1" w:themeFillShade="F2"/>
                  </w:tcPr>
                  <w:p>
                    <w:pPr>
                      <w:rPr>
                        <w:sz w:val="20"/>
                      </w:rPr>
                    </w:pPr>
                    <w:r>
                      <w:rPr>
                        <w:sz w:val="20"/>
                      </w:rPr>
                      <w:t>D</w:t>
                    </w:r>
                  </w:p>
                </w:tc>
                <w:tc>
                  <w:tcPr>
                    <w:tcW w:w="1167" w:type="dxa"/>
                    <w:gridSpan w:val="2"/>
                    <w:vMerge w:val="restart"/>
                    <w:shd w:val="clear" w:color="auto" w:fill="F2F2F2" w:themeFill="background1" w:themeFillShade="F2"/>
                  </w:tcPr>
                  <w:p>
                    <w:pPr>
                      <w:rPr>
                        <w:b/>
                        <w:bCs/>
                        <w:sz w:val="20"/>
                        <w:lang w:val="en-US"/>
                      </w:rPr>
                    </w:pPr>
                    <w:r>
                      <w:rPr>
                        <w:b/>
                        <w:bCs/>
                        <w:sz w:val="20"/>
                        <w:lang w:val="en-US"/>
                      </w:rPr>
                      <w:t>1750</w:t>
                    </w:r>
                  </w:p>
                </w:tc>
                <w:tc>
                  <w:tcPr>
                    <w:tcW w:w="1118" w:type="dxa"/>
                    <w:vMerge w:val="restart"/>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1134" w:type="dxa"/>
                    <w:gridSpan w:val="2"/>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vMerge/>
                    <w:shd w:val="clear" w:color="auto" w:fill="F2F2F2" w:themeFill="background1" w:themeFillShade="F2"/>
                  </w:tcPr>
                  <w:p>
                    <w:pPr>
                      <w:rPr>
                        <w:b/>
                        <w:bCs/>
                        <w:sz w:val="20"/>
                        <w:lang w:val="en-US"/>
                      </w:rPr>
                    </w:pPr>
                  </w:p>
                </w:tc>
                <w:tc>
                  <w:tcPr>
                    <w:tcW w:w="1118" w:type="dxa"/>
                    <w:vMerge/>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1134" w:type="dxa"/>
                    <w:gridSpan w:val="2"/>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130" w:type="dxa"/>
                    <w:gridSpan w:val="2"/>
                    <w:vMerge w:val="restart"/>
                    <w:shd w:val="clear" w:color="auto" w:fill="auto"/>
                  </w:tcPr>
                  <w:p>
                    <w:pPr>
                      <w:rPr>
                        <w:sz w:val="20"/>
                      </w:rPr>
                    </w:pPr>
                    <w:r>
                      <w:rPr>
                        <w:b/>
                        <w:bCs/>
                        <w:sz w:val="20"/>
                      </w:rPr>
                      <w:t>13. Programos „Motinos ir vaiko sveikata bei gerovė“ įgyvendinimas</w:t>
                    </w:r>
                  </w:p>
                </w:tc>
                <w:tc>
                  <w:tcPr>
                    <w:tcW w:w="699" w:type="dxa"/>
                    <w:vMerge w:val="restart"/>
                    <w:shd w:val="clear" w:color="auto" w:fill="auto"/>
                  </w:tcPr>
                  <w:p>
                    <w:pPr>
                      <w:rPr>
                        <w:sz w:val="20"/>
                      </w:rPr>
                    </w:pPr>
                    <w:r>
                      <w:rPr>
                        <w:sz w:val="20"/>
                      </w:rPr>
                      <w:t>I</w:t>
                    </w:r>
                  </w:p>
                </w:tc>
                <w:tc>
                  <w:tcPr>
                    <w:tcW w:w="1985" w:type="dxa"/>
                    <w:vMerge w:val="restart"/>
                    <w:shd w:val="clear" w:color="auto" w:fill="auto"/>
                  </w:tcPr>
                  <w:p>
                    <w:pPr>
                      <w:rPr>
                        <w:sz w:val="20"/>
                      </w:rPr>
                    </w:pPr>
                    <w:r>
                      <w:rPr>
                        <w:sz w:val="20"/>
                      </w:rPr>
                      <w:t>Lietuvos sveikatos mokslų universiteto ligoninė Kauno klinikos</w:t>
                    </w:r>
                  </w:p>
                </w:tc>
                <w:tc>
                  <w:tcPr>
                    <w:tcW w:w="829" w:type="dxa"/>
                    <w:gridSpan w:val="3"/>
                    <w:vMerge w:val="restart"/>
                    <w:shd w:val="clear" w:color="auto" w:fill="auto"/>
                  </w:tcPr>
                  <w:p>
                    <w:pPr>
                      <w:rPr>
                        <w:sz w:val="20"/>
                      </w:rPr>
                    </w:pPr>
                    <w:r>
                      <w:rPr>
                        <w:sz w:val="20"/>
                      </w:rPr>
                      <w:t>P</w:t>
                    </w:r>
                  </w:p>
                </w:tc>
                <w:tc>
                  <w:tcPr>
                    <w:tcW w:w="1014" w:type="dxa"/>
                    <w:gridSpan w:val="3"/>
                    <w:vMerge w:val="restart"/>
                    <w:shd w:val="clear" w:color="auto" w:fill="auto"/>
                  </w:tcPr>
                  <w:p>
                    <w:pPr>
                      <w:rPr>
                        <w:sz w:val="20"/>
                      </w:rPr>
                    </w:pPr>
                    <w:r>
                      <w:rPr>
                        <w:sz w:val="20"/>
                      </w:rPr>
                      <w:t>Ne</w:t>
                    </w:r>
                  </w:p>
                </w:tc>
                <w:tc>
                  <w:tcPr>
                    <w:tcW w:w="681" w:type="dxa"/>
                    <w:gridSpan w:val="3"/>
                    <w:vMerge w:val="restart"/>
                    <w:shd w:val="clear" w:color="auto" w:fill="auto"/>
                  </w:tcPr>
                  <w:p>
                    <w:pPr>
                      <w:jc w:val="center"/>
                      <w:rPr>
                        <w:sz w:val="20"/>
                      </w:rPr>
                    </w:pPr>
                    <w:r>
                      <w:rPr>
                        <w:sz w:val="20"/>
                      </w:rPr>
                      <w:t>D</w:t>
                    </w:r>
                  </w:p>
                </w:tc>
                <w:tc>
                  <w:tcPr>
                    <w:tcW w:w="1167" w:type="dxa"/>
                    <w:gridSpan w:val="2"/>
                    <w:tcBorders>
                      <w:bottom w:val="single" w:sz="4" w:space="0" w:color="auto"/>
                    </w:tcBorders>
                    <w:shd w:val="clear" w:color="auto" w:fill="auto"/>
                  </w:tcPr>
                  <w:p>
                    <w:pPr>
                      <w:rPr>
                        <w:b/>
                        <w:bCs/>
                        <w:sz w:val="20"/>
                      </w:rPr>
                    </w:pPr>
                    <w:r>
                      <w:rPr>
                        <w:b/>
                        <w:bCs/>
                        <w:sz w:val="20"/>
                      </w:rPr>
                      <w:t>34 219,646</w:t>
                    </w:r>
                  </w:p>
                </w:tc>
                <w:tc>
                  <w:tcPr>
                    <w:tcW w:w="1118" w:type="dxa"/>
                    <w:tcBorders>
                      <w:bottom w:val="single" w:sz="4" w:space="0" w:color="auto"/>
                    </w:tcBorders>
                    <w:shd w:val="clear" w:color="auto" w:fill="auto"/>
                  </w:tcPr>
                  <w:p>
                    <w:pPr>
                      <w:rPr>
                        <w:sz w:val="20"/>
                      </w:rPr>
                    </w:pPr>
                    <w:r>
                      <w:rPr>
                        <w:sz w:val="20"/>
                      </w:rPr>
                      <w:t>-</w:t>
                    </w:r>
                  </w:p>
                </w:tc>
                <w:tc>
                  <w:tcPr>
                    <w:tcW w:w="2001" w:type="dxa"/>
                    <w:gridSpan w:val="2"/>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1134" w:type="dxa"/>
                    <w:gridSpan w:val="2"/>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9"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shd w:val="clear" w:color="auto" w:fill="auto"/>
                  </w:tcPr>
                  <w:p>
                    <w:pPr>
                      <w:rPr>
                        <w:sz w:val="20"/>
                      </w:rPr>
                    </w:pPr>
                    <w:r>
                      <w:rPr>
                        <w:sz w:val="20"/>
                      </w:rPr>
                      <w:t>29 086,699</w:t>
                    </w:r>
                  </w:p>
                </w:tc>
                <w:tc>
                  <w:tcPr>
                    <w:tcW w:w="1118" w:type="dxa"/>
                    <w:shd w:val="clear" w:color="auto" w:fill="auto"/>
                  </w:tcPr>
                  <w:p>
                    <w:pPr>
                      <w:rPr>
                        <w:sz w:val="20"/>
                      </w:rPr>
                    </w:pPr>
                    <w:r>
                      <w:rPr>
                        <w:sz w:val="20"/>
                      </w:rPr>
                      <w:t>AŠĮFP</w:t>
                    </w:r>
                  </w:p>
                </w:tc>
                <w:tc>
                  <w:tcPr>
                    <w:tcW w:w="2001" w:type="dxa"/>
                    <w:gridSpan w:val="2"/>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1134" w:type="dxa"/>
                    <w:gridSpan w:val="2"/>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val="restart"/>
                    <w:shd w:val="clear" w:color="auto" w:fill="auto"/>
                  </w:tcPr>
                  <w:p>
                    <w:pPr>
                      <w:rPr>
                        <w:sz w:val="20"/>
                      </w:rPr>
                    </w:pPr>
                    <w:r>
                      <w:rPr>
                        <w:sz w:val="20"/>
                      </w:rPr>
                      <w:t>5 132,947</w:t>
                    </w:r>
                  </w:p>
                </w:tc>
                <w:tc>
                  <w:tcPr>
                    <w:tcW w:w="1118" w:type="dxa"/>
                    <w:vMerge w:val="restart"/>
                    <w:shd w:val="clear" w:color="auto" w:fill="auto"/>
                  </w:tcPr>
                  <w:p>
                    <w:pPr>
                      <w:rPr>
                        <w:sz w:val="20"/>
                      </w:rPr>
                    </w:pPr>
                    <w:r>
                      <w:rPr>
                        <w:sz w:val="20"/>
                      </w:rPr>
                      <w:t>AŠĮFP</w:t>
                    </w:r>
                  </w:p>
                  <w:p>
                    <w:pPr>
                      <w:rPr>
                        <w:sz w:val="20"/>
                      </w:rPr>
                    </w:pPr>
                    <w:r>
                      <w:rPr>
                        <w:sz w:val="20"/>
                      </w:rPr>
                      <w:t>(BF)</w:t>
                    </w:r>
                  </w:p>
                </w:tc>
                <w:tc>
                  <w:tcPr>
                    <w:tcW w:w="2001" w:type="dxa"/>
                    <w:gridSpan w:val="2"/>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1134" w:type="dxa"/>
                    <w:gridSpan w:val="2"/>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1134" w:type="dxa"/>
                    <w:gridSpan w:val="2"/>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1134" w:type="dxa"/>
                    <w:gridSpan w:val="2"/>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2"/>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P – Sukurti paslaugų teikimo metodikos ir organizacinių procesų aprašai, vnt.</w:t>
                    </w:r>
                  </w:p>
                </w:tc>
                <w:tc>
                  <w:tcPr>
                    <w:tcW w:w="1134" w:type="dxa"/>
                    <w:gridSpan w:val="2"/>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1134" w:type="dxa"/>
                    <w:gridSpan w:val="2"/>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1134" w:type="dxa"/>
                    <w:gridSpan w:val="2"/>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1134" w:type="dxa"/>
                    <w:gridSpan w:val="2"/>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sdtContent>
        </w:sdt>
        <w:sdt>
          <w:sdtPr>
            <w:alias w:val="pabaiga"/>
            <w:tag w:val="part_0a803e9b38de41efa81b2f43b2912e53"/>
            <w:lock w:val="sdtLocked"/>
            <w:richText/>
          </w:sdtPr>
          <w:sdtContent>
            <w:p>
              <w:pPr>
                <w:shd w:val="clear" w:color="000000" w:fill="auto"/>
                <w:jc w:val="center"/>
              </w:pPr>
              <w:r>
                <w:rPr>
                  <w:sz w:val="22"/>
                  <w:szCs w:val="22"/>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4b481663b11f0a8bbd1e98310677d">
            <w:r w:rsidRPr="00532B9F">
              <w:rPr>
                <w:rFonts w:ascii="Times New Roman" w:eastAsia="MS Mincho" w:hAnsi="Times New Roman"/>
                <w:sz w:val="20"/>
                <w:i/>
                <w:iCs/>
                <w:color w:val="0000FF" w:themeColor="hyperlink"/>
                <w:u w:val="single"/>
              </w:rPr>
              <w:t>V-681</w:t>
            </w:r>
          </w:fldSimple>
          <w:r>
            <w:rPr>
              <w:rFonts w:ascii="Times New Roman" w:eastAsia="MS Mincho" w:hAnsi="Times New Roman"/>
              <w:sz w:val="20"/>
              <w:i/>
              <w:iCs/>
            </w:rPr>
            <w:t>,
2025-07-21,
paskelbta TAR 2025-07-21, i. k. 2025-13101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e9484ecc011f09cfce49e7aeb76fe">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2026-01-08,
paskelbta TAR 2026-01-08, i. k. 2026-00269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(V-447)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6c07446ce11f0b070ee7f1ceefc75">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2025-06-11,
paskelbta TAR 2025-06-11, i. k. 2025-10626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(V-115)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5e8c24663c11f0a8bbd1e98310677d">
            <w:r w:rsidRPr="00532B9F">
              <w:rPr>
                <w:rFonts w:ascii="Times New Roman" w:eastAsia="MS Mincho" w:hAnsi="Times New Roman"/>
                <w:sz w:val="20"/>
                <w:i/>
                <w:iCs/>
                <w:color w:val="0000FF" w:themeColor="hyperlink"/>
                <w:u w:val="single"/>
              </w:rPr>
              <w:t>V-683</w:t>
            </w:r>
          </w:fldSimple>
          <w:r>
            <w:rPr>
              <w:rFonts w:ascii="Times New Roman" w:eastAsia="MS Mincho" w:hAnsi="Times New Roman"/>
              <w:sz w:val="20"/>
              <w:i/>
              <w:iCs/>
            </w:rPr>
            <w:t>,
2025-07-21,
paskelbta TAR 2025-07-21, i. k. 2025-13104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7a8074066911f1b465ab875bcad79f">
            <w:r w:rsidRPr="00532B9F">
              <w:rPr>
                <w:rFonts w:ascii="Times New Roman" w:eastAsia="MS Mincho" w:hAnsi="Times New Roman"/>
                <w:sz w:val="20"/>
                <w:i/>
                <w:iCs/>
                <w:color w:val="0000FF" w:themeColor="hyperlink"/>
                <w:u w:val="single"/>
              </w:rPr>
              <w:t>V-115</w:t>
            </w:r>
          </w:fldSimple>
          <w:r>
            <w:rPr>
              <w:rFonts w:ascii="Times New Roman" w:eastAsia="MS Mincho" w:hAnsi="Times New Roman"/>
              <w:sz w:val="20"/>
              <w:i/>
              <w:iCs/>
            </w:rPr>
            <w:t>,
2026-02-10,
paskelbta TAR 2026-02-10, i. k. 2026-02056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f2646e311f0b070ee7f1ceefc7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2025-06-11,
paskelbta TAR 2025-06-11, i. k. 2025-10635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(V-904)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446a45c7c11f0a3d380837a821750">
            <w:r w:rsidRPr="00532B9F">
              <w:rPr>
                <w:rFonts w:ascii="Times New Roman" w:eastAsia="MS Mincho" w:hAnsi="Times New Roman"/>
                <w:sz w:val="20"/>
                <w:i/>
                <w:iCs/>
                <w:color w:val="0000FF" w:themeColor="hyperlink"/>
                <w:u w:val="single"/>
              </w:rPr>
              <w:t>V-623</w:t>
            </w:r>
          </w:fldSimple>
          <w:r>
            <w:rPr>
              <w:rFonts w:ascii="Times New Roman" w:eastAsia="MS Mincho" w:hAnsi="Times New Roman"/>
              <w:sz w:val="20"/>
              <w:i/>
              <w:iCs/>
            </w:rPr>
            <w:t>,
2025-07-09,
paskelbta TAR 2025-07-09, i. k. 2025-12503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9cee0a98311f0a34db2fbd35a03b2">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2025-10-15,
paskelbta TAR 2025-10-15, i. k. 2025-17160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(V-871)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(V-608)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
          <w:pPr>
            <w:pStyle w:val="PlainText"/>
            <w:rPr>
              <w:rFonts w:ascii="Times New Roman" w:eastAsia="MS Mincho" w:hAnsi="Times New Roman"/>
              <w:sz w:val="20"/>
              <w:iCs/>
            </w:rPr>
          </w:pPr>
          <w:r>
            <w:rPr>
              <w:rFonts w:ascii="Times New Roman" w:eastAsia="MS Mincho" w:hAnsi="Times New Roman"/>
              <w:sz w:val="20"/>
              <w:iCs/>
            </w:rPr>
            <w:t>Priedas Nr. 30 (V-410)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aeb191066911f1b465ab875bcad79f">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2026-02-10,
paskelbta TAR 2026-02-10, i. k. 2026-02057        </w:t>
          </w:r>
        </w:p>
        <w:p/>
        <w:p>
          <w:pPr>
            <w:pStyle w:val="PlainText"/>
            <w:rPr>
              <w:rFonts w:ascii="Times New Roman" w:eastAsia="MS Mincho" w:hAnsi="Times New Roman"/>
              <w:sz w:val="20"/>
              <w:iCs/>
            </w:rPr>
          </w:pPr>
          <w:r>
            <w:rPr>
              <w:rFonts w:ascii="Times New Roman" w:eastAsia="MS Mincho" w:hAnsi="Times New Roman"/>
              <w:sz w:val="20"/>
              <w:iCs/>
            </w:rPr>
            <w:t>33 priedas (V-37)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1f9e1f29011f09cfce49e7aeb76fe">
            <w:r w:rsidRPr="00532B9F">
              <w:rPr>
                <w:rFonts w:ascii="Times New Roman" w:eastAsia="MS Mincho" w:hAnsi="Times New Roman"/>
                <w:sz w:val="20"/>
                <w:i/>
                <w:iCs/>
                <w:color w:val="0000FF" w:themeColor="hyperlink"/>
                <w:u w:val="single"/>
              </w:rPr>
              <w:t>V-37</w:t>
            </w:r>
          </w:fldSimple>
          <w:r>
            <w:rPr>
              <w:rFonts w:ascii="Times New Roman" w:eastAsia="MS Mincho" w:hAnsi="Times New Roman"/>
              <w:sz w:val="20"/>
              <w:i/>
              <w:iCs/>
            </w:rPr>
            <w:t>,
2026-01-16,
paskelbta TAR 2026-01-16, i. k. 2026-00540        </w:t>
          </w:r>
        </w:p>
        <w:p/>
        <w:p>
          <w:pPr>
            <w:pStyle w:val="PlainText"/>
            <w:rPr>
              <w:rFonts w:ascii="Times New Roman" w:eastAsia="MS Mincho" w:hAnsi="Times New Roman"/>
              <w:sz w:val="20"/>
              <w:iCs/>
            </w:rPr>
          </w:pPr>
          <w:r>
            <w:rPr>
              <w:rFonts w:ascii="Times New Roman" w:eastAsia="MS Mincho" w:hAnsi="Times New Roman"/>
              <w:sz w:val="20"/>
              <w:iCs/>
            </w:rPr>
            <w:t>34 priedas (V-1030)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5042765578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2025-06-30,
paskelbta TAR 2025-06-30, i. k. 2025-11856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a840c50711f0bf10920ce8b0026c">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2025-11-19,
paskelbta TAR 2025-11-19, i. k. 2025-19267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c6c07446ce11f0b070ee7f1ceefc75">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2025-06-11,
paskelbta TAR 2025-06-11, i. k. 2025-10626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d2f2646e311f0b070ee7f1ceefc7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2025-06-11,
paskelbta TAR 2025-06-11, i. k. 2025-10635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5042765578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2025-06-30,
paskelbta TAR 2025-06-30, i. k. 2025-11856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4cacb4559a11f0b070ee7f1ceefc75">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2025-06-30,
paskelbta TAR 2025-06-30, i. k. 2025-11899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4446a45c7c11f0a3d380837a821750">
            <w:r w:rsidRPr="00532B9F">
              <w:rPr>
                <w:rFonts w:ascii="Times New Roman" w:eastAsia="MS Mincho" w:hAnsi="Times New Roman"/>
                <w:sz w:val="20"/>
                <w:iCs/>
                <w:color w:val="0000FF" w:themeColor="hyperlink"/>
                <w:u w:val="single"/>
              </w:rPr>
              <w:t>V-623</w:t>
            </w:r>
          </w:fldSimple>
          <w:r>
            <w:rPr>
              <w:rFonts w:ascii="Times New Roman" w:eastAsia="MS Mincho" w:hAnsi="Times New Roman"/>
              <w:sz w:val="20"/>
              <w:iCs/>
            </w:rPr>
            <w:t>,
2025-07-09,
paskelbta TAR 2025-07-09, i. k. 2025-12503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f1dc265c7c11f0a3d380837a821750">
            <w:r w:rsidRPr="00532B9F">
              <w:rPr>
                <w:rFonts w:ascii="Times New Roman" w:eastAsia="MS Mincho" w:hAnsi="Times New Roman"/>
                <w:sz w:val="20"/>
                <w:iCs/>
                <w:color w:val="0000FF" w:themeColor="hyperlink"/>
                <w:u w:val="single"/>
              </w:rPr>
              <w:t>V-629</w:t>
            </w:r>
          </w:fldSimple>
          <w:r>
            <w:rPr>
              <w:rFonts w:ascii="Times New Roman" w:eastAsia="MS Mincho" w:hAnsi="Times New Roman"/>
              <w:sz w:val="20"/>
              <w:iCs/>
            </w:rPr>
            <w:t>,
2025-07-09,
paskelbta TAR 2025-07-09, i. k. 2025-12505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4b481663b11f0a8bbd1e98310677d">
            <w:r w:rsidRPr="00532B9F">
              <w:rPr>
                <w:rFonts w:ascii="Times New Roman" w:eastAsia="MS Mincho" w:hAnsi="Times New Roman"/>
                <w:sz w:val="20"/>
                <w:iCs/>
                <w:color w:val="0000FF" w:themeColor="hyperlink"/>
                <w:u w:val="single"/>
              </w:rPr>
              <w:t>V-681</w:t>
            </w:r>
          </w:fldSimple>
          <w:r>
            <w:rPr>
              <w:rFonts w:ascii="Times New Roman" w:eastAsia="MS Mincho" w:hAnsi="Times New Roman"/>
              <w:sz w:val="20"/>
              <w:iCs/>
            </w:rPr>
            <w:t>,
2025-07-21,
paskelbta TAR 2025-07-21, i. k. 2025-13101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5e8c24663c11f0a8bbd1e98310677d">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2025-07-21,
paskelbta TAR 2025-07-21, i. k. 2025-13104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02cfa0a01011f0a34db2fbd35a03b2">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2025-10-03,
paskelbta TAR 2025-10-03, i. k. 2025-16749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59cee0a98311f0a34db2fbd35a03b2">
            <w:r w:rsidRPr="00532B9F">
              <w:rPr>
                <w:rFonts w:ascii="Times New Roman" w:eastAsia="MS Mincho" w:hAnsi="Times New Roman"/>
                <w:sz w:val="20"/>
                <w:iCs/>
                <w:color w:val="0000FF" w:themeColor="hyperlink"/>
                <w:u w:val="single"/>
              </w:rPr>
              <w:t>V-904</w:t>
            </w:r>
          </w:fldSimple>
          <w:r>
            <w:rPr>
              <w:rFonts w:ascii="Times New Roman" w:eastAsia="MS Mincho" w:hAnsi="Times New Roman"/>
              <w:sz w:val="20"/>
              <w:iCs/>
            </w:rPr>
            <w:t>,
2025-10-15,
paskelbta TAR 2025-10-15, i. k. 2025-17160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4a840c50711f0bf10920ce8b0026c">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2025-11-19,
paskelbta TAR 2025-11-19, i. k. 2025-19267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0e9484ecc011f09cfce49e7aeb76fe">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2026-01-08,
paskelbta TAR 2026-01-08, i. k. 2026-00269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c1f9e1f29011f09cfce49e7aeb76fe">
            <w:r w:rsidRPr="00532B9F">
              <w:rPr>
                <w:rFonts w:ascii="Times New Roman" w:eastAsia="MS Mincho" w:hAnsi="Times New Roman"/>
                <w:sz w:val="20"/>
                <w:iCs/>
                <w:color w:val="0000FF" w:themeColor="hyperlink"/>
                <w:u w:val="single"/>
              </w:rPr>
              <w:t>V-37</w:t>
            </w:r>
          </w:fldSimple>
          <w:r>
            <w:rPr>
              <w:rFonts w:ascii="Times New Roman" w:eastAsia="MS Mincho" w:hAnsi="Times New Roman"/>
              <w:sz w:val="20"/>
              <w:iCs/>
            </w:rPr>
            <w:t>,
2026-01-16,
paskelbta TAR 2026-01-16, i. k. 2026-00540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cb9676fc1411f09a18eb2f15b49eee">
            <w:r w:rsidRPr="00532B9F">
              <w:rPr>
                <w:rFonts w:ascii="Times New Roman" w:eastAsia="MS Mincho" w:hAnsi="Times New Roman"/>
                <w:sz w:val="20"/>
                <w:iCs/>
                <w:color w:val="0000FF" w:themeColor="hyperlink"/>
                <w:u w:val="single"/>
              </w:rPr>
              <w:t>V-68</w:t>
            </w:r>
          </w:fldSimple>
          <w:r>
            <w:rPr>
              <w:rFonts w:ascii="Times New Roman" w:eastAsia="MS Mincho" w:hAnsi="Times New Roman"/>
              <w:sz w:val="20"/>
              <w:iCs/>
            </w:rPr>
            <w:t>,
2026-01-28,
paskelbta TAR 2026-01-28, i. k. 2026-01141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fe5c86013111f1b96ed27de6271e6a">
            <w:r w:rsidRPr="00532B9F">
              <w:rPr>
                <w:rFonts w:ascii="Times New Roman" w:eastAsia="MS Mincho" w:hAnsi="Times New Roman"/>
                <w:sz w:val="20"/>
                <w:iCs/>
                <w:color w:val="0000FF" w:themeColor="hyperlink"/>
                <w:u w:val="single"/>
              </w:rPr>
              <w:t>V-80</w:t>
            </w:r>
          </w:fldSimple>
          <w:r>
            <w:rPr>
              <w:rFonts w:ascii="Times New Roman" w:eastAsia="MS Mincho" w:hAnsi="Times New Roman"/>
              <w:sz w:val="20"/>
              <w:iCs/>
            </w:rPr>
            <w:t>,
2026-02-03,
paskelbta TAR 2026-02-03, i. k. 2026-01663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aeb191066911f1b465ab875bcad79f">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2026-02-10,
paskelbta TAR 2026-02-10, i. k. 2026-02057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7a8074066911f1b465ab875bcad79f">
            <w:r w:rsidRPr="00532B9F">
              <w:rPr>
                <w:rFonts w:ascii="Times New Roman" w:eastAsia="MS Mincho" w:hAnsi="Times New Roman"/>
                <w:sz w:val="20"/>
                <w:iCs/>
                <w:color w:val="0000FF" w:themeColor="hyperlink"/>
                <w:u w:val="single"/>
              </w:rPr>
              <w:t>V-115</w:t>
            </w:r>
          </w:fldSimple>
          <w:r>
            <w:rPr>
              <w:rFonts w:ascii="Times New Roman" w:eastAsia="MS Mincho" w:hAnsi="Times New Roman"/>
              <w:sz w:val="20"/>
              <w:iCs/>
            </w:rPr>
            <w:t>,
2026-02-10,
paskelbta TAR 2026-02-10, i. k. 2026-02056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27</w:t>
    </w:r>
    <w:r>
      <w:rPr>
        <w:szCs w:val="24"/>
      </w:rPr>
      <w:fldChar w:fldCharType="end"/>
    </w:r>
  </w:p>
  <w:p>
    <w:pPr>
      <w:tabs>
        <w:tab w:val="center" w:pos="4153"/>
        <w:tab w:val="right" w:pos="8306"/>
      </w:tabs>
      <w:rPr>
        <w:szCs w:val="24"/>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37</w:t>
    </w:r>
    <w:r>
      <w:rPr>
        <w:szCs w:val="24"/>
      </w:rPr>
      <w:fldChar w:fldCharType="end"/>
    </w:r>
  </w:p>
  <w:p>
    <w:pPr>
      <w:tabs>
        <w:tab w:val="center" w:pos="4153"/>
        <w:tab w:val="right" w:pos="8306"/>
      </w:tabs>
      <w:rPr>
        <w:szCs w:val="24"/>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38</w:t>
    </w:r>
    <w:r>
      <w:rPr>
        <w:szCs w:val="24"/>
      </w:rPr>
      <w:fldChar w:fldCharType="end"/>
    </w:r>
  </w:p>
  <w:p>
    <w:pPr>
      <w:tabs>
        <w:tab w:val="center" w:pos="4153"/>
        <w:tab w:val="right" w:pos="8306"/>
      </w:tabs>
      <w:rPr>
        <w:szCs w:val="24"/>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42</w:t>
    </w:r>
    <w:r>
      <w:rPr>
        <w:szCs w:val="24"/>
      </w:rPr>
      <w:fldChar w:fldCharType="end"/>
    </w:r>
  </w:p>
  <w:p>
    <w:pPr>
      <w:tabs>
        <w:tab w:val="center" w:pos="4153"/>
        <w:tab w:val="right" w:pos="8306"/>
      </w:tabs>
      <w:rPr>
        <w:szCs w:val="24"/>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40</w:t>
    </w:r>
    <w:r>
      <w:rPr>
        <w:szCs w:val="24"/>
      </w:rPr>
      <w:fldChar w:fldCharType="end"/>
    </w:r>
  </w:p>
  <w:p>
    <w:pPr>
      <w:tabs>
        <w:tab w:val="center" w:pos="4153"/>
        <w:tab w:val="right" w:pos="8306"/>
      </w:tabs>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29</w:t>
    </w:r>
    <w:r>
      <w:rPr>
        <w:szCs w:val="24"/>
      </w:rPr>
      <w:fldChar w:fldCharType="end"/>
    </w:r>
  </w:p>
  <w:p>
    <w:pPr>
      <w:tabs>
        <w:tab w:val="center" w:pos="4153"/>
        <w:tab w:val="right" w:pos="8306"/>
      </w:tabs>
      <w:rPr>
        <w:szCs w:val="24"/>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66</w:t>
    </w:r>
    <w:r>
      <w:rPr>
        <w:szCs w:val="24"/>
      </w:rPr>
      <w:fldChar w:fldCharType="end"/>
    </w:r>
  </w:p>
  <w:p>
    <w:pPr>
      <w:tabs>
        <w:tab w:val="center" w:pos="4153"/>
        <w:tab w:val="right" w:pos="8306"/>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52</w:t>
    </w:r>
    <w:r>
      <w:rPr>
        <w:szCs w:val="24"/>
      </w:rPr>
      <w:fldChar w:fldCharType="end"/>
    </w:r>
  </w:p>
  <w:p>
    <w:pPr>
      <w:tabs>
        <w:tab w:val="center" w:pos="4153"/>
        <w:tab w:val="right" w:pos="8306"/>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43</w:t>
    </w:r>
    <w:r>
      <w:rPr>
        <w:szCs w:val="24"/>
      </w:rPr>
      <w:fldChar w:fldCharType="end"/>
    </w:r>
  </w:p>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63</w:t>
    </w:r>
    <w:r>
      <w:rPr>
        <w:szCs w:val="24"/>
      </w:rPr>
      <w:fldChar w:fldCharType="end"/>
    </w:r>
  </w:p>
  <w:p>
    <w:pPr>
      <w:tabs>
        <w:tab w:val="center" w:pos="4153"/>
        <w:tab w:val="right" w:pos="8306"/>
      </w:tabs>
      <w:rPr>
        <w:szCs w:val="24"/>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41</w:t>
    </w:r>
    <w:r>
      <w:rPr>
        <w:szCs w:val="24"/>
      </w:rPr>
      <w:fldChar w:fldCharType="end"/>
    </w:r>
  </w:p>
  <w:p>
    <w:pPr>
      <w:tabs>
        <w:tab w:val="center" w:pos="4153"/>
        <w:tab w:val="right" w:pos="8306"/>
      </w:tabs>
      <w:rPr>
        <w:szCs w:val="24"/>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966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96609"/>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8093114">
      <w:bodyDiv w:val="1"/>
      <w:marLeft w:val="0"/>
      <w:marRight w:val="0"/>
      <w:marTop w:val="0"/>
      <w:marBottom w:val="0"/>
      <w:divBdr>
        <w:top w:val="none" w:sz="0" w:space="0" w:color="auto"/>
        <w:left w:val="none" w:sz="0" w:space="0" w:color="auto"/>
        <w:bottom w:val="none" w:sz="0" w:space="0" w:color="auto"/>
        <w:right w:val="none" w:sz="0" w:space="0" w:color="auto"/>
      </w:divBdr>
    </w:div>
    <w:div w:id="420491753">
      <w:bodyDiv w:val="1"/>
      <w:marLeft w:val="0"/>
      <w:marRight w:val="0"/>
      <w:marTop w:val="0"/>
      <w:marBottom w:val="0"/>
      <w:divBdr>
        <w:top w:val="none" w:sz="0" w:space="0" w:color="auto"/>
        <w:left w:val="none" w:sz="0" w:space="0" w:color="auto"/>
        <w:bottom w:val="none" w:sz="0" w:space="0" w:color="auto"/>
        <w:right w:val="none" w:sz="0" w:space="0" w:color="auto"/>
      </w:divBdr>
    </w:div>
    <w:div w:id="677585866">
      <w:bodyDiv w:val="1"/>
      <w:marLeft w:val="0"/>
      <w:marRight w:val="0"/>
      <w:marTop w:val="0"/>
      <w:marBottom w:val="0"/>
      <w:divBdr>
        <w:top w:val="none" w:sz="0" w:space="0" w:color="auto"/>
        <w:left w:val="none" w:sz="0" w:space="0" w:color="auto"/>
        <w:bottom w:val="none" w:sz="0" w:space="0" w:color="auto"/>
        <w:right w:val="none" w:sz="0" w:space="0" w:color="auto"/>
      </w:divBdr>
    </w:div>
    <w:div w:id="782386875">
      <w:bodyDiv w:val="1"/>
      <w:marLeft w:val="0"/>
      <w:marRight w:val="0"/>
      <w:marTop w:val="0"/>
      <w:marBottom w:val="0"/>
      <w:divBdr>
        <w:top w:val="none" w:sz="0" w:space="0" w:color="auto"/>
        <w:left w:val="none" w:sz="0" w:space="0" w:color="auto"/>
        <w:bottom w:val="none" w:sz="0" w:space="0" w:color="auto"/>
        <w:right w:val="none" w:sz="0" w:space="0" w:color="auto"/>
      </w:divBdr>
    </w:div>
    <w:div w:id="1105885491">
      <w:bodyDiv w:val="1"/>
      <w:marLeft w:val="0"/>
      <w:marRight w:val="0"/>
      <w:marTop w:val="0"/>
      <w:marBottom w:val="0"/>
      <w:divBdr>
        <w:top w:val="none" w:sz="0" w:space="0" w:color="auto"/>
        <w:left w:val="none" w:sz="0" w:space="0" w:color="auto"/>
        <w:bottom w:val="none" w:sz="0" w:space="0" w:color="auto"/>
        <w:right w:val="none" w:sz="0" w:space="0" w:color="auto"/>
      </w:divBdr>
    </w:div>
    <w:div w:id="1208106963">
      <w:bodyDiv w:val="1"/>
      <w:marLeft w:val="0"/>
      <w:marRight w:val="0"/>
      <w:marTop w:val="0"/>
      <w:marBottom w:val="0"/>
      <w:divBdr>
        <w:top w:val="none" w:sz="0" w:space="0" w:color="auto"/>
        <w:left w:val="none" w:sz="0" w:space="0" w:color="auto"/>
        <w:bottom w:val="none" w:sz="0" w:space="0" w:color="auto"/>
        <w:right w:val="none" w:sz="0" w:space="0" w:color="auto"/>
      </w:divBdr>
    </w:div>
    <w:div w:id="1245719927">
      <w:bodyDiv w:val="1"/>
      <w:marLeft w:val="0"/>
      <w:marRight w:val="0"/>
      <w:marTop w:val="0"/>
      <w:marBottom w:val="0"/>
      <w:divBdr>
        <w:top w:val="none" w:sz="0" w:space="0" w:color="auto"/>
        <w:left w:val="none" w:sz="0" w:space="0" w:color="auto"/>
        <w:bottom w:val="none" w:sz="0" w:space="0" w:color="auto"/>
        <w:right w:val="none" w:sz="0" w:space="0" w:color="auto"/>
      </w:divBdr>
    </w:div>
    <w:div w:id="1260485836">
      <w:bodyDiv w:val="1"/>
      <w:marLeft w:val="0"/>
      <w:marRight w:val="0"/>
      <w:marTop w:val="0"/>
      <w:marBottom w:val="0"/>
      <w:divBdr>
        <w:top w:val="none" w:sz="0" w:space="0" w:color="auto"/>
        <w:left w:val="none" w:sz="0" w:space="0" w:color="auto"/>
        <w:bottom w:val="none" w:sz="0" w:space="0" w:color="auto"/>
        <w:right w:val="none" w:sz="0" w:space="0" w:color="auto"/>
      </w:divBdr>
    </w:div>
    <w:div w:id="1731422743">
      <w:bodyDiv w:val="1"/>
      <w:marLeft w:val="0"/>
      <w:marRight w:val="0"/>
      <w:marTop w:val="0"/>
      <w:marBottom w:val="0"/>
      <w:divBdr>
        <w:top w:val="none" w:sz="0" w:space="0" w:color="auto"/>
        <w:left w:val="none" w:sz="0" w:space="0" w:color="auto"/>
        <w:bottom w:val="none" w:sz="0" w:space="0" w:color="auto"/>
        <w:right w:val="none" w:sz="0" w:space="0" w:color="auto"/>
      </w:divBdr>
    </w:div>
    <w:div w:id="1786538804">
      <w:bodyDiv w:val="1"/>
      <w:marLeft w:val="0"/>
      <w:marRight w:val="0"/>
      <w:marTop w:val="0"/>
      <w:marBottom w:val="0"/>
      <w:divBdr>
        <w:top w:val="none" w:sz="0" w:space="0" w:color="auto"/>
        <w:left w:val="none" w:sz="0" w:space="0" w:color="auto"/>
        <w:bottom w:val="none" w:sz="0" w:space="0" w:color="auto"/>
        <w:right w:val="none" w:sz="0" w:space="0" w:color="auto"/>
      </w:divBdr>
    </w:div>
    <w:div w:id="1923178316">
      <w:bodyDiv w:val="1"/>
      <w:marLeft w:val="0"/>
      <w:marRight w:val="0"/>
      <w:marTop w:val="0"/>
      <w:marBottom w:val="0"/>
      <w:divBdr>
        <w:top w:val="none" w:sz="0" w:space="0" w:color="auto"/>
        <w:left w:val="none" w:sz="0" w:space="0" w:color="auto"/>
        <w:bottom w:val="none" w:sz="0" w:space="0" w:color="auto"/>
        <w:right w:val="none" w:sz="0" w:space="0" w:color="auto"/>
      </w:divBdr>
    </w:div>
    <w:div w:id="194402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8.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65.png"/>
  <Relationship Id="rId19" Type="http://schemas.openxmlformats.org/officeDocument/2006/relationships/oleObject" Target="embeddings/oleObject165.bin"/>
  <Relationship Id="rId2" Type="http://schemas.openxmlformats.org/officeDocument/2006/relationships/header" Target="header89.xml"/>
  <Relationship Id="rId20" Type="http://schemas.openxmlformats.org/officeDocument/2006/relationships/header" Target="header124.xml"/>
  <Relationship Id="rId21" Type="http://schemas.openxmlformats.org/officeDocument/2006/relationships/header" Target="header125.xml"/>
  <Relationship Id="rId22" Type="http://schemas.openxmlformats.org/officeDocument/2006/relationships/footer" Target="footer124.xml"/>
  <Relationship Id="rId23" Type="http://schemas.openxmlformats.org/officeDocument/2006/relationships/footer" Target="footer125.xml"/>
  <Relationship Id="rId24" Type="http://schemas.openxmlformats.org/officeDocument/2006/relationships/header" Target="header126.xml"/>
  <Relationship Id="rId25" Type="http://schemas.openxmlformats.org/officeDocument/2006/relationships/footer" Target="footer126.xml"/>
  <Relationship Id="rId26" Type="http://schemas.openxmlformats.org/officeDocument/2006/relationships/header" Target="header214.xml"/>
  <Relationship Id="rId27" Type="http://schemas.openxmlformats.org/officeDocument/2006/relationships/header" Target="header215.xml"/>
  <Relationship Id="rId28" Type="http://schemas.openxmlformats.org/officeDocument/2006/relationships/footer" Target="footer214.xml"/>
  <Relationship Id="rId29" Type="http://schemas.openxmlformats.org/officeDocument/2006/relationships/footer" Target="footer215.xml"/>
  <Relationship Id="rId3" Type="http://schemas.openxmlformats.org/officeDocument/2006/relationships/footer" Target="footer88.xml"/>
  <Relationship Id="rId30" Type="http://schemas.openxmlformats.org/officeDocument/2006/relationships/header" Target="header216.xml"/>
  <Relationship Id="rId31" Type="http://schemas.openxmlformats.org/officeDocument/2006/relationships/footer" Target="footer216.xml"/>
  <Relationship Id="rId32" Type="http://schemas.openxmlformats.org/officeDocument/2006/relationships/customXml" Target="../customXml/item4.xml"/>
  <Relationship Id="rId4" Type="http://schemas.openxmlformats.org/officeDocument/2006/relationships/footer" Target="footer89.xml"/>
  <Relationship Id="rId5" Type="http://schemas.openxmlformats.org/officeDocument/2006/relationships/header" Target="header90.xml"/>
  <Relationship Id="rId6" Type="http://schemas.openxmlformats.org/officeDocument/2006/relationships/footer" Target="footer90.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8c1caabe0df49e198502b4b17034264" PartId="431239b363e94d17882f57294141f5bf">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73e0b85091f246cf97f2e2efd30b8734">
    <Part Type="skyrius" Nr="1" Title="PLĖTROS PROGRAMOS PAŽANGOS PRIEMONĖS SIEKIAMI REZULTATAI" DocPartId="b924309999714986a1f663aef95b7db6" PartId="027bd9b5aef74d63ab4ec1d181d3390d"/>
    <Part Type="skyrius" Nr="2" Title="PLĖTROS PROGRAMOS PAŽANGOS PRIEMONĖS FINANSAVIMO ŠALTINIAI" DocPartId="142dd9faf7a84d91b4f244595a84d08d" PartId="9660108a9abb403fbff4a371950d0d5a"/>
    <Part Type="skyrius" Nr="3" Title="PLĖTROS PROGRAMOS PAŽANGOS PRIEMONĖS VEIKLŲ SUVESTINĖ" DocPartId="c918111ff85046029314a093ade416dc" PartId="f776fefdb5e24cf0998861f10280408c"/>
    <Part Type="pabaiga" DocPartId="848b03eee26b4c708a50289e0035c65b" PartId="0a803e9b38de41efa81b2f43b2912e53"/>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3.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EE6F0D0-CACC-4E71-9400-88678472FB68}">
  <ds:schemaRefs>
    <ds:schemaRef ds:uri="http://lrs.lt/TAIS/DocParts"/>
  </ds:schemaRefs>
</ds:datastoreItem>
</file>

<file path=customXml/itemProps6.xml><?xml version="1.0" encoding="utf-8"?>
<ds:datastoreItem xmlns:ds="http://schemas.openxmlformats.org/officeDocument/2006/customXml" ds:itemID="{B15FA8DF-E8F1-43C4-847A-A13B4615B1C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198</TotalTime>
  <Pages>43</Pages>
  <Words>7738</Words>
  <Characters>49897</Characters>
  <Application>Microsoft Office Word</Application>
  <DocSecurity>0</DocSecurity>
  <Lines>415</Lines>
  <Paragraphs>115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57520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2026-02-11T14:09:00Z</dcterms:modified>
  <revision>105</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