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2a2223e4eb8048168dba70f5c324db82"/>
        <w:lock w:val="sdtLocked"/>
        <w:richText/>
      </w:sdtPr>
      <w:sdtContent>
        <w:p>
          <w:pPr>
            <w:jc w:val="both"/>
            <w:rPr>
              <w:rFonts w:ascii="Arial" w:hAnsi="Arial"/>
            </w:rPr>
          </w:pPr>
          <w:r>
            <w:rPr>
              <w:rFonts w:ascii="Arial" w:hAnsi="Arial"/>
              <w:b/>
              <w:i/>
            </w:rPr>
            <w:t>Suvestinė redakcija nuo 2024-06-29 iki 2024-08-01</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Įsakymas paskelbtas: TAR 2022-05-20, i. k. 2022-10683</w:t>
          </w:r>
        </w:p>
        <w:p>
          <w:pPr>
            <w:jc w:val="both"/>
            <w:rPr>
              <w:rFonts w:ascii="Arial" w:hAnsi="Arial"/>
              <w:sz w:val="20"/>
            </w:rPr>
          </w:pPr>
        </w:p>
        <w:p>
          <w:pPr>
            <w:tabs>
              <w:tab w:val="center" w:pos="4153"/>
              <w:tab w:val="right" w:pos="8306"/>
            </w:tabs>
            <w:jc w:val="center"/>
            <w:rPr>
              <w:szCs w:val="24"/>
            </w:rPr>
          </w:pPr>
          <w:r>
            <w:rPr>
              <w:szCs w:val="24"/>
            </w:rPr>
            <w:object w:dxaOrig="811" w:dyaOrig="9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3pt;height:43.85pt" o:ole="" fillcolor="window">
                <v:imagedata r:id="rId17" o:title=""/>
              </v:shape>
              <o:OLEObject Type="Embed" ProgID="Word.Picture.8" ShapeID="_x0000_i1025" DrawAspect="Content" ObjectID="_0000000001" r:id="rId18"/>
            </w:objec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LIETUVOS RESPUBLIKOS SVEIKATOS APSAUGOS MINISTRAS</w: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ĮSAKYMAS</w:t>
          </w:r>
        </w:p>
        <w:p>
          <w:pPr>
            <w:jc w:val="center"/>
            <w:rPr>
              <w:b/>
              <w:bCs/>
              <w:szCs w:val="24"/>
            </w:rPr>
          </w:pPr>
          <w:r>
            <w:rPr>
              <w:b/>
              <w:bCs/>
              <w:szCs w:val="24"/>
            </w:rPr>
            <w:t xml:space="preserve">DĖL </w:t>
          </w:r>
          <w:r>
            <w:rPr>
              <w:b/>
              <w:bCs/>
              <w:caps/>
              <w:color w:val="000000"/>
              <w:szCs w:val="24"/>
              <w:lang w:eastAsia="lt-LT"/>
            </w:rPr>
            <w:t xml:space="preserve">2022–2030 METŲ PLĖTROS PROGRAMOS VALDYTOJOS LIETUVOS RESPUBLIKOS SVEIKATOS APSAUGOS MINISTERIJOS SVEIKATOS PRIEŽIŪROS KOKYBĖS IR EFEKTYVUMO </w:t>
          </w:r>
          <w:r>
            <w:rPr>
              <w:b/>
              <w:bCs/>
              <w:caps/>
              <w:szCs w:val="24"/>
              <w:lang w:eastAsia="lt-LT"/>
            </w:rPr>
            <w:t>DIDINIMO PLĖTROS PROGRAMOS PAŽANGOS PRIEMONĖS NR. 11-002-02-11-01 „GERINTI SVEIKATOS PRIEŽIŪROS PASLAUGŲ KOKYBĘ IR PRIEINAMUMĄ“ APRAŠO patvirtinimo</w:t>
          </w:r>
        </w:p>
        <w:p>
          <w:pPr>
            <w:jc w:val="center"/>
            <w:rPr>
              <w:szCs w:val="24"/>
            </w:rPr>
          </w:pPr>
        </w:p>
        <w:p>
          <w:pPr>
            <w:jc w:val="center"/>
            <w:rPr>
              <w:szCs w:val="24"/>
            </w:rPr>
          </w:pPr>
          <w:r>
            <w:rPr>
              <w:color w:val="000000"/>
            </w:rPr>
            <w:t>202</w:t>
          </w:r>
          <w:r>
            <w:rPr>
              <w:color w:val="000000"/>
              <w:lang w:val="es-ES"/>
            </w:rPr>
            <w:t xml:space="preserve">2 </w:t>
          </w:r>
          <w:r>
            <w:rPr>
              <w:color w:val="000000"/>
            </w:rPr>
            <w:t xml:space="preserve">m. gegužės </w:t>
          </w:r>
          <w:r>
            <w:rPr>
              <w:color w:val="000000"/>
              <w:lang w:val="es-ES"/>
            </w:rPr>
            <w:t xml:space="preserve">20 </w:t>
          </w:r>
          <w:r>
            <w:rPr>
              <w:color w:val="000000"/>
            </w:rPr>
            <w:t>d.</w:t>
          </w:r>
          <w:r>
            <w:rPr>
              <w:szCs w:val="24"/>
            </w:rPr>
            <w:t xml:space="preserve"> Nr. V-988</w:t>
          </w:r>
        </w:p>
        <w:p>
          <w:pPr>
            <w:jc w:val="center"/>
            <w:rPr>
              <w:szCs w:val="24"/>
            </w:rPr>
          </w:pPr>
          <w:r>
            <w:rPr>
              <w:szCs w:val="24"/>
            </w:rPr>
            <w:t>Vilnius</w:t>
          </w:r>
        </w:p>
        <w:p>
          <w:pPr>
            <w:jc w:val="center"/>
            <w:rPr>
              <w:szCs w:val="24"/>
            </w:rPr>
          </w:pPr>
        </w:p>
        <w:p>
          <w:pPr>
            <w:ind w:firstLine="851"/>
            <w:jc w:val="both"/>
            <w:rPr>
              <w:szCs w:val="24"/>
            </w:rPr>
          </w:pPr>
        </w:p>
        <w:sdt>
          <w:sdtPr>
            <w:alias w:val="preambule"/>
            <w:tag w:val="part_b55119ea5b19448c96fabf90dbccb4b9"/>
            <w:lock w:val="sdtLocked"/>
            <w:richText/>
          </w:sdtPr>
          <w:sdtContent>
            <w:p>
              <w:pPr>
                <w:ind w:firstLine="720"/>
                <w:jc w:val="both"/>
                <w:rPr>
                  <w:szCs w:val="24"/>
                  <w:lang w:eastAsia="lt-LT"/>
                </w:rPr>
              </w:pPr>
              <w:r>
                <w:rPr>
                  <w:szCs w:val="24"/>
                  <w:lang w:eastAsia="lt-LT"/>
                </w:rPr>
                <w:t>Vadovaudamasis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Cs w:val="24"/>
                  <w:vertAlign w:val="superscript"/>
                  <w:lang w:eastAsia="lt-LT"/>
                </w:rPr>
                <w:t>1 </w:t>
              </w:r>
              <w:r>
                <w:rPr>
                  <w:szCs w:val="24"/>
                  <w:lang w:eastAsia="lt-LT"/>
                </w:rPr>
                <w:t>straipsnio 3 dalies įgyvendinimo“, 87 punktu, įgyvendindamas 2022–2030 metų plėtros programos valdytojos Lietuvos Respublikos sveikatos apsaugos ministerijos sveikatos priežiūros kokybės ir efektyvumo didinimo plėtros programos, patvirtintos Lietuvos Respublikos Vyriausybės 2022 m. kovo 30 d. nutarimu Nr. 319 „Dėl 2022–2030 metų Lietuvos Respublikos sveikatos apsaugos ministerijos sveikatos priežiūros kokybės ir efektyvumo didinimo plėtros programos patvirtinimo“,</w:t>
              </w:r>
              <w:r>
                <w:rPr>
                  <w:color w:val="FF0000"/>
                  <w:szCs w:val="24"/>
                  <w:lang w:eastAsia="lt-LT"/>
                </w:rPr>
                <w:t xml:space="preserve"> </w:t>
              </w:r>
              <w:r>
                <w:rPr>
                  <w:szCs w:val="24"/>
                  <w:lang w:eastAsia="lt-LT"/>
                </w:rPr>
                <w:t>pažangos priemonę Nr. 11</w:t>
              </w:r>
              <w:r>
                <w:rPr>
                  <w:caps/>
                  <w:szCs w:val="24"/>
                  <w:lang w:eastAsia="lt-LT"/>
                </w:rPr>
                <w:t>-002-02-11-01 </w:t>
              </w:r>
              <w:r>
                <w:rPr>
                  <w:szCs w:val="24"/>
                  <w:lang w:eastAsia="lt-LT"/>
                </w:rPr>
                <w:t xml:space="preserve">„Gerinti sveikatos priežiūros paslaugų kokybę ir prieinamumą“, vykdydamas Lietuvos Respublikos finansų ministro 2021 m. birželio 28 d. įsakymą Nr. 1K-227 „Dėl Strateginio valdymo metodikos taikymo,  </w:t>
              </w:r>
            </w:p>
          </w:sdtContent>
        </w:sdt>
        <w:sdt>
          <w:sdtPr>
            <w:alias w:val="pastraipa"/>
            <w:tag w:val="part_e2e446847dd74fb198f9f4bc120dd735"/>
            <w:lock w:val="sdtLocked"/>
            <w:richText/>
          </w:sdtPr>
          <w:sdtContent>
            <w:p>
              <w:pPr>
                <w:ind w:firstLine="720"/>
                <w:jc w:val="both"/>
                <w:rPr>
                  <w:szCs w:val="24"/>
                </w:rPr>
              </w:pPr>
              <w:r>
                <w:rPr>
                  <w:szCs w:val="24"/>
                  <w:lang w:eastAsia="lt-LT"/>
                </w:rPr>
                <w:t>t v i r t i n u 2022–2030 metų plėtros programos valdytojos Lietuvos Respublikos sveikatos apsaugos ministerijos sveikatos priežiūros kokybės ir efektyvumo didinimo plėtros programos pažangos priemonės Nr. 11</w:t>
              </w:r>
              <w:r>
                <w:rPr>
                  <w:caps/>
                  <w:szCs w:val="24"/>
                  <w:lang w:eastAsia="lt-LT"/>
                </w:rPr>
                <w:t>-002-02-11-01 </w:t>
              </w:r>
              <w:r>
                <w:rPr>
                  <w:szCs w:val="24"/>
                  <w:lang w:eastAsia="lt-LT"/>
                </w:rPr>
                <w:t>„Gerinti sveikatos priežiūros paslaugų kokybę ir prieinamumą“ aprašą (pridedama).</w:t>
              </w:r>
            </w:p>
          </w:sdtContent>
        </w:sdt>
        <w:sdt>
          <w:sdtPr>
            <w:alias w:val="signatura"/>
            <w:tag w:val="part_8d04719570ea4e7899eed59ab7a0f072"/>
            <w:lock w:val="sdtLocked"/>
            <w:richText/>
          </w:sdtPr>
          <w:sdtContent>
            <w:p/>
            <w:p/>
            <w:p/>
            <w:p>
              <w:r>
                <w:rPr>
                  <w:szCs w:val="24"/>
                </w:rPr>
                <w:t xml:space="preserve">Sveikatos apsaugos ministras </w:t>
                <w:tab/>
                <w:tab/>
                <w:tab/>
                <w:t xml:space="preserve">   </w:t>
                <w:tab/>
                <w:tab/>
                <w:tab/>
                <w:tab/>
                <w:t xml:space="preserve">  Arūnas Dulkys</w:t>
              </w:r>
            </w:p>
          </w:sdtContent>
        </w:sdt>
      </w:sdtContent>
    </w:sdt>
    <w:sdt>
      <w:sdtPr>
        <w:alias w:val="patvirtinta"/>
        <w:tag w:val="part_c0474860178f4e4f9ced136949b89ae6"/>
        <w:lock w:val="sdtLocked"/>
        <w:richText/>
      </w:sdtPr>
      <w:sdtContent>
        <w:p>
          <w:pPr>
            <w:ind w:left="6521"/>
            <w:sectPr>
              <w:headerReference w:type="even" r:id="rId19"/>
              <w:headerReference w:type="default" r:id="rId20"/>
              <w:footerReference w:type="even" r:id="rId21"/>
              <w:footerReference w:type="default" r:id="rId22"/>
              <w:headerReference w:type="first" r:id="rId23"/>
              <w:footerReference w:type="first" r:id="rId24"/>
              <w:pgSz w:w="11906" w:h="16838" w:code="9"/>
              <w:pgMar w:top="851" w:right="567" w:bottom="1134" w:left="992" w:header="567" w:footer="567" w:gutter="0"/>
              <w:pgNumType w:start="1"/>
              <w:cols w:space="1296"/>
              <w:titlePg/>
              <w:docGrid w:linePitch="360"/>
            </w:sectPr>
          </w:pPr>
        </w:p>
        <w:p>
          <w:pPr>
            <w:ind w:left="6521"/>
            <w:rPr>
              <w:sz w:val="22"/>
              <w:szCs w:val="22"/>
            </w:rPr>
          </w:pPr>
          <w:r>
            <w:rPr>
              <w:sz w:val="22"/>
              <w:szCs w:val="22"/>
            </w:rPr>
            <w:t>PATVIRTINTA</w:t>
          </w:r>
        </w:p>
        <w:p>
          <w:pPr>
            <w:ind w:left="6521"/>
            <w:rPr>
              <w:sz w:val="22"/>
              <w:szCs w:val="22"/>
            </w:rPr>
          </w:pPr>
          <w:r>
            <w:rPr>
              <w:sz w:val="22"/>
              <w:szCs w:val="22"/>
            </w:rPr>
            <w:t>Lietuvos Respublikos sveikatos apsaugos ministro 2022 m. gegužės 20 d. įsakymu</w:t>
          </w:r>
        </w:p>
        <w:p>
          <w:pPr>
            <w:ind w:left="6521"/>
            <w:rPr>
              <w:sz w:val="22"/>
              <w:szCs w:val="22"/>
            </w:rPr>
          </w:pPr>
          <w:r>
            <w:rPr>
              <w:sz w:val="22"/>
              <w:szCs w:val="22"/>
            </w:rPr>
            <w:t>Nr. V-988</w:t>
          </w:r>
        </w:p>
        <w:p>
          <w:pPr>
            <w:ind w:left="6521"/>
            <w:rPr>
              <w:sz w:val="22"/>
              <w:szCs w:val="22"/>
            </w:rPr>
          </w:pPr>
          <w:r>
            <w:rPr>
              <w:sz w:val="22"/>
              <w:szCs w:val="22"/>
            </w:rPr>
            <w:t>(Lietuvos Respublikos sveikatos apsaugos ministro 202</w:t>
          </w:r>
          <w:r>
            <w:rPr>
              <w:sz w:val="22"/>
              <w:szCs w:val="22"/>
              <w:lang w:val="nb-NO"/>
            </w:rPr>
            <w:t>4</w:t>
          </w:r>
          <w:r>
            <w:rPr>
              <w:sz w:val="22"/>
              <w:szCs w:val="22"/>
            </w:rPr>
            <w:t xml:space="preserve"> m.  gegužės 20 d. įsakymo Nr. V-572  redakcija)</w:t>
          </w:r>
        </w:p>
        <w:p>
          <w:pPr>
            <w:jc w:val="center"/>
            <w:rPr>
              <w:b/>
              <w:szCs w:val="24"/>
            </w:rPr>
          </w:pPr>
        </w:p>
        <w:p>
          <w:pPr>
            <w:jc w:val="center"/>
            <w:rPr>
              <w:b/>
              <w:sz w:val="22"/>
              <w:szCs w:val="22"/>
              <w:lang w:eastAsia="lt-LT"/>
            </w:rPr>
          </w:pPr>
          <w:sdt>
            <w:sdtPr>
              <w:alias w:val="Pavadinimas"/>
              <w:tag w:val="title_c0474860178f4e4f9ced136949b89ae6"/>
              <w:lock w:val="sdtLocked"/>
              <w:richText/>
            </w:sdtPr>
            <w:sdtContent>
              <w:r>
                <w:rPr>
                  <w:b/>
                  <w:bCs/>
                  <w:sz w:val="22"/>
                  <w:szCs w:val="22"/>
                </w:rPr>
                <w:t xml:space="preserve">2022-2030 METŲ PLĖTROS PROGRAMOS VALDYTOJOS LIETUVOS RESPUBLIKOS SVEIKATOS APSAUGOS MINISTERIJOS SVEIKATOS PRIEŽIŪROS KOKYBĖS IR EFEKTYVUMO DIDINIMO PLĖTROS PROGRAMOS </w:t>
              </w:r>
              <w:r>
                <w:rPr>
                  <w:b/>
                  <w:sz w:val="22"/>
                  <w:szCs w:val="22"/>
                </w:rPr>
                <w:t>PAŽANGOS PRIEMONĖS</w:t>
              </w:r>
              <w:r>
                <w:rPr>
                  <w:b/>
                  <w:bCs/>
                  <w:sz w:val="22"/>
                  <w:szCs w:val="22"/>
                  <w:lang w:eastAsia="lt-LT"/>
                </w:rPr>
                <w:t xml:space="preserve"> NR</w:t>
              </w:r>
              <w:r>
                <w:rPr>
                  <w:b/>
                  <w:sz w:val="22"/>
                  <w:szCs w:val="22"/>
                </w:rPr>
                <w:t>. 11-002-02-11-</w:t>
              </w:r>
              <w:r>
                <w:rPr>
                  <w:b/>
                  <w:color w:val="000000"/>
                  <w:sz w:val="22"/>
                  <w:szCs w:val="22"/>
                  <w:lang w:eastAsia="lt-LT"/>
                </w:rPr>
                <w:t xml:space="preserve">01 „GERINTI SVEIKATOS PRIEŽIŪROS PASLAUGŲ KOKYBĘ IR PRIEINAMUMĄ“ </w:t>
              </w:r>
              <w:r>
                <w:rPr>
                  <w:b/>
                  <w:sz w:val="22"/>
                  <w:szCs w:val="22"/>
                  <w:lang w:eastAsia="lt-LT"/>
                </w:rPr>
                <w:t xml:space="preserve">APRAŠAS </w:t>
              </w:r>
            </w:sdtContent>
          </w:sdt>
        </w:p>
        <w:p>
          <w:pPr>
            <w:jc w:val="center"/>
            <w:rPr>
              <w:b/>
              <w:sz w:val="22"/>
              <w:szCs w:val="22"/>
              <w:lang w:eastAsia="lt-LT"/>
            </w:rPr>
          </w:pPr>
        </w:p>
        <w:sdt>
          <w:sdtPr>
            <w:alias w:val="skyrius"/>
            <w:tag w:val="part_c6e29fa4098441be9ec7d546552ad5c7"/>
            <w:lock w:val="sdtLocked"/>
            <w:richText/>
          </w:sdtPr>
          <w:sdtContent>
            <w:p>
              <w:pPr>
                <w:tabs>
                  <w:tab w:val="left" w:pos="1985"/>
                </w:tabs>
                <w:jc w:val="center"/>
                <w:rPr>
                  <w:b/>
                  <w:bCs/>
                  <w:sz w:val="22"/>
                  <w:szCs w:val="22"/>
                </w:rPr>
              </w:pPr>
              <w:sdt>
                <w:sdtPr>
                  <w:alias w:val="Numeris"/>
                  <w:tag w:val="nr_c6e29fa4098441be9ec7d546552ad5c7"/>
                  <w:lock w:val="sdtLocked"/>
                  <w:richText/>
                </w:sdtPr>
                <w:sdtContent>
                  <w:r>
                    <w:rPr>
                      <w:b/>
                      <w:bCs/>
                      <w:sz w:val="22"/>
                      <w:szCs w:val="22"/>
                    </w:rPr>
                    <w:t>I</w:t>
                  </w:r>
                </w:sdtContent>
              </w:sdt>
              <w:r>
                <w:rPr>
                  <w:b/>
                  <w:bCs/>
                  <w:sz w:val="22"/>
                  <w:szCs w:val="22"/>
                </w:rPr>
                <w:t xml:space="preserve"> SKYRIUS</w:t>
              </w:r>
            </w:p>
            <w:p>
              <w:pPr>
                <w:jc w:val="center"/>
                <w:rPr>
                  <w:b/>
                  <w:bCs/>
                  <w:lang w:eastAsia="lt-LT"/>
                </w:rPr>
              </w:pPr>
              <w:sdt>
                <w:sdtPr>
                  <w:alias w:val="Pavadinimas"/>
                  <w:tag w:val="title_c6e29fa4098441be9ec7d546552ad5c7"/>
                  <w:lock w:val="sdtLocked"/>
                  <w:richText/>
                </w:sdtPr>
                <w:sdtContent>
                  <w:r>
                    <w:rPr>
                      <w:b/>
                      <w:bCs/>
                      <w:sz w:val="22"/>
                      <w:szCs w:val="22"/>
                      <w:lang w:eastAsia="lt-LT"/>
                    </w:rPr>
                    <w:t>PLĖTROS PROGRAMOS PAŽANGOS PRIEMONĖS SIEKIAMI REZULTATAI</w:t>
                  </w:r>
                </w:sdtContent>
              </w:sdt>
            </w:p>
            <w:p>
              <w:pPr>
                <w:jc w:val="center"/>
                <w:rPr>
                  <w:b/>
                  <w:bCs/>
                  <w:lang w:eastAsia="lt-LT"/>
                </w:rPr>
              </w:pPr>
            </w:p>
            <w:tbl>
              <w:tblPr>
                <w:tblW w:w="104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46"/>
                <w:gridCol w:w="1079"/>
                <w:gridCol w:w="2541"/>
                <w:gridCol w:w="1078"/>
                <w:gridCol w:w="1078"/>
                <w:gridCol w:w="945"/>
                <w:gridCol w:w="1079"/>
                <w:gridCol w:w="1344"/>
              </w:tblGrid>
              <w:tr>
                <w:trPr>
                  <w:trHeight w:val="348"/>
                </w:trPr>
                <w:tc>
                  <w:tcPr>
                    <w:tcW w:w="1418" w:type="dxa"/>
                    <w:vMerge w:val="restart"/>
                    <w:shd w:val="clear" w:color="auto" w:fill="DBE5F1" w:themeFill="accent1" w:themeFillTint="33"/>
                    <w:vAlign w:val="center"/>
                  </w:tcPr>
                  <w:p>
                    <w:pPr>
                      <w:jc w:val="center"/>
                      <w:rPr>
                        <w:b/>
                        <w:sz w:val="20"/>
                      </w:rPr>
                    </w:pPr>
                    <w:r>
                      <w:rPr>
                        <w:b/>
                        <w:sz w:val="20"/>
                      </w:rPr>
                      <w:t>Rodiklio kodas</w:t>
                    </w:r>
                  </w:p>
                </w:tc>
                <w:tc>
                  <w:tcPr>
                    <w:tcW w:w="1134" w:type="dxa"/>
                    <w:vMerge w:val="restart"/>
                    <w:shd w:val="clear" w:color="auto" w:fill="DBE5F1" w:themeFill="accent1" w:themeFillTint="33"/>
                  </w:tcPr>
                  <w:p>
                    <w:pPr>
                      <w:jc w:val="center"/>
                      <w:rPr>
                        <w:b/>
                        <w:sz w:val="20"/>
                      </w:rPr>
                    </w:pPr>
                    <w:r>
                      <w:rPr>
                        <w:b/>
                        <w:sz w:val="20"/>
                      </w:rPr>
                      <w:t>Rodiklio tipas (rezultato / produkto)</w:t>
                    </w:r>
                  </w:p>
                </w:tc>
                <w:tc>
                  <w:tcPr>
                    <w:tcW w:w="2693" w:type="dxa"/>
                    <w:vMerge w:val="restart"/>
                    <w:shd w:val="clear" w:color="auto" w:fill="DBE5F1" w:themeFill="accent1" w:themeFillTint="33"/>
                    <w:vAlign w:val="center"/>
                  </w:tcPr>
                  <w:p>
                    <w:pPr>
                      <w:jc w:val="both"/>
                      <w:rPr>
                        <w:b/>
                        <w:sz w:val="20"/>
                      </w:rPr>
                    </w:pPr>
                    <w:r>
                      <w:rPr>
                        <w:b/>
                        <w:sz w:val="20"/>
                      </w:rPr>
                      <w:t>Rodiklio pavadinimas</w:t>
                    </w:r>
                  </w:p>
                </w:tc>
                <w:tc>
                  <w:tcPr>
                    <w:tcW w:w="1134" w:type="dxa"/>
                    <w:vMerge w:val="restart"/>
                    <w:shd w:val="clear" w:color="auto" w:fill="DBE5F1" w:themeFill="accent1" w:themeFillTint="33"/>
                    <w:vAlign w:val="center"/>
                  </w:tcPr>
                  <w:p>
                    <w:pPr>
                      <w:jc w:val="center"/>
                      <w:rPr>
                        <w:b/>
                        <w:sz w:val="20"/>
                      </w:rPr>
                    </w:pPr>
                    <w:r>
                      <w:rPr>
                        <w:b/>
                        <w:sz w:val="20"/>
                      </w:rPr>
                      <w:t>Matavimo vienetas</w:t>
                    </w:r>
                  </w:p>
                </w:tc>
                <w:tc>
                  <w:tcPr>
                    <w:tcW w:w="1134" w:type="dxa"/>
                    <w:vMerge w:val="restart"/>
                    <w:shd w:val="clear" w:color="auto" w:fill="DBE5F1" w:themeFill="accent1" w:themeFillTint="33"/>
                  </w:tcPr>
                  <w:p>
                    <w:pPr>
                      <w:jc w:val="center"/>
                      <w:rPr>
                        <w:b/>
                        <w:sz w:val="20"/>
                      </w:rPr>
                    </w:pPr>
                    <w:r>
                      <w:rPr>
                        <w:b/>
                        <w:sz w:val="20"/>
                      </w:rPr>
                      <w:t>Pradinė rodiklio reikšmė (metai)</w:t>
                    </w:r>
                  </w:p>
                </w:tc>
                <w:tc>
                  <w:tcPr>
                    <w:tcW w:w="2127" w:type="dxa"/>
                    <w:gridSpan w:val="2"/>
                    <w:shd w:val="clear" w:color="auto" w:fill="DBE5F1" w:themeFill="accent1" w:themeFillTint="33"/>
                  </w:tcPr>
                  <w:p>
                    <w:pPr>
                      <w:jc w:val="center"/>
                      <w:rPr>
                        <w:b/>
                        <w:sz w:val="20"/>
                      </w:rPr>
                    </w:pPr>
                    <w:r>
                      <w:rPr>
                        <w:b/>
                        <w:sz w:val="20"/>
                      </w:rPr>
                      <w:t>Siektinos rodiklio reikšmės</w:t>
                    </w:r>
                  </w:p>
                </w:tc>
                <w:tc>
                  <w:tcPr>
                    <w:tcW w:w="1417" w:type="dxa"/>
                    <w:shd w:val="clear" w:color="auto" w:fill="DBE5F1" w:themeFill="accent1" w:themeFillTint="33"/>
                  </w:tcPr>
                  <w:p>
                    <w:pPr>
                      <w:rPr>
                        <w:b/>
                        <w:sz w:val="20"/>
                      </w:rPr>
                    </w:pPr>
                  </w:p>
                </w:tc>
              </w:tr>
              <w:tr>
                <w:trPr>
                  <w:trHeight w:val="852"/>
                </w:trPr>
                <w:tc>
                  <w:tcPr>
                    <w:tcW w:w="1418" w:type="dxa"/>
                    <w:vMerge/>
                    <w:shd w:val="clear" w:color="auto" w:fill="DBE5F1" w:themeFill="accent1" w:themeFillTint="33"/>
                    <w:vAlign w:val="center"/>
                  </w:tcPr>
                  <w:p>
                    <w:pPr>
                      <w:spacing w:line="276" w:lineRule="auto"/>
                      <w:jc w:val="center"/>
                      <w:rPr>
                        <w:b/>
                        <w:sz w:val="20"/>
                      </w:rPr>
                    </w:pPr>
                  </w:p>
                </w:tc>
                <w:tc>
                  <w:tcPr>
                    <w:tcW w:w="1134" w:type="dxa"/>
                    <w:vMerge/>
                    <w:shd w:val="clear" w:color="auto" w:fill="DBE5F1" w:themeFill="accent1" w:themeFillTint="33"/>
                  </w:tcPr>
                  <w:p>
                    <w:pPr>
                      <w:spacing w:line="276" w:lineRule="auto"/>
                      <w:jc w:val="center"/>
                      <w:rPr>
                        <w:b/>
                        <w:sz w:val="20"/>
                      </w:rPr>
                    </w:pPr>
                  </w:p>
                </w:tc>
                <w:tc>
                  <w:tcPr>
                    <w:tcW w:w="2693" w:type="dxa"/>
                    <w:vMerge/>
                    <w:shd w:val="clear" w:color="auto" w:fill="DBE5F1" w:themeFill="accent1" w:themeFillTint="33"/>
                    <w:vAlign w:val="center"/>
                  </w:tcPr>
                  <w:p>
                    <w:pPr>
                      <w:spacing w:line="276" w:lineRule="auto"/>
                      <w:jc w:val="both"/>
                      <w:rPr>
                        <w:b/>
                        <w:sz w:val="20"/>
                      </w:rPr>
                    </w:pPr>
                  </w:p>
                </w:tc>
                <w:tc>
                  <w:tcPr>
                    <w:tcW w:w="1134" w:type="dxa"/>
                    <w:vMerge/>
                    <w:shd w:val="clear" w:color="auto" w:fill="DBE5F1" w:themeFill="accent1" w:themeFillTint="33"/>
                    <w:vAlign w:val="center"/>
                  </w:tcPr>
                  <w:p>
                    <w:pPr>
                      <w:spacing w:line="276" w:lineRule="auto"/>
                      <w:jc w:val="center"/>
                      <w:rPr>
                        <w:b/>
                        <w:sz w:val="20"/>
                      </w:rPr>
                    </w:pPr>
                  </w:p>
                </w:tc>
                <w:tc>
                  <w:tcPr>
                    <w:tcW w:w="1134" w:type="dxa"/>
                    <w:vMerge/>
                    <w:shd w:val="clear" w:color="auto" w:fill="DBE5F1" w:themeFill="accent1" w:themeFillTint="33"/>
                  </w:tcPr>
                  <w:p>
                    <w:pPr>
                      <w:spacing w:line="276" w:lineRule="auto"/>
                      <w:jc w:val="center"/>
                      <w:rPr>
                        <w:b/>
                        <w:sz w:val="20"/>
                      </w:rPr>
                    </w:pPr>
                  </w:p>
                </w:tc>
                <w:tc>
                  <w:tcPr>
                    <w:tcW w:w="992" w:type="dxa"/>
                    <w:shd w:val="clear" w:color="auto" w:fill="DBE5F1" w:themeFill="accent1" w:themeFillTint="33"/>
                  </w:tcPr>
                  <w:p>
                    <w:pPr>
                      <w:jc w:val="center"/>
                      <w:rPr>
                        <w:b/>
                        <w:sz w:val="20"/>
                      </w:rPr>
                    </w:pPr>
                    <w:r>
                      <w:rPr>
                        <w:b/>
                        <w:sz w:val="20"/>
                      </w:rPr>
                      <w:t>Tarpinė reikšmė 2025 m.</w:t>
                    </w:r>
                  </w:p>
                </w:tc>
                <w:tc>
                  <w:tcPr>
                    <w:tcW w:w="1135" w:type="dxa"/>
                    <w:shd w:val="clear" w:color="auto" w:fill="DBE5F1" w:themeFill="accent1" w:themeFillTint="33"/>
                  </w:tcPr>
                  <w:p>
                    <w:pPr>
                      <w:jc w:val="center"/>
                      <w:rPr>
                        <w:b/>
                        <w:sz w:val="20"/>
                      </w:rPr>
                    </w:pPr>
                    <w:r>
                      <w:rPr>
                        <w:b/>
                        <w:sz w:val="20"/>
                      </w:rPr>
                      <w:t>Galutinė reikšmė</w:t>
                    </w:r>
                  </w:p>
                  <w:p>
                    <w:pPr>
                      <w:jc w:val="center"/>
                      <w:rPr>
                        <w:b/>
                        <w:sz w:val="20"/>
                      </w:rPr>
                    </w:pPr>
                    <w:r>
                      <w:rPr>
                        <w:b/>
                        <w:sz w:val="20"/>
                      </w:rPr>
                      <w:t xml:space="preserve">2030 m. </w:t>
                    </w:r>
                  </w:p>
                </w:tc>
                <w:tc>
                  <w:tcPr>
                    <w:tcW w:w="1417" w:type="dxa"/>
                    <w:shd w:val="clear" w:color="auto" w:fill="DBE5F1" w:themeFill="accent1" w:themeFillTint="33"/>
                  </w:tcPr>
                  <w:p>
                    <w:pPr>
                      <w:spacing w:line="276" w:lineRule="auto"/>
                      <w:jc w:val="center"/>
                      <w:rPr>
                        <w:b/>
                        <w:sz w:val="20"/>
                      </w:rPr>
                    </w:pPr>
                    <w:r>
                      <w:rPr>
                        <w:b/>
                        <w:sz w:val="20"/>
                      </w:rPr>
                      <w:t>Finansavimo šaltinis</w:t>
                    </w:r>
                  </w:p>
                </w:tc>
              </w:tr>
              <w:tr>
                <w:trPr>
                  <w:trHeight w:val="193"/>
                </w:trPr>
                <w:tc>
                  <w:tcPr>
                    <w:tcW w:w="1418" w:type="dxa"/>
                    <w:shd w:val="clear" w:color="auto" w:fill="DBE5F1" w:themeFill="accent1" w:themeFillTint="33"/>
                    <w:vAlign w:val="center"/>
                  </w:tcPr>
                  <w:p>
                    <w:pPr>
                      <w:spacing w:line="276" w:lineRule="auto"/>
                      <w:jc w:val="center"/>
                      <w:rPr>
                        <w:b/>
                        <w:sz w:val="20"/>
                      </w:rPr>
                    </w:pPr>
                    <w:r>
                      <w:rPr>
                        <w:b/>
                        <w:sz w:val="20"/>
                      </w:rPr>
                      <w:t>1</w:t>
                    </w:r>
                  </w:p>
                </w:tc>
                <w:tc>
                  <w:tcPr>
                    <w:tcW w:w="1134" w:type="dxa"/>
                    <w:shd w:val="clear" w:color="auto" w:fill="DBE5F1" w:themeFill="accent1" w:themeFillTint="33"/>
                  </w:tcPr>
                  <w:p>
                    <w:pPr>
                      <w:spacing w:line="276" w:lineRule="auto"/>
                      <w:jc w:val="center"/>
                      <w:rPr>
                        <w:b/>
                        <w:sz w:val="20"/>
                      </w:rPr>
                    </w:pPr>
                    <w:r>
                      <w:rPr>
                        <w:b/>
                        <w:sz w:val="20"/>
                      </w:rPr>
                      <w:t>2</w:t>
                    </w:r>
                  </w:p>
                </w:tc>
                <w:tc>
                  <w:tcPr>
                    <w:tcW w:w="2693" w:type="dxa"/>
                    <w:shd w:val="clear" w:color="auto" w:fill="DBE5F1" w:themeFill="accent1" w:themeFillTint="33"/>
                    <w:vAlign w:val="center"/>
                  </w:tcPr>
                  <w:p>
                    <w:pPr>
                      <w:spacing w:line="276" w:lineRule="auto"/>
                      <w:jc w:val="center"/>
                      <w:rPr>
                        <w:b/>
                        <w:sz w:val="20"/>
                      </w:rPr>
                    </w:pPr>
                    <w:r>
                      <w:rPr>
                        <w:b/>
                        <w:sz w:val="20"/>
                      </w:rPr>
                      <w:t>3</w:t>
                    </w:r>
                  </w:p>
                </w:tc>
                <w:tc>
                  <w:tcPr>
                    <w:tcW w:w="1134" w:type="dxa"/>
                    <w:shd w:val="clear" w:color="auto" w:fill="DBE5F1" w:themeFill="accent1" w:themeFillTint="33"/>
                    <w:vAlign w:val="center"/>
                  </w:tcPr>
                  <w:p>
                    <w:pPr>
                      <w:spacing w:line="276" w:lineRule="auto"/>
                      <w:jc w:val="center"/>
                      <w:rPr>
                        <w:b/>
                        <w:sz w:val="20"/>
                      </w:rPr>
                    </w:pPr>
                    <w:r>
                      <w:rPr>
                        <w:b/>
                        <w:sz w:val="20"/>
                      </w:rPr>
                      <w:t>4</w:t>
                    </w:r>
                  </w:p>
                </w:tc>
                <w:tc>
                  <w:tcPr>
                    <w:tcW w:w="1134" w:type="dxa"/>
                    <w:shd w:val="clear" w:color="auto" w:fill="DBE5F1" w:themeFill="accent1" w:themeFillTint="33"/>
                  </w:tcPr>
                  <w:p>
                    <w:pPr>
                      <w:spacing w:line="276" w:lineRule="auto"/>
                      <w:jc w:val="center"/>
                      <w:rPr>
                        <w:b/>
                        <w:sz w:val="20"/>
                      </w:rPr>
                    </w:pPr>
                    <w:r>
                      <w:rPr>
                        <w:b/>
                        <w:sz w:val="20"/>
                      </w:rPr>
                      <w:t>5</w:t>
                    </w:r>
                  </w:p>
                </w:tc>
                <w:tc>
                  <w:tcPr>
                    <w:tcW w:w="992" w:type="dxa"/>
                    <w:shd w:val="clear" w:color="auto" w:fill="DBE5F1" w:themeFill="accent1" w:themeFillTint="33"/>
                  </w:tcPr>
                  <w:p>
                    <w:pPr>
                      <w:jc w:val="center"/>
                      <w:rPr>
                        <w:b/>
                        <w:sz w:val="20"/>
                      </w:rPr>
                    </w:pPr>
                    <w:r>
                      <w:rPr>
                        <w:b/>
                        <w:sz w:val="20"/>
                      </w:rPr>
                      <w:t>6</w:t>
                    </w:r>
                  </w:p>
                </w:tc>
                <w:tc>
                  <w:tcPr>
                    <w:tcW w:w="1135" w:type="dxa"/>
                    <w:shd w:val="clear" w:color="auto" w:fill="DBE5F1" w:themeFill="accent1" w:themeFillTint="33"/>
                  </w:tcPr>
                  <w:p>
                    <w:pPr>
                      <w:jc w:val="center"/>
                      <w:rPr>
                        <w:b/>
                        <w:sz w:val="20"/>
                      </w:rPr>
                    </w:pPr>
                    <w:r>
                      <w:rPr>
                        <w:b/>
                        <w:sz w:val="20"/>
                      </w:rPr>
                      <w:t>7</w:t>
                    </w:r>
                  </w:p>
                </w:tc>
                <w:tc>
                  <w:tcPr>
                    <w:tcW w:w="1417" w:type="dxa"/>
                    <w:shd w:val="clear" w:color="auto" w:fill="DBE5F1" w:themeFill="accent1" w:themeFillTint="33"/>
                  </w:tcPr>
                  <w:p>
                    <w:pPr>
                      <w:spacing w:line="276" w:lineRule="auto"/>
                      <w:jc w:val="center"/>
                      <w:rPr>
                        <w:b/>
                        <w:sz w:val="20"/>
                      </w:rPr>
                    </w:pPr>
                    <w:r>
                      <w:rPr>
                        <w:b/>
                        <w:sz w:val="20"/>
                      </w:rPr>
                      <w:t>8</w:t>
                    </w:r>
                  </w:p>
                </w:tc>
              </w:tr>
              <w:tr>
                <w:trPr>
                  <w:trHeight w:val="330"/>
                </w:trPr>
                <w:tc>
                  <w:tcPr>
                    <w:tcW w:w="1418" w:type="dxa"/>
                    <w:shd w:val="clear" w:color="auto" w:fill="FFFFFF" w:themeFill="background1"/>
                  </w:tcPr>
                  <w:p>
                    <w:pPr>
                      <w:rPr>
                        <w:color w:val="FFFFFF"/>
                        <w:sz w:val="20"/>
                      </w:rPr>
                    </w:pPr>
                    <w:r>
                      <w:rPr>
                        <w:sz w:val="20"/>
                      </w:rPr>
                      <w:t>R-11-002-02-11-01-01</w:t>
                    </w:r>
                  </w:p>
                </w:tc>
                <w:tc>
                  <w:tcPr>
                    <w:tcW w:w="1134" w:type="dxa"/>
                    <w:shd w:val="clear" w:color="auto" w:fill="FFFFFF" w:themeFill="background1"/>
                  </w:tcPr>
                  <w:p>
                    <w:pPr>
                      <w:rPr>
                        <w:color w:val="FFFFFF"/>
                        <w:sz w:val="20"/>
                      </w:rPr>
                    </w:pPr>
                    <w:r>
                      <w:rPr>
                        <w:sz w:val="20"/>
                      </w:rPr>
                      <w:t>Rezultato</w:t>
                    </w:r>
                  </w:p>
                </w:tc>
                <w:tc>
                  <w:tcPr>
                    <w:tcW w:w="2693" w:type="dxa"/>
                    <w:shd w:val="clear" w:color="auto" w:fill="FFFFFF" w:themeFill="background1"/>
                  </w:tcPr>
                  <w:p>
                    <w:pPr>
                      <w:rPr>
                        <w:color w:val="FFFFFF"/>
                        <w:sz w:val="20"/>
                      </w:rPr>
                    </w:pPr>
                    <w:r>
                      <w:rPr>
                        <w:sz w:val="20"/>
                      </w:rPr>
                      <w:t xml:space="preserve">Išvengiamų hospitalizacijų skaičius </w:t>
                    </w:r>
                  </w:p>
                </w:tc>
                <w:tc>
                  <w:tcPr>
                    <w:tcW w:w="1134" w:type="dxa"/>
                    <w:shd w:val="clear" w:color="auto" w:fill="FFFFFF" w:themeFill="background1"/>
                  </w:tcPr>
                  <w:p>
                    <w:pPr>
                      <w:jc w:val="center"/>
                      <w:rPr>
                        <w:color w:val="FFFFFF"/>
                        <w:sz w:val="20"/>
                      </w:rPr>
                    </w:pPr>
                    <w:r>
                      <w:rPr>
                        <w:sz w:val="20"/>
                      </w:rPr>
                      <w:t>Skaičius 1000 gyventojų</w:t>
                    </w:r>
                  </w:p>
                </w:tc>
                <w:tc>
                  <w:tcPr>
                    <w:tcW w:w="1134" w:type="dxa"/>
                    <w:shd w:val="clear" w:color="auto" w:fill="FFFFFF" w:themeFill="background1"/>
                  </w:tcPr>
                  <w:p>
                    <w:pPr>
                      <w:jc w:val="center"/>
                      <w:rPr>
                        <w:sz w:val="20"/>
                      </w:rPr>
                    </w:pPr>
                    <w:r>
                      <w:rPr>
                        <w:sz w:val="20"/>
                      </w:rPr>
                      <w:t>31,4</w:t>
                    </w:r>
                  </w:p>
                  <w:p>
                    <w:pPr>
                      <w:jc w:val="center"/>
                      <w:rPr>
                        <w:color w:val="FFFFFF"/>
                        <w:sz w:val="20"/>
                      </w:rPr>
                    </w:pPr>
                    <w:r>
                      <w:rPr>
                        <w:sz w:val="20"/>
                      </w:rPr>
                      <w:t>(2019 m.)</w:t>
                    </w:r>
                  </w:p>
                </w:tc>
                <w:tc>
                  <w:tcPr>
                    <w:tcW w:w="992" w:type="dxa"/>
                    <w:shd w:val="clear" w:color="auto" w:fill="FFFFFF" w:themeFill="background1"/>
                  </w:tcPr>
                  <w:p>
                    <w:pPr>
                      <w:jc w:val="center"/>
                      <w:rPr>
                        <w:color w:val="FFFFFF"/>
                        <w:sz w:val="20"/>
                      </w:rPr>
                    </w:pPr>
                    <w:r>
                      <w:rPr>
                        <w:sz w:val="20"/>
                      </w:rPr>
                      <w:t>17</w:t>
                    </w:r>
                  </w:p>
                </w:tc>
                <w:tc>
                  <w:tcPr>
                    <w:tcW w:w="1135" w:type="dxa"/>
                    <w:shd w:val="clear" w:color="auto" w:fill="FFFFFF" w:themeFill="background1"/>
                  </w:tcPr>
                  <w:p>
                    <w:pPr>
                      <w:jc w:val="center"/>
                      <w:rPr>
                        <w:sz w:val="20"/>
                        <w:lang w:val="en-US"/>
                      </w:rPr>
                    </w:pPr>
                    <w:r>
                      <w:rPr>
                        <w:sz w:val="20"/>
                        <w:lang w:val="en-US"/>
                      </w:rPr>
                      <w:t>16</w:t>
                    </w:r>
                  </w:p>
                  <w:p>
                    <w:pPr>
                      <w:jc w:val="center"/>
                      <w:rPr>
                        <w:color w:val="FFFFFF"/>
                        <w:sz w:val="20"/>
                      </w:rPr>
                    </w:pPr>
                    <w:r>
                      <w:rPr>
                        <w:sz w:val="20"/>
                        <w:lang w:val="en-US"/>
                      </w:rPr>
                      <w:t>(2 029 m.)</w:t>
                    </w:r>
                  </w:p>
                </w:tc>
                <w:tc>
                  <w:tcPr>
                    <w:tcW w:w="1417" w:type="dxa"/>
                    <w:shd w:val="clear" w:color="auto" w:fill="FFFFFF" w:themeFill="background1"/>
                  </w:tcPr>
                  <w:p>
                    <w:pPr>
                      <w:jc w:val="center"/>
                      <w:rPr>
                        <w:bCs/>
                        <w:sz w:val="20"/>
                      </w:rPr>
                    </w:pPr>
                    <w:r>
                      <w:rPr>
                        <w:bCs/>
                        <w:sz w:val="20"/>
                      </w:rPr>
                      <w:t>Ekonomikos gaivinimo ir atsparumo didinimo priemonės lėšos (toliau – EGADP); 2021–2027 m. Europos Sąjungos fondų investicijų programos lėšos (toliau – 2021</w:t>
                    </w:r>
                    <w:r>
                      <w:rPr>
                        <w:color w:val="000000"/>
                        <w:szCs w:val="24"/>
                      </w:rPr>
                      <w:t>–</w:t>
                    </w:r>
                    <w:r>
                      <w:rPr>
                        <w:bCs/>
                        <w:sz w:val="20"/>
                      </w:rPr>
                      <w:t xml:space="preserve">2027 m. IP) </w:t>
                    </w:r>
                  </w:p>
                  <w:p>
                    <w:pPr>
                      <w:jc w:val="center"/>
                      <w:rPr>
                        <w:color w:val="FFFFFF"/>
                        <w:sz w:val="20"/>
                      </w:rPr>
                    </w:pPr>
                    <w:r>
                      <w:rPr>
                        <w:bCs/>
                        <w:sz w:val="20"/>
                      </w:rPr>
                      <w:t xml:space="preserve">Europos regioninės plėtros fondas (toliau </w:t>
                    </w:r>
                    <w:r>
                      <w:rPr>
                        <w:color w:val="000000"/>
                        <w:szCs w:val="24"/>
                      </w:rPr>
                      <w:t>–</w:t>
                    </w:r>
                    <w:r>
                      <w:rPr>
                        <w:bCs/>
                        <w:sz w:val="20"/>
                      </w:rPr>
                      <w:t xml:space="preserve"> ERPF))  </w:t>
                    </w:r>
                  </w:p>
                </w:tc>
              </w:tr>
              <w:tr>
                <w:trPr>
                  <w:trHeight w:val="330"/>
                </w:trPr>
                <w:tc>
                  <w:tcPr>
                    <w:tcW w:w="1418" w:type="dxa"/>
                    <w:shd w:val="clear" w:color="auto" w:fill="FFFFFF" w:themeFill="background1"/>
                  </w:tcPr>
                  <w:p>
                    <w:pPr>
                      <w:rPr>
                        <w:color w:val="FFFFFF"/>
                        <w:sz w:val="20"/>
                      </w:rPr>
                    </w:pPr>
                    <w:r>
                      <w:rPr>
                        <w:sz w:val="20"/>
                      </w:rPr>
                      <w:t>R-11-002-02-11-01-02</w:t>
                    </w:r>
                  </w:p>
                </w:tc>
                <w:tc>
                  <w:tcPr>
                    <w:tcW w:w="1134" w:type="dxa"/>
                    <w:shd w:val="clear" w:color="auto" w:fill="FFFFFF" w:themeFill="background1"/>
                  </w:tcPr>
                  <w:p>
                    <w:pPr>
                      <w:rPr>
                        <w:color w:val="FFFFFF"/>
                        <w:sz w:val="20"/>
                      </w:rPr>
                    </w:pPr>
                    <w:r>
                      <w:rPr>
                        <w:sz w:val="20"/>
                      </w:rPr>
                      <w:t>Rezultato</w:t>
                    </w:r>
                  </w:p>
                </w:tc>
                <w:tc>
                  <w:tcPr>
                    <w:tcW w:w="2693" w:type="dxa"/>
                    <w:shd w:val="clear" w:color="auto" w:fill="FFFFFF" w:themeFill="background1"/>
                  </w:tcPr>
                  <w:p>
                    <w:pPr>
                      <w:rPr>
                        <w:color w:val="FFFFFF"/>
                        <w:sz w:val="20"/>
                        <w:vertAlign w:val="superscript"/>
                      </w:rPr>
                    </w:pPr>
                    <w:r>
                      <w:rPr>
                        <w:sz w:val="20"/>
                      </w:rPr>
                      <w:t>Šeimos gydytojo ir jo komandos narių suteiktų sveikatos priežiūros paslaugų santykis</w:t>
                    </w:r>
                    <w:r>
                      <w:rPr>
                        <w:sz w:val="20"/>
                        <w:vertAlign w:val="superscript"/>
                      </w:rPr>
                      <w:t>1</w:t>
                    </w:r>
                  </w:p>
                </w:tc>
                <w:tc>
                  <w:tcPr>
                    <w:tcW w:w="1134" w:type="dxa"/>
                    <w:shd w:val="clear" w:color="auto" w:fill="FFFFFF" w:themeFill="background1"/>
                  </w:tcPr>
                  <w:p>
                    <w:pPr>
                      <w:jc w:val="center"/>
                      <w:rPr>
                        <w:color w:val="FFFFFF"/>
                        <w:sz w:val="20"/>
                      </w:rPr>
                    </w:pPr>
                    <w:r>
                      <w:rPr>
                        <w:sz w:val="20"/>
                      </w:rPr>
                      <w:t>Santykis</w:t>
                    </w:r>
                  </w:p>
                </w:tc>
                <w:tc>
                  <w:tcPr>
                    <w:tcW w:w="1134" w:type="dxa"/>
                    <w:shd w:val="clear" w:color="auto" w:fill="FFFFFF" w:themeFill="background1"/>
                  </w:tcPr>
                  <w:p>
                    <w:pPr>
                      <w:jc w:val="center"/>
                      <w:rPr>
                        <w:sz w:val="20"/>
                      </w:rPr>
                    </w:pPr>
                    <w:r>
                      <w:rPr>
                        <w:sz w:val="20"/>
                      </w:rPr>
                      <w:t>86/14</w:t>
                    </w:r>
                  </w:p>
                  <w:p>
                    <w:pPr>
                      <w:jc w:val="center"/>
                      <w:rPr>
                        <w:color w:val="FFFFFF"/>
                        <w:sz w:val="20"/>
                      </w:rPr>
                    </w:pPr>
                    <w:r>
                      <w:rPr>
                        <w:sz w:val="20"/>
                      </w:rPr>
                      <w:t>(2021 m.)</w:t>
                    </w:r>
                  </w:p>
                </w:tc>
                <w:tc>
                  <w:tcPr>
                    <w:tcW w:w="992" w:type="dxa"/>
                    <w:shd w:val="clear" w:color="auto" w:fill="FFFFFF" w:themeFill="background1"/>
                  </w:tcPr>
                  <w:p>
                    <w:pPr>
                      <w:jc w:val="center"/>
                      <w:rPr>
                        <w:sz w:val="20"/>
                      </w:rPr>
                    </w:pPr>
                    <w:r>
                      <w:rPr>
                        <w:sz w:val="20"/>
                      </w:rPr>
                      <w:t xml:space="preserve">60/40 </w:t>
                    </w:r>
                  </w:p>
                  <w:p>
                    <w:pPr>
                      <w:jc w:val="center"/>
                      <w:rPr>
                        <w:color w:val="FFFFFF"/>
                        <w:sz w:val="20"/>
                      </w:rPr>
                    </w:pPr>
                  </w:p>
                </w:tc>
                <w:tc>
                  <w:tcPr>
                    <w:tcW w:w="1135" w:type="dxa"/>
                    <w:shd w:val="clear" w:color="auto" w:fill="FFFFFF" w:themeFill="background1"/>
                  </w:tcPr>
                  <w:p>
                    <w:pPr>
                      <w:jc w:val="center"/>
                      <w:rPr>
                        <w:sz w:val="20"/>
                      </w:rPr>
                    </w:pPr>
                    <w:r>
                      <w:rPr>
                        <w:sz w:val="20"/>
                      </w:rPr>
                      <w:t>40/60</w:t>
                    </w:r>
                  </w:p>
                  <w:p>
                    <w:pPr>
                      <w:jc w:val="center"/>
                      <w:rPr>
                        <w:color w:val="FFFFFF"/>
                        <w:sz w:val="20"/>
                      </w:rPr>
                    </w:pPr>
                  </w:p>
                </w:tc>
                <w:tc>
                  <w:tcPr>
                    <w:tcW w:w="1417" w:type="dxa"/>
                    <w:shd w:val="clear" w:color="auto" w:fill="FFFFFF" w:themeFill="background1"/>
                  </w:tcPr>
                  <w:p>
                    <w:pPr>
                      <w:jc w:val="center"/>
                      <w:rPr>
                        <w:color w:val="FFFFFF"/>
                        <w:sz w:val="20"/>
                      </w:rPr>
                    </w:pPr>
                    <w:r>
                      <w:rPr>
                        <w:bCs/>
                        <w:sz w:val="20"/>
                      </w:rPr>
                      <w:t>2021</w:t>
                    </w:r>
                    <w:r>
                      <w:rPr>
                        <w:color w:val="000000"/>
                        <w:szCs w:val="24"/>
                      </w:rPr>
                      <w:t>–</w:t>
                    </w:r>
                    <w:r>
                      <w:rPr>
                        <w:bCs/>
                        <w:sz w:val="20"/>
                      </w:rPr>
                      <w:t xml:space="preserve">2027 m. IP (ERPF) </w:t>
                    </w:r>
                  </w:p>
                </w:tc>
              </w:tr>
              <w:tr>
                <w:trPr>
                  <w:trHeight w:val="330"/>
                </w:trPr>
                <w:tc>
                  <w:tcPr>
                    <w:tcW w:w="1418" w:type="dxa"/>
                    <w:shd w:val="clear" w:color="auto" w:fill="FFFFFF" w:themeFill="background1"/>
                  </w:tcPr>
                  <w:p>
                    <w:pPr>
                      <w:rPr>
                        <w:sz w:val="20"/>
                      </w:rPr>
                    </w:pPr>
                    <w:r>
                      <w:rPr>
                        <w:sz w:val="20"/>
                      </w:rPr>
                      <w:t>R-11-002-02-11-01-03</w:t>
                    </w:r>
                  </w:p>
                </w:tc>
                <w:tc>
                  <w:tcPr>
                    <w:tcW w:w="1134" w:type="dxa"/>
                    <w:shd w:val="clear" w:color="auto" w:fill="FFFFFF" w:themeFill="background1"/>
                  </w:tcPr>
                  <w:p>
                    <w:pPr>
                      <w:rPr>
                        <w:sz w:val="20"/>
                      </w:rPr>
                    </w:pPr>
                    <w:r>
                      <w:rPr>
                        <w:sz w:val="20"/>
                      </w:rPr>
                      <w:t>Rezultato</w:t>
                    </w:r>
                  </w:p>
                </w:tc>
                <w:tc>
                  <w:tcPr>
                    <w:tcW w:w="2693" w:type="dxa"/>
                    <w:shd w:val="clear" w:color="auto" w:fill="FFFFFF" w:themeFill="background1"/>
                  </w:tcPr>
                  <w:p>
                    <w:pPr>
                      <w:rPr>
                        <w:sz w:val="20"/>
                      </w:rPr>
                    </w:pPr>
                    <w:r>
                      <w:rPr>
                        <w:sz w:val="20"/>
                      </w:rPr>
                      <w:t xml:space="preserve">Tikslinių grupių asmenų, kurių gyvenimo kokybė pagerėjo gavus naujas ar patobulintas psichikos sveikatos priežiūros paslaugas, dalis </w:t>
                    </w:r>
                  </w:p>
                </w:tc>
                <w:tc>
                  <w:tcPr>
                    <w:tcW w:w="1134" w:type="dxa"/>
                    <w:shd w:val="clear" w:color="auto" w:fill="FFFFFF" w:themeFill="background1"/>
                  </w:tcPr>
                  <w:p>
                    <w:pPr>
                      <w:jc w:val="center"/>
                      <w:rPr>
                        <w:sz w:val="20"/>
                      </w:rPr>
                    </w:pPr>
                    <w:r>
                      <w:rPr>
                        <w:sz w:val="20"/>
                      </w:rPr>
                      <w:t>Proc.</w:t>
                    </w:r>
                  </w:p>
                </w:tc>
                <w:tc>
                  <w:tcPr>
                    <w:tcW w:w="1134" w:type="dxa"/>
                    <w:shd w:val="clear" w:color="auto" w:fill="FFFFFF" w:themeFill="background1"/>
                  </w:tcPr>
                  <w:p>
                    <w:pPr>
                      <w:jc w:val="center"/>
                      <w:rPr>
                        <w:sz w:val="20"/>
                      </w:rPr>
                    </w:pPr>
                    <w:r>
                      <w:rPr>
                        <w:sz w:val="20"/>
                      </w:rPr>
                      <w:t>0</w:t>
                    </w:r>
                  </w:p>
                  <w:p>
                    <w:pPr>
                      <w:jc w:val="center"/>
                      <w:rPr>
                        <w:sz w:val="20"/>
                      </w:rPr>
                    </w:pPr>
                    <w:r>
                      <w:rPr>
                        <w:sz w:val="20"/>
                      </w:rPr>
                      <w:t>(2021 m.)</w:t>
                    </w:r>
                  </w:p>
                </w:tc>
                <w:tc>
                  <w:tcPr>
                    <w:tcW w:w="992" w:type="dxa"/>
                    <w:shd w:val="clear" w:color="auto" w:fill="FFFFFF" w:themeFill="background1"/>
                  </w:tcPr>
                  <w:p>
                    <w:pPr>
                      <w:jc w:val="center"/>
                      <w:rPr>
                        <w:sz w:val="20"/>
                      </w:rPr>
                    </w:pPr>
                    <w:r>
                      <w:rPr>
                        <w:sz w:val="20"/>
                      </w:rPr>
                      <w:t>n/d</w:t>
                    </w:r>
                  </w:p>
                </w:tc>
                <w:tc>
                  <w:tcPr>
                    <w:tcW w:w="1135" w:type="dxa"/>
                    <w:shd w:val="clear" w:color="auto" w:fill="FFFFFF" w:themeFill="background1"/>
                  </w:tcPr>
                  <w:p>
                    <w:pPr>
                      <w:jc w:val="center"/>
                      <w:rPr>
                        <w:sz w:val="20"/>
                        <w:lang w:val="en-US"/>
                      </w:rPr>
                    </w:pPr>
                    <w:r>
                      <w:rPr>
                        <w:sz w:val="20"/>
                        <w:lang w:val="en-US"/>
                      </w:rPr>
                      <w:t>25</w:t>
                    </w:r>
                  </w:p>
                  <w:p>
                    <w:pPr>
                      <w:jc w:val="center"/>
                      <w:rPr>
                        <w:sz w:val="20"/>
                      </w:rPr>
                    </w:pPr>
                    <w:r>
                      <w:rPr>
                        <w:sz w:val="20"/>
                        <w:lang w:val="en-US"/>
                      </w:rPr>
                      <w:t>(2029 m.)</w:t>
                    </w:r>
                  </w:p>
                </w:tc>
                <w:tc>
                  <w:tcPr>
                    <w:tcW w:w="1417" w:type="dxa"/>
                    <w:shd w:val="clear" w:color="auto" w:fill="FFFFFF" w:themeFill="background1"/>
                  </w:tcPr>
                  <w:p>
                    <w:pPr>
                      <w:jc w:val="center"/>
                      <w:rPr>
                        <w:bCs/>
                        <w:sz w:val="20"/>
                      </w:rPr>
                    </w:pPr>
                    <w:r>
                      <w:rPr>
                        <w:bCs/>
                        <w:sz w:val="20"/>
                      </w:rPr>
                      <w:t>2021–2027 m. IP (Europos socialinis fondas + (toliau – ESF+))</w:t>
                    </w:r>
                  </w:p>
                </w:tc>
              </w:tr>
              <w:tr>
                <w:trPr>
                  <w:trHeight w:val="330"/>
                </w:trPr>
                <w:tc>
                  <w:tcPr>
                    <w:tcW w:w="1418" w:type="dxa"/>
                    <w:shd w:val="clear" w:color="auto" w:fill="FFFFFF" w:themeFill="background1"/>
                  </w:tcPr>
                  <w:p>
                    <w:pPr>
                      <w:rPr>
                        <w:color w:val="FFFFFF"/>
                        <w:sz w:val="20"/>
                      </w:rPr>
                    </w:pPr>
                    <w:r>
                      <w:rPr>
                        <w:sz w:val="20"/>
                      </w:rPr>
                      <w:t>R-11-002-02-11-01-04</w:t>
                    </w:r>
                  </w:p>
                </w:tc>
                <w:tc>
                  <w:tcPr>
                    <w:tcW w:w="1134" w:type="dxa"/>
                    <w:shd w:val="clear" w:color="auto" w:fill="FFFFFF" w:themeFill="background1"/>
                  </w:tcPr>
                  <w:p>
                    <w:pPr>
                      <w:rPr>
                        <w:color w:val="FFFFFF"/>
                        <w:sz w:val="20"/>
                      </w:rPr>
                    </w:pPr>
                    <w:r>
                      <w:rPr>
                        <w:sz w:val="20"/>
                      </w:rPr>
                      <w:t xml:space="preserve">Rezultato </w:t>
                    </w:r>
                  </w:p>
                </w:tc>
                <w:tc>
                  <w:tcPr>
                    <w:tcW w:w="2693" w:type="dxa"/>
                    <w:shd w:val="clear" w:color="auto" w:fill="FFFFFF" w:themeFill="background1"/>
                  </w:tcPr>
                  <w:p>
                    <w:pPr>
                      <w:rPr>
                        <w:color w:val="FFFFFF"/>
                        <w:sz w:val="20"/>
                      </w:rPr>
                    </w:pPr>
                    <w:r>
                      <w:rPr>
                        <w:sz w:val="20"/>
                      </w:rPr>
                      <w:t xml:space="preserve">Ambulatorines ilgalaikės priežiūros paslaugas gaunančių pacientų dalis </w:t>
                    </w:r>
                  </w:p>
                </w:tc>
                <w:tc>
                  <w:tcPr>
                    <w:tcW w:w="1134" w:type="dxa"/>
                    <w:shd w:val="clear" w:color="auto" w:fill="FFFFFF" w:themeFill="background1"/>
                  </w:tcPr>
                  <w:p>
                    <w:pPr>
                      <w:jc w:val="center"/>
                      <w:rPr>
                        <w:color w:val="FFFFFF"/>
                        <w:sz w:val="20"/>
                      </w:rPr>
                    </w:pPr>
                    <w:r>
                      <w:rPr>
                        <w:sz w:val="20"/>
                      </w:rPr>
                      <w:t>Proc.</w:t>
                    </w:r>
                  </w:p>
                </w:tc>
                <w:tc>
                  <w:tcPr>
                    <w:tcW w:w="1134" w:type="dxa"/>
                    <w:shd w:val="clear" w:color="auto" w:fill="FFFFFF" w:themeFill="background1"/>
                  </w:tcPr>
                  <w:p>
                    <w:pPr>
                      <w:jc w:val="center"/>
                      <w:rPr>
                        <w:sz w:val="20"/>
                      </w:rPr>
                    </w:pPr>
                    <w:r>
                      <w:rPr>
                        <w:sz w:val="20"/>
                      </w:rPr>
                      <w:t>5</w:t>
                    </w:r>
                  </w:p>
                  <w:p>
                    <w:pPr>
                      <w:jc w:val="center"/>
                      <w:rPr>
                        <w:color w:val="FFFFFF"/>
                        <w:sz w:val="20"/>
                      </w:rPr>
                    </w:pPr>
                    <w:r>
                      <w:rPr>
                        <w:sz w:val="20"/>
                      </w:rPr>
                      <w:t>(2020 m.)</w:t>
                    </w:r>
                  </w:p>
                </w:tc>
                <w:tc>
                  <w:tcPr>
                    <w:tcW w:w="992" w:type="dxa"/>
                    <w:shd w:val="clear" w:color="auto" w:fill="FFFFFF" w:themeFill="background1"/>
                  </w:tcPr>
                  <w:p>
                    <w:pPr>
                      <w:jc w:val="center"/>
                      <w:rPr>
                        <w:sz w:val="20"/>
                      </w:rPr>
                    </w:pPr>
                    <w:r>
                      <w:rPr>
                        <w:sz w:val="20"/>
                      </w:rPr>
                      <w:t>30</w:t>
                    </w:r>
                  </w:p>
                  <w:p>
                    <w:pPr>
                      <w:jc w:val="center"/>
                      <w:rPr>
                        <w:sz w:val="20"/>
                      </w:rPr>
                    </w:pPr>
                    <w:r>
                      <w:rPr>
                        <w:sz w:val="20"/>
                      </w:rPr>
                      <w:t>(2025 m. II ketv.)</w:t>
                    </w:r>
                  </w:p>
                  <w:p>
                    <w:pPr>
                      <w:jc w:val="center"/>
                      <w:rPr>
                        <w:color w:val="FFFFFF"/>
                        <w:sz w:val="20"/>
                      </w:rPr>
                    </w:pPr>
                  </w:p>
                </w:tc>
                <w:tc>
                  <w:tcPr>
                    <w:tcW w:w="1135" w:type="dxa"/>
                    <w:shd w:val="clear" w:color="auto" w:fill="FFFFFF" w:themeFill="background1"/>
                  </w:tcPr>
                  <w:p>
                    <w:pPr>
                      <w:jc w:val="center"/>
                      <w:rPr>
                        <w:sz w:val="20"/>
                      </w:rPr>
                    </w:pPr>
                    <w:r>
                      <w:rPr>
                        <w:sz w:val="20"/>
                      </w:rPr>
                      <w:t>60</w:t>
                    </w:r>
                  </w:p>
                  <w:p>
                    <w:pPr>
                      <w:jc w:val="center"/>
                      <w:rPr>
                        <w:sz w:val="20"/>
                      </w:rPr>
                    </w:pPr>
                    <w:r>
                      <w:rPr>
                        <w:sz w:val="20"/>
                      </w:rPr>
                      <w:t>(2026 m. I ketv.)</w:t>
                    </w:r>
                  </w:p>
                  <w:p>
                    <w:pPr>
                      <w:jc w:val="center"/>
                      <w:rPr>
                        <w:color w:val="FFFFFF"/>
                        <w:sz w:val="20"/>
                      </w:rPr>
                    </w:pPr>
                  </w:p>
                </w:tc>
                <w:tc>
                  <w:tcPr>
                    <w:tcW w:w="1417" w:type="dxa"/>
                    <w:shd w:val="clear" w:color="auto" w:fill="FFFFFF" w:themeFill="background1"/>
                  </w:tcPr>
                  <w:p>
                    <w:pPr>
                      <w:jc w:val="center"/>
                      <w:rPr>
                        <w:color w:val="FFFFFF"/>
                        <w:sz w:val="20"/>
                      </w:rPr>
                    </w:pPr>
                    <w:r>
                      <w:rPr>
                        <w:bCs/>
                        <w:sz w:val="20"/>
                      </w:rPr>
                      <w:t xml:space="preserve">EGADP </w:t>
                    </w:r>
                  </w:p>
                </w:tc>
              </w:tr>
              <w:tr>
                <w:trPr>
                  <w:trHeight w:val="330"/>
                </w:trPr>
                <w:tc>
                  <w:tcPr>
                    <w:tcW w:w="1418" w:type="dxa"/>
                    <w:shd w:val="clear" w:color="auto" w:fill="FFFFFF" w:themeFill="background1"/>
                  </w:tcPr>
                  <w:p>
                    <w:pPr>
                      <w:rPr>
                        <w:color w:val="FFFFFF"/>
                        <w:sz w:val="20"/>
                      </w:rPr>
                    </w:pPr>
                    <w:r>
                      <w:rPr>
                        <w:sz w:val="20"/>
                      </w:rPr>
                      <w:t>R-11-002-02-11-01-05</w:t>
                    </w:r>
                  </w:p>
                </w:tc>
                <w:tc>
                  <w:tcPr>
                    <w:tcW w:w="1134" w:type="dxa"/>
                    <w:shd w:val="clear" w:color="auto" w:fill="FFFFFF" w:themeFill="background1"/>
                  </w:tcPr>
                  <w:p>
                    <w:pPr>
                      <w:rPr>
                        <w:color w:val="FFFFFF"/>
                        <w:sz w:val="20"/>
                      </w:rPr>
                    </w:pPr>
                    <w:r>
                      <w:rPr>
                        <w:sz w:val="20"/>
                      </w:rPr>
                      <w:t>Rezultato</w:t>
                    </w:r>
                  </w:p>
                </w:tc>
                <w:tc>
                  <w:tcPr>
                    <w:tcW w:w="2693" w:type="dxa"/>
                    <w:shd w:val="clear" w:color="auto" w:fill="FFFFFF" w:themeFill="background1"/>
                  </w:tcPr>
                  <w:p>
                    <w:pPr>
                      <w:rPr>
                        <w:color w:val="FFFFFF"/>
                        <w:sz w:val="20"/>
                        <w:vertAlign w:val="superscript"/>
                      </w:rPr>
                    </w:pPr>
                    <w:r>
                      <w:rPr>
                        <w:sz w:val="20"/>
                      </w:rPr>
                      <w:t>Mirštamumas nuo miokardo infarkto per 30 dienų nuo hospitalizacijos</w:t>
                    </w:r>
                    <w:r>
                      <w:rPr>
                        <w:sz w:val="20"/>
                        <w:vertAlign w:val="superscript"/>
                      </w:rPr>
                      <w:t>1</w:t>
                    </w:r>
                  </w:p>
                </w:tc>
                <w:tc>
                  <w:tcPr>
                    <w:tcW w:w="1134" w:type="dxa"/>
                    <w:shd w:val="clear" w:color="auto" w:fill="FFFFFF" w:themeFill="background1"/>
                  </w:tcPr>
                  <w:p>
                    <w:pPr>
                      <w:jc w:val="center"/>
                      <w:rPr>
                        <w:color w:val="FFFFFF"/>
                        <w:sz w:val="20"/>
                      </w:rPr>
                    </w:pPr>
                    <w:r>
                      <w:rPr>
                        <w:sz w:val="20"/>
                      </w:rPr>
                      <w:t>Proc.</w:t>
                    </w:r>
                  </w:p>
                </w:tc>
                <w:tc>
                  <w:tcPr>
                    <w:tcW w:w="1134" w:type="dxa"/>
                    <w:shd w:val="clear" w:color="auto" w:fill="FFFFFF" w:themeFill="background1"/>
                  </w:tcPr>
                  <w:p>
                    <w:pPr>
                      <w:jc w:val="center"/>
                      <w:rPr>
                        <w:sz w:val="20"/>
                      </w:rPr>
                    </w:pPr>
                    <w:r>
                      <w:rPr>
                        <w:sz w:val="20"/>
                      </w:rPr>
                      <w:t>13,3</w:t>
                    </w:r>
                  </w:p>
                  <w:p>
                    <w:pPr>
                      <w:jc w:val="center"/>
                      <w:rPr>
                        <w:color w:val="FFFFFF"/>
                        <w:sz w:val="20"/>
                      </w:rPr>
                    </w:pPr>
                    <w:r>
                      <w:rPr>
                        <w:sz w:val="20"/>
                      </w:rPr>
                      <w:t>(2019 m.)</w:t>
                    </w:r>
                  </w:p>
                </w:tc>
                <w:tc>
                  <w:tcPr>
                    <w:tcW w:w="992" w:type="dxa"/>
                    <w:shd w:val="clear" w:color="auto" w:fill="FFFFFF" w:themeFill="background1"/>
                  </w:tcPr>
                  <w:p>
                    <w:pPr>
                      <w:jc w:val="center"/>
                      <w:rPr>
                        <w:sz w:val="20"/>
                      </w:rPr>
                    </w:pPr>
                    <w:r>
                      <w:rPr>
                        <w:sz w:val="20"/>
                      </w:rPr>
                      <w:t>11,5</w:t>
                    </w:r>
                  </w:p>
                  <w:p>
                    <w:pPr>
                      <w:jc w:val="center"/>
                      <w:rPr>
                        <w:color w:val="FFFFFF"/>
                        <w:sz w:val="20"/>
                      </w:rPr>
                    </w:pPr>
                  </w:p>
                </w:tc>
                <w:tc>
                  <w:tcPr>
                    <w:tcW w:w="1135" w:type="dxa"/>
                    <w:shd w:val="clear" w:color="auto" w:fill="FFFFFF" w:themeFill="background1"/>
                  </w:tcPr>
                  <w:p>
                    <w:pPr>
                      <w:jc w:val="center"/>
                      <w:rPr>
                        <w:sz w:val="20"/>
                        <w:lang w:val="en-US"/>
                      </w:rPr>
                    </w:pPr>
                    <w:r>
                      <w:rPr>
                        <w:sz w:val="20"/>
                        <w:lang w:val="en-US"/>
                      </w:rPr>
                      <w:t>9</w:t>
                    </w:r>
                  </w:p>
                  <w:p>
                    <w:pPr>
                      <w:jc w:val="center"/>
                      <w:rPr>
                        <w:color w:val="FFFFFF"/>
                        <w:sz w:val="20"/>
                      </w:rPr>
                    </w:pPr>
                  </w:p>
                </w:tc>
                <w:tc>
                  <w:tcPr>
                    <w:tcW w:w="1417" w:type="dxa"/>
                    <w:shd w:val="clear" w:color="auto" w:fill="FFFFFF" w:themeFill="background1"/>
                  </w:tcPr>
                  <w:p>
                    <w:pPr>
                      <w:jc w:val="center"/>
                      <w:rPr>
                        <w:bCs/>
                        <w:sz w:val="20"/>
                      </w:rPr>
                    </w:pPr>
                    <w:r>
                      <w:rPr>
                        <w:bCs/>
                        <w:sz w:val="20"/>
                      </w:rPr>
                      <w:t>EGADP;</w:t>
                    </w:r>
                  </w:p>
                  <w:p>
                    <w:pPr>
                      <w:jc w:val="center"/>
                      <w:rPr>
                        <w:color w:val="FFFFFF"/>
                        <w:sz w:val="20"/>
                      </w:rPr>
                    </w:pPr>
                    <w:r>
                      <w:rPr>
                        <w:sz w:val="20"/>
                      </w:rPr>
                      <w:t>2021</w:t>
                    </w:r>
                    <w:r>
                      <w:rPr>
                        <w:color w:val="000000"/>
                        <w:szCs w:val="24"/>
                      </w:rPr>
                      <w:t>–</w:t>
                    </w:r>
                    <w:r>
                      <w:rPr>
                        <w:sz w:val="20"/>
                      </w:rPr>
                      <w:t>2027 m. IP (ERPF, ESF+)</w:t>
                    </w:r>
                  </w:p>
                </w:tc>
              </w:tr>
              <w:tr>
                <w:trPr>
                  <w:trHeight w:val="330"/>
                </w:trPr>
                <w:tc>
                  <w:tcPr>
                    <w:tcW w:w="1418" w:type="dxa"/>
                    <w:shd w:val="clear" w:color="auto" w:fill="FFFFFF" w:themeFill="background1"/>
                  </w:tcPr>
                  <w:p>
                    <w:pPr>
                      <w:rPr>
                        <w:color w:val="FFFFFF"/>
                        <w:sz w:val="20"/>
                      </w:rPr>
                    </w:pPr>
                    <w:r>
                      <w:rPr>
                        <w:sz w:val="20"/>
                      </w:rPr>
                      <w:t>R-11-002-02-11-01-06</w:t>
                    </w:r>
                  </w:p>
                </w:tc>
                <w:tc>
                  <w:tcPr>
                    <w:tcW w:w="1134" w:type="dxa"/>
                    <w:shd w:val="clear" w:color="auto" w:fill="FFFFFF" w:themeFill="background1"/>
                  </w:tcPr>
                  <w:p>
                    <w:pPr>
                      <w:rPr>
                        <w:color w:val="FFFFFF"/>
                        <w:sz w:val="20"/>
                      </w:rPr>
                    </w:pPr>
                    <w:r>
                      <w:rPr>
                        <w:sz w:val="20"/>
                      </w:rPr>
                      <w:t>Rezultato</w:t>
                    </w:r>
                  </w:p>
                </w:tc>
                <w:tc>
                  <w:tcPr>
                    <w:tcW w:w="2693" w:type="dxa"/>
                    <w:shd w:val="clear" w:color="auto" w:fill="FFFFFF" w:themeFill="background1"/>
                  </w:tcPr>
                  <w:p>
                    <w:pPr>
                      <w:rPr>
                        <w:color w:val="FFFFFF"/>
                        <w:sz w:val="20"/>
                      </w:rPr>
                    </w:pPr>
                    <w:r>
                      <w:rPr>
                        <w:sz w:val="20"/>
                      </w:rPr>
                      <w:t>Mirštamumas nuo išeminio galvos smegenų insulto per 30 dienų po hospitalizacijos</w:t>
                    </w:r>
                    <w:r>
                      <w:rPr>
                        <w:sz w:val="20"/>
                        <w:vertAlign w:val="superscript"/>
                      </w:rPr>
                      <w:t>1</w:t>
                    </w:r>
                  </w:p>
                </w:tc>
                <w:tc>
                  <w:tcPr>
                    <w:tcW w:w="1134" w:type="dxa"/>
                    <w:shd w:val="clear" w:color="auto" w:fill="FFFFFF" w:themeFill="background1"/>
                  </w:tcPr>
                  <w:p>
                    <w:pPr>
                      <w:jc w:val="center"/>
                      <w:rPr>
                        <w:color w:val="FFFFFF"/>
                        <w:sz w:val="20"/>
                      </w:rPr>
                    </w:pPr>
                    <w:r>
                      <w:rPr>
                        <w:sz w:val="20"/>
                      </w:rPr>
                      <w:t>Proc.</w:t>
                    </w:r>
                  </w:p>
                </w:tc>
                <w:tc>
                  <w:tcPr>
                    <w:tcW w:w="1134" w:type="dxa"/>
                    <w:shd w:val="clear" w:color="auto" w:fill="FFFFFF" w:themeFill="background1"/>
                  </w:tcPr>
                  <w:p>
                    <w:pPr>
                      <w:jc w:val="center"/>
                      <w:rPr>
                        <w:sz w:val="20"/>
                      </w:rPr>
                    </w:pPr>
                    <w:r>
                      <w:rPr>
                        <w:sz w:val="20"/>
                      </w:rPr>
                      <w:t>18,24</w:t>
                    </w:r>
                  </w:p>
                  <w:p>
                    <w:pPr>
                      <w:jc w:val="center"/>
                      <w:rPr>
                        <w:color w:val="FFFFFF"/>
                        <w:sz w:val="20"/>
                      </w:rPr>
                    </w:pPr>
                    <w:r>
                      <w:rPr>
                        <w:sz w:val="20"/>
                      </w:rPr>
                      <w:t xml:space="preserve">(2019 m.)  </w:t>
                    </w:r>
                  </w:p>
                </w:tc>
                <w:tc>
                  <w:tcPr>
                    <w:tcW w:w="992" w:type="dxa"/>
                    <w:shd w:val="clear" w:color="auto" w:fill="FFFFFF" w:themeFill="background1"/>
                  </w:tcPr>
                  <w:p>
                    <w:pPr>
                      <w:jc w:val="center"/>
                      <w:rPr>
                        <w:sz w:val="20"/>
                      </w:rPr>
                    </w:pPr>
                    <w:r>
                      <w:rPr>
                        <w:sz w:val="20"/>
                      </w:rPr>
                      <w:t>14</w:t>
                    </w:r>
                  </w:p>
                  <w:p>
                    <w:pPr>
                      <w:jc w:val="center"/>
                      <w:rPr>
                        <w:color w:val="FFFFFF"/>
                        <w:sz w:val="20"/>
                      </w:rPr>
                    </w:pPr>
                  </w:p>
                </w:tc>
                <w:tc>
                  <w:tcPr>
                    <w:tcW w:w="1135" w:type="dxa"/>
                    <w:shd w:val="clear" w:color="auto" w:fill="FFFFFF" w:themeFill="background1"/>
                  </w:tcPr>
                  <w:p>
                    <w:pPr>
                      <w:jc w:val="center"/>
                      <w:rPr>
                        <w:sz w:val="20"/>
                        <w:lang w:val="en-US"/>
                      </w:rPr>
                    </w:pPr>
                    <w:r>
                      <w:rPr>
                        <w:sz w:val="20"/>
                        <w:lang w:val="en-US"/>
                      </w:rPr>
                      <w:t>12</w:t>
                    </w:r>
                  </w:p>
                  <w:p>
                    <w:pPr>
                      <w:jc w:val="center"/>
                      <w:rPr>
                        <w:color w:val="FFFFFF"/>
                        <w:sz w:val="20"/>
                      </w:rPr>
                    </w:pPr>
                  </w:p>
                </w:tc>
                <w:tc>
                  <w:tcPr>
                    <w:tcW w:w="1417" w:type="dxa"/>
                    <w:shd w:val="clear" w:color="auto" w:fill="FFFFFF" w:themeFill="background1"/>
                  </w:tcPr>
                  <w:p>
                    <w:pPr>
                      <w:jc w:val="center"/>
                      <w:rPr>
                        <w:bCs/>
                        <w:sz w:val="20"/>
                      </w:rPr>
                    </w:pPr>
                    <w:r>
                      <w:rPr>
                        <w:bCs/>
                        <w:sz w:val="20"/>
                      </w:rPr>
                      <w:t>EGADP; 2021</w:t>
                    </w:r>
                    <w:r>
                      <w:rPr>
                        <w:color w:val="000000"/>
                        <w:szCs w:val="24"/>
                      </w:rPr>
                      <w:t>–</w:t>
                    </w:r>
                    <w:r>
                      <w:rPr>
                        <w:bCs/>
                        <w:sz w:val="20"/>
                      </w:rPr>
                      <w:t>2027 m. IP (ERPF, ESF+)</w:t>
                    </w:r>
                  </w:p>
                  <w:p>
                    <w:pPr>
                      <w:jc w:val="center"/>
                      <w:rPr>
                        <w:color w:val="FFFFFF"/>
                        <w:sz w:val="20"/>
                      </w:rPr>
                    </w:pPr>
                    <w:r>
                      <w:rPr>
                        <w:color w:val="FFFFFF"/>
                        <w:sz w:val="20"/>
                      </w:rPr>
                      <w:t>EFPR; ESF+</w:t>
                    </w:r>
                  </w:p>
                </w:tc>
              </w:tr>
              <w:tr>
                <w:trPr>
                  <w:trHeight w:val="330"/>
                </w:trPr>
                <w:tc>
                  <w:tcPr>
                    <w:tcW w:w="1418" w:type="dxa"/>
                    <w:shd w:val="clear" w:color="auto" w:fill="FFFFFF" w:themeFill="background1"/>
                  </w:tcPr>
                  <w:p>
                    <w:pPr>
                      <w:rPr>
                        <w:color w:val="FFFFFF"/>
                        <w:sz w:val="20"/>
                      </w:rPr>
                    </w:pPr>
                    <w:r>
                      <w:rPr>
                        <w:sz w:val="20"/>
                      </w:rPr>
                      <w:t>R-11-002-02-11-01-07</w:t>
                    </w:r>
                  </w:p>
                </w:tc>
                <w:tc>
                  <w:tcPr>
                    <w:tcW w:w="1134" w:type="dxa"/>
                    <w:shd w:val="clear" w:color="auto" w:fill="FFFFFF" w:themeFill="background1"/>
                  </w:tcPr>
                  <w:p>
                    <w:pPr>
                      <w:rPr>
                        <w:color w:val="FFFFFF"/>
                        <w:sz w:val="20"/>
                      </w:rPr>
                    </w:pPr>
                    <w:r>
                      <w:rPr>
                        <w:sz w:val="20"/>
                      </w:rPr>
                      <w:t>Rezultato</w:t>
                    </w:r>
                  </w:p>
                </w:tc>
                <w:tc>
                  <w:tcPr>
                    <w:tcW w:w="2693" w:type="dxa"/>
                    <w:shd w:val="clear" w:color="auto" w:fill="FFFFFF" w:themeFill="background1"/>
                  </w:tcPr>
                  <w:p>
                    <w:pPr>
                      <w:rPr>
                        <w:color w:val="FFFFFF"/>
                        <w:sz w:val="20"/>
                        <w:vertAlign w:val="superscript"/>
                      </w:rPr>
                    </w:pPr>
                    <w:r>
                      <w:rPr>
                        <w:sz w:val="20"/>
                      </w:rPr>
                      <w:t>Asmenų, kuriems onkologinė liga diagnozuota ankstyvoje stadijoje (I–II st.), dalis</w:t>
                    </w:r>
                    <w:r>
                      <w:rPr>
                        <w:sz w:val="20"/>
                        <w:vertAlign w:val="superscript"/>
                      </w:rPr>
                      <w:t>1</w:t>
                    </w:r>
                  </w:p>
                </w:tc>
                <w:tc>
                  <w:tcPr>
                    <w:tcW w:w="1134" w:type="dxa"/>
                    <w:shd w:val="clear" w:color="auto" w:fill="FFFFFF" w:themeFill="background1"/>
                  </w:tcPr>
                  <w:p>
                    <w:pPr>
                      <w:jc w:val="center"/>
                      <w:rPr>
                        <w:color w:val="FFFFFF"/>
                        <w:sz w:val="20"/>
                      </w:rPr>
                    </w:pPr>
                    <w:r>
                      <w:rPr>
                        <w:sz w:val="20"/>
                      </w:rPr>
                      <w:t>Proc. nuo visų naujai diagnozuo-tų navikų</w:t>
                    </w:r>
                  </w:p>
                </w:tc>
                <w:tc>
                  <w:tcPr>
                    <w:tcW w:w="1134" w:type="dxa"/>
                    <w:shd w:val="clear" w:color="auto" w:fill="FFFFFF" w:themeFill="background1"/>
                  </w:tcPr>
                  <w:p>
                    <w:pPr>
                      <w:jc w:val="center"/>
                      <w:rPr>
                        <w:sz w:val="20"/>
                      </w:rPr>
                    </w:pPr>
                    <w:r>
                      <w:rPr>
                        <w:sz w:val="20"/>
                      </w:rPr>
                      <w:t>47,0</w:t>
                    </w:r>
                  </w:p>
                  <w:p>
                    <w:pPr>
                      <w:jc w:val="center"/>
                      <w:rPr>
                        <w:color w:val="FFFFFF"/>
                        <w:sz w:val="20"/>
                      </w:rPr>
                    </w:pPr>
                    <w:r>
                      <w:rPr>
                        <w:sz w:val="20"/>
                      </w:rPr>
                      <w:t>(2014 m.)</w:t>
                    </w:r>
                  </w:p>
                </w:tc>
                <w:tc>
                  <w:tcPr>
                    <w:tcW w:w="992" w:type="dxa"/>
                    <w:shd w:val="clear" w:color="auto" w:fill="FFFFFF" w:themeFill="background1"/>
                  </w:tcPr>
                  <w:p>
                    <w:pPr>
                      <w:jc w:val="center"/>
                      <w:rPr>
                        <w:sz w:val="20"/>
                      </w:rPr>
                    </w:pPr>
                    <w:r>
                      <w:rPr>
                        <w:sz w:val="20"/>
                      </w:rPr>
                      <w:t>52</w:t>
                    </w:r>
                  </w:p>
                  <w:p>
                    <w:pPr>
                      <w:jc w:val="center"/>
                      <w:rPr>
                        <w:color w:val="FFFFFF"/>
                        <w:sz w:val="20"/>
                      </w:rPr>
                    </w:pPr>
                  </w:p>
                </w:tc>
                <w:tc>
                  <w:tcPr>
                    <w:tcW w:w="1135" w:type="dxa"/>
                    <w:shd w:val="clear" w:color="auto" w:fill="FFFFFF" w:themeFill="background1"/>
                  </w:tcPr>
                  <w:p>
                    <w:pPr>
                      <w:jc w:val="center"/>
                      <w:rPr>
                        <w:sz w:val="20"/>
                        <w:lang w:val="en-US"/>
                      </w:rPr>
                    </w:pPr>
                    <w:r>
                      <w:rPr>
                        <w:sz w:val="20"/>
                        <w:lang w:val="en-US"/>
                      </w:rPr>
                      <w:t>60,0</w:t>
                    </w:r>
                  </w:p>
                  <w:p>
                    <w:pPr>
                      <w:jc w:val="center"/>
                      <w:rPr>
                        <w:color w:val="FFFFFF"/>
                        <w:sz w:val="20"/>
                      </w:rPr>
                    </w:pPr>
                  </w:p>
                </w:tc>
                <w:tc>
                  <w:tcPr>
                    <w:tcW w:w="1417" w:type="dxa"/>
                    <w:shd w:val="clear" w:color="auto" w:fill="FFFFFF" w:themeFill="background1"/>
                  </w:tcPr>
                  <w:p>
                    <w:pPr>
                      <w:jc w:val="center"/>
                      <w:rPr>
                        <w:color w:val="FFFFFF"/>
                        <w:sz w:val="20"/>
                      </w:rPr>
                    </w:pPr>
                    <w:r>
                      <w:rPr>
                        <w:bCs/>
                        <w:sz w:val="20"/>
                      </w:rPr>
                      <w:t>2021</w:t>
                    </w:r>
                    <w:r>
                      <w:rPr>
                        <w:color w:val="000000"/>
                        <w:szCs w:val="24"/>
                      </w:rPr>
                      <w:t>–</w:t>
                    </w:r>
                    <w:r>
                      <w:rPr>
                        <w:bCs/>
                        <w:sz w:val="20"/>
                      </w:rPr>
                      <w:t xml:space="preserve">2027 m. IP (ERPF) </w:t>
                    </w:r>
                  </w:p>
                </w:tc>
              </w:tr>
              <w:tr>
                <w:trPr>
                  <w:trHeight w:val="330"/>
                </w:trPr>
                <w:tc>
                  <w:tcPr>
                    <w:tcW w:w="1418" w:type="dxa"/>
                    <w:shd w:val="clear" w:color="auto" w:fill="FFFFFF" w:themeFill="background1"/>
                  </w:tcPr>
                  <w:p>
                    <w:pPr>
                      <w:rPr>
                        <w:color w:val="FFFFFF"/>
                        <w:sz w:val="20"/>
                      </w:rPr>
                    </w:pPr>
                    <w:r>
                      <w:rPr>
                        <w:sz w:val="20"/>
                      </w:rPr>
                      <w:t>R-11-002-02-11-01-08</w:t>
                    </w:r>
                  </w:p>
                </w:tc>
                <w:tc>
                  <w:tcPr>
                    <w:tcW w:w="1134" w:type="dxa"/>
                    <w:shd w:val="clear" w:color="auto" w:fill="FFFFFF" w:themeFill="background1"/>
                  </w:tcPr>
                  <w:p>
                    <w:pPr>
                      <w:rPr>
                        <w:color w:val="FFFFFF"/>
                        <w:sz w:val="20"/>
                      </w:rPr>
                    </w:pPr>
                    <w:r>
                      <w:rPr>
                        <w:sz w:val="20"/>
                      </w:rPr>
                      <w:t>Rezultato</w:t>
                    </w:r>
                  </w:p>
                </w:tc>
                <w:tc>
                  <w:tcPr>
                    <w:tcW w:w="2693" w:type="dxa"/>
                    <w:shd w:val="clear" w:color="auto" w:fill="FFFFFF" w:themeFill="background1"/>
                  </w:tcPr>
                  <w:p>
                    <w:pPr>
                      <w:rPr>
                        <w:color w:val="FFFFFF"/>
                        <w:sz w:val="20"/>
                      </w:rPr>
                    </w:pPr>
                    <w:r>
                      <w:rPr>
                        <w:sz w:val="20"/>
                      </w:rPr>
                      <w:t>Bendras 5 metų išgyvenamumas sergant krūties vėžiu</w:t>
                    </w:r>
                    <w:r>
                      <w:rPr>
                        <w:sz w:val="20"/>
                        <w:vertAlign w:val="superscript"/>
                      </w:rPr>
                      <w:t>1</w:t>
                    </w:r>
                    <w:r>
                      <w:rPr>
                        <w:sz w:val="20"/>
                      </w:rPr>
                      <w:t xml:space="preserve"> (dalis nuo visų atvejų)</w:t>
                    </w:r>
                  </w:p>
                </w:tc>
                <w:tc>
                  <w:tcPr>
                    <w:tcW w:w="1134" w:type="dxa"/>
                    <w:shd w:val="clear" w:color="auto" w:fill="FFFFFF" w:themeFill="background1"/>
                  </w:tcPr>
                  <w:p>
                    <w:pPr>
                      <w:jc w:val="center"/>
                      <w:rPr>
                        <w:color w:val="FFFFFF"/>
                        <w:sz w:val="20"/>
                      </w:rPr>
                    </w:pPr>
                    <w:r>
                      <w:rPr>
                        <w:sz w:val="20"/>
                      </w:rPr>
                      <w:t>Proc.</w:t>
                    </w:r>
                  </w:p>
                </w:tc>
                <w:tc>
                  <w:tcPr>
                    <w:tcW w:w="1134" w:type="dxa"/>
                    <w:shd w:val="clear" w:color="auto" w:fill="FFFFFF" w:themeFill="background1"/>
                  </w:tcPr>
                  <w:p>
                    <w:pPr>
                      <w:jc w:val="center"/>
                      <w:rPr>
                        <w:sz w:val="20"/>
                      </w:rPr>
                    </w:pPr>
                    <w:r>
                      <w:rPr>
                        <w:sz w:val="20"/>
                      </w:rPr>
                      <w:t>77,1</w:t>
                    </w:r>
                  </w:p>
                  <w:p>
                    <w:pPr>
                      <w:jc w:val="center"/>
                      <w:rPr>
                        <w:color w:val="FFFFFF"/>
                        <w:sz w:val="20"/>
                      </w:rPr>
                    </w:pPr>
                    <w:r>
                      <w:rPr>
                        <w:sz w:val="20"/>
                      </w:rPr>
                      <w:t>(2015 m.)</w:t>
                    </w:r>
                  </w:p>
                </w:tc>
                <w:tc>
                  <w:tcPr>
                    <w:tcW w:w="992" w:type="dxa"/>
                    <w:shd w:val="clear" w:color="auto" w:fill="FFFFFF" w:themeFill="background1"/>
                  </w:tcPr>
                  <w:p>
                    <w:pPr>
                      <w:jc w:val="center"/>
                      <w:rPr>
                        <w:sz w:val="20"/>
                      </w:rPr>
                    </w:pPr>
                    <w:r>
                      <w:rPr>
                        <w:sz w:val="20"/>
                      </w:rPr>
                      <w:t>80</w:t>
                    </w:r>
                  </w:p>
                  <w:p>
                    <w:pPr>
                      <w:jc w:val="center"/>
                      <w:rPr>
                        <w:color w:val="FFFFFF"/>
                        <w:sz w:val="20"/>
                      </w:rPr>
                    </w:pPr>
                  </w:p>
                </w:tc>
                <w:tc>
                  <w:tcPr>
                    <w:tcW w:w="1135" w:type="dxa"/>
                    <w:shd w:val="clear" w:color="auto" w:fill="FFFFFF" w:themeFill="background1"/>
                  </w:tcPr>
                  <w:p>
                    <w:pPr>
                      <w:jc w:val="center"/>
                      <w:rPr>
                        <w:sz w:val="20"/>
                      </w:rPr>
                    </w:pPr>
                    <w:r>
                      <w:rPr>
                        <w:sz w:val="20"/>
                      </w:rPr>
                      <w:t>83</w:t>
                    </w:r>
                  </w:p>
                  <w:p>
                    <w:pPr>
                      <w:jc w:val="center"/>
                      <w:rPr>
                        <w:color w:val="FFFFFF"/>
                        <w:sz w:val="20"/>
                      </w:rPr>
                    </w:pPr>
                  </w:p>
                </w:tc>
                <w:tc>
                  <w:tcPr>
                    <w:tcW w:w="1417" w:type="dxa"/>
                    <w:shd w:val="clear" w:color="auto" w:fill="FFFFFF" w:themeFill="background1"/>
                  </w:tcPr>
                  <w:p>
                    <w:pPr>
                      <w:jc w:val="center"/>
                      <w:rPr>
                        <w:bCs/>
                        <w:sz w:val="20"/>
                      </w:rPr>
                    </w:pPr>
                    <w:r>
                      <w:rPr>
                        <w:bCs/>
                        <w:sz w:val="20"/>
                      </w:rPr>
                      <w:t>EGADP; 2021</w:t>
                    </w:r>
                    <w:r>
                      <w:rPr>
                        <w:color w:val="000000"/>
                        <w:szCs w:val="24"/>
                      </w:rPr>
                      <w:t>–</w:t>
                    </w:r>
                    <w:r>
                      <w:rPr>
                        <w:bCs/>
                        <w:sz w:val="20"/>
                      </w:rPr>
                      <w:t>2027 m. IP (ESF+); valstybės biudžeto lėšos (toliau – VB)</w:t>
                    </w:r>
                  </w:p>
                  <w:p>
                    <w:pPr>
                      <w:jc w:val="center"/>
                      <w:rPr>
                        <w:color w:val="FFFFFF"/>
                        <w:sz w:val="20"/>
                      </w:rPr>
                    </w:pPr>
                  </w:p>
                </w:tc>
              </w:tr>
              <w:tr>
                <w:trPr>
                  <w:trHeight w:val="330"/>
                </w:trPr>
                <w:tc>
                  <w:tcPr>
                    <w:tcW w:w="1418" w:type="dxa"/>
                    <w:shd w:val="clear" w:color="auto" w:fill="FFFFFF" w:themeFill="background1"/>
                  </w:tcPr>
                  <w:p>
                    <w:pPr>
                      <w:rPr>
                        <w:color w:val="FFFFFF"/>
                        <w:sz w:val="20"/>
                      </w:rPr>
                    </w:pPr>
                    <w:r>
                      <w:rPr>
                        <w:sz w:val="20"/>
                      </w:rPr>
                      <w:t>R-11-002-02-11-01-09</w:t>
                    </w:r>
                  </w:p>
                </w:tc>
                <w:tc>
                  <w:tcPr>
                    <w:tcW w:w="1134" w:type="dxa"/>
                    <w:shd w:val="clear" w:color="auto" w:fill="FFFFFF" w:themeFill="background1"/>
                  </w:tcPr>
                  <w:p>
                    <w:pPr>
                      <w:rPr>
                        <w:color w:val="FFFFFF"/>
                        <w:sz w:val="20"/>
                      </w:rPr>
                    </w:pPr>
                    <w:r>
                      <w:rPr>
                        <w:sz w:val="20"/>
                      </w:rPr>
                      <w:t>Rezultato</w:t>
                    </w:r>
                  </w:p>
                </w:tc>
                <w:tc>
                  <w:tcPr>
                    <w:tcW w:w="2693" w:type="dxa"/>
                    <w:shd w:val="clear" w:color="auto" w:fill="FFFFFF" w:themeFill="background1"/>
                  </w:tcPr>
                  <w:p>
                    <w:pPr>
                      <w:rPr>
                        <w:color w:val="FFFFFF"/>
                        <w:sz w:val="20"/>
                      </w:rPr>
                    </w:pPr>
                    <w:r>
                      <w:rPr>
                        <w:sz w:val="20"/>
                      </w:rPr>
                      <w:t>5 metų išgyvenamumas sergant gimdos kaklelio vėžiu</w:t>
                    </w:r>
                    <w:r>
                      <w:rPr>
                        <w:sz w:val="20"/>
                        <w:vertAlign w:val="superscript"/>
                      </w:rPr>
                      <w:t>1</w:t>
                    </w:r>
                    <w:r>
                      <w:rPr>
                        <w:sz w:val="20"/>
                      </w:rPr>
                      <w:t xml:space="preserve"> (dalis nuo visų atvejų)</w:t>
                    </w:r>
                  </w:p>
                </w:tc>
                <w:tc>
                  <w:tcPr>
                    <w:tcW w:w="1134" w:type="dxa"/>
                    <w:shd w:val="clear" w:color="auto" w:fill="FFFFFF" w:themeFill="background1"/>
                  </w:tcPr>
                  <w:p>
                    <w:pPr>
                      <w:jc w:val="center"/>
                      <w:rPr>
                        <w:color w:val="FFFFFF"/>
                        <w:sz w:val="20"/>
                      </w:rPr>
                    </w:pPr>
                    <w:r>
                      <w:rPr>
                        <w:sz w:val="20"/>
                      </w:rPr>
                      <w:t>Proc.</w:t>
                    </w:r>
                  </w:p>
                </w:tc>
                <w:tc>
                  <w:tcPr>
                    <w:tcW w:w="1134" w:type="dxa"/>
                    <w:shd w:val="clear" w:color="auto" w:fill="FFFFFF" w:themeFill="background1"/>
                  </w:tcPr>
                  <w:p>
                    <w:pPr>
                      <w:jc w:val="center"/>
                      <w:rPr>
                        <w:sz w:val="20"/>
                      </w:rPr>
                    </w:pPr>
                    <w:r>
                      <w:rPr>
                        <w:sz w:val="20"/>
                      </w:rPr>
                      <w:t>62,9</w:t>
                    </w:r>
                  </w:p>
                  <w:p>
                    <w:pPr>
                      <w:jc w:val="center"/>
                      <w:rPr>
                        <w:color w:val="FFFFFF"/>
                        <w:sz w:val="20"/>
                      </w:rPr>
                    </w:pPr>
                    <w:r>
                      <w:rPr>
                        <w:sz w:val="20"/>
                      </w:rPr>
                      <w:t>(2015 m.)</w:t>
                    </w:r>
                  </w:p>
                </w:tc>
                <w:tc>
                  <w:tcPr>
                    <w:tcW w:w="992" w:type="dxa"/>
                    <w:shd w:val="clear" w:color="auto" w:fill="FFFFFF" w:themeFill="background1"/>
                  </w:tcPr>
                  <w:p>
                    <w:pPr>
                      <w:jc w:val="center"/>
                      <w:rPr>
                        <w:sz w:val="20"/>
                      </w:rPr>
                    </w:pPr>
                    <w:r>
                      <w:rPr>
                        <w:sz w:val="20"/>
                      </w:rPr>
                      <w:t>64,8</w:t>
                    </w:r>
                  </w:p>
                  <w:p>
                    <w:pPr>
                      <w:jc w:val="center"/>
                      <w:rPr>
                        <w:color w:val="FFFFFF"/>
                        <w:sz w:val="20"/>
                      </w:rPr>
                    </w:pPr>
                  </w:p>
                </w:tc>
                <w:tc>
                  <w:tcPr>
                    <w:tcW w:w="1135" w:type="dxa"/>
                    <w:shd w:val="clear" w:color="auto" w:fill="FFFFFF" w:themeFill="background1"/>
                  </w:tcPr>
                  <w:p>
                    <w:pPr>
                      <w:jc w:val="center"/>
                      <w:rPr>
                        <w:sz w:val="20"/>
                      </w:rPr>
                    </w:pPr>
                    <w:r>
                      <w:rPr>
                        <w:sz w:val="20"/>
                      </w:rPr>
                      <w:t>67,9</w:t>
                    </w:r>
                  </w:p>
                  <w:p>
                    <w:pPr>
                      <w:jc w:val="center"/>
                      <w:rPr>
                        <w:color w:val="FFFFFF"/>
                        <w:sz w:val="20"/>
                      </w:rPr>
                    </w:pPr>
                  </w:p>
                </w:tc>
                <w:tc>
                  <w:tcPr>
                    <w:tcW w:w="1417" w:type="dxa"/>
                    <w:shd w:val="clear" w:color="auto" w:fill="FFFFFF" w:themeFill="background1"/>
                  </w:tcPr>
                  <w:p>
                    <w:pPr>
                      <w:jc w:val="center"/>
                      <w:rPr>
                        <w:bCs/>
                        <w:sz w:val="20"/>
                      </w:rPr>
                    </w:pPr>
                    <w:r>
                      <w:rPr>
                        <w:bCs/>
                        <w:sz w:val="20"/>
                      </w:rPr>
                      <w:t>EGADP; 2021</w:t>
                    </w:r>
                    <w:r>
                      <w:rPr>
                        <w:color w:val="000000"/>
                        <w:szCs w:val="24"/>
                      </w:rPr>
                      <w:t>–</w:t>
                    </w:r>
                    <w:r>
                      <w:rPr>
                        <w:bCs/>
                        <w:sz w:val="20"/>
                      </w:rPr>
                      <w:t>2027 m. IP (ESF+); VB</w:t>
                    </w:r>
                  </w:p>
                  <w:p>
                    <w:pPr>
                      <w:jc w:val="center"/>
                      <w:rPr>
                        <w:color w:val="FFFFFF"/>
                        <w:sz w:val="20"/>
                      </w:rPr>
                    </w:pPr>
                  </w:p>
                </w:tc>
              </w:tr>
              <w:tr>
                <w:trPr>
                  <w:trHeight w:val="330"/>
                </w:trPr>
                <w:tc>
                  <w:tcPr>
                    <w:tcW w:w="1418" w:type="dxa"/>
                    <w:shd w:val="clear" w:color="auto" w:fill="FFFFFF" w:themeFill="background1"/>
                  </w:tcPr>
                  <w:p>
                    <w:pPr>
                      <w:rPr>
                        <w:color w:val="FFFFFF"/>
                        <w:sz w:val="20"/>
                      </w:rPr>
                    </w:pPr>
                    <w:r>
                      <w:rPr>
                        <w:sz w:val="20"/>
                      </w:rPr>
                      <w:t>R-11-002-02-11-01-10</w:t>
                    </w:r>
                  </w:p>
                </w:tc>
                <w:tc>
                  <w:tcPr>
                    <w:tcW w:w="1134" w:type="dxa"/>
                    <w:shd w:val="clear" w:color="auto" w:fill="FFFFFF" w:themeFill="background1"/>
                  </w:tcPr>
                  <w:p>
                    <w:pPr>
                      <w:rPr>
                        <w:color w:val="FFFFFF"/>
                        <w:sz w:val="20"/>
                      </w:rPr>
                    </w:pPr>
                    <w:r>
                      <w:rPr>
                        <w:sz w:val="20"/>
                      </w:rPr>
                      <w:t>Rezultato</w:t>
                    </w:r>
                  </w:p>
                </w:tc>
                <w:tc>
                  <w:tcPr>
                    <w:tcW w:w="2693" w:type="dxa"/>
                    <w:shd w:val="clear" w:color="auto" w:fill="FFFFFF" w:themeFill="background1"/>
                  </w:tcPr>
                  <w:p>
                    <w:pPr>
                      <w:rPr>
                        <w:color w:val="FFFFFF"/>
                        <w:sz w:val="20"/>
                      </w:rPr>
                    </w:pPr>
                    <w:r>
                      <w:rPr>
                        <w:sz w:val="20"/>
                      </w:rPr>
                      <w:t>Vyrų 5 metų išgyvenamumas sergant storosios žarnos vėžiu</w:t>
                    </w:r>
                    <w:r>
                      <w:rPr>
                        <w:sz w:val="20"/>
                        <w:vertAlign w:val="superscript"/>
                      </w:rPr>
                      <w:t>1</w:t>
                    </w:r>
                    <w:r>
                      <w:rPr>
                        <w:sz w:val="20"/>
                      </w:rPr>
                      <w:t xml:space="preserve"> (dalis nuo visų atvejų)</w:t>
                    </w:r>
                  </w:p>
                </w:tc>
                <w:tc>
                  <w:tcPr>
                    <w:tcW w:w="1134" w:type="dxa"/>
                    <w:shd w:val="clear" w:color="auto" w:fill="FFFFFF" w:themeFill="background1"/>
                  </w:tcPr>
                  <w:p>
                    <w:pPr>
                      <w:jc w:val="center"/>
                      <w:rPr>
                        <w:color w:val="FFFFFF"/>
                        <w:sz w:val="20"/>
                      </w:rPr>
                    </w:pPr>
                    <w:r>
                      <w:rPr>
                        <w:sz w:val="20"/>
                      </w:rPr>
                      <w:t>Proc.</w:t>
                    </w:r>
                  </w:p>
                </w:tc>
                <w:tc>
                  <w:tcPr>
                    <w:tcW w:w="1134" w:type="dxa"/>
                    <w:shd w:val="clear" w:color="auto" w:fill="FFFFFF" w:themeFill="background1"/>
                  </w:tcPr>
                  <w:p>
                    <w:pPr>
                      <w:jc w:val="center"/>
                      <w:rPr>
                        <w:sz w:val="20"/>
                      </w:rPr>
                    </w:pPr>
                    <w:r>
                      <w:rPr>
                        <w:sz w:val="20"/>
                      </w:rPr>
                      <w:t>50</w:t>
                    </w:r>
                  </w:p>
                  <w:p>
                    <w:pPr>
                      <w:jc w:val="center"/>
                      <w:rPr>
                        <w:color w:val="FFFFFF"/>
                        <w:sz w:val="20"/>
                      </w:rPr>
                    </w:pPr>
                    <w:r>
                      <w:rPr>
                        <w:sz w:val="20"/>
                      </w:rPr>
                      <w:t>(2015 m.)</w:t>
                    </w:r>
                  </w:p>
                </w:tc>
                <w:tc>
                  <w:tcPr>
                    <w:tcW w:w="992" w:type="dxa"/>
                    <w:shd w:val="clear" w:color="auto" w:fill="FFFFFF" w:themeFill="background1"/>
                  </w:tcPr>
                  <w:p>
                    <w:pPr>
                      <w:jc w:val="center"/>
                      <w:rPr>
                        <w:sz w:val="20"/>
                      </w:rPr>
                    </w:pPr>
                    <w:r>
                      <w:rPr>
                        <w:sz w:val="20"/>
                      </w:rPr>
                      <w:t>52</w:t>
                    </w:r>
                  </w:p>
                  <w:p>
                    <w:pPr>
                      <w:jc w:val="center"/>
                      <w:rPr>
                        <w:color w:val="FFFFFF"/>
                        <w:sz w:val="20"/>
                      </w:rPr>
                    </w:pPr>
                  </w:p>
                </w:tc>
                <w:tc>
                  <w:tcPr>
                    <w:tcW w:w="1135" w:type="dxa"/>
                    <w:shd w:val="clear" w:color="auto" w:fill="FFFFFF" w:themeFill="background1"/>
                  </w:tcPr>
                  <w:p>
                    <w:pPr>
                      <w:jc w:val="center"/>
                      <w:rPr>
                        <w:sz w:val="20"/>
                      </w:rPr>
                    </w:pPr>
                    <w:r>
                      <w:rPr>
                        <w:sz w:val="20"/>
                      </w:rPr>
                      <w:t>55</w:t>
                    </w:r>
                  </w:p>
                  <w:p>
                    <w:pPr>
                      <w:jc w:val="center"/>
                      <w:rPr>
                        <w:color w:val="FFFFFF"/>
                        <w:sz w:val="20"/>
                      </w:rPr>
                    </w:pPr>
                  </w:p>
                </w:tc>
                <w:tc>
                  <w:tcPr>
                    <w:tcW w:w="1417" w:type="dxa"/>
                    <w:shd w:val="clear" w:color="auto" w:fill="FFFFFF" w:themeFill="background1"/>
                  </w:tcPr>
                  <w:p>
                    <w:pPr>
                      <w:jc w:val="center"/>
                      <w:rPr>
                        <w:bCs/>
                        <w:sz w:val="20"/>
                      </w:rPr>
                    </w:pPr>
                    <w:r>
                      <w:rPr>
                        <w:bCs/>
                        <w:sz w:val="20"/>
                      </w:rPr>
                      <w:t>EGADP; 2021</w:t>
                    </w:r>
                    <w:r>
                      <w:rPr>
                        <w:color w:val="000000"/>
                        <w:szCs w:val="24"/>
                      </w:rPr>
                      <w:t>–</w:t>
                    </w:r>
                    <w:r>
                      <w:rPr>
                        <w:bCs/>
                        <w:sz w:val="20"/>
                      </w:rPr>
                      <w:t>2027 m. IP (ESF+); VB</w:t>
                    </w:r>
                  </w:p>
                  <w:p>
                    <w:pPr>
                      <w:jc w:val="center"/>
                      <w:rPr>
                        <w:color w:val="FFFFFF"/>
                        <w:sz w:val="20"/>
                      </w:rPr>
                    </w:pPr>
                    <w:r>
                      <w:rPr>
                        <w:color w:val="FFFFFF"/>
                        <w:sz w:val="20"/>
                      </w:rPr>
                      <w:t>ESF+; VB</w:t>
                    </w:r>
                  </w:p>
                </w:tc>
              </w:tr>
              <w:tr>
                <w:trPr>
                  <w:trHeight w:val="330"/>
                </w:trPr>
                <w:tc>
                  <w:tcPr>
                    <w:tcW w:w="1418" w:type="dxa"/>
                    <w:shd w:val="clear" w:color="auto" w:fill="FFFFFF" w:themeFill="background1"/>
                  </w:tcPr>
                  <w:p>
                    <w:pPr>
                      <w:rPr>
                        <w:color w:val="FFFFFF"/>
                        <w:sz w:val="20"/>
                      </w:rPr>
                    </w:pPr>
                    <w:r>
                      <w:rPr>
                        <w:sz w:val="20"/>
                      </w:rPr>
                      <w:t>R-11-002-02-11-01-11</w:t>
                    </w:r>
                  </w:p>
                </w:tc>
                <w:tc>
                  <w:tcPr>
                    <w:tcW w:w="1134" w:type="dxa"/>
                    <w:shd w:val="clear" w:color="auto" w:fill="FFFFFF" w:themeFill="background1"/>
                  </w:tcPr>
                  <w:p>
                    <w:pPr>
                      <w:rPr>
                        <w:color w:val="FFFFFF"/>
                        <w:sz w:val="20"/>
                      </w:rPr>
                    </w:pPr>
                    <w:r>
                      <w:rPr>
                        <w:sz w:val="20"/>
                      </w:rPr>
                      <w:t>Rezultato</w:t>
                    </w:r>
                  </w:p>
                </w:tc>
                <w:tc>
                  <w:tcPr>
                    <w:tcW w:w="2693" w:type="dxa"/>
                    <w:shd w:val="clear" w:color="auto" w:fill="FFFFFF" w:themeFill="background1"/>
                  </w:tcPr>
                  <w:p>
                    <w:pPr>
                      <w:rPr>
                        <w:color w:val="FFFFFF"/>
                        <w:sz w:val="20"/>
                      </w:rPr>
                    </w:pPr>
                    <w:r>
                      <w:rPr>
                        <w:sz w:val="20"/>
                      </w:rPr>
                      <w:t>Moterų 5 metų išgyvenamumas sergant storosios žarnos vėžiu</w:t>
                    </w:r>
                    <w:r>
                      <w:rPr>
                        <w:sz w:val="20"/>
                        <w:vertAlign w:val="superscript"/>
                      </w:rPr>
                      <w:t>1</w:t>
                    </w:r>
                    <w:r>
                      <w:rPr>
                        <w:sz w:val="20"/>
                      </w:rPr>
                      <w:t xml:space="preserve"> (dalis nuo visų atvejų)</w:t>
                    </w:r>
                  </w:p>
                </w:tc>
                <w:tc>
                  <w:tcPr>
                    <w:tcW w:w="1134" w:type="dxa"/>
                    <w:shd w:val="clear" w:color="auto" w:fill="FFFFFF" w:themeFill="background1"/>
                  </w:tcPr>
                  <w:p>
                    <w:pPr>
                      <w:jc w:val="center"/>
                      <w:rPr>
                        <w:color w:val="FFFFFF"/>
                        <w:sz w:val="20"/>
                      </w:rPr>
                    </w:pPr>
                    <w:r>
                      <w:rPr>
                        <w:sz w:val="20"/>
                      </w:rPr>
                      <w:t>Proc.</w:t>
                    </w:r>
                  </w:p>
                </w:tc>
                <w:tc>
                  <w:tcPr>
                    <w:tcW w:w="1134" w:type="dxa"/>
                    <w:shd w:val="clear" w:color="auto" w:fill="FFFFFF" w:themeFill="background1"/>
                  </w:tcPr>
                  <w:p>
                    <w:pPr>
                      <w:jc w:val="center"/>
                      <w:rPr>
                        <w:sz w:val="20"/>
                      </w:rPr>
                    </w:pPr>
                    <w:r>
                      <w:rPr>
                        <w:sz w:val="20"/>
                      </w:rPr>
                      <w:t>57,5</w:t>
                    </w:r>
                  </w:p>
                  <w:p>
                    <w:pPr>
                      <w:jc w:val="center"/>
                      <w:rPr>
                        <w:color w:val="FFFFFF"/>
                        <w:sz w:val="20"/>
                      </w:rPr>
                    </w:pPr>
                    <w:r>
                      <w:rPr>
                        <w:sz w:val="20"/>
                      </w:rPr>
                      <w:t>(2015 m.)</w:t>
                    </w:r>
                  </w:p>
                </w:tc>
                <w:tc>
                  <w:tcPr>
                    <w:tcW w:w="992" w:type="dxa"/>
                    <w:shd w:val="clear" w:color="auto" w:fill="FFFFFF" w:themeFill="background1"/>
                  </w:tcPr>
                  <w:p>
                    <w:pPr>
                      <w:jc w:val="center"/>
                      <w:rPr>
                        <w:sz w:val="20"/>
                      </w:rPr>
                    </w:pPr>
                    <w:r>
                      <w:rPr>
                        <w:sz w:val="20"/>
                      </w:rPr>
                      <w:t>59</w:t>
                    </w:r>
                  </w:p>
                  <w:p>
                    <w:pPr>
                      <w:jc w:val="center"/>
                      <w:rPr>
                        <w:color w:val="FFFFFF"/>
                        <w:sz w:val="20"/>
                      </w:rPr>
                    </w:pPr>
                  </w:p>
                </w:tc>
                <w:tc>
                  <w:tcPr>
                    <w:tcW w:w="1135" w:type="dxa"/>
                    <w:shd w:val="clear" w:color="auto" w:fill="FFFFFF" w:themeFill="background1"/>
                  </w:tcPr>
                  <w:p>
                    <w:pPr>
                      <w:jc w:val="center"/>
                      <w:rPr>
                        <w:sz w:val="20"/>
                      </w:rPr>
                    </w:pPr>
                    <w:r>
                      <w:rPr>
                        <w:sz w:val="20"/>
                      </w:rPr>
                      <w:t>62,5</w:t>
                    </w:r>
                  </w:p>
                  <w:p>
                    <w:pPr>
                      <w:jc w:val="center"/>
                      <w:rPr>
                        <w:color w:val="FFFFFF"/>
                        <w:sz w:val="20"/>
                      </w:rPr>
                    </w:pPr>
                  </w:p>
                </w:tc>
                <w:tc>
                  <w:tcPr>
                    <w:tcW w:w="1417" w:type="dxa"/>
                    <w:shd w:val="clear" w:color="auto" w:fill="FFFFFF" w:themeFill="background1"/>
                  </w:tcPr>
                  <w:p>
                    <w:pPr>
                      <w:jc w:val="center"/>
                      <w:rPr>
                        <w:bCs/>
                        <w:sz w:val="20"/>
                      </w:rPr>
                    </w:pPr>
                    <w:r>
                      <w:rPr>
                        <w:bCs/>
                        <w:sz w:val="20"/>
                      </w:rPr>
                      <w:t>EGADP; 2021</w:t>
                    </w:r>
                    <w:r>
                      <w:rPr>
                        <w:color w:val="000000"/>
                        <w:szCs w:val="24"/>
                      </w:rPr>
                      <w:t>–</w:t>
                    </w:r>
                    <w:r>
                      <w:rPr>
                        <w:bCs/>
                        <w:sz w:val="20"/>
                      </w:rPr>
                      <w:t>2027 m. IP (ESF+); VB</w:t>
                    </w:r>
                  </w:p>
                  <w:p>
                    <w:pPr>
                      <w:jc w:val="center"/>
                      <w:rPr>
                        <w:color w:val="FFFFFF"/>
                        <w:sz w:val="20"/>
                      </w:rPr>
                    </w:pPr>
                  </w:p>
                </w:tc>
              </w:tr>
              <w:tr>
                <w:trPr>
                  <w:trHeight w:val="330"/>
                </w:trPr>
                <w:tc>
                  <w:tcPr>
                    <w:tcW w:w="1418" w:type="dxa"/>
                    <w:shd w:val="clear" w:color="auto" w:fill="FFFFFF" w:themeFill="background1"/>
                  </w:tcPr>
                  <w:p>
                    <w:pPr>
                      <w:rPr>
                        <w:color w:val="FFFFFF"/>
                        <w:sz w:val="20"/>
                      </w:rPr>
                    </w:pPr>
                    <w:r>
                      <w:rPr>
                        <w:sz w:val="20"/>
                      </w:rPr>
                      <w:t>R-11-002-02-11-01-12</w:t>
                    </w:r>
                  </w:p>
                </w:tc>
                <w:tc>
                  <w:tcPr>
                    <w:tcW w:w="1134" w:type="dxa"/>
                    <w:shd w:val="clear" w:color="auto" w:fill="FFFFFF" w:themeFill="background1"/>
                  </w:tcPr>
                  <w:p>
                    <w:pPr>
                      <w:rPr>
                        <w:color w:val="FFFFFF"/>
                        <w:sz w:val="20"/>
                      </w:rPr>
                    </w:pPr>
                    <w:r>
                      <w:rPr>
                        <w:sz w:val="20"/>
                      </w:rPr>
                      <w:t>Rezultato</w:t>
                    </w:r>
                  </w:p>
                </w:tc>
                <w:tc>
                  <w:tcPr>
                    <w:tcW w:w="2693" w:type="dxa"/>
                    <w:shd w:val="clear" w:color="auto" w:fill="FFFFFF" w:themeFill="background1"/>
                  </w:tcPr>
                  <w:p>
                    <w:pPr>
                      <w:rPr>
                        <w:color w:val="FFFFFF"/>
                        <w:sz w:val="20"/>
                        <w:vertAlign w:val="superscript"/>
                      </w:rPr>
                    </w:pPr>
                    <w:r>
                      <w:rPr>
                        <w:sz w:val="20"/>
                      </w:rPr>
                      <w:t>Efektyvių organų donorų skaičius 1 mln. gyventojų</w:t>
                    </w:r>
                    <w:r>
                      <w:rPr>
                        <w:sz w:val="20"/>
                        <w:vertAlign w:val="superscript"/>
                      </w:rPr>
                      <w:t>1</w:t>
                    </w:r>
                  </w:p>
                </w:tc>
                <w:tc>
                  <w:tcPr>
                    <w:tcW w:w="1134" w:type="dxa"/>
                    <w:shd w:val="clear" w:color="auto" w:fill="FFFFFF" w:themeFill="background1"/>
                  </w:tcPr>
                  <w:p>
                    <w:pPr>
                      <w:jc w:val="center"/>
                      <w:rPr>
                        <w:color w:val="FFFFFF"/>
                        <w:sz w:val="20"/>
                      </w:rPr>
                    </w:pPr>
                    <w:r>
                      <w:rPr>
                        <w:sz w:val="20"/>
                      </w:rPr>
                      <w:t>Vnt.</w:t>
                    </w:r>
                  </w:p>
                </w:tc>
                <w:tc>
                  <w:tcPr>
                    <w:tcW w:w="1134" w:type="dxa"/>
                    <w:shd w:val="clear" w:color="auto" w:fill="FFFFFF" w:themeFill="background1"/>
                  </w:tcPr>
                  <w:p>
                    <w:pPr>
                      <w:jc w:val="center"/>
                      <w:rPr>
                        <w:sz w:val="20"/>
                      </w:rPr>
                    </w:pPr>
                    <w:r>
                      <w:rPr>
                        <w:sz w:val="20"/>
                      </w:rPr>
                      <w:t>18,6</w:t>
                    </w:r>
                  </w:p>
                  <w:p>
                    <w:pPr>
                      <w:jc w:val="center"/>
                      <w:rPr>
                        <w:color w:val="FFFFFF"/>
                        <w:sz w:val="20"/>
                      </w:rPr>
                    </w:pPr>
                    <w:r>
                      <w:rPr>
                        <w:sz w:val="20"/>
                      </w:rPr>
                      <w:t>(2019 m.)</w:t>
                    </w:r>
                  </w:p>
                </w:tc>
                <w:tc>
                  <w:tcPr>
                    <w:tcW w:w="992" w:type="dxa"/>
                    <w:shd w:val="clear" w:color="auto" w:fill="FFFFFF" w:themeFill="background1"/>
                  </w:tcPr>
                  <w:p>
                    <w:pPr>
                      <w:jc w:val="center"/>
                      <w:rPr>
                        <w:sz w:val="20"/>
                      </w:rPr>
                    </w:pPr>
                    <w:r>
                      <w:rPr>
                        <w:sz w:val="20"/>
                      </w:rPr>
                      <w:t>25</w:t>
                    </w:r>
                  </w:p>
                  <w:p>
                    <w:pPr>
                      <w:jc w:val="center"/>
                      <w:rPr>
                        <w:color w:val="FFFFFF"/>
                        <w:sz w:val="20"/>
                      </w:rPr>
                    </w:pPr>
                  </w:p>
                </w:tc>
                <w:tc>
                  <w:tcPr>
                    <w:tcW w:w="1135" w:type="dxa"/>
                    <w:shd w:val="clear" w:color="auto" w:fill="FFFFFF" w:themeFill="background1"/>
                  </w:tcPr>
                  <w:p>
                    <w:pPr>
                      <w:jc w:val="center"/>
                      <w:rPr>
                        <w:sz w:val="20"/>
                      </w:rPr>
                    </w:pPr>
                    <w:r>
                      <w:rPr>
                        <w:sz w:val="20"/>
                      </w:rPr>
                      <w:t>30</w:t>
                    </w:r>
                  </w:p>
                  <w:p>
                    <w:pPr>
                      <w:jc w:val="center"/>
                      <w:rPr>
                        <w:color w:val="FFFFFF"/>
                        <w:sz w:val="20"/>
                      </w:rPr>
                    </w:pPr>
                  </w:p>
                </w:tc>
                <w:tc>
                  <w:tcPr>
                    <w:tcW w:w="1417" w:type="dxa"/>
                    <w:shd w:val="clear" w:color="auto" w:fill="FFFFFF" w:themeFill="background1"/>
                  </w:tcPr>
                  <w:p>
                    <w:pPr>
                      <w:jc w:val="center"/>
                      <w:rPr>
                        <w:bCs/>
                        <w:sz w:val="20"/>
                      </w:rPr>
                    </w:pPr>
                    <w:r>
                      <w:rPr>
                        <w:bCs/>
                        <w:sz w:val="20"/>
                      </w:rPr>
                      <w:t>EGADP; 2021</w:t>
                    </w:r>
                    <w:r>
                      <w:rPr>
                        <w:color w:val="000000"/>
                        <w:szCs w:val="24"/>
                      </w:rPr>
                      <w:t>–</w:t>
                    </w:r>
                    <w:r>
                      <w:rPr>
                        <w:bCs/>
                        <w:sz w:val="20"/>
                      </w:rPr>
                      <w:t>2027 m. IP (ERPF)</w:t>
                    </w:r>
                  </w:p>
                  <w:p>
                    <w:pPr>
                      <w:jc w:val="center"/>
                      <w:rPr>
                        <w:color w:val="FFFFFF"/>
                        <w:sz w:val="20"/>
                      </w:rPr>
                    </w:pPr>
                  </w:p>
                </w:tc>
              </w:tr>
              <w:tr>
                <w:trPr>
                  <w:trHeight w:val="330"/>
                </w:trPr>
                <w:tc>
                  <w:tcPr>
                    <w:tcW w:w="1418" w:type="dxa"/>
                    <w:shd w:val="clear" w:color="auto" w:fill="FFFFFF" w:themeFill="background1"/>
                  </w:tcPr>
                  <w:p>
                    <w:pPr>
                      <w:rPr>
                        <w:color w:val="FFFFFF"/>
                        <w:sz w:val="20"/>
                      </w:rPr>
                    </w:pPr>
                    <w:r>
                      <w:rPr>
                        <w:sz w:val="20"/>
                      </w:rPr>
                      <w:t>R-11-002-02-11-01-13</w:t>
                    </w:r>
                  </w:p>
                </w:tc>
                <w:tc>
                  <w:tcPr>
                    <w:tcW w:w="1134" w:type="dxa"/>
                    <w:shd w:val="clear" w:color="auto" w:fill="FFFFFF" w:themeFill="background1"/>
                  </w:tcPr>
                  <w:p>
                    <w:pPr>
                      <w:rPr>
                        <w:color w:val="FFFFFF"/>
                        <w:sz w:val="20"/>
                      </w:rPr>
                    </w:pPr>
                    <w:r>
                      <w:rPr>
                        <w:sz w:val="20"/>
                      </w:rPr>
                      <w:t>Rezultato</w:t>
                    </w:r>
                  </w:p>
                </w:tc>
                <w:tc>
                  <w:tcPr>
                    <w:tcW w:w="2693" w:type="dxa"/>
                    <w:shd w:val="clear" w:color="auto" w:fill="FFFFFF" w:themeFill="background1"/>
                  </w:tcPr>
                  <w:p>
                    <w:pPr>
                      <w:rPr>
                        <w:color w:val="FFFFFF"/>
                        <w:sz w:val="20"/>
                        <w:vertAlign w:val="superscript"/>
                      </w:rPr>
                    </w:pPr>
                    <w:r>
                      <w:rPr>
                        <w:sz w:val="20"/>
                      </w:rPr>
                      <w:t>Dienos chirurgijos atvejų skaičiaus padidėjimas lyginant su 2019 m.</w:t>
                    </w:r>
                    <w:r>
                      <w:rPr>
                        <w:sz w:val="20"/>
                        <w:vertAlign w:val="superscript"/>
                      </w:rPr>
                      <w:t>1</w:t>
                    </w:r>
                  </w:p>
                </w:tc>
                <w:tc>
                  <w:tcPr>
                    <w:tcW w:w="1134" w:type="dxa"/>
                    <w:shd w:val="clear" w:color="auto" w:fill="FFFFFF" w:themeFill="background1"/>
                  </w:tcPr>
                  <w:p>
                    <w:pPr>
                      <w:jc w:val="center"/>
                      <w:rPr>
                        <w:color w:val="FFFFFF"/>
                        <w:sz w:val="20"/>
                      </w:rPr>
                    </w:pPr>
                    <w:r>
                      <w:rPr>
                        <w:sz w:val="20"/>
                      </w:rPr>
                      <w:t>Atvejų skaičius</w:t>
                    </w:r>
                  </w:p>
                </w:tc>
                <w:tc>
                  <w:tcPr>
                    <w:tcW w:w="1134" w:type="dxa"/>
                    <w:shd w:val="clear" w:color="auto" w:fill="FFFFFF" w:themeFill="background1"/>
                  </w:tcPr>
                  <w:p>
                    <w:pPr>
                      <w:jc w:val="center"/>
                      <w:rPr>
                        <w:sz w:val="20"/>
                      </w:rPr>
                    </w:pPr>
                    <w:r>
                      <w:rPr>
                        <w:sz w:val="20"/>
                      </w:rPr>
                      <w:t>56 169</w:t>
                    </w:r>
                  </w:p>
                  <w:p>
                    <w:pPr>
                      <w:jc w:val="center"/>
                      <w:rPr>
                        <w:color w:val="FFFFFF"/>
                        <w:sz w:val="20"/>
                      </w:rPr>
                    </w:pPr>
                    <w:r>
                      <w:rPr>
                        <w:sz w:val="20"/>
                      </w:rPr>
                      <w:t>(2019 m.)</w:t>
                    </w:r>
                  </w:p>
                </w:tc>
                <w:tc>
                  <w:tcPr>
                    <w:tcW w:w="992" w:type="dxa"/>
                    <w:shd w:val="clear" w:color="auto" w:fill="FFFFFF" w:themeFill="background1"/>
                  </w:tcPr>
                  <w:p>
                    <w:pPr>
                      <w:jc w:val="center"/>
                      <w:rPr>
                        <w:color w:val="FFFFFF"/>
                        <w:sz w:val="20"/>
                      </w:rPr>
                    </w:pPr>
                    <w:r>
                      <w:rPr>
                        <w:sz w:val="20"/>
                      </w:rPr>
                      <w:t xml:space="preserve">65360 </w:t>
                    </w:r>
                  </w:p>
                </w:tc>
                <w:tc>
                  <w:tcPr>
                    <w:tcW w:w="1135" w:type="dxa"/>
                    <w:shd w:val="clear" w:color="auto" w:fill="FFFFFF" w:themeFill="background1"/>
                  </w:tcPr>
                  <w:p>
                    <w:pPr>
                      <w:jc w:val="center"/>
                      <w:rPr>
                        <w:color w:val="FFFFFF"/>
                        <w:sz w:val="20"/>
                      </w:rPr>
                    </w:pPr>
                    <w:r>
                      <w:rPr>
                        <w:sz w:val="20"/>
                        <w:lang w:val="en-US"/>
                      </w:rPr>
                      <w:t xml:space="preserve">73 020 </w:t>
                    </w:r>
                  </w:p>
                </w:tc>
                <w:tc>
                  <w:tcPr>
                    <w:tcW w:w="1417"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418" w:type="dxa"/>
                    <w:shd w:val="clear" w:color="auto" w:fill="FFFFFF" w:themeFill="background1"/>
                  </w:tcPr>
                  <w:p>
                    <w:pPr>
                      <w:rPr>
                        <w:color w:val="FFFFFF"/>
                        <w:sz w:val="20"/>
                      </w:rPr>
                    </w:pPr>
                    <w:r>
                      <w:rPr>
                        <w:sz w:val="20"/>
                      </w:rPr>
                      <w:t>R-11-002-02-11-01-14</w:t>
                    </w:r>
                  </w:p>
                </w:tc>
                <w:tc>
                  <w:tcPr>
                    <w:tcW w:w="1134" w:type="dxa"/>
                    <w:shd w:val="clear" w:color="auto" w:fill="FFFFFF" w:themeFill="background1"/>
                  </w:tcPr>
                  <w:p>
                    <w:pPr>
                      <w:rPr>
                        <w:color w:val="FFFFFF"/>
                        <w:sz w:val="20"/>
                      </w:rPr>
                    </w:pPr>
                    <w:r>
                      <w:rPr>
                        <w:sz w:val="20"/>
                      </w:rPr>
                      <w:t>Rezultato</w:t>
                    </w:r>
                  </w:p>
                </w:tc>
                <w:tc>
                  <w:tcPr>
                    <w:tcW w:w="2693" w:type="dxa"/>
                    <w:shd w:val="clear" w:color="auto" w:fill="FFFFFF" w:themeFill="background1"/>
                  </w:tcPr>
                  <w:p>
                    <w:pPr>
                      <w:rPr>
                        <w:color w:val="FFFFFF"/>
                        <w:sz w:val="20"/>
                        <w:vertAlign w:val="superscript"/>
                      </w:rPr>
                    </w:pPr>
                    <w:r>
                      <w:rPr>
                        <w:sz w:val="20"/>
                      </w:rPr>
                      <w:t>Dienos stacionaro atvejų skaičiaus padidėjimas lyginant su 2019 m.</w:t>
                    </w:r>
                    <w:r>
                      <w:rPr>
                        <w:sz w:val="20"/>
                        <w:vertAlign w:val="superscript"/>
                      </w:rPr>
                      <w:t>1</w:t>
                    </w:r>
                  </w:p>
                </w:tc>
                <w:tc>
                  <w:tcPr>
                    <w:tcW w:w="1134" w:type="dxa"/>
                    <w:shd w:val="clear" w:color="auto" w:fill="FFFFFF" w:themeFill="background1"/>
                  </w:tcPr>
                  <w:p>
                    <w:pPr>
                      <w:jc w:val="center"/>
                      <w:rPr>
                        <w:color w:val="FFFFFF"/>
                        <w:sz w:val="20"/>
                      </w:rPr>
                    </w:pPr>
                    <w:r>
                      <w:rPr>
                        <w:sz w:val="20"/>
                      </w:rPr>
                      <w:t>Atvejų skaičius</w:t>
                    </w:r>
                  </w:p>
                </w:tc>
                <w:tc>
                  <w:tcPr>
                    <w:tcW w:w="1134" w:type="dxa"/>
                    <w:shd w:val="clear" w:color="auto" w:fill="FFFFFF" w:themeFill="background1"/>
                  </w:tcPr>
                  <w:p>
                    <w:pPr>
                      <w:jc w:val="center"/>
                      <w:rPr>
                        <w:sz w:val="20"/>
                      </w:rPr>
                    </w:pPr>
                    <w:r>
                      <w:rPr>
                        <w:sz w:val="20"/>
                      </w:rPr>
                      <w:t>241 495</w:t>
                    </w:r>
                  </w:p>
                  <w:p>
                    <w:pPr>
                      <w:jc w:val="center"/>
                      <w:rPr>
                        <w:color w:val="FFFFFF"/>
                        <w:sz w:val="20"/>
                      </w:rPr>
                    </w:pPr>
                    <w:r>
                      <w:rPr>
                        <w:sz w:val="20"/>
                      </w:rPr>
                      <w:t>(2019 m.)</w:t>
                    </w:r>
                  </w:p>
                </w:tc>
                <w:tc>
                  <w:tcPr>
                    <w:tcW w:w="992" w:type="dxa"/>
                    <w:shd w:val="clear" w:color="auto" w:fill="FFFFFF" w:themeFill="background1"/>
                  </w:tcPr>
                  <w:p>
                    <w:pPr>
                      <w:jc w:val="center"/>
                      <w:rPr>
                        <w:color w:val="FFFFFF"/>
                        <w:sz w:val="20"/>
                      </w:rPr>
                    </w:pPr>
                    <w:r>
                      <w:rPr>
                        <w:sz w:val="20"/>
                      </w:rPr>
                      <w:t xml:space="preserve">307358 </w:t>
                    </w:r>
                  </w:p>
                </w:tc>
                <w:tc>
                  <w:tcPr>
                    <w:tcW w:w="1135" w:type="dxa"/>
                    <w:shd w:val="clear" w:color="auto" w:fill="FFFFFF" w:themeFill="background1"/>
                  </w:tcPr>
                  <w:p>
                    <w:pPr>
                      <w:jc w:val="center"/>
                      <w:rPr>
                        <w:color w:val="FFFFFF"/>
                        <w:sz w:val="20"/>
                      </w:rPr>
                    </w:pPr>
                    <w:r>
                      <w:rPr>
                        <w:sz w:val="20"/>
                        <w:lang w:val="en-US"/>
                      </w:rPr>
                      <w:t xml:space="preserve">362 243 </w:t>
                    </w:r>
                  </w:p>
                </w:tc>
                <w:tc>
                  <w:tcPr>
                    <w:tcW w:w="1417"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418" w:type="dxa"/>
                    <w:shd w:val="clear" w:color="auto" w:fill="FFFFFF" w:themeFill="background1"/>
                  </w:tcPr>
                  <w:p>
                    <w:pPr>
                      <w:rPr>
                        <w:color w:val="FFFFFF"/>
                        <w:sz w:val="20"/>
                      </w:rPr>
                    </w:pPr>
                    <w:r>
                      <w:rPr>
                        <w:sz w:val="20"/>
                      </w:rPr>
                      <w:t>R-11-002-02-11-01-15</w:t>
                    </w:r>
                  </w:p>
                </w:tc>
                <w:tc>
                  <w:tcPr>
                    <w:tcW w:w="1134" w:type="dxa"/>
                    <w:shd w:val="clear" w:color="auto" w:fill="FFFFFF" w:themeFill="background1"/>
                  </w:tcPr>
                  <w:p>
                    <w:pPr>
                      <w:rPr>
                        <w:color w:val="FFFFFF"/>
                        <w:sz w:val="20"/>
                      </w:rPr>
                    </w:pPr>
                    <w:r>
                      <w:rPr>
                        <w:sz w:val="20"/>
                      </w:rPr>
                      <w:t>Rezultato</w:t>
                    </w:r>
                  </w:p>
                </w:tc>
                <w:tc>
                  <w:tcPr>
                    <w:tcW w:w="2693" w:type="dxa"/>
                    <w:shd w:val="clear" w:color="auto" w:fill="FFFFFF" w:themeFill="background1"/>
                  </w:tcPr>
                  <w:p>
                    <w:pPr>
                      <w:rPr>
                        <w:color w:val="FFFFFF"/>
                        <w:sz w:val="20"/>
                        <w:vertAlign w:val="superscript"/>
                      </w:rPr>
                    </w:pPr>
                    <w:r>
                      <w:rPr>
                        <w:sz w:val="20"/>
                      </w:rPr>
                      <w:t>Stacionarinio aktyvaus gydymo atvejų skaičiaus sumažėjimas lyginant su 2019 m.</w:t>
                    </w:r>
                    <w:r>
                      <w:rPr>
                        <w:sz w:val="20"/>
                        <w:vertAlign w:val="superscript"/>
                      </w:rPr>
                      <w:t>1</w:t>
                    </w:r>
                  </w:p>
                </w:tc>
                <w:tc>
                  <w:tcPr>
                    <w:tcW w:w="1134" w:type="dxa"/>
                    <w:shd w:val="clear" w:color="auto" w:fill="FFFFFF" w:themeFill="background1"/>
                  </w:tcPr>
                  <w:p>
                    <w:pPr>
                      <w:jc w:val="center"/>
                      <w:rPr>
                        <w:color w:val="FFFFFF"/>
                        <w:sz w:val="20"/>
                      </w:rPr>
                    </w:pPr>
                    <w:r>
                      <w:rPr>
                        <w:sz w:val="20"/>
                      </w:rPr>
                      <w:t>Atvejų skaičius</w:t>
                    </w:r>
                  </w:p>
                </w:tc>
                <w:tc>
                  <w:tcPr>
                    <w:tcW w:w="1134" w:type="dxa"/>
                    <w:shd w:val="clear" w:color="auto" w:fill="FFFFFF" w:themeFill="background1"/>
                  </w:tcPr>
                  <w:p>
                    <w:pPr>
                      <w:jc w:val="center"/>
                      <w:rPr>
                        <w:color w:val="FFFFFF"/>
                        <w:sz w:val="20"/>
                      </w:rPr>
                    </w:pPr>
                    <w:r>
                      <w:rPr>
                        <w:sz w:val="20"/>
                      </w:rPr>
                      <w:t>616 734 (2019 m.)</w:t>
                    </w:r>
                  </w:p>
                </w:tc>
                <w:tc>
                  <w:tcPr>
                    <w:tcW w:w="992" w:type="dxa"/>
                    <w:shd w:val="clear" w:color="auto" w:fill="FFFFFF" w:themeFill="background1"/>
                  </w:tcPr>
                  <w:p>
                    <w:pPr>
                      <w:jc w:val="center"/>
                      <w:rPr>
                        <w:color w:val="FFFFFF"/>
                        <w:sz w:val="20"/>
                      </w:rPr>
                    </w:pPr>
                    <w:r>
                      <w:rPr>
                        <w:sz w:val="20"/>
                      </w:rPr>
                      <w:t>515814</w:t>
                    </w:r>
                    <w:r>
                      <w:rPr>
                        <w:sz w:val="20"/>
                        <w:lang w:val="en-US"/>
                      </w:rPr>
                      <w:t xml:space="preserve"> </w:t>
                    </w:r>
                  </w:p>
                </w:tc>
                <w:tc>
                  <w:tcPr>
                    <w:tcW w:w="1135" w:type="dxa"/>
                    <w:shd w:val="clear" w:color="auto" w:fill="FFFFFF" w:themeFill="background1"/>
                  </w:tcPr>
                  <w:p>
                    <w:pPr>
                      <w:jc w:val="center"/>
                      <w:rPr>
                        <w:sz w:val="20"/>
                        <w:lang w:val="en-US"/>
                      </w:rPr>
                    </w:pPr>
                    <w:r>
                      <w:rPr>
                        <w:sz w:val="20"/>
                        <w:lang w:val="en-US"/>
                      </w:rPr>
                      <w:t>431 714</w:t>
                    </w:r>
                  </w:p>
                  <w:p>
                    <w:pPr>
                      <w:jc w:val="center"/>
                      <w:rPr>
                        <w:color w:val="FFFFFF"/>
                        <w:sz w:val="20"/>
                      </w:rPr>
                    </w:pPr>
                  </w:p>
                </w:tc>
                <w:tc>
                  <w:tcPr>
                    <w:tcW w:w="1417"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667"/>
                </w:trPr>
                <w:tc>
                  <w:tcPr>
                    <w:tcW w:w="1418" w:type="dxa"/>
                    <w:shd w:val="clear" w:color="auto" w:fill="FFFFFF" w:themeFill="background1"/>
                  </w:tcPr>
                  <w:p>
                    <w:pPr>
                      <w:rPr>
                        <w:color w:val="FFFFFF"/>
                        <w:sz w:val="20"/>
                      </w:rPr>
                    </w:pPr>
                    <w:r>
                      <w:rPr>
                        <w:sz w:val="20"/>
                      </w:rPr>
                      <w:t>R-11-002-02-11-01-16</w:t>
                    </w:r>
                  </w:p>
                </w:tc>
                <w:tc>
                  <w:tcPr>
                    <w:tcW w:w="1134" w:type="dxa"/>
                    <w:shd w:val="clear" w:color="auto" w:fill="FFFFFF" w:themeFill="background1"/>
                  </w:tcPr>
                  <w:p>
                    <w:pPr>
                      <w:rPr>
                        <w:color w:val="FFFFFF"/>
                        <w:sz w:val="20"/>
                      </w:rPr>
                    </w:pPr>
                    <w:r>
                      <w:rPr>
                        <w:sz w:val="20"/>
                      </w:rPr>
                      <w:t>Rezultato</w:t>
                    </w:r>
                  </w:p>
                </w:tc>
                <w:tc>
                  <w:tcPr>
                    <w:tcW w:w="2693" w:type="dxa"/>
                    <w:shd w:val="clear" w:color="auto" w:fill="FFFFFF" w:themeFill="background1"/>
                  </w:tcPr>
                  <w:p>
                    <w:pPr>
                      <w:rPr>
                        <w:color w:val="FFFFFF"/>
                        <w:sz w:val="20"/>
                        <w:vertAlign w:val="superscript"/>
                      </w:rPr>
                    </w:pPr>
                    <w:r>
                      <w:rPr>
                        <w:sz w:val="20"/>
                      </w:rPr>
                      <w:t>Aktyvaus gydymo lovų užimtumas</w:t>
                    </w:r>
                    <w:r>
                      <w:rPr>
                        <w:sz w:val="20"/>
                        <w:vertAlign w:val="superscript"/>
                      </w:rPr>
                      <w:t>1</w:t>
                    </w:r>
                  </w:p>
                </w:tc>
                <w:tc>
                  <w:tcPr>
                    <w:tcW w:w="1134" w:type="dxa"/>
                    <w:shd w:val="clear" w:color="auto" w:fill="FFFFFF" w:themeFill="background1"/>
                  </w:tcPr>
                  <w:p>
                    <w:pPr>
                      <w:jc w:val="center"/>
                      <w:rPr>
                        <w:color w:val="FFFFFF"/>
                        <w:sz w:val="20"/>
                      </w:rPr>
                    </w:pPr>
                    <w:r>
                      <w:rPr>
                        <w:sz w:val="20"/>
                      </w:rPr>
                      <w:t>Proc.</w:t>
                    </w:r>
                  </w:p>
                </w:tc>
                <w:tc>
                  <w:tcPr>
                    <w:tcW w:w="1134" w:type="dxa"/>
                    <w:shd w:val="clear" w:color="auto" w:fill="FFFFFF" w:themeFill="background1"/>
                  </w:tcPr>
                  <w:p>
                    <w:pPr>
                      <w:jc w:val="center"/>
                      <w:rPr>
                        <w:sz w:val="20"/>
                      </w:rPr>
                    </w:pPr>
                    <w:r>
                      <w:rPr>
                        <w:sz w:val="20"/>
                      </w:rPr>
                      <w:t>73</w:t>
                    </w:r>
                  </w:p>
                  <w:p>
                    <w:pPr>
                      <w:jc w:val="center"/>
                      <w:rPr>
                        <w:color w:val="FFFFFF"/>
                        <w:sz w:val="20"/>
                      </w:rPr>
                    </w:pPr>
                    <w:r>
                      <w:rPr>
                        <w:sz w:val="20"/>
                      </w:rPr>
                      <w:t>(2018 m.)</w:t>
                    </w:r>
                  </w:p>
                </w:tc>
                <w:tc>
                  <w:tcPr>
                    <w:tcW w:w="992" w:type="dxa"/>
                    <w:shd w:val="clear" w:color="auto" w:fill="FFFFFF" w:themeFill="background1"/>
                  </w:tcPr>
                  <w:p>
                    <w:pPr>
                      <w:jc w:val="center"/>
                      <w:rPr>
                        <w:sz w:val="20"/>
                      </w:rPr>
                    </w:pPr>
                    <w:r>
                      <w:rPr>
                        <w:sz w:val="20"/>
                      </w:rPr>
                      <w:t>80</w:t>
                    </w:r>
                  </w:p>
                  <w:p>
                    <w:pPr>
                      <w:jc w:val="center"/>
                      <w:rPr>
                        <w:color w:val="FFFFFF"/>
                        <w:sz w:val="20"/>
                      </w:rPr>
                    </w:pPr>
                  </w:p>
                </w:tc>
                <w:tc>
                  <w:tcPr>
                    <w:tcW w:w="1135" w:type="dxa"/>
                    <w:shd w:val="clear" w:color="auto" w:fill="FFFFFF" w:themeFill="background1"/>
                  </w:tcPr>
                  <w:p>
                    <w:pPr>
                      <w:jc w:val="center"/>
                      <w:rPr>
                        <w:sz w:val="20"/>
                        <w:lang w:val="en-US"/>
                      </w:rPr>
                    </w:pPr>
                    <w:r>
                      <w:rPr>
                        <w:sz w:val="20"/>
                        <w:lang w:val="en-US"/>
                      </w:rPr>
                      <w:t>82</w:t>
                    </w:r>
                  </w:p>
                  <w:p>
                    <w:pPr>
                      <w:jc w:val="center"/>
                      <w:rPr>
                        <w:color w:val="FFFFFF"/>
                        <w:sz w:val="20"/>
                      </w:rPr>
                    </w:pPr>
                  </w:p>
                </w:tc>
                <w:tc>
                  <w:tcPr>
                    <w:tcW w:w="1417"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418" w:type="dxa"/>
                    <w:shd w:val="clear" w:color="auto" w:fill="FFFFFF" w:themeFill="background1"/>
                  </w:tcPr>
                  <w:p>
                    <w:pPr>
                      <w:rPr>
                        <w:color w:val="FFFFFF"/>
                        <w:sz w:val="20"/>
                      </w:rPr>
                    </w:pPr>
                    <w:r>
                      <w:rPr>
                        <w:sz w:val="20"/>
                      </w:rPr>
                      <w:t>R-11-002-02-11-01-17</w:t>
                    </w:r>
                  </w:p>
                </w:tc>
                <w:tc>
                  <w:tcPr>
                    <w:tcW w:w="1134" w:type="dxa"/>
                    <w:shd w:val="clear" w:color="auto" w:fill="FFFFFF" w:themeFill="background1"/>
                  </w:tcPr>
                  <w:p>
                    <w:pPr>
                      <w:rPr>
                        <w:color w:val="FFFFFF"/>
                        <w:sz w:val="20"/>
                      </w:rPr>
                    </w:pPr>
                    <w:r>
                      <w:rPr>
                        <w:sz w:val="20"/>
                      </w:rPr>
                      <w:t>Rezultato</w:t>
                    </w:r>
                  </w:p>
                </w:tc>
                <w:tc>
                  <w:tcPr>
                    <w:tcW w:w="2693" w:type="dxa"/>
                    <w:shd w:val="clear" w:color="auto" w:fill="FFFFFF" w:themeFill="background1"/>
                  </w:tcPr>
                  <w:p>
                    <w:pPr>
                      <w:rPr>
                        <w:color w:val="FFFFFF"/>
                        <w:sz w:val="20"/>
                        <w:vertAlign w:val="superscript"/>
                      </w:rPr>
                    </w:pPr>
                    <w:r>
                      <w:rPr>
                        <w:sz w:val="20"/>
                      </w:rPr>
                      <w:t>Asmenų, gavusių tęstines ambulatorines ir (ar) dienos stacionaro psichikos sveikatos paslaugas per 30 dienų nuo išrašymo iš stacionaro, dalis</w:t>
                    </w:r>
                    <w:r>
                      <w:rPr>
                        <w:sz w:val="20"/>
                        <w:vertAlign w:val="superscript"/>
                      </w:rPr>
                      <w:t>1</w:t>
                    </w:r>
                  </w:p>
                </w:tc>
                <w:tc>
                  <w:tcPr>
                    <w:tcW w:w="1134" w:type="dxa"/>
                    <w:shd w:val="clear" w:color="auto" w:fill="FFFFFF" w:themeFill="background1"/>
                  </w:tcPr>
                  <w:p>
                    <w:pPr>
                      <w:jc w:val="center"/>
                      <w:rPr>
                        <w:color w:val="FFFFFF"/>
                        <w:sz w:val="20"/>
                      </w:rPr>
                    </w:pPr>
                    <w:r>
                      <w:rPr>
                        <w:sz w:val="20"/>
                      </w:rPr>
                      <w:t>Proc.</w:t>
                    </w:r>
                  </w:p>
                </w:tc>
                <w:tc>
                  <w:tcPr>
                    <w:tcW w:w="1134" w:type="dxa"/>
                    <w:shd w:val="clear" w:color="auto" w:fill="FFFFFF" w:themeFill="background1"/>
                  </w:tcPr>
                  <w:p>
                    <w:pPr>
                      <w:jc w:val="center"/>
                      <w:rPr>
                        <w:sz w:val="20"/>
                      </w:rPr>
                    </w:pPr>
                    <w:r>
                      <w:rPr>
                        <w:sz w:val="20"/>
                      </w:rPr>
                      <w:t>50,2</w:t>
                    </w:r>
                  </w:p>
                  <w:p>
                    <w:pPr>
                      <w:jc w:val="center"/>
                      <w:rPr>
                        <w:color w:val="FFFFFF"/>
                        <w:sz w:val="20"/>
                      </w:rPr>
                    </w:pPr>
                    <w:r>
                      <w:rPr>
                        <w:sz w:val="20"/>
                      </w:rPr>
                      <w:t>(2020 m.)</w:t>
                    </w:r>
                  </w:p>
                </w:tc>
                <w:tc>
                  <w:tcPr>
                    <w:tcW w:w="992" w:type="dxa"/>
                    <w:shd w:val="clear" w:color="auto" w:fill="FFFFFF" w:themeFill="background1"/>
                  </w:tcPr>
                  <w:p>
                    <w:pPr>
                      <w:jc w:val="center"/>
                      <w:rPr>
                        <w:sz w:val="20"/>
                      </w:rPr>
                    </w:pPr>
                    <w:r>
                      <w:rPr>
                        <w:sz w:val="20"/>
                      </w:rPr>
                      <w:t>60</w:t>
                    </w:r>
                  </w:p>
                  <w:p>
                    <w:pPr>
                      <w:jc w:val="center"/>
                      <w:rPr>
                        <w:color w:val="FFFFFF"/>
                        <w:sz w:val="20"/>
                      </w:rPr>
                    </w:pPr>
                  </w:p>
                </w:tc>
                <w:tc>
                  <w:tcPr>
                    <w:tcW w:w="1135" w:type="dxa"/>
                    <w:shd w:val="clear" w:color="auto" w:fill="FFFFFF" w:themeFill="background1"/>
                  </w:tcPr>
                  <w:p>
                    <w:pPr>
                      <w:jc w:val="center"/>
                      <w:rPr>
                        <w:sz w:val="20"/>
                        <w:lang w:val="en-US"/>
                      </w:rPr>
                    </w:pPr>
                    <w:r>
                      <w:rPr>
                        <w:sz w:val="20"/>
                        <w:lang w:val="en-US"/>
                      </w:rPr>
                      <w:t>80</w:t>
                    </w:r>
                  </w:p>
                  <w:p>
                    <w:pPr>
                      <w:jc w:val="center"/>
                      <w:rPr>
                        <w:color w:val="FFFFFF"/>
                        <w:sz w:val="20"/>
                      </w:rPr>
                    </w:pPr>
                  </w:p>
                </w:tc>
                <w:tc>
                  <w:tcPr>
                    <w:tcW w:w="1417"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418" w:type="dxa"/>
                    <w:shd w:val="clear" w:color="auto" w:fill="FFFFFF" w:themeFill="background1"/>
                  </w:tcPr>
                  <w:p>
                    <w:pPr>
                      <w:rPr>
                        <w:color w:val="FFFFFF"/>
                        <w:sz w:val="20"/>
                      </w:rPr>
                    </w:pPr>
                    <w:r>
                      <w:rPr>
                        <w:sz w:val="20"/>
                      </w:rPr>
                      <w:t>R-11-002-02-11-01-18</w:t>
                    </w:r>
                  </w:p>
                </w:tc>
                <w:tc>
                  <w:tcPr>
                    <w:tcW w:w="1134" w:type="dxa"/>
                    <w:shd w:val="clear" w:color="auto" w:fill="FFFFFF" w:themeFill="background1"/>
                  </w:tcPr>
                  <w:p>
                    <w:pPr>
                      <w:rPr>
                        <w:color w:val="FFFFFF"/>
                        <w:sz w:val="20"/>
                      </w:rPr>
                    </w:pPr>
                    <w:r>
                      <w:rPr>
                        <w:sz w:val="20"/>
                      </w:rPr>
                      <w:t>Rezultato</w:t>
                    </w:r>
                  </w:p>
                </w:tc>
                <w:tc>
                  <w:tcPr>
                    <w:tcW w:w="2693" w:type="dxa"/>
                    <w:shd w:val="clear" w:color="auto" w:fill="FFFFFF" w:themeFill="background1"/>
                  </w:tcPr>
                  <w:p>
                    <w:pPr>
                      <w:rPr>
                        <w:color w:val="FFFFFF"/>
                        <w:sz w:val="20"/>
                      </w:rPr>
                    </w:pPr>
                    <w:r>
                      <w:rPr>
                        <w:sz w:val="20"/>
                      </w:rPr>
                      <w:t>Gyventojų, dėl laukimo laiko (ilgų eilių) atidėjusių kreipimąsi dėl sveikatos priežiūros paslaugų, dalis</w:t>
                    </w:r>
                    <w:r>
                      <w:rPr>
                        <w:sz w:val="20"/>
                        <w:vertAlign w:val="superscript"/>
                      </w:rPr>
                      <w:t>1</w:t>
                    </w:r>
                  </w:p>
                </w:tc>
                <w:tc>
                  <w:tcPr>
                    <w:tcW w:w="1134" w:type="dxa"/>
                    <w:shd w:val="clear" w:color="auto" w:fill="FFFFFF" w:themeFill="background1"/>
                  </w:tcPr>
                  <w:p>
                    <w:pPr>
                      <w:jc w:val="center"/>
                      <w:rPr>
                        <w:color w:val="FFFFFF"/>
                        <w:sz w:val="20"/>
                      </w:rPr>
                    </w:pPr>
                    <w:r>
                      <w:rPr>
                        <w:sz w:val="20"/>
                      </w:rPr>
                      <w:t>Proc.</w:t>
                    </w:r>
                  </w:p>
                </w:tc>
                <w:tc>
                  <w:tcPr>
                    <w:tcW w:w="1134" w:type="dxa"/>
                    <w:shd w:val="clear" w:color="auto" w:fill="FFFFFF" w:themeFill="background1"/>
                  </w:tcPr>
                  <w:p>
                    <w:pPr>
                      <w:jc w:val="center"/>
                      <w:rPr>
                        <w:sz w:val="20"/>
                      </w:rPr>
                    </w:pPr>
                    <w:r>
                      <w:rPr>
                        <w:sz w:val="20"/>
                      </w:rPr>
                      <w:t>19,7</w:t>
                    </w:r>
                  </w:p>
                  <w:p>
                    <w:pPr>
                      <w:jc w:val="center"/>
                      <w:rPr>
                        <w:color w:val="FFFFFF"/>
                        <w:sz w:val="20"/>
                      </w:rPr>
                    </w:pPr>
                    <w:r>
                      <w:rPr>
                        <w:sz w:val="20"/>
                      </w:rPr>
                      <w:t>(2019 m.)</w:t>
                    </w:r>
                  </w:p>
                </w:tc>
                <w:tc>
                  <w:tcPr>
                    <w:tcW w:w="992" w:type="dxa"/>
                    <w:shd w:val="clear" w:color="auto" w:fill="FFFFFF" w:themeFill="background1"/>
                  </w:tcPr>
                  <w:p>
                    <w:pPr>
                      <w:jc w:val="center"/>
                      <w:rPr>
                        <w:sz w:val="20"/>
                      </w:rPr>
                    </w:pPr>
                    <w:r>
                      <w:rPr>
                        <w:sz w:val="20"/>
                      </w:rPr>
                      <w:t>14</w:t>
                    </w:r>
                  </w:p>
                  <w:p>
                    <w:pPr>
                      <w:jc w:val="center"/>
                      <w:rPr>
                        <w:color w:val="FFFFFF"/>
                        <w:sz w:val="20"/>
                      </w:rPr>
                    </w:pPr>
                  </w:p>
                </w:tc>
                <w:tc>
                  <w:tcPr>
                    <w:tcW w:w="1135" w:type="dxa"/>
                    <w:shd w:val="clear" w:color="auto" w:fill="FFFFFF" w:themeFill="background1"/>
                  </w:tcPr>
                  <w:p>
                    <w:pPr>
                      <w:jc w:val="center"/>
                      <w:rPr>
                        <w:sz w:val="20"/>
                        <w:lang w:val="en-US"/>
                      </w:rPr>
                    </w:pPr>
                    <w:r>
                      <w:rPr>
                        <w:sz w:val="20"/>
                        <w:lang w:val="en-US"/>
                      </w:rPr>
                      <w:t>6</w:t>
                    </w:r>
                  </w:p>
                  <w:p>
                    <w:pPr>
                      <w:jc w:val="center"/>
                      <w:rPr>
                        <w:color w:val="FFFFFF"/>
                        <w:sz w:val="20"/>
                      </w:rPr>
                    </w:pPr>
                  </w:p>
                </w:tc>
                <w:tc>
                  <w:tcPr>
                    <w:tcW w:w="1417" w:type="dxa"/>
                    <w:shd w:val="clear" w:color="auto" w:fill="FFFFFF" w:themeFill="background1"/>
                  </w:tcPr>
                  <w:p>
                    <w:pPr>
                      <w:jc w:val="center"/>
                      <w:rPr>
                        <w:color w:val="FFFFFF"/>
                        <w:sz w:val="20"/>
                      </w:rPr>
                    </w:pPr>
                    <w:r>
                      <w:rPr>
                        <w:bCs/>
                        <w:sz w:val="20"/>
                      </w:rPr>
                      <w:t>EGADP; 2021</w:t>
                    </w:r>
                    <w:r>
                      <w:rPr>
                        <w:color w:val="000000"/>
                        <w:szCs w:val="24"/>
                      </w:rPr>
                      <w:t>–</w:t>
                    </w:r>
                    <w:r>
                      <w:rPr>
                        <w:bCs/>
                        <w:sz w:val="20"/>
                      </w:rPr>
                      <w:t>2027 m. IP (ERPF, ESF+)</w:t>
                    </w:r>
                  </w:p>
                </w:tc>
              </w:tr>
              <w:tr>
                <w:trPr>
                  <w:trHeight w:val="330"/>
                </w:trPr>
                <w:tc>
                  <w:tcPr>
                    <w:tcW w:w="1418" w:type="dxa"/>
                    <w:shd w:val="clear" w:color="auto" w:fill="FFFFFF" w:themeFill="background1"/>
                  </w:tcPr>
                  <w:p>
                    <w:pPr>
                      <w:rPr>
                        <w:color w:val="FFFFFF"/>
                        <w:sz w:val="20"/>
                      </w:rPr>
                    </w:pPr>
                    <w:r>
                      <w:rPr>
                        <w:sz w:val="20"/>
                      </w:rPr>
                      <w:t>R-11-002-02-11-01-19</w:t>
                    </w:r>
                  </w:p>
                </w:tc>
                <w:tc>
                  <w:tcPr>
                    <w:tcW w:w="1134" w:type="dxa"/>
                    <w:shd w:val="clear" w:color="auto" w:fill="FFFFFF" w:themeFill="background1"/>
                  </w:tcPr>
                  <w:p>
                    <w:pPr>
                      <w:rPr>
                        <w:color w:val="FFFFFF"/>
                        <w:sz w:val="20"/>
                      </w:rPr>
                    </w:pPr>
                    <w:r>
                      <w:rPr>
                        <w:sz w:val="20"/>
                      </w:rPr>
                      <w:t>Rezultato</w:t>
                    </w:r>
                  </w:p>
                </w:tc>
                <w:tc>
                  <w:tcPr>
                    <w:tcW w:w="2693" w:type="dxa"/>
                    <w:shd w:val="clear" w:color="auto" w:fill="FFFFFF" w:themeFill="background1"/>
                  </w:tcPr>
                  <w:p>
                    <w:pPr>
                      <w:rPr>
                        <w:color w:val="FFFFFF"/>
                        <w:sz w:val="20"/>
                      </w:rPr>
                    </w:pPr>
                    <w:r>
                      <w:rPr>
                        <w:sz w:val="20"/>
                      </w:rPr>
                      <w:t xml:space="preserve">Greitosios medicinos pagalbos skubių įvykdytų iškvietimų paslaugų, suteiktų per 15 min. (mieste), dalis </w:t>
                    </w:r>
                  </w:p>
                </w:tc>
                <w:tc>
                  <w:tcPr>
                    <w:tcW w:w="1134" w:type="dxa"/>
                    <w:shd w:val="clear" w:color="auto" w:fill="FFFFFF" w:themeFill="background1"/>
                  </w:tcPr>
                  <w:p>
                    <w:pPr>
                      <w:jc w:val="center"/>
                      <w:rPr>
                        <w:color w:val="FFFFFF"/>
                        <w:sz w:val="20"/>
                      </w:rPr>
                    </w:pPr>
                    <w:r>
                      <w:rPr>
                        <w:sz w:val="20"/>
                      </w:rPr>
                      <w:t>Proc.</w:t>
                    </w:r>
                  </w:p>
                </w:tc>
                <w:tc>
                  <w:tcPr>
                    <w:tcW w:w="1134" w:type="dxa"/>
                    <w:shd w:val="clear" w:color="auto" w:fill="FFFFFF" w:themeFill="background1"/>
                  </w:tcPr>
                  <w:p>
                    <w:pPr>
                      <w:jc w:val="center"/>
                      <w:rPr>
                        <w:sz w:val="20"/>
                      </w:rPr>
                    </w:pPr>
                    <w:r>
                      <w:rPr>
                        <w:sz w:val="20"/>
                      </w:rPr>
                      <w:t>91,4</w:t>
                    </w:r>
                  </w:p>
                  <w:p>
                    <w:pPr>
                      <w:jc w:val="center"/>
                      <w:rPr>
                        <w:color w:val="FFFFFF"/>
                        <w:sz w:val="20"/>
                      </w:rPr>
                    </w:pPr>
                    <w:r>
                      <w:rPr>
                        <w:sz w:val="20"/>
                      </w:rPr>
                      <w:t>(2019 m.)</w:t>
                    </w:r>
                  </w:p>
                </w:tc>
                <w:tc>
                  <w:tcPr>
                    <w:tcW w:w="992" w:type="dxa"/>
                    <w:shd w:val="clear" w:color="auto" w:fill="FFFFFF" w:themeFill="background1"/>
                  </w:tcPr>
                  <w:p>
                    <w:pPr>
                      <w:jc w:val="center"/>
                      <w:rPr>
                        <w:color w:val="FFFFFF"/>
                        <w:sz w:val="20"/>
                      </w:rPr>
                    </w:pPr>
                    <w:r>
                      <w:rPr>
                        <w:sz w:val="20"/>
                      </w:rPr>
                      <w:t>n/d</w:t>
                    </w:r>
                  </w:p>
                </w:tc>
                <w:tc>
                  <w:tcPr>
                    <w:tcW w:w="1135" w:type="dxa"/>
                    <w:shd w:val="clear" w:color="auto" w:fill="FFFFFF" w:themeFill="background1"/>
                  </w:tcPr>
                  <w:p>
                    <w:pPr>
                      <w:jc w:val="center"/>
                      <w:rPr>
                        <w:sz w:val="20"/>
                        <w:lang w:val="en-US"/>
                      </w:rPr>
                    </w:pPr>
                    <w:r>
                      <w:rPr>
                        <w:sz w:val="20"/>
                        <w:lang w:val="en-US"/>
                      </w:rPr>
                      <w:t>98</w:t>
                    </w:r>
                  </w:p>
                  <w:p>
                    <w:pPr>
                      <w:jc w:val="center"/>
                      <w:rPr>
                        <w:color w:val="FFFFFF"/>
                        <w:sz w:val="20"/>
                      </w:rPr>
                    </w:pPr>
                    <w:r>
                      <w:rPr>
                        <w:sz w:val="20"/>
                        <w:lang w:val="en-US"/>
                      </w:rPr>
                      <w:t>(2029 m.)</w:t>
                    </w:r>
                  </w:p>
                </w:tc>
                <w:tc>
                  <w:tcPr>
                    <w:tcW w:w="1417" w:type="dxa"/>
                    <w:shd w:val="clear" w:color="auto" w:fill="FFFFFF" w:themeFill="background1"/>
                  </w:tcPr>
                  <w:p>
                    <w:pPr>
                      <w:jc w:val="center"/>
                      <w:rPr>
                        <w:color w:val="FFFFFF"/>
                        <w:sz w:val="20"/>
                      </w:rPr>
                    </w:pPr>
                    <w:r>
                      <w:rPr>
                        <w:sz w:val="20"/>
                      </w:rPr>
                      <w:t>2021</w:t>
                    </w:r>
                    <w:r>
                      <w:rPr>
                        <w:color w:val="000000"/>
                        <w:szCs w:val="24"/>
                      </w:rPr>
                      <w:t>–</w:t>
                    </w:r>
                    <w:r>
                      <w:rPr>
                        <w:sz w:val="20"/>
                      </w:rPr>
                      <w:t>2027 m. IP (ERPF)</w:t>
                    </w:r>
                  </w:p>
                </w:tc>
              </w:tr>
              <w:tr>
                <w:trPr>
                  <w:trHeight w:val="330"/>
                </w:trPr>
                <w:tc>
                  <w:tcPr>
                    <w:tcW w:w="1418" w:type="dxa"/>
                    <w:shd w:val="clear" w:color="auto" w:fill="FFFFFF" w:themeFill="background1"/>
                  </w:tcPr>
                  <w:p>
                    <w:pPr>
                      <w:rPr>
                        <w:color w:val="FFFFFF"/>
                        <w:sz w:val="20"/>
                      </w:rPr>
                    </w:pPr>
                    <w:r>
                      <w:rPr>
                        <w:sz w:val="20"/>
                      </w:rPr>
                      <w:t>R-11-002-02-11-01-20</w:t>
                    </w:r>
                  </w:p>
                </w:tc>
                <w:tc>
                  <w:tcPr>
                    <w:tcW w:w="1134" w:type="dxa"/>
                    <w:shd w:val="clear" w:color="auto" w:fill="FFFFFF" w:themeFill="background1"/>
                  </w:tcPr>
                  <w:p>
                    <w:pPr>
                      <w:rPr>
                        <w:color w:val="FFFFFF"/>
                        <w:sz w:val="20"/>
                      </w:rPr>
                    </w:pPr>
                    <w:r>
                      <w:rPr>
                        <w:sz w:val="20"/>
                      </w:rPr>
                      <w:t>Rezultato</w:t>
                    </w:r>
                  </w:p>
                </w:tc>
                <w:tc>
                  <w:tcPr>
                    <w:tcW w:w="2693" w:type="dxa"/>
                    <w:shd w:val="clear" w:color="auto" w:fill="FFFFFF" w:themeFill="background1"/>
                  </w:tcPr>
                  <w:p>
                    <w:pPr>
                      <w:rPr>
                        <w:color w:val="FFFFFF"/>
                        <w:sz w:val="20"/>
                      </w:rPr>
                    </w:pPr>
                    <w:r>
                      <w:rPr>
                        <w:sz w:val="20"/>
                      </w:rPr>
                      <w:t>Greitosios medicinos pagalbos skubių įvykdytų iškvietimų paslaugų, suteiktų per 25 min. (kaime), dalis</w:t>
                    </w:r>
                  </w:p>
                </w:tc>
                <w:tc>
                  <w:tcPr>
                    <w:tcW w:w="1134" w:type="dxa"/>
                    <w:shd w:val="clear" w:color="auto" w:fill="FFFFFF" w:themeFill="background1"/>
                  </w:tcPr>
                  <w:p>
                    <w:pPr>
                      <w:jc w:val="center"/>
                      <w:rPr>
                        <w:color w:val="FFFFFF"/>
                        <w:sz w:val="20"/>
                      </w:rPr>
                    </w:pPr>
                    <w:r>
                      <w:rPr>
                        <w:sz w:val="20"/>
                      </w:rPr>
                      <w:t>Proc.</w:t>
                    </w:r>
                  </w:p>
                </w:tc>
                <w:tc>
                  <w:tcPr>
                    <w:tcW w:w="1134" w:type="dxa"/>
                    <w:shd w:val="clear" w:color="auto" w:fill="FFFFFF" w:themeFill="background1"/>
                  </w:tcPr>
                  <w:p>
                    <w:pPr>
                      <w:jc w:val="center"/>
                      <w:rPr>
                        <w:sz w:val="20"/>
                      </w:rPr>
                    </w:pPr>
                    <w:r>
                      <w:rPr>
                        <w:sz w:val="20"/>
                      </w:rPr>
                      <w:t>81,6</w:t>
                    </w:r>
                  </w:p>
                  <w:p>
                    <w:pPr>
                      <w:jc w:val="center"/>
                      <w:rPr>
                        <w:color w:val="FFFFFF"/>
                        <w:sz w:val="20"/>
                      </w:rPr>
                    </w:pPr>
                    <w:r>
                      <w:rPr>
                        <w:sz w:val="20"/>
                      </w:rPr>
                      <w:t>(2019 m.)</w:t>
                    </w:r>
                  </w:p>
                </w:tc>
                <w:tc>
                  <w:tcPr>
                    <w:tcW w:w="992" w:type="dxa"/>
                    <w:shd w:val="clear" w:color="auto" w:fill="FFFFFF" w:themeFill="background1"/>
                  </w:tcPr>
                  <w:p>
                    <w:pPr>
                      <w:jc w:val="center"/>
                      <w:rPr>
                        <w:color w:val="FFFFFF"/>
                        <w:sz w:val="20"/>
                      </w:rPr>
                    </w:pPr>
                    <w:r>
                      <w:rPr>
                        <w:sz w:val="20"/>
                      </w:rPr>
                      <w:t>n/d</w:t>
                    </w:r>
                  </w:p>
                </w:tc>
                <w:tc>
                  <w:tcPr>
                    <w:tcW w:w="1135" w:type="dxa"/>
                    <w:shd w:val="clear" w:color="auto" w:fill="FFFFFF" w:themeFill="background1"/>
                  </w:tcPr>
                  <w:p>
                    <w:pPr>
                      <w:jc w:val="center"/>
                      <w:rPr>
                        <w:sz w:val="20"/>
                        <w:lang w:val="en-US"/>
                      </w:rPr>
                    </w:pPr>
                    <w:r>
                      <w:rPr>
                        <w:sz w:val="20"/>
                        <w:lang w:val="en-US"/>
                      </w:rPr>
                      <w:t>98</w:t>
                    </w:r>
                  </w:p>
                  <w:p>
                    <w:pPr>
                      <w:jc w:val="center"/>
                      <w:rPr>
                        <w:color w:val="FFFFFF"/>
                        <w:sz w:val="20"/>
                      </w:rPr>
                    </w:pPr>
                    <w:r>
                      <w:rPr>
                        <w:sz w:val="20"/>
                        <w:lang w:val="en-US"/>
                      </w:rPr>
                      <w:t>(2029 m.)</w:t>
                    </w:r>
                  </w:p>
                </w:tc>
                <w:tc>
                  <w:tcPr>
                    <w:tcW w:w="1417"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418" w:type="dxa"/>
                    <w:shd w:val="clear" w:color="auto" w:fill="FFFFFF" w:themeFill="background1"/>
                  </w:tcPr>
                  <w:p>
                    <w:pPr>
                      <w:rPr>
                        <w:color w:val="FFFFFF"/>
                        <w:sz w:val="20"/>
                      </w:rPr>
                    </w:pPr>
                    <w:r>
                      <w:rPr>
                        <w:sz w:val="20"/>
                      </w:rPr>
                      <w:t>R-11-002-02-11-01-21</w:t>
                    </w:r>
                  </w:p>
                </w:tc>
                <w:tc>
                  <w:tcPr>
                    <w:tcW w:w="1134" w:type="dxa"/>
                    <w:shd w:val="clear" w:color="auto" w:fill="FFFFFF" w:themeFill="background1"/>
                  </w:tcPr>
                  <w:p>
                    <w:pPr>
                      <w:rPr>
                        <w:color w:val="FFFFFF"/>
                        <w:sz w:val="20"/>
                      </w:rPr>
                    </w:pPr>
                    <w:r>
                      <w:rPr>
                        <w:sz w:val="20"/>
                      </w:rPr>
                      <w:t>Rezultato</w:t>
                    </w:r>
                  </w:p>
                </w:tc>
                <w:tc>
                  <w:tcPr>
                    <w:tcW w:w="2693" w:type="dxa"/>
                    <w:shd w:val="clear" w:color="auto" w:fill="FFFFFF" w:themeFill="background1"/>
                  </w:tcPr>
                  <w:p>
                    <w:pPr>
                      <w:rPr>
                        <w:color w:val="FFFFFF"/>
                        <w:sz w:val="20"/>
                      </w:rPr>
                    </w:pPr>
                    <w:r>
                      <w:rPr>
                        <w:sz w:val="20"/>
                      </w:rPr>
                      <w:t>Slaugytojų, tenkančių vienam gydytojui, skaičius</w:t>
                    </w:r>
                    <w:r>
                      <w:rPr>
                        <w:sz w:val="20"/>
                        <w:vertAlign w:val="superscript"/>
                      </w:rPr>
                      <w:t>1</w:t>
                    </w:r>
                  </w:p>
                </w:tc>
                <w:tc>
                  <w:tcPr>
                    <w:tcW w:w="1134" w:type="dxa"/>
                    <w:shd w:val="clear" w:color="auto" w:fill="FFFFFF" w:themeFill="background1"/>
                  </w:tcPr>
                  <w:p>
                    <w:pPr>
                      <w:jc w:val="center"/>
                      <w:rPr>
                        <w:color w:val="FFFFFF"/>
                        <w:sz w:val="20"/>
                      </w:rPr>
                    </w:pPr>
                    <w:r>
                      <w:rPr>
                        <w:sz w:val="20"/>
                      </w:rPr>
                      <w:t>Skaičius</w:t>
                    </w:r>
                  </w:p>
                </w:tc>
                <w:tc>
                  <w:tcPr>
                    <w:tcW w:w="1134" w:type="dxa"/>
                    <w:shd w:val="clear" w:color="auto" w:fill="FFFFFF" w:themeFill="background1"/>
                  </w:tcPr>
                  <w:p>
                    <w:pPr>
                      <w:jc w:val="center"/>
                      <w:rPr>
                        <w:sz w:val="20"/>
                      </w:rPr>
                    </w:pPr>
                    <w:r>
                      <w:rPr>
                        <w:sz w:val="20"/>
                      </w:rPr>
                      <w:t>1,8</w:t>
                    </w:r>
                  </w:p>
                  <w:p>
                    <w:pPr>
                      <w:jc w:val="center"/>
                      <w:rPr>
                        <w:color w:val="FFFFFF"/>
                        <w:sz w:val="20"/>
                      </w:rPr>
                    </w:pPr>
                    <w:r>
                      <w:rPr>
                        <w:sz w:val="20"/>
                      </w:rPr>
                      <w:t>(2019 m.)</w:t>
                    </w:r>
                  </w:p>
                </w:tc>
                <w:tc>
                  <w:tcPr>
                    <w:tcW w:w="992" w:type="dxa"/>
                    <w:shd w:val="clear" w:color="auto" w:fill="FFFFFF" w:themeFill="background1"/>
                  </w:tcPr>
                  <w:p>
                    <w:pPr>
                      <w:jc w:val="center"/>
                      <w:rPr>
                        <w:sz w:val="20"/>
                      </w:rPr>
                    </w:pPr>
                    <w:r>
                      <w:rPr>
                        <w:sz w:val="20"/>
                      </w:rPr>
                      <w:t>2</w:t>
                    </w:r>
                  </w:p>
                  <w:p>
                    <w:pPr>
                      <w:jc w:val="center"/>
                      <w:rPr>
                        <w:color w:val="FFFFFF"/>
                        <w:sz w:val="20"/>
                      </w:rPr>
                    </w:pPr>
                  </w:p>
                </w:tc>
                <w:tc>
                  <w:tcPr>
                    <w:tcW w:w="1135" w:type="dxa"/>
                    <w:shd w:val="clear" w:color="auto" w:fill="FFFFFF" w:themeFill="background1"/>
                  </w:tcPr>
                  <w:p>
                    <w:pPr>
                      <w:jc w:val="center"/>
                      <w:rPr>
                        <w:sz w:val="20"/>
                        <w:lang w:val="en-US"/>
                      </w:rPr>
                    </w:pPr>
                    <w:r>
                      <w:rPr>
                        <w:sz w:val="20"/>
                        <w:lang w:val="en-US"/>
                      </w:rPr>
                      <w:t>2,5</w:t>
                    </w:r>
                  </w:p>
                  <w:p>
                    <w:pPr>
                      <w:jc w:val="center"/>
                      <w:rPr>
                        <w:color w:val="FFFFFF"/>
                        <w:sz w:val="20"/>
                      </w:rPr>
                    </w:pPr>
                  </w:p>
                </w:tc>
                <w:tc>
                  <w:tcPr>
                    <w:tcW w:w="1417" w:type="dxa"/>
                    <w:shd w:val="clear" w:color="auto" w:fill="FFFFFF" w:themeFill="background1"/>
                  </w:tcPr>
                  <w:p>
                    <w:pPr>
                      <w:jc w:val="center"/>
                      <w:rPr>
                        <w:color w:val="FFFFFF"/>
                        <w:sz w:val="20"/>
                      </w:rPr>
                    </w:pPr>
                    <w:r>
                      <w:rPr>
                        <w:bCs/>
                        <w:sz w:val="20"/>
                      </w:rPr>
                      <w:t>EGADP; 2021</w:t>
                    </w:r>
                    <w:r>
                      <w:rPr>
                        <w:color w:val="000000"/>
                        <w:szCs w:val="24"/>
                      </w:rPr>
                      <w:t>–</w:t>
                    </w:r>
                    <w:r>
                      <w:rPr>
                        <w:bCs/>
                        <w:sz w:val="20"/>
                      </w:rPr>
                      <w:t>2027 m. IP (ERPF)</w:t>
                    </w:r>
                  </w:p>
                </w:tc>
              </w:tr>
              <w:tr>
                <w:trPr>
                  <w:trHeight w:val="330"/>
                </w:trPr>
                <w:tc>
                  <w:tcPr>
                    <w:tcW w:w="1418" w:type="dxa"/>
                    <w:shd w:val="clear" w:color="auto" w:fill="FFFFFF" w:themeFill="background1"/>
                  </w:tcPr>
                  <w:p>
                    <w:pPr>
                      <w:rPr>
                        <w:color w:val="FFFFFF"/>
                        <w:sz w:val="20"/>
                      </w:rPr>
                    </w:pPr>
                    <w:r>
                      <w:rPr>
                        <w:sz w:val="20"/>
                      </w:rPr>
                      <w:t>P-11-002-02-11-01-22</w:t>
                    </w:r>
                  </w:p>
                </w:tc>
                <w:tc>
                  <w:tcPr>
                    <w:tcW w:w="1134" w:type="dxa"/>
                    <w:shd w:val="clear" w:color="auto" w:fill="FFFFFF" w:themeFill="background1"/>
                  </w:tcPr>
                  <w:p>
                    <w:pPr>
                      <w:rPr>
                        <w:color w:val="FFFFFF"/>
                        <w:sz w:val="20"/>
                      </w:rPr>
                    </w:pPr>
                    <w:r>
                      <w:rPr>
                        <w:sz w:val="20"/>
                      </w:rPr>
                      <w:t>Produkto</w:t>
                    </w:r>
                  </w:p>
                </w:tc>
                <w:tc>
                  <w:tcPr>
                    <w:tcW w:w="2693" w:type="dxa"/>
                    <w:shd w:val="clear" w:color="auto" w:fill="FFFFFF" w:themeFill="background1"/>
                  </w:tcPr>
                  <w:p>
                    <w:pPr>
                      <w:rPr>
                        <w:color w:val="FFFFFF"/>
                        <w:sz w:val="20"/>
                      </w:rPr>
                    </w:pPr>
                    <w:r>
                      <w:rPr>
                        <w:sz w:val="20"/>
                      </w:rPr>
                      <w:t>Paramą gavusių nacionalinio, regionų ar vietos lygmens viešojo administravimo ar viešąsias paslaugas teikiančių įstaigų skaičius</w:t>
                    </w:r>
                  </w:p>
                </w:tc>
                <w:tc>
                  <w:tcPr>
                    <w:tcW w:w="1134" w:type="dxa"/>
                    <w:shd w:val="clear" w:color="auto" w:fill="FFFFFF" w:themeFill="background1"/>
                  </w:tcPr>
                  <w:p>
                    <w:pPr>
                      <w:jc w:val="center"/>
                      <w:rPr>
                        <w:color w:val="FFFFFF"/>
                        <w:sz w:val="20"/>
                      </w:rPr>
                    </w:pPr>
                    <w:r>
                      <w:rPr>
                        <w:sz w:val="20"/>
                      </w:rPr>
                      <w:t>Subjektų skaičius</w:t>
                    </w:r>
                  </w:p>
                </w:tc>
                <w:tc>
                  <w:tcPr>
                    <w:tcW w:w="1134" w:type="dxa"/>
                    <w:shd w:val="clear" w:color="auto" w:fill="FFFFFF" w:themeFill="background1"/>
                  </w:tcPr>
                  <w:p>
                    <w:pPr>
                      <w:jc w:val="center"/>
                      <w:rPr>
                        <w:color w:val="FFFFFF"/>
                        <w:sz w:val="20"/>
                      </w:rPr>
                    </w:pPr>
                    <w:r>
                      <w:rPr>
                        <w:sz w:val="20"/>
                      </w:rPr>
                      <w:t>0</w:t>
                    </w:r>
                  </w:p>
                </w:tc>
                <w:tc>
                  <w:tcPr>
                    <w:tcW w:w="992" w:type="dxa"/>
                    <w:shd w:val="clear" w:color="auto" w:fill="FFFFFF" w:themeFill="background1"/>
                  </w:tcPr>
                  <w:p>
                    <w:pPr>
                      <w:jc w:val="center"/>
                      <w:rPr>
                        <w:sz w:val="20"/>
                      </w:rPr>
                    </w:pPr>
                    <w:r>
                      <w:rPr>
                        <w:sz w:val="20"/>
                      </w:rPr>
                      <w:t>18</w:t>
                    </w:r>
                  </w:p>
                  <w:p>
                    <w:pPr>
                      <w:jc w:val="center"/>
                      <w:rPr>
                        <w:color w:val="FFFFFF"/>
                        <w:sz w:val="20"/>
                      </w:rPr>
                    </w:pPr>
                    <w:r>
                      <w:rPr>
                        <w:sz w:val="20"/>
                      </w:rPr>
                      <w:t>(2024m.)</w:t>
                    </w:r>
                  </w:p>
                </w:tc>
                <w:tc>
                  <w:tcPr>
                    <w:tcW w:w="1135" w:type="dxa"/>
                    <w:shd w:val="clear" w:color="auto" w:fill="FFFFFF" w:themeFill="background1"/>
                  </w:tcPr>
                  <w:p>
                    <w:pPr>
                      <w:jc w:val="center"/>
                      <w:rPr>
                        <w:sz w:val="20"/>
                      </w:rPr>
                    </w:pPr>
                    <w:r>
                      <w:rPr>
                        <w:sz w:val="20"/>
                      </w:rPr>
                      <w:t>199</w:t>
                    </w:r>
                  </w:p>
                  <w:p>
                    <w:pPr>
                      <w:jc w:val="center"/>
                      <w:rPr>
                        <w:color w:val="FFFFFF"/>
                        <w:sz w:val="20"/>
                      </w:rPr>
                    </w:pPr>
                    <w:r>
                      <w:rPr>
                        <w:sz w:val="20"/>
                      </w:rPr>
                      <w:t>(2029 m.)</w:t>
                    </w:r>
                  </w:p>
                </w:tc>
                <w:tc>
                  <w:tcPr>
                    <w:tcW w:w="1417" w:type="dxa"/>
                    <w:shd w:val="clear" w:color="auto" w:fill="FFFFFF" w:themeFill="background1"/>
                  </w:tcPr>
                  <w:p>
                    <w:pPr>
                      <w:jc w:val="center"/>
                      <w:rPr>
                        <w:color w:val="FFFFFF"/>
                        <w:sz w:val="20"/>
                      </w:rPr>
                    </w:pPr>
                    <w:r>
                      <w:rPr>
                        <w:bCs/>
                        <w:sz w:val="20"/>
                      </w:rPr>
                      <w:t>2021-2027 m. IP (ESF+)</w:t>
                    </w:r>
                  </w:p>
                </w:tc>
              </w:tr>
              <w:tr>
                <w:trPr>
                  <w:trHeight w:val="330"/>
                </w:trPr>
                <w:tc>
                  <w:tcPr>
                    <w:tcW w:w="1418" w:type="dxa"/>
                    <w:shd w:val="clear" w:color="auto" w:fill="FFFFFF" w:themeFill="background1"/>
                  </w:tcPr>
                  <w:p>
                    <w:pPr>
                      <w:rPr>
                        <w:color w:val="FFFFFF"/>
                        <w:sz w:val="20"/>
                      </w:rPr>
                    </w:pPr>
                    <w:r>
                      <w:rPr>
                        <w:sz w:val="20"/>
                      </w:rPr>
                      <w:t>R-11-002-02-11-01-23</w:t>
                    </w:r>
                  </w:p>
                </w:tc>
                <w:tc>
                  <w:tcPr>
                    <w:tcW w:w="1134" w:type="dxa"/>
                    <w:shd w:val="clear" w:color="auto" w:fill="FFFFFF" w:themeFill="background1"/>
                  </w:tcPr>
                  <w:p>
                    <w:pPr>
                      <w:rPr>
                        <w:color w:val="FFFFFF"/>
                        <w:sz w:val="20"/>
                      </w:rPr>
                    </w:pPr>
                    <w:r>
                      <w:rPr>
                        <w:iCs/>
                        <w:sz w:val="20"/>
                      </w:rPr>
                      <w:t xml:space="preserve">Rezultato </w:t>
                    </w:r>
                  </w:p>
                </w:tc>
                <w:tc>
                  <w:tcPr>
                    <w:tcW w:w="2693" w:type="dxa"/>
                    <w:shd w:val="clear" w:color="auto" w:fill="FFFFFF" w:themeFill="background1"/>
                  </w:tcPr>
                  <w:p>
                    <w:pPr>
                      <w:rPr>
                        <w:color w:val="FFFFFF"/>
                        <w:sz w:val="20"/>
                      </w:rPr>
                    </w:pPr>
                    <w:r>
                      <w:rPr>
                        <w:sz w:val="20"/>
                      </w:rPr>
                      <w:t xml:space="preserve">Sveikatos priežiūros įstaigų, įtrauktų į veiklos rezultatų rodiklių rinkiniu grindžiamą Lietuvos nacionalinės sveikatos sistemos švieslentę, dalis </w:t>
                    </w:r>
                  </w:p>
                </w:tc>
                <w:tc>
                  <w:tcPr>
                    <w:tcW w:w="1134" w:type="dxa"/>
                    <w:shd w:val="clear" w:color="auto" w:fill="FFFFFF" w:themeFill="background1"/>
                  </w:tcPr>
                  <w:p>
                    <w:pPr>
                      <w:jc w:val="center"/>
                      <w:rPr>
                        <w:color w:val="FFFFFF"/>
                        <w:sz w:val="20"/>
                      </w:rPr>
                    </w:pPr>
                    <w:r>
                      <w:rPr>
                        <w:sz w:val="20"/>
                      </w:rPr>
                      <w:t>Proc.</w:t>
                    </w:r>
                  </w:p>
                </w:tc>
                <w:tc>
                  <w:tcPr>
                    <w:tcW w:w="1134" w:type="dxa"/>
                    <w:shd w:val="clear" w:color="auto" w:fill="FFFFFF" w:themeFill="background1"/>
                  </w:tcPr>
                  <w:p>
                    <w:pPr>
                      <w:jc w:val="center"/>
                      <w:rPr>
                        <w:sz w:val="20"/>
                      </w:rPr>
                    </w:pPr>
                    <w:r>
                      <w:rPr>
                        <w:sz w:val="20"/>
                      </w:rPr>
                      <w:t>0</w:t>
                    </w:r>
                  </w:p>
                  <w:p>
                    <w:pPr>
                      <w:jc w:val="center"/>
                      <w:rPr>
                        <w:color w:val="FFFFFF"/>
                        <w:sz w:val="20"/>
                      </w:rPr>
                    </w:pPr>
                    <w:r>
                      <w:rPr>
                        <w:sz w:val="20"/>
                      </w:rPr>
                      <w:t>(2021 m.)</w:t>
                    </w:r>
                  </w:p>
                </w:tc>
                <w:tc>
                  <w:tcPr>
                    <w:tcW w:w="992" w:type="dxa"/>
                    <w:shd w:val="clear" w:color="auto" w:fill="FFFFFF" w:themeFill="background1"/>
                  </w:tcPr>
                  <w:p>
                    <w:pPr>
                      <w:jc w:val="center"/>
                      <w:rPr>
                        <w:sz w:val="20"/>
                      </w:rPr>
                    </w:pPr>
                    <w:r>
                      <w:rPr>
                        <w:sz w:val="20"/>
                      </w:rPr>
                      <w:t>70</w:t>
                    </w:r>
                  </w:p>
                  <w:p>
                    <w:pPr>
                      <w:jc w:val="center"/>
                      <w:rPr>
                        <w:sz w:val="20"/>
                      </w:rPr>
                    </w:pPr>
                    <w:r>
                      <w:rPr>
                        <w:sz w:val="20"/>
                      </w:rPr>
                      <w:t>(2023 m. II ketv.)</w:t>
                    </w:r>
                  </w:p>
                  <w:p>
                    <w:pPr>
                      <w:jc w:val="center"/>
                      <w:rPr>
                        <w:color w:val="FFFFFF"/>
                        <w:sz w:val="20"/>
                      </w:rPr>
                    </w:pPr>
                  </w:p>
                </w:tc>
                <w:tc>
                  <w:tcPr>
                    <w:tcW w:w="1135" w:type="dxa"/>
                    <w:shd w:val="clear" w:color="auto" w:fill="FFFFFF" w:themeFill="background1"/>
                  </w:tcPr>
                  <w:p>
                    <w:pPr>
                      <w:jc w:val="center"/>
                      <w:rPr>
                        <w:sz w:val="20"/>
                      </w:rPr>
                    </w:pPr>
                    <w:r>
                      <w:rPr>
                        <w:sz w:val="20"/>
                      </w:rPr>
                      <w:t>100</w:t>
                    </w:r>
                  </w:p>
                  <w:p>
                    <w:pPr>
                      <w:jc w:val="center"/>
                      <w:rPr>
                        <w:sz w:val="20"/>
                        <w:lang w:val="en-US"/>
                      </w:rPr>
                    </w:pPr>
                    <w:r>
                      <w:rPr>
                        <w:sz w:val="20"/>
                      </w:rPr>
                      <w:t>(202</w:t>
                    </w:r>
                    <w:r>
                      <w:rPr>
                        <w:sz w:val="20"/>
                        <w:lang w:val="en-US"/>
                      </w:rPr>
                      <w:t>5</w:t>
                    </w:r>
                    <w:r>
                      <w:rPr>
                        <w:sz w:val="20"/>
                      </w:rPr>
                      <w:t xml:space="preserve"> m. II ketv.)</w:t>
                    </w:r>
                  </w:p>
                  <w:p>
                    <w:pPr>
                      <w:jc w:val="center"/>
                      <w:rPr>
                        <w:color w:val="FFFFFF"/>
                        <w:sz w:val="20"/>
                      </w:rPr>
                    </w:pPr>
                  </w:p>
                </w:tc>
                <w:tc>
                  <w:tcPr>
                    <w:tcW w:w="1417" w:type="dxa"/>
                    <w:shd w:val="clear" w:color="auto" w:fill="FFFFFF" w:themeFill="background1"/>
                  </w:tcPr>
                  <w:p>
                    <w:pPr>
                      <w:jc w:val="center"/>
                      <w:rPr>
                        <w:color w:val="FFFFFF"/>
                        <w:sz w:val="20"/>
                      </w:rPr>
                    </w:pPr>
                    <w:r>
                      <w:rPr>
                        <w:bCs/>
                        <w:sz w:val="20"/>
                      </w:rPr>
                      <w:t>EGADP</w:t>
                    </w:r>
                  </w:p>
                </w:tc>
              </w:tr>
              <w:tr>
                <w:trPr>
                  <w:trHeight w:val="330"/>
                </w:trPr>
                <w:tc>
                  <w:tcPr>
                    <w:tcW w:w="1418" w:type="dxa"/>
                    <w:shd w:val="clear" w:color="auto" w:fill="FFFFFF" w:themeFill="background1"/>
                  </w:tcPr>
                  <w:p>
                    <w:pPr>
                      <w:rPr>
                        <w:color w:val="FFFFFF"/>
                        <w:sz w:val="20"/>
                      </w:rPr>
                    </w:pPr>
                    <w:r>
                      <w:rPr>
                        <w:sz w:val="20"/>
                      </w:rPr>
                      <w:t>R-11-002-02-11-01-24</w:t>
                    </w:r>
                  </w:p>
                </w:tc>
                <w:tc>
                  <w:tcPr>
                    <w:tcW w:w="1134" w:type="dxa"/>
                    <w:shd w:val="clear" w:color="auto" w:fill="FFFFFF" w:themeFill="background1"/>
                  </w:tcPr>
                  <w:p>
                    <w:pPr>
                      <w:rPr>
                        <w:color w:val="FFFFFF"/>
                        <w:sz w:val="20"/>
                      </w:rPr>
                    </w:pPr>
                    <w:r>
                      <w:rPr>
                        <w:sz w:val="20"/>
                      </w:rPr>
                      <w:t>Rezultato</w:t>
                    </w:r>
                  </w:p>
                </w:tc>
                <w:tc>
                  <w:tcPr>
                    <w:tcW w:w="2693" w:type="dxa"/>
                    <w:shd w:val="clear" w:color="auto" w:fill="FFFFFF" w:themeFill="background1"/>
                  </w:tcPr>
                  <w:p>
                    <w:pPr>
                      <w:rPr>
                        <w:color w:val="FFFFFF"/>
                        <w:sz w:val="20"/>
                      </w:rPr>
                    </w:pPr>
                    <w:r>
                      <w:rPr>
                        <w:sz w:val="20"/>
                      </w:rPr>
                      <w:t xml:space="preserve">Aktyviojo gydymo sveikatos priežiūros įstaigose nustatytų invazinių </w:t>
                    </w:r>
                    <w:r>
                      <w:rPr>
                        <w:i/>
                        <w:iCs/>
                        <w:sz w:val="20"/>
                      </w:rPr>
                      <w:t>Klebsiella pneumoniae</w:t>
                    </w:r>
                    <w:r>
                      <w:rPr>
                        <w:sz w:val="20"/>
                      </w:rPr>
                      <w:t xml:space="preserve">, atsparių  trečios kartos cefalosporinams, dalis (EARS-Net duomenimis)</w:t>
                    </w:r>
                    <w:r>
                      <w:rPr>
                        <w:sz w:val="20"/>
                        <w:vertAlign w:val="superscript"/>
                      </w:rPr>
                      <w:t xml:space="preserve"> 1</w:t>
                    </w:r>
                  </w:p>
                </w:tc>
                <w:tc>
                  <w:tcPr>
                    <w:tcW w:w="1134" w:type="dxa"/>
                    <w:shd w:val="clear" w:color="auto" w:fill="FFFFFF" w:themeFill="background1"/>
                  </w:tcPr>
                  <w:p>
                    <w:pPr>
                      <w:jc w:val="center"/>
                      <w:rPr>
                        <w:color w:val="FFFFFF"/>
                        <w:sz w:val="20"/>
                      </w:rPr>
                    </w:pPr>
                    <w:r>
                      <w:rPr>
                        <w:sz w:val="20"/>
                      </w:rPr>
                      <w:t>Proc.</w:t>
                    </w:r>
                  </w:p>
                </w:tc>
                <w:tc>
                  <w:tcPr>
                    <w:tcW w:w="1134" w:type="dxa"/>
                    <w:shd w:val="clear" w:color="auto" w:fill="FFFFFF" w:themeFill="background1"/>
                  </w:tcPr>
                  <w:p>
                    <w:pPr>
                      <w:jc w:val="center"/>
                      <w:rPr>
                        <w:sz w:val="20"/>
                      </w:rPr>
                    </w:pPr>
                    <w:r>
                      <w:rPr>
                        <w:sz w:val="20"/>
                      </w:rPr>
                      <w:t>55,2</w:t>
                    </w:r>
                  </w:p>
                  <w:p>
                    <w:pPr>
                      <w:jc w:val="center"/>
                      <w:rPr>
                        <w:color w:val="FFFFFF"/>
                        <w:sz w:val="20"/>
                      </w:rPr>
                    </w:pPr>
                    <w:r>
                      <w:rPr>
                        <w:sz w:val="20"/>
                      </w:rPr>
                      <w:t>(2019 m.)</w:t>
                    </w:r>
                  </w:p>
                </w:tc>
                <w:tc>
                  <w:tcPr>
                    <w:tcW w:w="992" w:type="dxa"/>
                    <w:shd w:val="clear" w:color="auto" w:fill="FFFFFF" w:themeFill="background1"/>
                  </w:tcPr>
                  <w:p>
                    <w:pPr>
                      <w:jc w:val="center"/>
                      <w:rPr>
                        <w:sz w:val="20"/>
                      </w:rPr>
                    </w:pPr>
                    <w:r>
                      <w:rPr>
                        <w:sz w:val="20"/>
                      </w:rPr>
                      <w:t>36</w:t>
                    </w:r>
                  </w:p>
                  <w:p>
                    <w:pPr>
                      <w:jc w:val="center"/>
                      <w:rPr>
                        <w:color w:val="FFFFFF"/>
                        <w:sz w:val="20"/>
                      </w:rPr>
                    </w:pPr>
                  </w:p>
                </w:tc>
                <w:tc>
                  <w:tcPr>
                    <w:tcW w:w="1135" w:type="dxa"/>
                    <w:shd w:val="clear" w:color="auto" w:fill="FFFFFF" w:themeFill="background1"/>
                  </w:tcPr>
                  <w:p>
                    <w:pPr>
                      <w:jc w:val="center"/>
                      <w:rPr>
                        <w:sz w:val="20"/>
                        <w:lang w:val="en-US"/>
                      </w:rPr>
                    </w:pPr>
                    <w:r>
                      <w:rPr>
                        <w:sz w:val="20"/>
                        <w:lang w:val="en-US"/>
                      </w:rPr>
                      <w:t>30</w:t>
                    </w:r>
                  </w:p>
                  <w:p>
                    <w:pPr>
                      <w:jc w:val="center"/>
                      <w:rPr>
                        <w:color w:val="FFFFFF"/>
                        <w:sz w:val="20"/>
                      </w:rPr>
                    </w:pPr>
                  </w:p>
                </w:tc>
                <w:tc>
                  <w:tcPr>
                    <w:tcW w:w="1417" w:type="dxa"/>
                    <w:shd w:val="clear" w:color="auto" w:fill="FFFFFF" w:themeFill="background1"/>
                  </w:tcPr>
                  <w:p>
                    <w:pPr>
                      <w:jc w:val="center"/>
                      <w:rPr>
                        <w:bCs/>
                        <w:sz w:val="20"/>
                      </w:rPr>
                    </w:pPr>
                    <w:r>
                      <w:rPr>
                        <w:bCs/>
                        <w:sz w:val="20"/>
                      </w:rPr>
                      <w:t>EGADP;</w:t>
                    </w:r>
                  </w:p>
                  <w:p>
                    <w:pPr>
                      <w:jc w:val="center"/>
                      <w:rPr>
                        <w:color w:val="FFFFFF"/>
                        <w:sz w:val="20"/>
                      </w:rPr>
                    </w:pPr>
                    <w:r>
                      <w:rPr>
                        <w:bCs/>
                        <w:sz w:val="20"/>
                      </w:rPr>
                      <w:t>2021</w:t>
                    </w:r>
                    <w:r>
                      <w:rPr>
                        <w:color w:val="000000"/>
                        <w:szCs w:val="24"/>
                      </w:rPr>
                      <w:t>–</w:t>
                    </w:r>
                    <w:r>
                      <w:rPr>
                        <w:bCs/>
                        <w:sz w:val="20"/>
                      </w:rPr>
                      <w:t>2027 m. IP (ERPF)</w:t>
                    </w:r>
                  </w:p>
                </w:tc>
              </w:tr>
              <w:tr>
                <w:trPr>
                  <w:trHeight w:val="330"/>
                </w:trPr>
                <w:tc>
                  <w:tcPr>
                    <w:tcW w:w="1418" w:type="dxa"/>
                    <w:shd w:val="clear" w:color="auto" w:fill="FFFFFF" w:themeFill="background1"/>
                  </w:tcPr>
                  <w:p>
                    <w:pPr>
                      <w:rPr>
                        <w:sz w:val="20"/>
                      </w:rPr>
                    </w:pPr>
                    <w:r>
                      <w:rPr>
                        <w:sz w:val="20"/>
                      </w:rPr>
                      <w:t>R-11-002-02-11-01-25</w:t>
                    </w:r>
                  </w:p>
                </w:tc>
                <w:tc>
                  <w:tcPr>
                    <w:tcW w:w="1134" w:type="dxa"/>
                    <w:shd w:val="clear" w:color="auto" w:fill="FFFFFF" w:themeFill="background1"/>
                  </w:tcPr>
                  <w:p>
                    <w:pPr>
                      <w:rPr>
                        <w:iCs/>
                        <w:sz w:val="20"/>
                      </w:rPr>
                    </w:pPr>
                    <w:r>
                      <w:rPr>
                        <w:iCs/>
                        <w:sz w:val="20"/>
                      </w:rPr>
                      <w:t xml:space="preserve">Rezultato </w:t>
                    </w:r>
                  </w:p>
                </w:tc>
                <w:tc>
                  <w:tcPr>
                    <w:tcW w:w="2693" w:type="dxa"/>
                    <w:shd w:val="clear" w:color="auto" w:fill="FFFFFF" w:themeFill="background1"/>
                  </w:tcPr>
                  <w:p>
                    <w:pPr>
                      <w:rPr>
                        <w:sz w:val="20"/>
                      </w:rPr>
                    </w:pPr>
                    <w:r>
                      <w:rPr>
                        <w:sz w:val="20"/>
                      </w:rPr>
                      <w:t xml:space="preserve">Šalies gyventojų, kuriems teikiamos su sveikata susijusios elektroninės paslaugos, dalis </w:t>
                    </w:r>
                  </w:p>
                </w:tc>
                <w:tc>
                  <w:tcPr>
                    <w:tcW w:w="1134" w:type="dxa"/>
                    <w:shd w:val="clear" w:color="auto" w:fill="FFFFFF" w:themeFill="background1"/>
                  </w:tcPr>
                  <w:p>
                    <w:pPr>
                      <w:jc w:val="center"/>
                      <w:rPr>
                        <w:sz w:val="20"/>
                      </w:rPr>
                    </w:pPr>
                    <w:r>
                      <w:rPr>
                        <w:sz w:val="20"/>
                      </w:rPr>
                      <w:t>Proc.</w:t>
                    </w:r>
                  </w:p>
                </w:tc>
                <w:tc>
                  <w:tcPr>
                    <w:tcW w:w="1134" w:type="dxa"/>
                    <w:shd w:val="clear" w:color="auto" w:fill="FFFFFF" w:themeFill="background1"/>
                  </w:tcPr>
                  <w:p>
                    <w:pPr>
                      <w:jc w:val="center"/>
                      <w:rPr>
                        <w:sz w:val="20"/>
                      </w:rPr>
                    </w:pPr>
                    <w:r>
                      <w:rPr>
                        <w:sz w:val="20"/>
                      </w:rPr>
                      <w:t>30</w:t>
                    </w:r>
                  </w:p>
                  <w:p>
                    <w:pPr>
                      <w:jc w:val="center"/>
                      <w:rPr>
                        <w:sz w:val="20"/>
                      </w:rPr>
                    </w:pPr>
                    <w:r>
                      <w:rPr>
                        <w:sz w:val="20"/>
                      </w:rPr>
                      <w:t>(2021 m.)</w:t>
                    </w:r>
                  </w:p>
                  <w:p>
                    <w:pPr>
                      <w:jc w:val="center"/>
                      <w:rPr>
                        <w:sz w:val="20"/>
                      </w:rPr>
                    </w:pPr>
                  </w:p>
                </w:tc>
                <w:tc>
                  <w:tcPr>
                    <w:tcW w:w="992" w:type="dxa"/>
                    <w:shd w:val="clear" w:color="auto" w:fill="FFFFFF" w:themeFill="background1"/>
                  </w:tcPr>
                  <w:p>
                    <w:pPr>
                      <w:jc w:val="center"/>
                      <w:rPr>
                        <w:sz w:val="20"/>
                      </w:rPr>
                    </w:pPr>
                    <w:r>
                      <w:rPr>
                        <w:sz w:val="20"/>
                      </w:rPr>
                      <w:t>60</w:t>
                    </w:r>
                  </w:p>
                  <w:p>
                    <w:pPr>
                      <w:jc w:val="center"/>
                      <w:rPr>
                        <w:sz w:val="20"/>
                      </w:rPr>
                    </w:pPr>
                    <w:r>
                      <w:rPr>
                        <w:sz w:val="20"/>
                      </w:rPr>
                      <w:t>(2025 m. IV ketv.)</w:t>
                    </w:r>
                  </w:p>
                  <w:p>
                    <w:pPr>
                      <w:jc w:val="center"/>
                      <w:rPr>
                        <w:sz w:val="20"/>
                      </w:rPr>
                    </w:pPr>
                  </w:p>
                </w:tc>
                <w:tc>
                  <w:tcPr>
                    <w:tcW w:w="1135" w:type="dxa"/>
                    <w:shd w:val="clear" w:color="auto" w:fill="FFFFFF" w:themeFill="background1"/>
                  </w:tcPr>
                  <w:p>
                    <w:pPr>
                      <w:jc w:val="center"/>
                      <w:rPr>
                        <w:sz w:val="20"/>
                      </w:rPr>
                    </w:pPr>
                    <w:r>
                      <w:rPr>
                        <w:sz w:val="20"/>
                      </w:rPr>
                      <w:t>98</w:t>
                    </w:r>
                  </w:p>
                  <w:p>
                    <w:pPr>
                      <w:jc w:val="center"/>
                      <w:rPr>
                        <w:sz w:val="20"/>
                      </w:rPr>
                    </w:pPr>
                  </w:p>
                </w:tc>
                <w:tc>
                  <w:tcPr>
                    <w:tcW w:w="1417" w:type="dxa"/>
                    <w:shd w:val="clear" w:color="auto" w:fill="FFFFFF" w:themeFill="background1"/>
                  </w:tcPr>
                  <w:p>
                    <w:pPr>
                      <w:jc w:val="center"/>
                      <w:rPr>
                        <w:bCs/>
                        <w:sz w:val="20"/>
                      </w:rPr>
                    </w:pPr>
                    <w:r>
                      <w:rPr>
                        <w:bCs/>
                        <w:sz w:val="20"/>
                      </w:rPr>
                      <w:t>EGADP</w:t>
                    </w:r>
                  </w:p>
                </w:tc>
              </w:tr>
              <w:tr>
                <w:trPr>
                  <w:trHeight w:val="330"/>
                </w:trPr>
                <w:tc>
                  <w:tcPr>
                    <w:tcW w:w="1418" w:type="dxa"/>
                    <w:shd w:val="clear" w:color="auto" w:fill="FFFFFF" w:themeFill="background1"/>
                  </w:tcPr>
                  <w:p>
                    <w:pPr>
                      <w:rPr>
                        <w:color w:val="FFFFFF"/>
                        <w:sz w:val="20"/>
                      </w:rPr>
                    </w:pPr>
                    <w:r>
                      <w:rPr>
                        <w:sz w:val="20"/>
                      </w:rPr>
                      <w:t>R-11-002-02-11-01-26</w:t>
                    </w:r>
                  </w:p>
                </w:tc>
                <w:tc>
                  <w:tcPr>
                    <w:tcW w:w="1134" w:type="dxa"/>
                    <w:shd w:val="clear" w:color="auto" w:fill="FFFFFF" w:themeFill="background1"/>
                  </w:tcPr>
                  <w:p>
                    <w:pPr>
                      <w:rPr>
                        <w:color w:val="FFFFFF"/>
                        <w:sz w:val="20"/>
                      </w:rPr>
                    </w:pPr>
                    <w:r>
                      <w:rPr>
                        <w:sz w:val="20"/>
                      </w:rPr>
                      <w:t>Rezultato</w:t>
                    </w:r>
                  </w:p>
                </w:tc>
                <w:tc>
                  <w:tcPr>
                    <w:tcW w:w="2693" w:type="dxa"/>
                    <w:shd w:val="clear" w:color="auto" w:fill="FFFFFF" w:themeFill="background1"/>
                  </w:tcPr>
                  <w:p>
                    <w:pPr>
                      <w:rPr>
                        <w:color w:val="FFFFFF"/>
                        <w:sz w:val="20"/>
                      </w:rPr>
                    </w:pPr>
                    <w:r>
                      <w:rPr>
                        <w:sz w:val="20"/>
                      </w:rPr>
                      <w:t xml:space="preserve">Asmenų, teigusių, kad pagerėjo jų gyvenimo kokybė po dalyvavimo veiklose, skirtose savarankiškam lėtinės ligos valdymui, dalis </w:t>
                    </w:r>
                  </w:p>
                </w:tc>
                <w:tc>
                  <w:tcPr>
                    <w:tcW w:w="1134" w:type="dxa"/>
                    <w:shd w:val="clear" w:color="auto" w:fill="FFFFFF" w:themeFill="background1"/>
                  </w:tcPr>
                  <w:p>
                    <w:pPr>
                      <w:jc w:val="center"/>
                      <w:rPr>
                        <w:color w:val="FFFFFF"/>
                        <w:sz w:val="20"/>
                      </w:rPr>
                    </w:pPr>
                    <w:r>
                      <w:rPr>
                        <w:sz w:val="20"/>
                      </w:rPr>
                      <w:t>Proc.</w:t>
                    </w:r>
                  </w:p>
                </w:tc>
                <w:tc>
                  <w:tcPr>
                    <w:tcW w:w="1134" w:type="dxa"/>
                    <w:shd w:val="clear" w:color="auto" w:fill="FFFFFF" w:themeFill="background1"/>
                  </w:tcPr>
                  <w:p>
                    <w:pPr>
                      <w:jc w:val="center"/>
                      <w:rPr>
                        <w:sz w:val="20"/>
                      </w:rPr>
                    </w:pPr>
                    <w:r>
                      <w:rPr>
                        <w:sz w:val="20"/>
                      </w:rPr>
                      <w:t>0</w:t>
                    </w:r>
                  </w:p>
                  <w:p>
                    <w:pPr>
                      <w:jc w:val="center"/>
                      <w:rPr>
                        <w:color w:val="FFFFFF"/>
                        <w:sz w:val="20"/>
                      </w:rPr>
                    </w:pPr>
                    <w:r>
                      <w:rPr>
                        <w:sz w:val="20"/>
                      </w:rPr>
                      <w:t>(2021 m.)</w:t>
                    </w:r>
                  </w:p>
                </w:tc>
                <w:tc>
                  <w:tcPr>
                    <w:tcW w:w="992" w:type="dxa"/>
                    <w:shd w:val="clear" w:color="auto" w:fill="FFFFFF" w:themeFill="background1"/>
                  </w:tcPr>
                  <w:p>
                    <w:pPr>
                      <w:jc w:val="center"/>
                      <w:rPr>
                        <w:color w:val="FFFFFF"/>
                        <w:sz w:val="20"/>
                      </w:rPr>
                    </w:pPr>
                    <w:r>
                      <w:rPr>
                        <w:sz w:val="20"/>
                      </w:rPr>
                      <w:t>n/d</w:t>
                    </w:r>
                  </w:p>
                </w:tc>
                <w:tc>
                  <w:tcPr>
                    <w:tcW w:w="1135" w:type="dxa"/>
                    <w:shd w:val="clear" w:color="auto" w:fill="FFFFFF" w:themeFill="background1"/>
                  </w:tcPr>
                  <w:p>
                    <w:pPr>
                      <w:jc w:val="center"/>
                      <w:rPr>
                        <w:sz w:val="20"/>
                        <w:lang w:val="en-US"/>
                      </w:rPr>
                    </w:pPr>
                    <w:r>
                      <w:rPr>
                        <w:sz w:val="20"/>
                        <w:lang w:val="en-US"/>
                      </w:rPr>
                      <w:t>70</w:t>
                    </w:r>
                  </w:p>
                  <w:p>
                    <w:pPr>
                      <w:jc w:val="center"/>
                      <w:rPr>
                        <w:color w:val="FFFFFF"/>
                        <w:sz w:val="20"/>
                      </w:rPr>
                    </w:pPr>
                    <w:r>
                      <w:rPr>
                        <w:sz w:val="20"/>
                        <w:lang w:val="en-US"/>
                      </w:rPr>
                      <w:t>(2029 m.)</w:t>
                    </w:r>
                  </w:p>
                </w:tc>
                <w:tc>
                  <w:tcPr>
                    <w:tcW w:w="1417" w:type="dxa"/>
                    <w:shd w:val="clear" w:color="auto" w:fill="FFFFFF" w:themeFill="background1"/>
                  </w:tcPr>
                  <w:p>
                    <w:pPr>
                      <w:jc w:val="center"/>
                      <w:rPr>
                        <w:color w:val="FFFFFF"/>
                        <w:sz w:val="20"/>
                      </w:rPr>
                    </w:pPr>
                    <w:r>
                      <w:rPr>
                        <w:bCs/>
                        <w:sz w:val="20"/>
                      </w:rPr>
                      <w:t>2021</w:t>
                    </w:r>
                    <w:r>
                      <w:rPr>
                        <w:color w:val="000000"/>
                        <w:szCs w:val="24"/>
                      </w:rPr>
                      <w:t>–</w:t>
                    </w:r>
                    <w:r>
                      <w:rPr>
                        <w:bCs/>
                        <w:sz w:val="20"/>
                      </w:rPr>
                      <w:t>2027 m. IP (ESF+)</w:t>
                    </w:r>
                  </w:p>
                </w:tc>
              </w:tr>
              <w:tr>
                <w:trPr>
                  <w:trHeight w:val="330"/>
                </w:trPr>
                <w:tc>
                  <w:tcPr>
                    <w:tcW w:w="1418" w:type="dxa"/>
                    <w:shd w:val="clear" w:color="auto" w:fill="FFFFFF" w:themeFill="background1"/>
                  </w:tcPr>
                  <w:p>
                    <w:pPr>
                      <w:rPr>
                        <w:sz w:val="20"/>
                      </w:rPr>
                    </w:pPr>
                    <w:r>
                      <w:rPr>
                        <w:sz w:val="20"/>
                      </w:rPr>
                      <w:t>R-11-002-02-11-01-27</w:t>
                    </w:r>
                  </w:p>
                </w:tc>
                <w:tc>
                  <w:tcPr>
                    <w:tcW w:w="1134" w:type="dxa"/>
                    <w:shd w:val="clear" w:color="auto" w:fill="FFFFFF" w:themeFill="background1"/>
                  </w:tcPr>
                  <w:p>
                    <w:pPr>
                      <w:rPr>
                        <w:iCs/>
                        <w:sz w:val="20"/>
                      </w:rPr>
                    </w:pPr>
                    <w:r>
                      <w:rPr>
                        <w:sz w:val="20"/>
                      </w:rPr>
                      <w:t>Rezultato</w:t>
                    </w:r>
                  </w:p>
                </w:tc>
                <w:tc>
                  <w:tcPr>
                    <w:tcW w:w="2693" w:type="dxa"/>
                    <w:shd w:val="clear" w:color="auto" w:fill="FFFFFF" w:themeFill="background1"/>
                  </w:tcPr>
                  <w:p>
                    <w:pPr>
                      <w:rPr>
                        <w:sz w:val="20"/>
                      </w:rPr>
                    </w:pPr>
                    <w:r>
                      <w:rPr>
                        <w:sz w:val="20"/>
                      </w:rPr>
                      <w:t xml:space="preserve">Pacientų pasitenkinimas gautomis paslaugomis </w:t>
                    </w:r>
                  </w:p>
                </w:tc>
                <w:tc>
                  <w:tcPr>
                    <w:tcW w:w="1134" w:type="dxa"/>
                    <w:shd w:val="clear" w:color="auto" w:fill="FFFFFF" w:themeFill="background1"/>
                  </w:tcPr>
                  <w:p>
                    <w:pPr>
                      <w:jc w:val="center"/>
                      <w:rPr>
                        <w:sz w:val="20"/>
                      </w:rPr>
                    </w:pPr>
                    <w:r>
                      <w:rPr>
                        <w:sz w:val="20"/>
                      </w:rPr>
                      <w:t>Proc.</w:t>
                    </w:r>
                  </w:p>
                </w:tc>
                <w:tc>
                  <w:tcPr>
                    <w:tcW w:w="1134" w:type="dxa"/>
                    <w:shd w:val="clear" w:color="auto" w:fill="FFFFFF" w:themeFill="background1"/>
                  </w:tcPr>
                  <w:p>
                    <w:pPr>
                      <w:jc w:val="center"/>
                      <w:rPr>
                        <w:sz w:val="20"/>
                      </w:rPr>
                    </w:pPr>
                    <w:r>
                      <w:rPr>
                        <w:sz w:val="20"/>
                      </w:rPr>
                      <w:t>56</w:t>
                    </w:r>
                  </w:p>
                  <w:p>
                    <w:pPr>
                      <w:jc w:val="center"/>
                      <w:rPr>
                        <w:sz w:val="20"/>
                      </w:rPr>
                    </w:pPr>
                    <w:r>
                      <w:rPr>
                        <w:sz w:val="20"/>
                      </w:rPr>
                      <w:t>(2020 m.)</w:t>
                    </w:r>
                  </w:p>
                </w:tc>
                <w:tc>
                  <w:tcPr>
                    <w:tcW w:w="992" w:type="dxa"/>
                    <w:shd w:val="clear" w:color="auto" w:fill="FFFFFF" w:themeFill="background1"/>
                  </w:tcPr>
                  <w:p>
                    <w:pPr>
                      <w:jc w:val="center"/>
                      <w:rPr>
                        <w:sz w:val="20"/>
                      </w:rPr>
                    </w:pPr>
                    <w:r>
                      <w:rPr>
                        <w:sz w:val="20"/>
                      </w:rPr>
                      <w:t>n/d</w:t>
                    </w:r>
                  </w:p>
                </w:tc>
                <w:tc>
                  <w:tcPr>
                    <w:tcW w:w="1135" w:type="dxa"/>
                    <w:shd w:val="clear" w:color="auto" w:fill="FFFFFF" w:themeFill="background1"/>
                  </w:tcPr>
                  <w:p>
                    <w:pPr>
                      <w:jc w:val="center"/>
                      <w:rPr>
                        <w:sz w:val="20"/>
                        <w:lang w:val="en-US"/>
                      </w:rPr>
                    </w:pPr>
                    <w:r>
                      <w:rPr>
                        <w:sz w:val="20"/>
                        <w:lang w:val="en-US"/>
                      </w:rPr>
                      <w:t>70</w:t>
                    </w:r>
                  </w:p>
                  <w:p>
                    <w:pPr>
                      <w:jc w:val="center"/>
                      <w:rPr>
                        <w:sz w:val="20"/>
                      </w:rPr>
                    </w:pPr>
                    <w:r>
                      <w:rPr>
                        <w:sz w:val="20"/>
                        <w:lang w:val="en-US"/>
                      </w:rPr>
                      <w:t>(2029 m.)</w:t>
                    </w:r>
                  </w:p>
                </w:tc>
                <w:tc>
                  <w:tcPr>
                    <w:tcW w:w="1417" w:type="dxa"/>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418" w:type="dxa"/>
                    <w:shd w:val="clear" w:color="auto" w:fill="FFFFFF" w:themeFill="background1"/>
                  </w:tcPr>
                  <w:p>
                    <w:pPr>
                      <w:rPr>
                        <w:sz w:val="20"/>
                      </w:rPr>
                    </w:pPr>
                    <w:r>
                      <w:rPr>
                        <w:sz w:val="20"/>
                      </w:rPr>
                      <w:t>R-11-002-02-11-01-28</w:t>
                    </w:r>
                  </w:p>
                </w:tc>
                <w:tc>
                  <w:tcPr>
                    <w:tcW w:w="1134" w:type="dxa"/>
                    <w:shd w:val="clear" w:color="auto" w:fill="FFFFFF" w:themeFill="background1"/>
                  </w:tcPr>
                  <w:p>
                    <w:pPr>
                      <w:rPr>
                        <w:iCs/>
                        <w:sz w:val="20"/>
                      </w:rPr>
                    </w:pPr>
                    <w:r>
                      <w:rPr>
                        <w:sz w:val="20"/>
                      </w:rPr>
                      <w:t>Rezultato</w:t>
                    </w:r>
                  </w:p>
                </w:tc>
                <w:tc>
                  <w:tcPr>
                    <w:tcW w:w="2693" w:type="dxa"/>
                    <w:shd w:val="clear" w:color="auto" w:fill="FFFFFF" w:themeFill="background1"/>
                  </w:tcPr>
                  <w:p>
                    <w:pPr>
                      <w:rPr>
                        <w:sz w:val="20"/>
                      </w:rPr>
                    </w:pPr>
                    <w:r>
                      <w:rPr>
                        <w:sz w:val="20"/>
                      </w:rPr>
                      <w:t xml:space="preserve">Naujos arba modernizuotos sveikatos priežiūros infrastruktūros naudotojų skaičius per metus </w:t>
                    </w:r>
                  </w:p>
                </w:tc>
                <w:tc>
                  <w:tcPr>
                    <w:tcW w:w="1134" w:type="dxa"/>
                    <w:shd w:val="clear" w:color="auto" w:fill="FFFFFF" w:themeFill="background1"/>
                  </w:tcPr>
                  <w:p>
                    <w:pPr>
                      <w:jc w:val="center"/>
                      <w:rPr>
                        <w:sz w:val="20"/>
                      </w:rPr>
                    </w:pPr>
                    <w:r>
                      <w:rPr>
                        <w:sz w:val="20"/>
                      </w:rPr>
                      <w:t>Naudotojai per metus</w:t>
                    </w:r>
                  </w:p>
                </w:tc>
                <w:tc>
                  <w:tcPr>
                    <w:tcW w:w="1134" w:type="dxa"/>
                    <w:shd w:val="clear" w:color="auto" w:fill="FFFFFF" w:themeFill="background1"/>
                  </w:tcPr>
                  <w:p>
                    <w:pPr>
                      <w:jc w:val="center"/>
                      <w:rPr>
                        <w:sz w:val="20"/>
                      </w:rPr>
                    </w:pPr>
                    <w:r>
                      <w:rPr>
                        <w:sz w:val="20"/>
                      </w:rPr>
                      <w:t>1 801 000</w:t>
                    </w:r>
                  </w:p>
                  <w:p>
                    <w:pPr>
                      <w:jc w:val="center"/>
                      <w:rPr>
                        <w:sz w:val="20"/>
                      </w:rPr>
                    </w:pPr>
                    <w:r>
                      <w:rPr>
                        <w:sz w:val="20"/>
                      </w:rPr>
                      <w:t>(2021 m.)</w:t>
                    </w:r>
                  </w:p>
                </w:tc>
                <w:tc>
                  <w:tcPr>
                    <w:tcW w:w="992" w:type="dxa"/>
                    <w:shd w:val="clear" w:color="auto" w:fill="FFFFFF" w:themeFill="background1"/>
                  </w:tcPr>
                  <w:p>
                    <w:pPr>
                      <w:jc w:val="center"/>
                      <w:rPr>
                        <w:sz w:val="20"/>
                      </w:rPr>
                    </w:pPr>
                    <w:r>
                      <w:rPr>
                        <w:sz w:val="20"/>
                      </w:rPr>
                      <w:t>n/d</w:t>
                    </w:r>
                  </w:p>
                </w:tc>
                <w:tc>
                  <w:tcPr>
                    <w:tcW w:w="1135" w:type="dxa"/>
                    <w:shd w:val="clear" w:color="auto" w:fill="FFFFFF" w:themeFill="background1"/>
                  </w:tcPr>
                  <w:p>
                    <w:pPr>
                      <w:jc w:val="center"/>
                      <w:rPr>
                        <w:sz w:val="20"/>
                        <w:lang w:val="en-US"/>
                      </w:rPr>
                    </w:pPr>
                    <w:r>
                      <w:rPr>
                        <w:sz w:val="20"/>
                        <w:lang w:val="en-US"/>
                      </w:rPr>
                      <w:t>1 818 000</w:t>
                    </w:r>
                  </w:p>
                  <w:p>
                    <w:pPr>
                      <w:jc w:val="center"/>
                      <w:rPr>
                        <w:sz w:val="20"/>
                      </w:rPr>
                    </w:pPr>
                    <w:r>
                      <w:rPr>
                        <w:sz w:val="20"/>
                        <w:lang w:val="en-US"/>
                      </w:rPr>
                      <w:t>(2029 m.)</w:t>
                    </w:r>
                  </w:p>
                </w:tc>
                <w:tc>
                  <w:tcPr>
                    <w:tcW w:w="1417" w:type="dxa"/>
                    <w:shd w:val="clear" w:color="auto" w:fill="FFFFFF" w:themeFill="background1"/>
                  </w:tcPr>
                  <w:p>
                    <w:pPr>
                      <w:jc w:val="center"/>
                      <w:rPr>
                        <w:bCs/>
                        <w:sz w:val="20"/>
                      </w:rPr>
                    </w:pPr>
                    <w:r>
                      <w:rPr>
                        <w:bCs/>
                        <w:sz w:val="20"/>
                      </w:rPr>
                      <w:t>2021</w:t>
                    </w:r>
                    <w:r>
                      <w:rPr>
                        <w:color w:val="000000"/>
                        <w:szCs w:val="24"/>
                      </w:rPr>
                      <w:t>–</w:t>
                    </w:r>
                    <w:r>
                      <w:rPr>
                        <w:bCs/>
                        <w:sz w:val="20"/>
                      </w:rPr>
                      <w:t xml:space="preserve">2027 m. IP (ERPF) </w:t>
                    </w:r>
                  </w:p>
                </w:tc>
              </w:tr>
              <w:tr>
                <w:trPr>
                  <w:trHeight w:val="330"/>
                </w:trPr>
                <w:tc>
                  <w:tcPr>
                    <w:tcW w:w="1418" w:type="dxa"/>
                    <w:shd w:val="clear" w:color="auto" w:fill="FFFFFF" w:themeFill="background1"/>
                  </w:tcPr>
                  <w:p>
                    <w:pPr>
                      <w:rPr>
                        <w:color w:val="FFFFFF"/>
                        <w:sz w:val="20"/>
                      </w:rPr>
                    </w:pPr>
                    <w:r>
                      <w:rPr>
                        <w:sz w:val="20"/>
                      </w:rPr>
                      <w:t>R-11-002-02-11-01-29</w:t>
                    </w:r>
                  </w:p>
                </w:tc>
                <w:tc>
                  <w:tcPr>
                    <w:tcW w:w="1134" w:type="dxa"/>
                    <w:shd w:val="clear" w:color="auto" w:fill="FFFFFF" w:themeFill="background1"/>
                  </w:tcPr>
                  <w:p>
                    <w:pPr>
                      <w:rPr>
                        <w:color w:val="FFFFFF"/>
                        <w:sz w:val="20"/>
                      </w:rPr>
                    </w:pPr>
                    <w:r>
                      <w:rPr>
                        <w:iCs/>
                        <w:sz w:val="20"/>
                      </w:rPr>
                      <w:t xml:space="preserve">Rezultato </w:t>
                    </w:r>
                  </w:p>
                </w:tc>
                <w:tc>
                  <w:tcPr>
                    <w:tcW w:w="2693" w:type="dxa"/>
                    <w:shd w:val="clear" w:color="auto" w:fill="FFFFFF" w:themeFill="background1"/>
                  </w:tcPr>
                  <w:p>
                    <w:pPr>
                      <w:rPr>
                        <w:color w:val="FFFFFF"/>
                        <w:sz w:val="20"/>
                      </w:rPr>
                    </w:pPr>
                    <w:r>
                      <w:rPr>
                        <w:sz w:val="20"/>
                      </w:rPr>
                      <w:t xml:space="preserve">Ambulatorinių ir stacionarinių asmens sveikatos priežiūros įstaigų, naudojančių e. sveikatos produktus, dalis </w:t>
                    </w:r>
                  </w:p>
                </w:tc>
                <w:tc>
                  <w:tcPr>
                    <w:tcW w:w="1134" w:type="dxa"/>
                    <w:shd w:val="clear" w:color="auto" w:fill="FFFFFF" w:themeFill="background1"/>
                  </w:tcPr>
                  <w:p>
                    <w:pPr>
                      <w:jc w:val="center"/>
                      <w:rPr>
                        <w:color w:val="FFFFFF"/>
                        <w:sz w:val="20"/>
                      </w:rPr>
                    </w:pPr>
                    <w:r>
                      <w:rPr>
                        <w:sz w:val="20"/>
                      </w:rPr>
                      <w:t>Proc.</w:t>
                    </w:r>
                  </w:p>
                </w:tc>
                <w:tc>
                  <w:tcPr>
                    <w:tcW w:w="1134" w:type="dxa"/>
                    <w:shd w:val="clear" w:color="auto" w:fill="FFFFFF" w:themeFill="background1"/>
                  </w:tcPr>
                  <w:p>
                    <w:pPr>
                      <w:jc w:val="center"/>
                      <w:rPr>
                        <w:color w:val="FFFFFF"/>
                        <w:sz w:val="20"/>
                      </w:rPr>
                    </w:pPr>
                    <w:r>
                      <w:rPr>
                        <w:sz w:val="20"/>
                      </w:rPr>
                      <w:t>50 (2021 m.)</w:t>
                    </w:r>
                  </w:p>
                </w:tc>
                <w:tc>
                  <w:tcPr>
                    <w:tcW w:w="992" w:type="dxa"/>
                    <w:shd w:val="clear" w:color="auto" w:fill="FFFFFF" w:themeFill="background1"/>
                  </w:tcPr>
                  <w:p>
                    <w:pPr>
                      <w:jc w:val="center"/>
                      <w:rPr>
                        <w:sz w:val="20"/>
                      </w:rPr>
                    </w:pPr>
                    <w:r>
                      <w:rPr>
                        <w:sz w:val="20"/>
                      </w:rPr>
                      <w:t>60</w:t>
                    </w:r>
                  </w:p>
                  <w:p>
                    <w:pPr>
                      <w:jc w:val="center"/>
                      <w:rPr>
                        <w:sz w:val="20"/>
                      </w:rPr>
                    </w:pPr>
                    <w:r>
                      <w:rPr>
                        <w:sz w:val="20"/>
                      </w:rPr>
                      <w:t>(2023 m. IV ketv.)</w:t>
                    </w:r>
                  </w:p>
                  <w:p>
                    <w:pPr>
                      <w:jc w:val="center"/>
                      <w:rPr>
                        <w:sz w:val="20"/>
                      </w:rPr>
                    </w:pPr>
                    <w:r>
                      <w:rPr>
                        <w:sz w:val="20"/>
                      </w:rPr>
                      <w:t>70</w:t>
                    </w:r>
                  </w:p>
                  <w:p>
                    <w:pPr>
                      <w:jc w:val="center"/>
                      <w:rPr>
                        <w:color w:val="FFFFFF"/>
                        <w:sz w:val="20"/>
                      </w:rPr>
                    </w:pPr>
                    <w:r>
                      <w:rPr>
                        <w:sz w:val="20"/>
                      </w:rPr>
                      <w:t>(2025 m. IV ketv.)</w:t>
                    </w:r>
                  </w:p>
                </w:tc>
                <w:tc>
                  <w:tcPr>
                    <w:tcW w:w="1135" w:type="dxa"/>
                    <w:shd w:val="clear" w:color="auto" w:fill="FFFFFF" w:themeFill="background1"/>
                  </w:tcPr>
                  <w:p>
                    <w:pPr>
                      <w:jc w:val="center"/>
                      <w:rPr>
                        <w:color w:val="FFFFFF"/>
                        <w:sz w:val="20"/>
                      </w:rPr>
                    </w:pPr>
                    <w:r>
                      <w:rPr>
                        <w:sz w:val="20"/>
                      </w:rPr>
                      <w:t>98</w:t>
                    </w:r>
                  </w:p>
                </w:tc>
                <w:tc>
                  <w:tcPr>
                    <w:tcW w:w="1417" w:type="dxa"/>
                    <w:shd w:val="clear" w:color="auto" w:fill="FFFFFF" w:themeFill="background1"/>
                  </w:tcPr>
                  <w:p>
                    <w:pPr>
                      <w:jc w:val="center"/>
                      <w:rPr>
                        <w:color w:val="FFFFFF"/>
                        <w:sz w:val="20"/>
                      </w:rPr>
                    </w:pPr>
                    <w:r>
                      <w:rPr>
                        <w:bCs/>
                        <w:sz w:val="20"/>
                      </w:rPr>
                      <w:t>EGADP</w:t>
                    </w:r>
                  </w:p>
                </w:tc>
              </w:tr>
              <w:tr>
                <w:trPr>
                  <w:trHeight w:val="330"/>
                </w:trPr>
                <w:tc>
                  <w:tcPr>
                    <w:tcW w:w="1418" w:type="dxa"/>
                    <w:shd w:val="clear" w:color="auto" w:fill="FFFFFF" w:themeFill="background1"/>
                  </w:tcPr>
                  <w:p>
                    <w:pPr>
                      <w:rPr>
                        <w:color w:val="FFFFFF"/>
                        <w:sz w:val="20"/>
                      </w:rPr>
                    </w:pPr>
                    <w:r>
                      <w:rPr>
                        <w:sz w:val="20"/>
                      </w:rPr>
                      <w:t>R-11-002-02-11-01-30</w:t>
                    </w:r>
                  </w:p>
                </w:tc>
                <w:tc>
                  <w:tcPr>
                    <w:tcW w:w="1134" w:type="dxa"/>
                    <w:shd w:val="clear" w:color="auto" w:fill="FFFFFF" w:themeFill="background1"/>
                  </w:tcPr>
                  <w:p>
                    <w:pPr>
                      <w:rPr>
                        <w:color w:val="FFFFFF"/>
                        <w:sz w:val="20"/>
                      </w:rPr>
                    </w:pPr>
                    <w:r>
                      <w:rPr>
                        <w:iCs/>
                        <w:sz w:val="20"/>
                      </w:rPr>
                      <w:t xml:space="preserve">Rezultato </w:t>
                    </w:r>
                  </w:p>
                </w:tc>
                <w:tc>
                  <w:tcPr>
                    <w:tcW w:w="2693" w:type="dxa"/>
                    <w:shd w:val="clear" w:color="auto" w:fill="FFFFFF" w:themeFill="background1"/>
                  </w:tcPr>
                  <w:p>
                    <w:pPr>
                      <w:rPr>
                        <w:color w:val="FFFFFF"/>
                        <w:sz w:val="20"/>
                      </w:rPr>
                    </w:pPr>
                    <w:r>
                      <w:rPr>
                        <w:sz w:val="20"/>
                      </w:rPr>
                      <w:t xml:space="preserve">Sveikatos priežiūros specialistų, kurių licencija įregistruota ir jos priežiūra vykdoma skaitmeniniu būdu, dalis </w:t>
                    </w:r>
                  </w:p>
                </w:tc>
                <w:tc>
                  <w:tcPr>
                    <w:tcW w:w="1134" w:type="dxa"/>
                    <w:shd w:val="clear" w:color="auto" w:fill="FFFFFF" w:themeFill="background1"/>
                  </w:tcPr>
                  <w:p>
                    <w:pPr>
                      <w:jc w:val="center"/>
                      <w:rPr>
                        <w:color w:val="FFFFFF"/>
                        <w:sz w:val="20"/>
                      </w:rPr>
                    </w:pPr>
                    <w:r>
                      <w:rPr>
                        <w:sz w:val="20"/>
                      </w:rPr>
                      <w:t>Proc.</w:t>
                    </w:r>
                  </w:p>
                </w:tc>
                <w:tc>
                  <w:tcPr>
                    <w:tcW w:w="1134" w:type="dxa"/>
                    <w:shd w:val="clear" w:color="auto" w:fill="FFFFFF" w:themeFill="background1"/>
                  </w:tcPr>
                  <w:p>
                    <w:pPr>
                      <w:jc w:val="center"/>
                      <w:rPr>
                        <w:sz w:val="20"/>
                      </w:rPr>
                    </w:pPr>
                    <w:r>
                      <w:rPr>
                        <w:sz w:val="20"/>
                      </w:rPr>
                      <w:t>0</w:t>
                    </w:r>
                  </w:p>
                  <w:p>
                    <w:pPr>
                      <w:jc w:val="center"/>
                      <w:rPr>
                        <w:color w:val="FFFFFF"/>
                        <w:sz w:val="20"/>
                      </w:rPr>
                    </w:pPr>
                    <w:r>
                      <w:rPr>
                        <w:sz w:val="20"/>
                      </w:rPr>
                      <w:t>(2021 m.)</w:t>
                    </w:r>
                  </w:p>
                </w:tc>
                <w:tc>
                  <w:tcPr>
                    <w:tcW w:w="992" w:type="dxa"/>
                    <w:shd w:val="clear" w:color="auto" w:fill="FFFFFF" w:themeFill="background1"/>
                  </w:tcPr>
                  <w:p>
                    <w:pPr>
                      <w:jc w:val="center"/>
                      <w:rPr>
                        <w:sz w:val="20"/>
                      </w:rPr>
                    </w:pPr>
                    <w:r>
                      <w:rPr>
                        <w:sz w:val="20"/>
                      </w:rPr>
                      <w:t>50</w:t>
                    </w:r>
                  </w:p>
                  <w:p>
                    <w:pPr>
                      <w:jc w:val="center"/>
                      <w:rPr>
                        <w:color w:val="FFFFFF"/>
                        <w:sz w:val="20"/>
                      </w:rPr>
                    </w:pPr>
                    <w:r>
                      <w:rPr>
                        <w:sz w:val="20"/>
                      </w:rPr>
                      <w:t>(2026 m. I ketv.)</w:t>
                    </w:r>
                  </w:p>
                </w:tc>
                <w:tc>
                  <w:tcPr>
                    <w:tcW w:w="1135" w:type="dxa"/>
                    <w:shd w:val="clear" w:color="auto" w:fill="FFFFFF" w:themeFill="background1"/>
                  </w:tcPr>
                  <w:p>
                    <w:pPr>
                      <w:jc w:val="center"/>
                      <w:rPr>
                        <w:sz w:val="20"/>
                      </w:rPr>
                    </w:pPr>
                    <w:r>
                      <w:rPr>
                        <w:sz w:val="20"/>
                      </w:rPr>
                      <w:t>90</w:t>
                    </w:r>
                  </w:p>
                  <w:p>
                    <w:pPr>
                      <w:jc w:val="center"/>
                      <w:rPr>
                        <w:color w:val="FFFFFF"/>
                        <w:sz w:val="20"/>
                      </w:rPr>
                    </w:pPr>
                  </w:p>
                </w:tc>
                <w:tc>
                  <w:tcPr>
                    <w:tcW w:w="1417" w:type="dxa"/>
                    <w:shd w:val="clear" w:color="auto" w:fill="FFFFFF" w:themeFill="background1"/>
                  </w:tcPr>
                  <w:p>
                    <w:pPr>
                      <w:jc w:val="center"/>
                      <w:rPr>
                        <w:color w:val="FFFFFF"/>
                        <w:sz w:val="20"/>
                      </w:rPr>
                    </w:pPr>
                    <w:r>
                      <w:rPr>
                        <w:bCs/>
                        <w:sz w:val="20"/>
                      </w:rPr>
                      <w:t>EGADP</w:t>
                    </w:r>
                  </w:p>
                </w:tc>
              </w:tr>
              <w:tr>
                <w:trPr>
                  <w:trHeight w:val="330"/>
                </w:trPr>
                <w:tc>
                  <w:tcPr>
                    <w:tcW w:w="1418" w:type="dxa"/>
                    <w:shd w:val="clear" w:color="auto" w:fill="FFFFFF" w:themeFill="background1"/>
                  </w:tcPr>
                  <w:p>
                    <w:pPr>
                      <w:rPr>
                        <w:color w:val="FFFFFF"/>
                        <w:sz w:val="20"/>
                      </w:rPr>
                    </w:pPr>
                    <w:r>
                      <w:rPr>
                        <w:sz w:val="20"/>
                      </w:rPr>
                      <w:t>P-11-002-02-11-01-31</w:t>
                    </w:r>
                  </w:p>
                </w:tc>
                <w:tc>
                  <w:tcPr>
                    <w:tcW w:w="1134" w:type="dxa"/>
                    <w:shd w:val="clear" w:color="auto" w:fill="FFFFFF" w:themeFill="background1"/>
                  </w:tcPr>
                  <w:p>
                    <w:pPr>
                      <w:rPr>
                        <w:color w:val="FFFFFF"/>
                        <w:sz w:val="20"/>
                      </w:rPr>
                    </w:pPr>
                    <w:r>
                      <w:rPr>
                        <w:sz w:val="20"/>
                      </w:rPr>
                      <w:t>Produkto</w:t>
                    </w:r>
                  </w:p>
                </w:tc>
                <w:tc>
                  <w:tcPr>
                    <w:tcW w:w="2693" w:type="dxa"/>
                    <w:shd w:val="clear" w:color="auto" w:fill="FFFFFF" w:themeFill="background1"/>
                  </w:tcPr>
                  <w:p>
                    <w:pPr>
                      <w:rPr>
                        <w:color w:val="FFFFFF"/>
                        <w:sz w:val="20"/>
                      </w:rPr>
                    </w:pPr>
                    <w:r>
                      <w:rPr>
                        <w:sz w:val="20"/>
                      </w:rPr>
                      <w:t>Naujos arba modernizuotos sveikatos priežiūros infrastruktūros talpumas</w:t>
                    </w:r>
                  </w:p>
                </w:tc>
                <w:tc>
                  <w:tcPr>
                    <w:tcW w:w="1134" w:type="dxa"/>
                    <w:shd w:val="clear" w:color="auto" w:fill="FFFFFF" w:themeFill="background1"/>
                  </w:tcPr>
                  <w:p>
                    <w:pPr>
                      <w:jc w:val="center"/>
                      <w:rPr>
                        <w:color w:val="FFFFFF"/>
                        <w:sz w:val="20"/>
                      </w:rPr>
                    </w:pPr>
                    <w:r>
                      <w:rPr>
                        <w:sz w:val="20"/>
                      </w:rPr>
                      <w:t>Asmenys per metus</w:t>
                    </w:r>
                  </w:p>
                </w:tc>
                <w:tc>
                  <w:tcPr>
                    <w:tcW w:w="1134" w:type="dxa"/>
                    <w:shd w:val="clear" w:color="auto" w:fill="FFFFFF" w:themeFill="background1"/>
                  </w:tcPr>
                  <w:p>
                    <w:pPr>
                      <w:jc w:val="center"/>
                      <w:rPr>
                        <w:sz w:val="20"/>
                      </w:rPr>
                    </w:pPr>
                    <w:r>
                      <w:rPr>
                        <w:sz w:val="20"/>
                      </w:rPr>
                      <w:t>0</w:t>
                    </w:r>
                  </w:p>
                  <w:p>
                    <w:pPr>
                      <w:jc w:val="center"/>
                      <w:rPr>
                        <w:color w:val="FFFFFF"/>
                        <w:sz w:val="20"/>
                      </w:rPr>
                    </w:pPr>
                  </w:p>
                </w:tc>
                <w:tc>
                  <w:tcPr>
                    <w:tcW w:w="992" w:type="dxa"/>
                    <w:shd w:val="clear" w:color="auto" w:fill="FFFFFF" w:themeFill="background1"/>
                  </w:tcPr>
                  <w:p>
                    <w:pPr>
                      <w:jc w:val="center"/>
                      <w:rPr>
                        <w:sz w:val="20"/>
                      </w:rPr>
                    </w:pPr>
                    <w:r>
                      <w:rPr>
                        <w:sz w:val="20"/>
                      </w:rPr>
                      <w:t>426 000</w:t>
                    </w:r>
                  </w:p>
                  <w:p>
                    <w:pPr>
                      <w:jc w:val="center"/>
                      <w:rPr>
                        <w:color w:val="FFFFFF"/>
                        <w:sz w:val="20"/>
                      </w:rPr>
                    </w:pPr>
                    <w:r>
                      <w:rPr>
                        <w:sz w:val="20"/>
                      </w:rPr>
                      <w:t>(2024 m.)</w:t>
                    </w:r>
                  </w:p>
                </w:tc>
                <w:tc>
                  <w:tcPr>
                    <w:tcW w:w="1135" w:type="dxa"/>
                    <w:shd w:val="clear" w:color="auto" w:fill="FFFFFF" w:themeFill="background1"/>
                  </w:tcPr>
                  <w:p>
                    <w:pPr>
                      <w:jc w:val="center"/>
                      <w:rPr>
                        <w:sz w:val="20"/>
                      </w:rPr>
                    </w:pPr>
                    <w:r>
                      <w:rPr>
                        <w:sz w:val="20"/>
                      </w:rPr>
                      <w:t>2 138 000</w:t>
                    </w:r>
                  </w:p>
                  <w:p>
                    <w:pPr>
                      <w:jc w:val="center"/>
                      <w:rPr>
                        <w:color w:val="FFFFFF"/>
                        <w:sz w:val="20"/>
                      </w:rPr>
                    </w:pPr>
                    <w:r>
                      <w:rPr>
                        <w:sz w:val="20"/>
                      </w:rPr>
                      <w:t>(2029 m.)</w:t>
                    </w:r>
                  </w:p>
                </w:tc>
                <w:tc>
                  <w:tcPr>
                    <w:tcW w:w="1417"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418" w:type="dxa"/>
                    <w:shd w:val="clear" w:color="auto" w:fill="FFFFFF" w:themeFill="background1"/>
                  </w:tcPr>
                  <w:p>
                    <w:pPr>
                      <w:rPr>
                        <w:color w:val="FFFFFF"/>
                        <w:sz w:val="20"/>
                      </w:rPr>
                    </w:pPr>
                    <w:r>
                      <w:rPr>
                        <w:sz w:val="20"/>
                      </w:rPr>
                      <w:t>P-11-002-02-11-01-32</w:t>
                    </w:r>
                  </w:p>
                </w:tc>
                <w:tc>
                  <w:tcPr>
                    <w:tcW w:w="1134" w:type="dxa"/>
                    <w:shd w:val="clear" w:color="auto" w:fill="FFFFFF" w:themeFill="background1"/>
                  </w:tcPr>
                  <w:p>
                    <w:pPr>
                      <w:rPr>
                        <w:color w:val="FFFFFF"/>
                        <w:sz w:val="20"/>
                      </w:rPr>
                    </w:pPr>
                    <w:r>
                      <w:rPr>
                        <w:sz w:val="20"/>
                      </w:rPr>
                      <w:t>Produkto</w:t>
                    </w:r>
                  </w:p>
                </w:tc>
                <w:tc>
                  <w:tcPr>
                    <w:tcW w:w="2693" w:type="dxa"/>
                    <w:shd w:val="clear" w:color="auto" w:fill="FFFFFF" w:themeFill="background1"/>
                  </w:tcPr>
                  <w:p>
                    <w:pPr>
                      <w:rPr>
                        <w:color w:val="FFFFFF"/>
                        <w:sz w:val="20"/>
                      </w:rPr>
                    </w:pPr>
                    <w:r>
                      <w:rPr>
                        <w:sz w:val="20"/>
                      </w:rPr>
                      <w:t>Greitosios medicinos pagalbos paslaugų infrastruktūros, kuriai skirta parama, pajėgumas</w:t>
                    </w:r>
                  </w:p>
                </w:tc>
                <w:tc>
                  <w:tcPr>
                    <w:tcW w:w="1134" w:type="dxa"/>
                    <w:shd w:val="clear" w:color="auto" w:fill="FFFFFF" w:themeFill="background1"/>
                  </w:tcPr>
                  <w:p>
                    <w:pPr>
                      <w:jc w:val="center"/>
                      <w:rPr>
                        <w:color w:val="FFFFFF"/>
                        <w:sz w:val="20"/>
                      </w:rPr>
                    </w:pPr>
                    <w:r>
                      <w:rPr>
                        <w:sz w:val="20"/>
                      </w:rPr>
                      <w:t>Asmenys per metus</w:t>
                    </w:r>
                  </w:p>
                </w:tc>
                <w:tc>
                  <w:tcPr>
                    <w:tcW w:w="1134" w:type="dxa"/>
                    <w:shd w:val="clear" w:color="auto" w:fill="FFFFFF" w:themeFill="background1"/>
                  </w:tcPr>
                  <w:p>
                    <w:pPr>
                      <w:jc w:val="center"/>
                      <w:rPr>
                        <w:color w:val="FFFFFF"/>
                        <w:sz w:val="20"/>
                      </w:rPr>
                    </w:pPr>
                    <w:r>
                      <w:rPr>
                        <w:sz w:val="20"/>
                      </w:rPr>
                      <w:t>0</w:t>
                    </w:r>
                  </w:p>
                </w:tc>
                <w:tc>
                  <w:tcPr>
                    <w:tcW w:w="992" w:type="dxa"/>
                    <w:shd w:val="clear" w:color="auto" w:fill="FFFFFF" w:themeFill="background1"/>
                  </w:tcPr>
                  <w:p>
                    <w:pPr>
                      <w:jc w:val="center"/>
                      <w:rPr>
                        <w:sz w:val="20"/>
                      </w:rPr>
                    </w:pPr>
                    <w:r>
                      <w:rPr>
                        <w:sz w:val="20"/>
                      </w:rPr>
                      <w:t>558 000</w:t>
                    </w:r>
                  </w:p>
                  <w:p>
                    <w:pPr>
                      <w:jc w:val="center"/>
                      <w:rPr>
                        <w:color w:val="FFFFFF"/>
                        <w:sz w:val="20"/>
                      </w:rPr>
                    </w:pPr>
                    <w:r>
                      <w:rPr>
                        <w:sz w:val="20"/>
                      </w:rPr>
                      <w:t>(2024 m.)</w:t>
                    </w:r>
                  </w:p>
                </w:tc>
                <w:tc>
                  <w:tcPr>
                    <w:tcW w:w="1135" w:type="dxa"/>
                    <w:shd w:val="clear" w:color="auto" w:fill="FFFFFF" w:themeFill="background1"/>
                  </w:tcPr>
                  <w:p>
                    <w:pPr>
                      <w:jc w:val="center"/>
                      <w:rPr>
                        <w:sz w:val="20"/>
                      </w:rPr>
                    </w:pPr>
                    <w:r>
                      <w:rPr>
                        <w:sz w:val="20"/>
                      </w:rPr>
                      <w:t>2 790 000</w:t>
                    </w:r>
                  </w:p>
                  <w:p>
                    <w:pPr>
                      <w:jc w:val="center"/>
                      <w:rPr>
                        <w:color w:val="FFFFFF"/>
                        <w:sz w:val="20"/>
                      </w:rPr>
                    </w:pPr>
                    <w:r>
                      <w:rPr>
                        <w:sz w:val="20"/>
                      </w:rPr>
                      <w:t>(2029 m.)</w:t>
                    </w:r>
                  </w:p>
                </w:tc>
                <w:tc>
                  <w:tcPr>
                    <w:tcW w:w="1417"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418" w:type="dxa"/>
                    <w:shd w:val="clear" w:color="auto" w:fill="FFFFFF" w:themeFill="background1"/>
                  </w:tcPr>
                  <w:p>
                    <w:pPr>
                      <w:rPr>
                        <w:sz w:val="20"/>
                      </w:rPr>
                    </w:pPr>
                    <w:r>
                      <w:rPr>
                        <w:sz w:val="20"/>
                      </w:rPr>
                      <w:t>R-11-002-02-11-01-33</w:t>
                    </w:r>
                  </w:p>
                </w:tc>
                <w:tc>
                  <w:tcPr>
                    <w:tcW w:w="1134" w:type="dxa"/>
                    <w:shd w:val="clear" w:color="auto" w:fill="FFFFFF" w:themeFill="background1"/>
                  </w:tcPr>
                  <w:p>
                    <w:pPr>
                      <w:rPr>
                        <w:sz w:val="20"/>
                      </w:rPr>
                    </w:pPr>
                    <w:r>
                      <w:rPr>
                        <w:iCs/>
                        <w:sz w:val="20"/>
                      </w:rPr>
                      <w:t>Rezultato</w:t>
                    </w:r>
                  </w:p>
                </w:tc>
                <w:tc>
                  <w:tcPr>
                    <w:tcW w:w="2693" w:type="dxa"/>
                    <w:shd w:val="clear" w:color="auto" w:fill="FFFFFF" w:themeFill="background1"/>
                  </w:tcPr>
                  <w:p>
                    <w:pPr>
                      <w:rPr>
                        <w:sz w:val="20"/>
                      </w:rPr>
                    </w:pPr>
                    <w:r>
                      <w:rPr>
                        <w:sz w:val="20"/>
                      </w:rPr>
                      <w:t>Naujos arba modernizuotos sveikatos priežiūros infrastruktūros talpumas</w:t>
                    </w:r>
                    <w:r>
                      <w:rPr>
                        <w:sz w:val="20"/>
                        <w:vertAlign w:val="superscript"/>
                      </w:rPr>
                      <w:t>2</w:t>
                    </w:r>
                  </w:p>
                </w:tc>
                <w:tc>
                  <w:tcPr>
                    <w:tcW w:w="1134" w:type="dxa"/>
                    <w:shd w:val="clear" w:color="auto" w:fill="FFFFFF" w:themeFill="background1"/>
                  </w:tcPr>
                  <w:p>
                    <w:pPr>
                      <w:jc w:val="center"/>
                      <w:rPr>
                        <w:sz w:val="20"/>
                      </w:rPr>
                    </w:pPr>
                    <w:r>
                      <w:rPr>
                        <w:sz w:val="20"/>
                      </w:rPr>
                      <w:t>Asmenys per metus</w:t>
                    </w:r>
                  </w:p>
                </w:tc>
                <w:tc>
                  <w:tcPr>
                    <w:tcW w:w="1134" w:type="dxa"/>
                    <w:shd w:val="clear" w:color="auto" w:fill="FFFFFF" w:themeFill="background1"/>
                  </w:tcPr>
                  <w:p>
                    <w:pPr>
                      <w:jc w:val="center"/>
                      <w:rPr>
                        <w:sz w:val="20"/>
                      </w:rPr>
                    </w:pPr>
                    <w:r>
                      <w:rPr>
                        <w:sz w:val="20"/>
                      </w:rPr>
                      <w:t>n/d</w:t>
                    </w:r>
                  </w:p>
                </w:tc>
                <w:tc>
                  <w:tcPr>
                    <w:tcW w:w="992" w:type="dxa"/>
                    <w:shd w:val="clear" w:color="auto" w:fill="FFFFFF" w:themeFill="background1"/>
                  </w:tcPr>
                  <w:p>
                    <w:pPr>
                      <w:jc w:val="center"/>
                      <w:rPr>
                        <w:sz w:val="20"/>
                      </w:rPr>
                    </w:pPr>
                    <w:r>
                      <w:rPr>
                        <w:sz w:val="20"/>
                      </w:rPr>
                      <w:t>n/d</w:t>
                    </w:r>
                  </w:p>
                </w:tc>
                <w:tc>
                  <w:tcPr>
                    <w:tcW w:w="1135" w:type="dxa"/>
                    <w:shd w:val="clear" w:color="auto" w:fill="FFFFFF" w:themeFill="background1"/>
                  </w:tcPr>
                  <w:p>
                    <w:pPr>
                      <w:jc w:val="center"/>
                      <w:rPr>
                        <w:sz w:val="20"/>
                      </w:rPr>
                    </w:pPr>
                    <w:r>
                      <w:rPr>
                        <w:sz w:val="20"/>
                      </w:rPr>
                      <w:t>n/d</w:t>
                    </w:r>
                  </w:p>
                </w:tc>
                <w:tc>
                  <w:tcPr>
                    <w:tcW w:w="1417" w:type="dxa"/>
                    <w:shd w:val="clear" w:color="auto" w:fill="FFFFFF" w:themeFill="background1"/>
                  </w:tcPr>
                  <w:p>
                    <w:pPr>
                      <w:jc w:val="center"/>
                      <w:rPr>
                        <w:bCs/>
                        <w:sz w:val="20"/>
                      </w:rPr>
                    </w:pPr>
                    <w:r>
                      <w:rPr>
                        <w:bCs/>
                        <w:sz w:val="20"/>
                      </w:rPr>
                      <w:t>EGADP</w:t>
                    </w:r>
                  </w:p>
                </w:tc>
              </w:tr>
              <w:tr>
                <w:trPr>
                  <w:trHeight w:val="41"/>
                </w:trPr>
                <w:tc>
                  <w:tcPr>
                    <w:tcW w:w="1418" w:type="dxa"/>
                    <w:shd w:val="clear" w:color="auto" w:fill="FFFFFF" w:themeFill="background1"/>
                  </w:tcPr>
                  <w:p>
                    <w:pPr>
                      <w:rPr>
                        <w:sz w:val="20"/>
                      </w:rPr>
                    </w:pPr>
                    <w:r>
                      <w:rPr>
                        <w:sz w:val="20"/>
                      </w:rPr>
                      <w:t>R-11-002-02-11-01-34</w:t>
                    </w:r>
                  </w:p>
                </w:tc>
                <w:tc>
                  <w:tcPr>
                    <w:tcW w:w="1134" w:type="dxa"/>
                    <w:shd w:val="clear" w:color="auto" w:fill="FFFFFF" w:themeFill="background1"/>
                  </w:tcPr>
                  <w:p>
                    <w:pPr>
                      <w:rPr>
                        <w:sz w:val="20"/>
                      </w:rPr>
                    </w:pPr>
                    <w:r>
                      <w:rPr>
                        <w:sz w:val="20"/>
                      </w:rPr>
                      <w:t>Rezultato</w:t>
                    </w:r>
                  </w:p>
                </w:tc>
                <w:tc>
                  <w:tcPr>
                    <w:tcW w:w="2693" w:type="dxa"/>
                    <w:shd w:val="clear" w:color="auto" w:fill="FFFFFF" w:themeFill="background1"/>
                  </w:tcPr>
                  <w:p>
                    <w:pPr>
                      <w:rPr>
                        <w:sz w:val="20"/>
                        <w:vertAlign w:val="superscript"/>
                      </w:rPr>
                    </w:pPr>
                    <w:r>
                      <w:rPr>
                        <w:sz w:val="20"/>
                      </w:rPr>
                      <w:t>Naujų ir patobulintų viešųjų skaitmeninių paslaugų, produktų ir procesų naudotojai</w:t>
                    </w:r>
                    <w:r>
                      <w:rPr>
                        <w:sz w:val="20"/>
                        <w:vertAlign w:val="superscript"/>
                      </w:rPr>
                      <w:t>2</w:t>
                    </w:r>
                  </w:p>
                </w:tc>
                <w:tc>
                  <w:tcPr>
                    <w:tcW w:w="1134" w:type="dxa"/>
                    <w:shd w:val="clear" w:color="auto" w:fill="FFFFFF" w:themeFill="background1"/>
                  </w:tcPr>
                  <w:p>
                    <w:pPr>
                      <w:jc w:val="center"/>
                      <w:rPr>
                        <w:sz w:val="20"/>
                      </w:rPr>
                    </w:pPr>
                    <w:r>
                      <w:rPr>
                        <w:sz w:val="20"/>
                      </w:rPr>
                      <w:t>Naudotojų skaičius per metus</w:t>
                    </w:r>
                  </w:p>
                </w:tc>
                <w:tc>
                  <w:tcPr>
                    <w:tcW w:w="1134" w:type="dxa"/>
                    <w:shd w:val="clear" w:color="auto" w:fill="FFFFFF" w:themeFill="background1"/>
                  </w:tcPr>
                  <w:p>
                    <w:pPr>
                      <w:jc w:val="center"/>
                      <w:rPr>
                        <w:sz w:val="20"/>
                      </w:rPr>
                    </w:pPr>
                    <w:r>
                      <w:rPr>
                        <w:sz w:val="20"/>
                      </w:rPr>
                      <w:t>n/d</w:t>
                    </w:r>
                  </w:p>
                </w:tc>
                <w:tc>
                  <w:tcPr>
                    <w:tcW w:w="992" w:type="dxa"/>
                    <w:shd w:val="clear" w:color="auto" w:fill="FFFFFF" w:themeFill="background1"/>
                  </w:tcPr>
                  <w:p>
                    <w:pPr>
                      <w:jc w:val="center"/>
                      <w:rPr>
                        <w:sz w:val="20"/>
                      </w:rPr>
                    </w:pPr>
                    <w:r>
                      <w:rPr>
                        <w:sz w:val="20"/>
                      </w:rPr>
                      <w:t>n/d</w:t>
                    </w:r>
                  </w:p>
                </w:tc>
                <w:tc>
                  <w:tcPr>
                    <w:tcW w:w="1135" w:type="dxa"/>
                    <w:shd w:val="clear" w:color="auto" w:fill="FFFFFF" w:themeFill="background1"/>
                  </w:tcPr>
                  <w:p>
                    <w:pPr>
                      <w:jc w:val="center"/>
                      <w:rPr>
                        <w:sz w:val="20"/>
                      </w:rPr>
                    </w:pPr>
                    <w:r>
                      <w:rPr>
                        <w:sz w:val="20"/>
                      </w:rPr>
                      <w:t>n/d</w:t>
                    </w:r>
                  </w:p>
                </w:tc>
                <w:tc>
                  <w:tcPr>
                    <w:tcW w:w="1417" w:type="dxa"/>
                    <w:shd w:val="clear" w:color="auto" w:fill="FFFFFF" w:themeFill="background1"/>
                  </w:tcPr>
                  <w:p>
                    <w:pPr>
                      <w:jc w:val="center"/>
                      <w:rPr>
                        <w:bCs/>
                        <w:sz w:val="20"/>
                      </w:rPr>
                    </w:pPr>
                    <w:r>
                      <w:rPr>
                        <w:bCs/>
                        <w:sz w:val="20"/>
                      </w:rPr>
                      <w:t>EGADP</w:t>
                    </w:r>
                  </w:p>
                </w:tc>
              </w:tr>
              <w:tr>
                <w:trPr>
                  <w:trHeight w:val="330"/>
                </w:trPr>
                <w:tc>
                  <w:tcPr>
                    <w:tcW w:w="1418" w:type="dxa"/>
                    <w:shd w:val="clear" w:color="auto" w:fill="FFFFFF" w:themeFill="background1"/>
                  </w:tcPr>
                  <w:p>
                    <w:pPr>
                      <w:rPr>
                        <w:sz w:val="20"/>
                      </w:rPr>
                    </w:pPr>
                    <w:r>
                      <w:rPr>
                        <w:sz w:val="20"/>
                      </w:rPr>
                      <w:t>P-11-002-02-11-01-35</w:t>
                    </w:r>
                  </w:p>
                </w:tc>
                <w:tc>
                  <w:tcPr>
                    <w:tcW w:w="1134" w:type="dxa"/>
                    <w:shd w:val="clear" w:color="auto" w:fill="FFFFFF" w:themeFill="background1"/>
                  </w:tcPr>
                  <w:p>
                    <w:pPr>
                      <w:rPr>
                        <w:iCs/>
                        <w:sz w:val="20"/>
                      </w:rPr>
                    </w:pPr>
                    <w:r>
                      <w:rPr>
                        <w:iCs/>
                        <w:sz w:val="20"/>
                      </w:rPr>
                      <w:t>Produkto</w:t>
                    </w:r>
                  </w:p>
                </w:tc>
                <w:tc>
                  <w:tcPr>
                    <w:tcW w:w="2693" w:type="dxa"/>
                    <w:shd w:val="clear" w:color="auto" w:fill="FFFFFF" w:themeFill="background1"/>
                  </w:tcPr>
                  <w:p>
                    <w:pPr>
                      <w:rPr>
                        <w:sz w:val="20"/>
                      </w:rPr>
                    </w:pPr>
                    <w:r>
                      <w:rPr>
                        <w:sz w:val="20"/>
                      </w:rPr>
                      <w:t xml:space="preserve">Socialiniams partneriams pristatytas ir viešai konsultacijai pateiktas ilgalaikės priežiūros  paslaugų teikimo ir finansavimo modelis </w:t>
                    </w:r>
                  </w:p>
                </w:tc>
                <w:tc>
                  <w:tcPr>
                    <w:tcW w:w="1134" w:type="dxa"/>
                    <w:shd w:val="clear" w:color="auto" w:fill="FFFFFF" w:themeFill="background1"/>
                  </w:tcPr>
                  <w:p>
                    <w:pPr>
                      <w:jc w:val="center"/>
                      <w:rPr>
                        <w:sz w:val="20"/>
                      </w:rPr>
                    </w:pPr>
                    <w:r>
                      <w:rPr>
                        <w:sz w:val="20"/>
                      </w:rPr>
                      <w:t>Vnt.</w:t>
                    </w:r>
                  </w:p>
                </w:tc>
                <w:tc>
                  <w:tcPr>
                    <w:tcW w:w="1134" w:type="dxa"/>
                    <w:shd w:val="clear" w:color="auto" w:fill="FFFFFF" w:themeFill="background1"/>
                  </w:tcPr>
                  <w:p>
                    <w:pPr>
                      <w:jc w:val="center"/>
                      <w:rPr>
                        <w:sz w:val="20"/>
                      </w:rPr>
                    </w:pPr>
                    <w:r>
                      <w:rPr>
                        <w:sz w:val="20"/>
                      </w:rPr>
                      <w:t>n/d</w:t>
                    </w:r>
                  </w:p>
                </w:tc>
                <w:tc>
                  <w:tcPr>
                    <w:tcW w:w="992" w:type="dxa"/>
                    <w:shd w:val="clear" w:color="auto" w:fill="FFFFFF" w:themeFill="background1"/>
                  </w:tcPr>
                  <w:p>
                    <w:pPr>
                      <w:jc w:val="center"/>
                      <w:rPr>
                        <w:sz w:val="20"/>
                      </w:rPr>
                    </w:pPr>
                    <w:r>
                      <w:rPr>
                        <w:sz w:val="20"/>
                      </w:rPr>
                      <w:t>n/d</w:t>
                    </w:r>
                  </w:p>
                </w:tc>
                <w:tc>
                  <w:tcPr>
                    <w:tcW w:w="1135"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417" w:type="dxa"/>
                    <w:shd w:val="clear" w:color="auto" w:fill="FFFFFF" w:themeFill="background1"/>
                  </w:tcPr>
                  <w:p>
                    <w:pPr>
                      <w:jc w:val="center"/>
                      <w:rPr>
                        <w:iCs/>
                        <w:sz w:val="20"/>
                      </w:rPr>
                    </w:pPr>
                    <w:r>
                      <w:rPr>
                        <w:bCs/>
                        <w:sz w:val="20"/>
                      </w:rPr>
                      <w:t>EGADP</w:t>
                    </w:r>
                  </w:p>
                </w:tc>
              </w:tr>
              <w:tr>
                <w:trPr>
                  <w:trHeight w:val="330"/>
                </w:trPr>
                <w:tc>
                  <w:tcPr>
                    <w:tcW w:w="1418" w:type="dxa"/>
                    <w:shd w:val="clear" w:color="auto" w:fill="FFFFFF" w:themeFill="background1"/>
                  </w:tcPr>
                  <w:p>
                    <w:pPr>
                      <w:rPr>
                        <w:sz w:val="20"/>
                      </w:rPr>
                    </w:pPr>
                    <w:r>
                      <w:rPr>
                        <w:sz w:val="20"/>
                      </w:rPr>
                      <w:t>P-11-002-02-11-01-36</w:t>
                    </w:r>
                  </w:p>
                </w:tc>
                <w:tc>
                  <w:tcPr>
                    <w:tcW w:w="1134" w:type="dxa"/>
                    <w:shd w:val="clear" w:color="auto" w:fill="FFFFFF" w:themeFill="background1"/>
                  </w:tcPr>
                  <w:p>
                    <w:pPr>
                      <w:rPr>
                        <w:iCs/>
                        <w:sz w:val="20"/>
                      </w:rPr>
                    </w:pPr>
                    <w:r>
                      <w:rPr>
                        <w:iCs/>
                        <w:sz w:val="20"/>
                      </w:rPr>
                      <w:t>Produkto</w:t>
                    </w:r>
                  </w:p>
                </w:tc>
                <w:tc>
                  <w:tcPr>
                    <w:tcW w:w="2693" w:type="dxa"/>
                    <w:shd w:val="clear" w:color="auto" w:fill="FFFFFF" w:themeFill="background1"/>
                  </w:tcPr>
                  <w:p>
                    <w:pPr>
                      <w:ind w:left="38"/>
                      <w:rPr>
                        <w:sz w:val="20"/>
                      </w:rPr>
                    </w:pPr>
                    <w:r>
                      <w:rPr>
                        <w:sz w:val="20"/>
                      </w:rPr>
                      <w:t xml:space="preserve">Įsigalioję teisės aktai, reglamentuojantys ilgalaikės priežiūros paslaugų modelio įgyvendinimą </w:t>
                    </w:r>
                  </w:p>
                </w:tc>
                <w:tc>
                  <w:tcPr>
                    <w:tcW w:w="1134" w:type="dxa"/>
                    <w:shd w:val="clear" w:color="auto" w:fill="FFFFFF" w:themeFill="background1"/>
                  </w:tcPr>
                  <w:p>
                    <w:pPr>
                      <w:jc w:val="center"/>
                      <w:rPr>
                        <w:sz w:val="20"/>
                      </w:rPr>
                    </w:pPr>
                    <w:r>
                      <w:rPr>
                        <w:sz w:val="20"/>
                      </w:rPr>
                      <w:t>Kompl.</w:t>
                    </w:r>
                  </w:p>
                </w:tc>
                <w:tc>
                  <w:tcPr>
                    <w:tcW w:w="1134" w:type="dxa"/>
                    <w:shd w:val="clear" w:color="auto" w:fill="FFFFFF" w:themeFill="background1"/>
                  </w:tcPr>
                  <w:p>
                    <w:pPr>
                      <w:jc w:val="center"/>
                      <w:rPr>
                        <w:sz w:val="20"/>
                      </w:rPr>
                    </w:pPr>
                    <w:r>
                      <w:rPr>
                        <w:sz w:val="20"/>
                      </w:rPr>
                      <w:t>n/d</w:t>
                    </w:r>
                  </w:p>
                </w:tc>
                <w:tc>
                  <w:tcPr>
                    <w:tcW w:w="992" w:type="dxa"/>
                    <w:shd w:val="clear" w:color="auto" w:fill="FFFFFF" w:themeFill="background1"/>
                  </w:tcPr>
                  <w:p>
                    <w:pPr>
                      <w:jc w:val="center"/>
                      <w:rPr>
                        <w:sz w:val="20"/>
                      </w:rPr>
                    </w:pPr>
                    <w:r>
                      <w:rPr>
                        <w:sz w:val="20"/>
                      </w:rPr>
                      <w:t>n/d</w:t>
                    </w:r>
                  </w:p>
                </w:tc>
                <w:tc>
                  <w:tcPr>
                    <w:tcW w:w="1135" w:type="dxa"/>
                    <w:shd w:val="clear" w:color="auto" w:fill="FFFFFF" w:themeFill="background1"/>
                  </w:tcPr>
                  <w:p>
                    <w:pPr>
                      <w:jc w:val="center"/>
                      <w:rPr>
                        <w:sz w:val="20"/>
                      </w:rPr>
                    </w:pPr>
                    <w:r>
                      <w:rPr>
                        <w:sz w:val="20"/>
                      </w:rPr>
                      <w:t>1</w:t>
                    </w:r>
                  </w:p>
                  <w:p>
                    <w:pPr>
                      <w:jc w:val="center"/>
                      <w:rPr>
                        <w:sz w:val="20"/>
                      </w:rPr>
                    </w:pPr>
                    <w:r>
                      <w:rPr>
                        <w:sz w:val="20"/>
                      </w:rPr>
                      <w:t>(2024 m. I ketv.)</w:t>
                    </w:r>
                  </w:p>
                </w:tc>
                <w:tc>
                  <w:tcPr>
                    <w:tcW w:w="1417" w:type="dxa"/>
                    <w:shd w:val="clear" w:color="auto" w:fill="FFFFFF" w:themeFill="background1"/>
                  </w:tcPr>
                  <w:p>
                    <w:pPr>
                      <w:jc w:val="center"/>
                      <w:rPr>
                        <w:iCs/>
                        <w:sz w:val="20"/>
                      </w:rPr>
                    </w:pPr>
                    <w:r>
                      <w:rPr>
                        <w:bCs/>
                        <w:sz w:val="20"/>
                      </w:rPr>
                      <w:t>EGADP</w:t>
                    </w:r>
                  </w:p>
                </w:tc>
              </w:tr>
              <w:tr>
                <w:trPr>
                  <w:trHeight w:val="330"/>
                </w:trPr>
                <w:tc>
                  <w:tcPr>
                    <w:tcW w:w="1418" w:type="dxa"/>
                    <w:shd w:val="clear" w:color="auto" w:fill="FFFFFF" w:themeFill="background1"/>
                  </w:tcPr>
                  <w:p>
                    <w:pPr>
                      <w:rPr>
                        <w:sz w:val="20"/>
                      </w:rPr>
                    </w:pPr>
                    <w:r>
                      <w:rPr>
                        <w:sz w:val="20"/>
                      </w:rPr>
                      <w:t>P-11-002-02-11-01-37</w:t>
                    </w:r>
                  </w:p>
                </w:tc>
                <w:tc>
                  <w:tcPr>
                    <w:tcW w:w="1134" w:type="dxa"/>
                    <w:shd w:val="clear" w:color="auto" w:fill="FFFFFF" w:themeFill="background1"/>
                  </w:tcPr>
                  <w:p>
                    <w:pPr>
                      <w:rPr>
                        <w:iCs/>
                        <w:sz w:val="20"/>
                      </w:rPr>
                    </w:pPr>
                    <w:r>
                      <w:rPr>
                        <w:iCs/>
                        <w:sz w:val="20"/>
                      </w:rPr>
                      <w:t>Produkto</w:t>
                    </w:r>
                  </w:p>
                </w:tc>
                <w:tc>
                  <w:tcPr>
                    <w:tcW w:w="2693" w:type="dxa"/>
                    <w:shd w:val="clear" w:color="auto" w:fill="FFFFFF" w:themeFill="background1"/>
                  </w:tcPr>
                  <w:p>
                    <w:pPr>
                      <w:rPr>
                        <w:sz w:val="8"/>
                        <w:szCs w:val="8"/>
                      </w:rPr>
                    </w:pPr>
                  </w:p>
                  <w:p>
                    <w:pPr>
                      <w:rPr>
                        <w:sz w:val="20"/>
                        <w:lang w:eastAsia="lt-LT"/>
                      </w:rPr>
                    </w:pPr>
                    <w:r>
                      <w:rPr>
                        <w:sz w:val="20"/>
                      </w:rPr>
                      <w:t>Sukurtų ilgalaikės priežiūros specialistų komandų, teikiančių paslaugas gyventojų namuose, skaičius</w:t>
                    </w:r>
                    <w:r>
                      <w:rPr>
                        <w:sz w:val="20"/>
                        <w:lang w:eastAsia="lt-LT"/>
                      </w:rPr>
                      <w:t xml:space="preserve"> </w:t>
                    </w:r>
                  </w:p>
                </w:tc>
                <w:tc>
                  <w:tcPr>
                    <w:tcW w:w="1134" w:type="dxa"/>
                    <w:shd w:val="clear" w:color="auto" w:fill="FFFFFF" w:themeFill="background1"/>
                  </w:tcPr>
                  <w:p>
                    <w:pPr>
                      <w:jc w:val="center"/>
                      <w:rPr>
                        <w:sz w:val="20"/>
                      </w:rPr>
                    </w:pPr>
                    <w:r>
                      <w:rPr>
                        <w:sz w:val="20"/>
                      </w:rPr>
                      <w:t>Vnt.</w:t>
                    </w:r>
                  </w:p>
                </w:tc>
                <w:tc>
                  <w:tcPr>
                    <w:tcW w:w="1134" w:type="dxa"/>
                    <w:shd w:val="clear" w:color="auto" w:fill="FFFFFF" w:themeFill="background1"/>
                  </w:tcPr>
                  <w:p>
                    <w:pPr>
                      <w:jc w:val="center"/>
                      <w:rPr>
                        <w:sz w:val="20"/>
                      </w:rPr>
                    </w:pPr>
                    <w:r>
                      <w:rPr>
                        <w:sz w:val="20"/>
                      </w:rPr>
                      <w:t>0</w:t>
                    </w:r>
                  </w:p>
                  <w:p>
                    <w:pPr>
                      <w:jc w:val="center"/>
                      <w:rPr>
                        <w:sz w:val="20"/>
                      </w:rPr>
                    </w:pPr>
                    <w:r>
                      <w:rPr>
                        <w:sz w:val="20"/>
                      </w:rPr>
                      <w:t>(2021 m.)</w:t>
                    </w:r>
                  </w:p>
                </w:tc>
                <w:tc>
                  <w:tcPr>
                    <w:tcW w:w="992" w:type="dxa"/>
                    <w:shd w:val="clear" w:color="auto" w:fill="FFFFFF" w:themeFill="background1"/>
                  </w:tcPr>
                  <w:p>
                    <w:pPr>
                      <w:jc w:val="center"/>
                      <w:rPr>
                        <w:sz w:val="20"/>
                      </w:rPr>
                    </w:pPr>
                    <w:r>
                      <w:rPr>
                        <w:sz w:val="20"/>
                      </w:rPr>
                      <w:t>0</w:t>
                    </w:r>
                  </w:p>
                  <w:p>
                    <w:pPr>
                      <w:jc w:val="center"/>
                      <w:rPr>
                        <w:sz w:val="20"/>
                      </w:rPr>
                    </w:pPr>
                  </w:p>
                </w:tc>
                <w:tc>
                  <w:tcPr>
                    <w:tcW w:w="1135" w:type="dxa"/>
                    <w:shd w:val="clear" w:color="auto" w:fill="auto"/>
                  </w:tcPr>
                  <w:p>
                    <w:pPr>
                      <w:jc w:val="center"/>
                      <w:rPr>
                        <w:sz w:val="20"/>
                      </w:rPr>
                    </w:pPr>
                    <w:r>
                      <w:rPr>
                        <w:sz w:val="20"/>
                      </w:rPr>
                      <w:t>90</w:t>
                    </w:r>
                  </w:p>
                  <w:p>
                    <w:pPr>
                      <w:jc w:val="center"/>
                      <w:rPr>
                        <w:sz w:val="20"/>
                      </w:rPr>
                    </w:pPr>
                    <w:r>
                      <w:rPr>
                        <w:sz w:val="20"/>
                      </w:rPr>
                      <w:t>(202</w:t>
                    </w:r>
                    <w:r>
                      <w:rPr>
                        <w:sz w:val="20"/>
                        <w:lang w:val="en-US"/>
                      </w:rPr>
                      <w:t>4</w:t>
                    </w:r>
                    <w:r>
                      <w:rPr>
                        <w:sz w:val="20"/>
                      </w:rPr>
                      <w:t xml:space="preserve"> m. IV ketv.)</w:t>
                    </w:r>
                  </w:p>
                </w:tc>
                <w:tc>
                  <w:tcPr>
                    <w:tcW w:w="1417" w:type="dxa"/>
                    <w:shd w:val="clear" w:color="auto" w:fill="FFFFFF" w:themeFill="background1"/>
                  </w:tcPr>
                  <w:p>
                    <w:pPr>
                      <w:jc w:val="center"/>
                      <w:rPr>
                        <w:iCs/>
                        <w:sz w:val="20"/>
                      </w:rPr>
                    </w:pPr>
                    <w:r>
                      <w:rPr>
                        <w:bCs/>
                        <w:sz w:val="20"/>
                      </w:rPr>
                      <w:t>EGADP</w:t>
                    </w:r>
                  </w:p>
                </w:tc>
              </w:tr>
              <w:tr>
                <w:trPr>
                  <w:trHeight w:val="330"/>
                </w:trPr>
                <w:tc>
                  <w:tcPr>
                    <w:tcW w:w="1418" w:type="dxa"/>
                    <w:shd w:val="clear" w:color="auto" w:fill="FFFFFF" w:themeFill="background1"/>
                  </w:tcPr>
                  <w:p>
                    <w:pPr>
                      <w:rPr>
                        <w:sz w:val="20"/>
                      </w:rPr>
                    </w:pPr>
                    <w:r>
                      <w:rPr>
                        <w:sz w:val="20"/>
                      </w:rPr>
                      <w:t>P-11-002-02-11-01-38</w:t>
                    </w:r>
                  </w:p>
                </w:tc>
                <w:tc>
                  <w:tcPr>
                    <w:tcW w:w="1134" w:type="dxa"/>
                    <w:shd w:val="clear" w:color="auto" w:fill="FFFFFF" w:themeFill="background1"/>
                  </w:tcPr>
                  <w:p>
                    <w:pPr>
                      <w:rPr>
                        <w:iCs/>
                        <w:sz w:val="20"/>
                      </w:rPr>
                    </w:pPr>
                    <w:r>
                      <w:rPr>
                        <w:iCs/>
                        <w:sz w:val="20"/>
                      </w:rPr>
                      <w:t>Produkto</w:t>
                    </w:r>
                  </w:p>
                </w:tc>
                <w:tc>
                  <w:tcPr>
                    <w:tcW w:w="2693" w:type="dxa"/>
                    <w:shd w:val="clear" w:color="auto" w:fill="FFFFFF" w:themeFill="background1"/>
                  </w:tcPr>
                  <w:p>
                    <w:pPr>
                      <w:rPr>
                        <w:sz w:val="20"/>
                      </w:rPr>
                    </w:pPr>
                    <w:r>
                      <w:rPr>
                        <w:sz w:val="20"/>
                      </w:rPr>
                      <w:t>Įkurtų specializuotų dienos priežiūros centrų, skirtų integruotoms ilgalaikės priežiūros paslaugoms teikti, skaičius</w:t>
                    </w:r>
                  </w:p>
                </w:tc>
                <w:tc>
                  <w:tcPr>
                    <w:tcW w:w="1134" w:type="dxa"/>
                    <w:shd w:val="clear" w:color="auto" w:fill="FFFFFF" w:themeFill="background1"/>
                  </w:tcPr>
                  <w:p>
                    <w:pPr>
                      <w:jc w:val="center"/>
                      <w:rPr>
                        <w:sz w:val="20"/>
                      </w:rPr>
                    </w:pPr>
                    <w:r>
                      <w:rPr>
                        <w:sz w:val="20"/>
                      </w:rPr>
                      <w:t>Vnt.</w:t>
                    </w:r>
                  </w:p>
                </w:tc>
                <w:tc>
                  <w:tcPr>
                    <w:tcW w:w="1134" w:type="dxa"/>
                    <w:shd w:val="clear" w:color="auto" w:fill="FFFFFF" w:themeFill="background1"/>
                  </w:tcPr>
                  <w:p>
                    <w:pPr>
                      <w:jc w:val="center"/>
                      <w:rPr>
                        <w:sz w:val="20"/>
                      </w:rPr>
                    </w:pPr>
                    <w:r>
                      <w:rPr>
                        <w:sz w:val="20"/>
                      </w:rPr>
                      <w:t>0</w:t>
                    </w:r>
                  </w:p>
                  <w:p>
                    <w:pPr>
                      <w:jc w:val="center"/>
                      <w:rPr>
                        <w:sz w:val="20"/>
                      </w:rPr>
                    </w:pPr>
                    <w:r>
                      <w:rPr>
                        <w:sz w:val="20"/>
                      </w:rPr>
                      <w:t>(2021 m.)</w:t>
                    </w:r>
                  </w:p>
                </w:tc>
                <w:tc>
                  <w:tcPr>
                    <w:tcW w:w="992" w:type="dxa"/>
                    <w:shd w:val="clear" w:color="auto" w:fill="FFFFFF" w:themeFill="background1"/>
                  </w:tcPr>
                  <w:p>
                    <w:pPr>
                      <w:jc w:val="center"/>
                      <w:rPr>
                        <w:sz w:val="20"/>
                      </w:rPr>
                    </w:pPr>
                    <w:r>
                      <w:rPr>
                        <w:sz w:val="20"/>
                      </w:rPr>
                      <w:t>0</w:t>
                    </w:r>
                  </w:p>
                  <w:p>
                    <w:pPr>
                      <w:jc w:val="center"/>
                      <w:rPr>
                        <w:sz w:val="20"/>
                      </w:rPr>
                    </w:pPr>
                  </w:p>
                </w:tc>
                <w:tc>
                  <w:tcPr>
                    <w:tcW w:w="1135" w:type="dxa"/>
                    <w:shd w:val="clear" w:color="auto" w:fill="FFFFFF" w:themeFill="background1"/>
                  </w:tcPr>
                  <w:p>
                    <w:pPr>
                      <w:jc w:val="center"/>
                      <w:rPr>
                        <w:sz w:val="20"/>
                      </w:rPr>
                    </w:pPr>
                    <w:r>
                      <w:rPr>
                        <w:sz w:val="20"/>
                      </w:rPr>
                      <w:t>10</w:t>
                    </w:r>
                  </w:p>
                  <w:p>
                    <w:pPr>
                      <w:jc w:val="center"/>
                      <w:rPr>
                        <w:sz w:val="20"/>
                      </w:rPr>
                    </w:pPr>
                    <w:r>
                      <w:rPr>
                        <w:sz w:val="20"/>
                      </w:rPr>
                      <w:t>(2024 m. IV ketv.)</w:t>
                    </w:r>
                  </w:p>
                </w:tc>
                <w:tc>
                  <w:tcPr>
                    <w:tcW w:w="1417" w:type="dxa"/>
                    <w:shd w:val="clear" w:color="auto" w:fill="FFFFFF" w:themeFill="background1"/>
                  </w:tcPr>
                  <w:p>
                    <w:pPr>
                      <w:jc w:val="center"/>
                      <w:rPr>
                        <w:iCs/>
                        <w:sz w:val="20"/>
                      </w:rPr>
                    </w:pPr>
                    <w:r>
                      <w:rPr>
                        <w:bCs/>
                        <w:sz w:val="20"/>
                      </w:rPr>
                      <w:t>EGADP</w:t>
                    </w:r>
                  </w:p>
                </w:tc>
              </w:tr>
              <w:tr>
                <w:trPr>
                  <w:trHeight w:val="330"/>
                </w:trPr>
                <w:tc>
                  <w:tcPr>
                    <w:tcW w:w="1418" w:type="dxa"/>
                    <w:shd w:val="clear" w:color="auto" w:fill="FFFFFF" w:themeFill="background1"/>
                  </w:tcPr>
                  <w:p>
                    <w:pPr>
                      <w:rPr>
                        <w:sz w:val="20"/>
                      </w:rPr>
                    </w:pPr>
                    <w:r>
                      <w:rPr>
                        <w:sz w:val="20"/>
                      </w:rPr>
                      <w:t>P-11-002-02-11-01-39</w:t>
                    </w:r>
                  </w:p>
                </w:tc>
                <w:tc>
                  <w:tcPr>
                    <w:tcW w:w="1134" w:type="dxa"/>
                    <w:shd w:val="clear" w:color="auto" w:fill="FFFFFF" w:themeFill="background1"/>
                  </w:tcPr>
                  <w:p>
                    <w:pPr>
                      <w:rPr>
                        <w:iCs/>
                        <w:sz w:val="20"/>
                      </w:rPr>
                    </w:pPr>
                    <w:r>
                      <w:rPr>
                        <w:iCs/>
                        <w:sz w:val="20"/>
                      </w:rPr>
                      <w:t>Produkto</w:t>
                    </w:r>
                  </w:p>
                </w:tc>
                <w:tc>
                  <w:tcPr>
                    <w:tcW w:w="2693" w:type="dxa"/>
                    <w:shd w:val="clear" w:color="auto" w:fill="FFFFFF" w:themeFill="background1"/>
                  </w:tcPr>
                  <w:p>
                    <w:pPr>
                      <w:rPr>
                        <w:color w:val="000000"/>
                        <w:sz w:val="20"/>
                      </w:rPr>
                    </w:pPr>
                    <w:r>
                      <w:rPr>
                        <w:color w:val="000000"/>
                        <w:sz w:val="20"/>
                      </w:rPr>
                      <w:t xml:space="preserve">Sveikatos priežiūros įstaigų bendradarbiavimo gerinimo ir infrastruktūros pritaikymo ekstremalioms situacijoms modernizavimo veiksmų plano projektas pateiktas konsultacijoms su socialiniais partneriais ir kitomis suinteresuotomis šalimis </w:t>
                    </w:r>
                  </w:p>
                </w:tc>
                <w:tc>
                  <w:tcPr>
                    <w:tcW w:w="1134" w:type="dxa"/>
                    <w:shd w:val="clear" w:color="auto" w:fill="FFFFFF" w:themeFill="background1"/>
                  </w:tcPr>
                  <w:p>
                    <w:pPr>
                      <w:jc w:val="center"/>
                      <w:rPr>
                        <w:sz w:val="20"/>
                      </w:rPr>
                    </w:pPr>
                    <w:r>
                      <w:rPr>
                        <w:sz w:val="20"/>
                      </w:rPr>
                      <w:t>Vnt.</w:t>
                    </w:r>
                  </w:p>
                </w:tc>
                <w:tc>
                  <w:tcPr>
                    <w:tcW w:w="1134" w:type="dxa"/>
                    <w:shd w:val="clear" w:color="auto" w:fill="FFFFFF" w:themeFill="background1"/>
                  </w:tcPr>
                  <w:p>
                    <w:pPr>
                      <w:jc w:val="center"/>
                      <w:rPr>
                        <w:sz w:val="20"/>
                      </w:rPr>
                    </w:pPr>
                    <w:r>
                      <w:rPr>
                        <w:sz w:val="20"/>
                      </w:rPr>
                      <w:t>n/d</w:t>
                    </w:r>
                  </w:p>
                </w:tc>
                <w:tc>
                  <w:tcPr>
                    <w:tcW w:w="992" w:type="dxa"/>
                    <w:shd w:val="clear" w:color="auto" w:fill="FFFFFF" w:themeFill="background1"/>
                  </w:tcPr>
                  <w:p>
                    <w:pPr>
                      <w:jc w:val="center"/>
                      <w:rPr>
                        <w:sz w:val="20"/>
                      </w:rPr>
                    </w:pPr>
                    <w:r>
                      <w:rPr>
                        <w:sz w:val="20"/>
                      </w:rPr>
                      <w:t>n/d</w:t>
                    </w:r>
                  </w:p>
                </w:tc>
                <w:tc>
                  <w:tcPr>
                    <w:tcW w:w="1135" w:type="dxa"/>
                    <w:shd w:val="clear" w:color="auto" w:fill="FFFFFF" w:themeFill="background1"/>
                  </w:tcPr>
                  <w:p>
                    <w:pPr>
                      <w:jc w:val="center"/>
                      <w:rPr>
                        <w:sz w:val="20"/>
                      </w:rPr>
                    </w:pPr>
                    <w:r>
                      <w:rPr>
                        <w:sz w:val="20"/>
                      </w:rPr>
                      <w:t>1</w:t>
                    </w:r>
                  </w:p>
                  <w:p>
                    <w:pPr>
                      <w:jc w:val="center"/>
                      <w:rPr>
                        <w:sz w:val="20"/>
                      </w:rPr>
                    </w:pPr>
                    <w:r>
                      <w:rPr>
                        <w:sz w:val="20"/>
                      </w:rPr>
                      <w:t>(2022 m. II ketv.)</w:t>
                    </w:r>
                  </w:p>
                </w:tc>
                <w:tc>
                  <w:tcPr>
                    <w:tcW w:w="1417" w:type="dxa"/>
                    <w:shd w:val="clear" w:color="auto" w:fill="FFFFFF" w:themeFill="background1"/>
                  </w:tcPr>
                  <w:p>
                    <w:pPr>
                      <w:jc w:val="center"/>
                      <w:rPr>
                        <w:iCs/>
                        <w:sz w:val="20"/>
                      </w:rPr>
                    </w:pPr>
                    <w:r>
                      <w:rPr>
                        <w:bCs/>
                        <w:sz w:val="20"/>
                      </w:rPr>
                      <w:t>EGADP</w:t>
                    </w:r>
                  </w:p>
                </w:tc>
              </w:tr>
              <w:tr>
                <w:trPr>
                  <w:trHeight w:val="330"/>
                </w:trPr>
                <w:tc>
                  <w:tcPr>
                    <w:tcW w:w="1418" w:type="dxa"/>
                    <w:shd w:val="clear" w:color="auto" w:fill="FFFFFF" w:themeFill="background1"/>
                  </w:tcPr>
                  <w:p>
                    <w:pPr>
                      <w:rPr>
                        <w:sz w:val="20"/>
                      </w:rPr>
                    </w:pPr>
                    <w:r>
                      <w:rPr>
                        <w:sz w:val="20"/>
                      </w:rPr>
                      <w:t>P-11-002-02-11-01-40</w:t>
                    </w:r>
                  </w:p>
                </w:tc>
                <w:tc>
                  <w:tcPr>
                    <w:tcW w:w="1134" w:type="dxa"/>
                    <w:shd w:val="clear" w:color="auto" w:fill="FFFFFF" w:themeFill="background1"/>
                  </w:tcPr>
                  <w:p>
                    <w:pPr>
                      <w:rPr>
                        <w:iCs/>
                        <w:sz w:val="20"/>
                      </w:rPr>
                    </w:pPr>
                    <w:r>
                      <w:rPr>
                        <w:sz w:val="20"/>
                      </w:rPr>
                      <w:t>Produkto</w:t>
                    </w:r>
                  </w:p>
                </w:tc>
                <w:tc>
                  <w:tcPr>
                    <w:tcW w:w="2693" w:type="dxa"/>
                    <w:shd w:val="clear" w:color="auto" w:fill="FFFFFF" w:themeFill="background1"/>
                  </w:tcPr>
                  <w:p>
                    <w:pPr>
                      <w:rPr>
                        <w:sz w:val="20"/>
                      </w:rPr>
                    </w:pPr>
                    <w:r>
                      <w:rPr>
                        <w:sz w:val="20"/>
                      </w:rPr>
                      <w:t xml:space="preserve">Įsigaliojęs sveikatos priežiūros įstaigų bendradarbiavimo gerinimo ir infrastruktūros pritaikymo ekstremaliosioms situacijoms modernizavimo veiksmų planas </w:t>
                    </w:r>
                  </w:p>
                </w:tc>
                <w:tc>
                  <w:tcPr>
                    <w:tcW w:w="1134" w:type="dxa"/>
                    <w:shd w:val="clear" w:color="auto" w:fill="FFFFFF" w:themeFill="background1"/>
                  </w:tcPr>
                  <w:p>
                    <w:pPr>
                      <w:jc w:val="center"/>
                      <w:rPr>
                        <w:sz w:val="20"/>
                      </w:rPr>
                    </w:pPr>
                    <w:r>
                      <w:rPr>
                        <w:sz w:val="20"/>
                      </w:rPr>
                      <w:t>Vnt.</w:t>
                    </w:r>
                  </w:p>
                </w:tc>
                <w:tc>
                  <w:tcPr>
                    <w:tcW w:w="1134" w:type="dxa"/>
                    <w:shd w:val="clear" w:color="auto" w:fill="FFFFFF" w:themeFill="background1"/>
                  </w:tcPr>
                  <w:p>
                    <w:pPr>
                      <w:jc w:val="center"/>
                      <w:rPr>
                        <w:sz w:val="20"/>
                      </w:rPr>
                    </w:pPr>
                    <w:r>
                      <w:rPr>
                        <w:sz w:val="20"/>
                      </w:rPr>
                      <w:t>n/d</w:t>
                    </w:r>
                  </w:p>
                </w:tc>
                <w:tc>
                  <w:tcPr>
                    <w:tcW w:w="992" w:type="dxa"/>
                    <w:shd w:val="clear" w:color="auto" w:fill="FFFFFF" w:themeFill="background1"/>
                  </w:tcPr>
                  <w:p>
                    <w:pPr>
                      <w:jc w:val="center"/>
                      <w:rPr>
                        <w:sz w:val="20"/>
                      </w:rPr>
                    </w:pPr>
                    <w:r>
                      <w:rPr>
                        <w:sz w:val="20"/>
                      </w:rPr>
                      <w:t>n/d</w:t>
                    </w:r>
                  </w:p>
                </w:tc>
                <w:tc>
                  <w:tcPr>
                    <w:tcW w:w="1135" w:type="dxa"/>
                    <w:shd w:val="clear" w:color="auto" w:fill="FFFFFF" w:themeFill="background1"/>
                  </w:tcPr>
                  <w:p>
                    <w:pPr>
                      <w:jc w:val="center"/>
                      <w:rPr>
                        <w:sz w:val="20"/>
                      </w:rPr>
                    </w:pPr>
                    <w:r>
                      <w:rPr>
                        <w:sz w:val="20"/>
                      </w:rPr>
                      <w:t>1</w:t>
                    </w:r>
                  </w:p>
                  <w:p>
                    <w:pPr>
                      <w:jc w:val="center"/>
                      <w:rPr>
                        <w:sz w:val="20"/>
                      </w:rPr>
                    </w:pPr>
                    <w:r>
                      <w:rPr>
                        <w:sz w:val="20"/>
                      </w:rPr>
                      <w:t>(2023 m. I ketv.)</w:t>
                    </w:r>
                  </w:p>
                </w:tc>
                <w:tc>
                  <w:tcPr>
                    <w:tcW w:w="1417" w:type="dxa"/>
                    <w:shd w:val="clear" w:color="auto" w:fill="FFFFFF" w:themeFill="background1"/>
                  </w:tcPr>
                  <w:p>
                    <w:pPr>
                      <w:jc w:val="center"/>
                      <w:rPr>
                        <w:iCs/>
                        <w:sz w:val="20"/>
                      </w:rPr>
                    </w:pPr>
                    <w:r>
                      <w:rPr>
                        <w:bCs/>
                        <w:sz w:val="20"/>
                      </w:rPr>
                      <w:t>EGADP</w:t>
                    </w:r>
                  </w:p>
                </w:tc>
              </w:tr>
              <w:tr>
                <w:trPr>
                  <w:trHeight w:val="330"/>
                </w:trPr>
                <w:tc>
                  <w:tcPr>
                    <w:tcW w:w="1418" w:type="dxa"/>
                    <w:shd w:val="clear" w:color="auto" w:fill="FFFFFF" w:themeFill="background1"/>
                  </w:tcPr>
                  <w:p>
                    <w:pPr>
                      <w:rPr>
                        <w:sz w:val="20"/>
                      </w:rPr>
                    </w:pPr>
                    <w:r>
                      <w:rPr>
                        <w:sz w:val="20"/>
                      </w:rPr>
                      <w:t>P-11-002-02-11-01-41</w:t>
                    </w:r>
                  </w:p>
                </w:tc>
                <w:tc>
                  <w:tcPr>
                    <w:tcW w:w="1134" w:type="dxa"/>
                    <w:shd w:val="clear" w:color="auto" w:fill="FFFFFF" w:themeFill="background1"/>
                  </w:tcPr>
                  <w:p>
                    <w:pPr>
                      <w:rPr>
                        <w:sz w:val="20"/>
                      </w:rPr>
                    </w:pPr>
                    <w:r>
                      <w:rPr>
                        <w:iCs/>
                        <w:sz w:val="20"/>
                      </w:rPr>
                      <w:t>Produkto</w:t>
                    </w:r>
                  </w:p>
                </w:tc>
                <w:tc>
                  <w:tcPr>
                    <w:tcW w:w="2693" w:type="dxa"/>
                    <w:shd w:val="clear" w:color="auto" w:fill="FFFFFF" w:themeFill="background1"/>
                  </w:tcPr>
                  <w:p>
                    <w:pPr>
                      <w:jc w:val="both"/>
                      <w:rPr>
                        <w:color w:val="000000"/>
                        <w:sz w:val="20"/>
                      </w:rPr>
                    </w:pPr>
                    <w:r>
                      <w:rPr>
                        <w:sz w:val="20"/>
                        <w:lang w:eastAsia="lt-LT"/>
                      </w:rPr>
                      <w:t xml:space="preserve">Nustatyti infekcinių ligų centrų infrastruktūros reikalavimai  </w:t>
                    </w:r>
                  </w:p>
                </w:tc>
                <w:tc>
                  <w:tcPr>
                    <w:tcW w:w="1134" w:type="dxa"/>
                    <w:shd w:val="clear" w:color="auto" w:fill="FFFFFF" w:themeFill="background1"/>
                  </w:tcPr>
                  <w:p>
                    <w:pPr>
                      <w:jc w:val="center"/>
                      <w:rPr>
                        <w:sz w:val="20"/>
                      </w:rPr>
                    </w:pPr>
                    <w:r>
                      <w:rPr>
                        <w:sz w:val="20"/>
                      </w:rPr>
                      <w:t>Kompl.</w:t>
                    </w:r>
                  </w:p>
                </w:tc>
                <w:tc>
                  <w:tcPr>
                    <w:tcW w:w="1134" w:type="dxa"/>
                    <w:shd w:val="clear" w:color="auto" w:fill="FFFFFF" w:themeFill="background1"/>
                  </w:tcPr>
                  <w:p>
                    <w:pPr>
                      <w:jc w:val="center"/>
                      <w:rPr>
                        <w:sz w:val="20"/>
                      </w:rPr>
                    </w:pPr>
                    <w:r>
                      <w:rPr>
                        <w:sz w:val="20"/>
                      </w:rPr>
                      <w:t>n/d</w:t>
                    </w:r>
                  </w:p>
                </w:tc>
                <w:tc>
                  <w:tcPr>
                    <w:tcW w:w="992" w:type="dxa"/>
                    <w:shd w:val="clear" w:color="auto" w:fill="FFFFFF" w:themeFill="background1"/>
                  </w:tcPr>
                  <w:p>
                    <w:pPr>
                      <w:jc w:val="center"/>
                      <w:rPr>
                        <w:sz w:val="20"/>
                      </w:rPr>
                    </w:pPr>
                    <w:r>
                      <w:rPr>
                        <w:sz w:val="20"/>
                      </w:rPr>
                      <w:t>n/d</w:t>
                    </w:r>
                  </w:p>
                </w:tc>
                <w:tc>
                  <w:tcPr>
                    <w:tcW w:w="1135" w:type="dxa"/>
                    <w:shd w:val="clear" w:color="auto" w:fill="FFFFFF" w:themeFill="background1"/>
                  </w:tcPr>
                  <w:p>
                    <w:pPr>
                      <w:jc w:val="center"/>
                      <w:rPr>
                        <w:sz w:val="20"/>
                      </w:rPr>
                    </w:pPr>
                    <w:r>
                      <w:rPr>
                        <w:sz w:val="20"/>
                      </w:rPr>
                      <w:t>1</w:t>
                    </w:r>
                  </w:p>
                  <w:p>
                    <w:pPr>
                      <w:jc w:val="center"/>
                      <w:rPr>
                        <w:sz w:val="20"/>
                      </w:rPr>
                    </w:pPr>
                    <w:r>
                      <w:rPr>
                        <w:sz w:val="20"/>
                      </w:rPr>
                      <w:t>(2022 m. I ketv.)</w:t>
                    </w:r>
                  </w:p>
                </w:tc>
                <w:tc>
                  <w:tcPr>
                    <w:tcW w:w="1417" w:type="dxa"/>
                    <w:shd w:val="clear" w:color="auto" w:fill="FFFFFF" w:themeFill="background1"/>
                  </w:tcPr>
                  <w:p>
                    <w:pPr>
                      <w:jc w:val="center"/>
                      <w:rPr>
                        <w:bCs/>
                        <w:sz w:val="20"/>
                      </w:rPr>
                    </w:pPr>
                    <w:r>
                      <w:rPr>
                        <w:bCs/>
                        <w:sz w:val="20"/>
                      </w:rPr>
                      <w:t>EGADP</w:t>
                    </w:r>
                  </w:p>
                </w:tc>
              </w:tr>
              <w:tr>
                <w:trPr>
                  <w:trHeight w:val="330"/>
                </w:trPr>
                <w:tc>
                  <w:tcPr>
                    <w:tcW w:w="1418" w:type="dxa"/>
                    <w:shd w:val="clear" w:color="auto" w:fill="FFFFFF" w:themeFill="background1"/>
                  </w:tcPr>
                  <w:p>
                    <w:pPr>
                      <w:rPr>
                        <w:sz w:val="20"/>
                      </w:rPr>
                    </w:pPr>
                    <w:r>
                      <w:rPr>
                        <w:sz w:val="20"/>
                      </w:rPr>
                      <w:t>P-11-002-02-11-01-42</w:t>
                    </w:r>
                  </w:p>
                </w:tc>
                <w:tc>
                  <w:tcPr>
                    <w:tcW w:w="1134" w:type="dxa"/>
                    <w:shd w:val="clear" w:color="auto" w:fill="FFFFFF" w:themeFill="background1"/>
                  </w:tcPr>
                  <w:p>
                    <w:pPr>
                      <w:rPr>
                        <w:sz w:val="20"/>
                      </w:rPr>
                    </w:pPr>
                    <w:r>
                      <w:rPr>
                        <w:iCs/>
                        <w:sz w:val="20"/>
                      </w:rPr>
                      <w:t>Produkto</w:t>
                    </w:r>
                  </w:p>
                </w:tc>
                <w:tc>
                  <w:tcPr>
                    <w:tcW w:w="2693" w:type="dxa"/>
                    <w:shd w:val="clear" w:color="auto" w:fill="FFFFFF" w:themeFill="background1"/>
                  </w:tcPr>
                  <w:p>
                    <w:pPr>
                      <w:rPr>
                        <w:color w:val="000000"/>
                        <w:sz w:val="20"/>
                      </w:rPr>
                    </w:pPr>
                    <w:r>
                      <w:rPr>
                        <w:sz w:val="20"/>
                        <w:lang w:eastAsia="lt-LT"/>
                      </w:rPr>
                      <w:t>Atlikta ligoninių tinklo veiklos rezultatų analizė, parodanti, kaip pokyčiai, įskaitant investicijas pagal Ekonomikos gaivinimo ir atsparumo didinimo priemonę, prisideda prie galimybių geriau užtikrinti tam tikrą gydomųjų</w:t>
                    </w:r>
                    <w:r>
                      <w:rPr>
                        <w:b/>
                        <w:bCs/>
                        <w:sz w:val="20"/>
                        <w:lang w:eastAsia="lt-LT"/>
                      </w:rPr>
                      <w:t xml:space="preserve"> </w:t>
                    </w:r>
                    <w:r>
                      <w:rPr>
                        <w:sz w:val="20"/>
                        <w:lang w:eastAsia="lt-LT"/>
                      </w:rPr>
                      <w:t>lovų skaičių jo nedidinant. Analizė taip pat turėtų būti perspektyvinė ir ją atliekant turėtų būti atsižvelgiama į prognozuojamą paklausą</w:t>
                    </w:r>
                  </w:p>
                </w:tc>
                <w:tc>
                  <w:tcPr>
                    <w:tcW w:w="1134" w:type="dxa"/>
                    <w:shd w:val="clear" w:color="auto" w:fill="FFFFFF" w:themeFill="background1"/>
                  </w:tcPr>
                  <w:p>
                    <w:pPr>
                      <w:jc w:val="center"/>
                      <w:rPr>
                        <w:sz w:val="20"/>
                      </w:rPr>
                    </w:pPr>
                    <w:r>
                      <w:rPr>
                        <w:sz w:val="20"/>
                      </w:rPr>
                      <w:t>Vnt.</w:t>
                    </w:r>
                  </w:p>
                </w:tc>
                <w:tc>
                  <w:tcPr>
                    <w:tcW w:w="1134" w:type="dxa"/>
                    <w:shd w:val="clear" w:color="auto" w:fill="FFFFFF" w:themeFill="background1"/>
                  </w:tcPr>
                  <w:p>
                    <w:pPr>
                      <w:jc w:val="center"/>
                      <w:rPr>
                        <w:sz w:val="20"/>
                      </w:rPr>
                    </w:pPr>
                    <w:r>
                      <w:rPr>
                        <w:sz w:val="20"/>
                      </w:rPr>
                      <w:t>n/d</w:t>
                    </w:r>
                  </w:p>
                </w:tc>
                <w:tc>
                  <w:tcPr>
                    <w:tcW w:w="992" w:type="dxa"/>
                    <w:shd w:val="clear" w:color="auto" w:fill="FFFFFF" w:themeFill="background1"/>
                  </w:tcPr>
                  <w:p>
                    <w:pPr>
                      <w:jc w:val="center"/>
                      <w:rPr>
                        <w:sz w:val="20"/>
                      </w:rPr>
                    </w:pPr>
                    <w:r>
                      <w:rPr>
                        <w:sz w:val="20"/>
                      </w:rPr>
                      <w:t>n/d</w:t>
                    </w:r>
                  </w:p>
                </w:tc>
                <w:tc>
                  <w:tcPr>
                    <w:tcW w:w="1135" w:type="dxa"/>
                    <w:shd w:val="clear" w:color="auto" w:fill="FFFFFF" w:themeFill="background1"/>
                  </w:tcPr>
                  <w:p>
                    <w:pPr>
                      <w:jc w:val="center"/>
                      <w:rPr>
                        <w:sz w:val="20"/>
                      </w:rPr>
                    </w:pPr>
                    <w:r>
                      <w:rPr>
                        <w:sz w:val="20"/>
                      </w:rPr>
                      <w:t>1</w:t>
                    </w:r>
                  </w:p>
                  <w:p>
                    <w:pPr>
                      <w:jc w:val="center"/>
                      <w:rPr>
                        <w:sz w:val="20"/>
                      </w:rPr>
                    </w:pPr>
                    <w:r>
                      <w:rPr>
                        <w:sz w:val="20"/>
                      </w:rPr>
                      <w:t>(2023 m. III ketv.)</w:t>
                    </w:r>
                  </w:p>
                </w:tc>
                <w:tc>
                  <w:tcPr>
                    <w:tcW w:w="1417" w:type="dxa"/>
                    <w:shd w:val="clear" w:color="auto" w:fill="FFFFFF" w:themeFill="background1"/>
                  </w:tcPr>
                  <w:p>
                    <w:pPr>
                      <w:jc w:val="center"/>
                      <w:rPr>
                        <w:bCs/>
                        <w:sz w:val="20"/>
                      </w:rPr>
                    </w:pPr>
                    <w:r>
                      <w:rPr>
                        <w:bCs/>
                        <w:sz w:val="20"/>
                      </w:rPr>
                      <w:t>EGADP</w:t>
                    </w:r>
                  </w:p>
                </w:tc>
              </w:tr>
              <w:tr>
                <w:trPr>
                  <w:trHeight w:val="330"/>
                </w:trPr>
                <w:tc>
                  <w:tcPr>
                    <w:tcW w:w="1418" w:type="dxa"/>
                    <w:shd w:val="clear" w:color="auto" w:fill="FFFFFF" w:themeFill="background1"/>
                  </w:tcPr>
                  <w:p>
                    <w:pPr>
                      <w:rPr>
                        <w:sz w:val="20"/>
                      </w:rPr>
                    </w:pPr>
                    <w:r>
                      <w:rPr>
                        <w:sz w:val="20"/>
                      </w:rPr>
                      <w:t>P-11-002-02-11-01-43</w:t>
                    </w:r>
                  </w:p>
                </w:tc>
                <w:tc>
                  <w:tcPr>
                    <w:tcW w:w="1134" w:type="dxa"/>
                    <w:shd w:val="clear" w:color="auto" w:fill="FFFFFF" w:themeFill="background1"/>
                  </w:tcPr>
                  <w:p>
                    <w:pPr>
                      <w:rPr>
                        <w:sz w:val="20"/>
                      </w:rPr>
                    </w:pPr>
                    <w:r>
                      <w:rPr>
                        <w:sz w:val="20"/>
                      </w:rPr>
                      <w:t>Produkto</w:t>
                    </w:r>
                  </w:p>
                </w:tc>
                <w:tc>
                  <w:tcPr>
                    <w:tcW w:w="2693" w:type="dxa"/>
                    <w:shd w:val="clear" w:color="auto" w:fill="FFFFFF" w:themeFill="background1"/>
                  </w:tcPr>
                  <w:p>
                    <w:pPr>
                      <w:rPr>
                        <w:color w:val="000000"/>
                        <w:sz w:val="20"/>
                      </w:rPr>
                    </w:pPr>
                    <w:r>
                      <w:rPr>
                        <w:sz w:val="20"/>
                      </w:rPr>
                      <w:t xml:space="preserve">Modernizuotų sveikatos priežiūros įstaigų, įskaitant infekcinių ligų klasterio kompetencijos </w:t>
                    </w:r>
                    <w:r>
                      <w:rPr>
                        <w:color w:val="000000"/>
                        <w:sz w:val="20"/>
                      </w:rPr>
                      <w:t xml:space="preserve">centrus, skaičius </w:t>
                    </w:r>
                  </w:p>
                </w:tc>
                <w:tc>
                  <w:tcPr>
                    <w:tcW w:w="1134" w:type="dxa"/>
                    <w:shd w:val="clear" w:color="auto" w:fill="FFFFFF" w:themeFill="background1"/>
                  </w:tcPr>
                  <w:p>
                    <w:pPr>
                      <w:jc w:val="center"/>
                      <w:rPr>
                        <w:sz w:val="20"/>
                      </w:rPr>
                    </w:pPr>
                    <w:r>
                      <w:rPr>
                        <w:sz w:val="20"/>
                      </w:rPr>
                      <w:t>Vnt.</w:t>
                    </w:r>
                  </w:p>
                </w:tc>
                <w:tc>
                  <w:tcPr>
                    <w:tcW w:w="1134" w:type="dxa"/>
                    <w:shd w:val="clear" w:color="auto" w:fill="FFFFFF" w:themeFill="background1"/>
                  </w:tcPr>
                  <w:p>
                    <w:pPr>
                      <w:jc w:val="center"/>
                      <w:rPr>
                        <w:sz w:val="20"/>
                      </w:rPr>
                    </w:pPr>
                    <w:r>
                      <w:rPr>
                        <w:sz w:val="20"/>
                      </w:rPr>
                      <w:t>0</w:t>
                    </w:r>
                  </w:p>
                  <w:p>
                    <w:pPr>
                      <w:jc w:val="center"/>
                      <w:rPr>
                        <w:sz w:val="20"/>
                      </w:rPr>
                    </w:pPr>
                    <w:r>
                      <w:rPr>
                        <w:sz w:val="20"/>
                      </w:rPr>
                      <w:t>(2021 m.)</w:t>
                    </w:r>
                  </w:p>
                </w:tc>
                <w:tc>
                  <w:tcPr>
                    <w:tcW w:w="992" w:type="dxa"/>
                    <w:shd w:val="clear" w:color="auto" w:fill="FFFFFF" w:themeFill="background1"/>
                  </w:tcPr>
                  <w:p>
                    <w:pPr>
                      <w:jc w:val="center"/>
                      <w:rPr>
                        <w:sz w:val="20"/>
                      </w:rPr>
                    </w:pPr>
                    <w:r>
                      <w:rPr>
                        <w:sz w:val="20"/>
                      </w:rPr>
                      <w:t>0</w:t>
                    </w:r>
                  </w:p>
                  <w:p>
                    <w:pPr>
                      <w:jc w:val="center"/>
                      <w:rPr>
                        <w:sz w:val="20"/>
                      </w:rPr>
                    </w:pPr>
                  </w:p>
                </w:tc>
                <w:tc>
                  <w:tcPr>
                    <w:tcW w:w="1135" w:type="dxa"/>
                    <w:shd w:val="clear" w:color="auto" w:fill="FFFFFF" w:themeFill="background1"/>
                  </w:tcPr>
                  <w:p>
                    <w:pPr>
                      <w:jc w:val="center"/>
                      <w:rPr>
                        <w:sz w:val="20"/>
                      </w:rPr>
                    </w:pPr>
                    <w:r>
                      <w:rPr>
                        <w:sz w:val="20"/>
                      </w:rPr>
                      <w:t>5</w:t>
                    </w:r>
                  </w:p>
                  <w:p>
                    <w:pPr>
                      <w:jc w:val="center"/>
                      <w:rPr>
                        <w:sz w:val="20"/>
                      </w:rPr>
                    </w:pPr>
                    <w:r>
                      <w:rPr>
                        <w:sz w:val="20"/>
                      </w:rPr>
                      <w:t>(202</w:t>
                    </w:r>
                    <w:r>
                      <w:rPr>
                        <w:sz w:val="20"/>
                        <w:lang w:val="en-US"/>
                      </w:rPr>
                      <w:t>5</w:t>
                    </w:r>
                    <w:r>
                      <w:rPr>
                        <w:sz w:val="20"/>
                      </w:rPr>
                      <w:t xml:space="preserve"> m. IV ketv.)</w:t>
                    </w:r>
                  </w:p>
                </w:tc>
                <w:tc>
                  <w:tcPr>
                    <w:tcW w:w="1417" w:type="dxa"/>
                    <w:shd w:val="clear" w:color="auto" w:fill="FFFFFF" w:themeFill="background1"/>
                  </w:tcPr>
                  <w:p>
                    <w:pPr>
                      <w:jc w:val="center"/>
                      <w:rPr>
                        <w:sz w:val="20"/>
                      </w:rPr>
                    </w:pPr>
                    <w:r>
                      <w:rPr>
                        <w:bCs/>
                        <w:sz w:val="20"/>
                      </w:rPr>
                      <w:t>EGADP</w:t>
                    </w:r>
                  </w:p>
                </w:tc>
              </w:tr>
              <w:tr>
                <w:trPr>
                  <w:trHeight w:val="330"/>
                </w:trPr>
                <w:tc>
                  <w:tcPr>
                    <w:tcW w:w="1418" w:type="dxa"/>
                    <w:shd w:val="clear" w:color="auto" w:fill="FFFFFF" w:themeFill="background1"/>
                  </w:tcPr>
                  <w:p>
                    <w:pPr>
                      <w:rPr>
                        <w:sz w:val="20"/>
                      </w:rPr>
                    </w:pPr>
                    <w:r>
                      <w:rPr>
                        <w:sz w:val="20"/>
                      </w:rPr>
                      <w:t>P-11-002-02-11-01-44</w:t>
                    </w:r>
                  </w:p>
                </w:tc>
                <w:tc>
                  <w:tcPr>
                    <w:tcW w:w="1134" w:type="dxa"/>
                    <w:shd w:val="clear" w:color="auto" w:fill="FFFFFF" w:themeFill="background1"/>
                  </w:tcPr>
                  <w:p>
                    <w:pPr>
                      <w:rPr>
                        <w:sz w:val="20"/>
                      </w:rPr>
                    </w:pPr>
                    <w:r>
                      <w:rPr>
                        <w:iCs/>
                        <w:sz w:val="20"/>
                      </w:rPr>
                      <w:t>Produkto</w:t>
                    </w:r>
                  </w:p>
                </w:tc>
                <w:tc>
                  <w:tcPr>
                    <w:tcW w:w="2693" w:type="dxa"/>
                    <w:shd w:val="clear" w:color="auto" w:fill="FFFFFF" w:themeFill="background1"/>
                  </w:tcPr>
                  <w:p>
                    <w:pPr>
                      <w:rPr>
                        <w:color w:val="000000"/>
                        <w:sz w:val="20"/>
                      </w:rPr>
                    </w:pPr>
                    <w:r>
                      <w:rPr>
                        <w:sz w:val="20"/>
                        <w:lang w:eastAsia="lt-LT"/>
                      </w:rPr>
                      <w:t>Nustatyti ligoninių skubiosios medicinos pagalbos, reanimacijos ir intensyviosios terapijos skyrių infrastruktūros reikalavimai</w:t>
                    </w:r>
                  </w:p>
                </w:tc>
                <w:tc>
                  <w:tcPr>
                    <w:tcW w:w="1134" w:type="dxa"/>
                    <w:shd w:val="clear" w:color="auto" w:fill="FFFFFF" w:themeFill="background1"/>
                  </w:tcPr>
                  <w:p>
                    <w:pPr>
                      <w:jc w:val="center"/>
                      <w:rPr>
                        <w:sz w:val="20"/>
                      </w:rPr>
                    </w:pPr>
                    <w:r>
                      <w:rPr>
                        <w:sz w:val="20"/>
                      </w:rPr>
                      <w:t>Kompl.</w:t>
                    </w:r>
                  </w:p>
                </w:tc>
                <w:tc>
                  <w:tcPr>
                    <w:tcW w:w="1134" w:type="dxa"/>
                    <w:shd w:val="clear" w:color="auto" w:fill="FFFFFF" w:themeFill="background1"/>
                  </w:tcPr>
                  <w:p>
                    <w:pPr>
                      <w:jc w:val="center"/>
                      <w:rPr>
                        <w:sz w:val="20"/>
                      </w:rPr>
                    </w:pPr>
                    <w:r>
                      <w:rPr>
                        <w:sz w:val="20"/>
                      </w:rPr>
                      <w:t>n/d</w:t>
                    </w:r>
                  </w:p>
                </w:tc>
                <w:tc>
                  <w:tcPr>
                    <w:tcW w:w="992" w:type="dxa"/>
                    <w:shd w:val="clear" w:color="auto" w:fill="FFFFFF" w:themeFill="background1"/>
                  </w:tcPr>
                  <w:p>
                    <w:pPr>
                      <w:jc w:val="center"/>
                      <w:rPr>
                        <w:sz w:val="20"/>
                      </w:rPr>
                    </w:pPr>
                    <w:r>
                      <w:rPr>
                        <w:sz w:val="20"/>
                      </w:rPr>
                      <w:t>n/d</w:t>
                    </w:r>
                  </w:p>
                </w:tc>
                <w:tc>
                  <w:tcPr>
                    <w:tcW w:w="1135" w:type="dxa"/>
                    <w:shd w:val="clear" w:color="auto" w:fill="FFFFFF" w:themeFill="background1"/>
                  </w:tcPr>
                  <w:p>
                    <w:pPr>
                      <w:jc w:val="center"/>
                      <w:rPr>
                        <w:sz w:val="20"/>
                      </w:rPr>
                    </w:pPr>
                    <w:r>
                      <w:rPr>
                        <w:sz w:val="20"/>
                      </w:rPr>
                      <w:t>1</w:t>
                    </w:r>
                  </w:p>
                  <w:p>
                    <w:pPr>
                      <w:jc w:val="center"/>
                      <w:rPr>
                        <w:sz w:val="20"/>
                      </w:rPr>
                    </w:pPr>
                    <w:r>
                      <w:rPr>
                        <w:sz w:val="20"/>
                      </w:rPr>
                      <w:t>(2022 m. II ketv.)</w:t>
                    </w:r>
                  </w:p>
                </w:tc>
                <w:tc>
                  <w:tcPr>
                    <w:tcW w:w="1417" w:type="dxa"/>
                    <w:shd w:val="clear" w:color="auto" w:fill="FFFFFF" w:themeFill="background1"/>
                  </w:tcPr>
                  <w:p>
                    <w:pPr>
                      <w:jc w:val="center"/>
                      <w:rPr>
                        <w:bCs/>
                        <w:sz w:val="20"/>
                      </w:rPr>
                    </w:pPr>
                    <w:r>
                      <w:rPr>
                        <w:bCs/>
                        <w:sz w:val="20"/>
                      </w:rPr>
                      <w:t>EGADP</w:t>
                    </w:r>
                  </w:p>
                </w:tc>
              </w:tr>
              <w:tr>
                <w:trPr>
                  <w:trHeight w:val="330"/>
                </w:trPr>
                <w:tc>
                  <w:tcPr>
                    <w:tcW w:w="1418" w:type="dxa"/>
                    <w:shd w:val="clear" w:color="auto" w:fill="FFFFFF" w:themeFill="background1"/>
                  </w:tcPr>
                  <w:p>
                    <w:pPr>
                      <w:rPr>
                        <w:sz w:val="20"/>
                      </w:rPr>
                    </w:pPr>
                    <w:r>
                      <w:rPr>
                        <w:sz w:val="20"/>
                      </w:rPr>
                      <w:t>P-11-002-02-11-01-45</w:t>
                    </w:r>
                  </w:p>
                </w:tc>
                <w:tc>
                  <w:tcPr>
                    <w:tcW w:w="1134" w:type="dxa"/>
                    <w:shd w:val="clear" w:color="auto" w:fill="FFFFFF" w:themeFill="background1"/>
                  </w:tcPr>
                  <w:p>
                    <w:pPr>
                      <w:rPr>
                        <w:iCs/>
                        <w:sz w:val="20"/>
                      </w:rPr>
                    </w:pPr>
                    <w:r>
                      <w:rPr>
                        <w:sz w:val="20"/>
                      </w:rPr>
                      <w:t>Produkto</w:t>
                    </w:r>
                  </w:p>
                </w:tc>
                <w:tc>
                  <w:tcPr>
                    <w:tcW w:w="2693" w:type="dxa"/>
                    <w:shd w:val="clear" w:color="auto" w:fill="FFFFFF" w:themeFill="background1"/>
                  </w:tcPr>
                  <w:p>
                    <w:pPr>
                      <w:rPr>
                        <w:color w:val="7030A0"/>
                        <w:sz w:val="20"/>
                      </w:rPr>
                    </w:pPr>
                    <w:r>
                      <w:rPr>
                        <w:sz w:val="20"/>
                      </w:rPr>
                      <w:t xml:space="preserve">Modernizuotos ligoninių skubiosios medicinos pagalbos ir reanimacijos bei intensyviosios terapijos skyrių sveikatos priežiūros infrastruktūros objektų skaičius </w:t>
                    </w:r>
                  </w:p>
                </w:tc>
                <w:tc>
                  <w:tcPr>
                    <w:tcW w:w="1134" w:type="dxa"/>
                    <w:shd w:val="clear" w:color="auto" w:fill="FFFFFF" w:themeFill="background1"/>
                  </w:tcPr>
                  <w:p>
                    <w:pPr>
                      <w:jc w:val="center"/>
                      <w:rPr>
                        <w:sz w:val="20"/>
                      </w:rPr>
                    </w:pPr>
                    <w:r>
                      <w:rPr>
                        <w:sz w:val="20"/>
                      </w:rPr>
                      <w:t>Vnt.</w:t>
                    </w:r>
                  </w:p>
                </w:tc>
                <w:tc>
                  <w:tcPr>
                    <w:tcW w:w="1134" w:type="dxa"/>
                    <w:shd w:val="clear" w:color="auto" w:fill="FFFFFF" w:themeFill="background1"/>
                  </w:tcPr>
                  <w:p>
                    <w:pPr>
                      <w:jc w:val="center"/>
                      <w:rPr>
                        <w:sz w:val="20"/>
                      </w:rPr>
                    </w:pPr>
                    <w:r>
                      <w:rPr>
                        <w:sz w:val="20"/>
                      </w:rPr>
                      <w:t>0</w:t>
                    </w:r>
                  </w:p>
                  <w:p>
                    <w:pPr>
                      <w:jc w:val="center"/>
                      <w:rPr>
                        <w:sz w:val="20"/>
                      </w:rPr>
                    </w:pPr>
                    <w:r>
                      <w:rPr>
                        <w:sz w:val="20"/>
                      </w:rPr>
                      <w:t>(2021 m.)</w:t>
                    </w:r>
                  </w:p>
                </w:tc>
                <w:tc>
                  <w:tcPr>
                    <w:tcW w:w="992" w:type="dxa"/>
                    <w:shd w:val="clear" w:color="auto" w:fill="FFFFFF" w:themeFill="background1"/>
                  </w:tcPr>
                  <w:p>
                    <w:pPr>
                      <w:jc w:val="center"/>
                      <w:rPr>
                        <w:sz w:val="20"/>
                      </w:rPr>
                    </w:pPr>
                    <w:r>
                      <w:rPr>
                        <w:sz w:val="20"/>
                      </w:rPr>
                      <w:t>0</w:t>
                    </w:r>
                  </w:p>
                  <w:p>
                    <w:pPr>
                      <w:jc w:val="center"/>
                      <w:rPr>
                        <w:sz w:val="20"/>
                      </w:rPr>
                    </w:pPr>
                  </w:p>
                </w:tc>
                <w:tc>
                  <w:tcPr>
                    <w:tcW w:w="1135" w:type="dxa"/>
                    <w:shd w:val="clear" w:color="auto" w:fill="FFFFFF" w:themeFill="background1"/>
                  </w:tcPr>
                  <w:p>
                    <w:pPr>
                      <w:jc w:val="center"/>
                      <w:rPr>
                        <w:sz w:val="20"/>
                      </w:rPr>
                    </w:pPr>
                    <w:r>
                      <w:rPr>
                        <w:sz w:val="20"/>
                      </w:rPr>
                      <w:t>7</w:t>
                    </w:r>
                  </w:p>
                  <w:p>
                    <w:pPr>
                      <w:jc w:val="center"/>
                      <w:rPr>
                        <w:sz w:val="20"/>
                      </w:rPr>
                    </w:pPr>
                    <w:r>
                      <w:rPr>
                        <w:sz w:val="20"/>
                      </w:rPr>
                      <w:t>(202</w:t>
                    </w:r>
                    <w:r>
                      <w:rPr>
                        <w:sz w:val="20"/>
                        <w:lang w:val="en-US"/>
                      </w:rPr>
                      <w:t>5</w:t>
                    </w:r>
                    <w:r>
                      <w:rPr>
                        <w:sz w:val="20"/>
                      </w:rPr>
                      <w:t xml:space="preserve"> m. IV ketv.)</w:t>
                    </w:r>
                  </w:p>
                </w:tc>
                <w:tc>
                  <w:tcPr>
                    <w:tcW w:w="1417" w:type="dxa"/>
                    <w:shd w:val="clear" w:color="auto" w:fill="FFFFFF" w:themeFill="background1"/>
                  </w:tcPr>
                  <w:p>
                    <w:pPr>
                      <w:jc w:val="center"/>
                      <w:rPr>
                        <w:iCs/>
                        <w:sz w:val="20"/>
                      </w:rPr>
                    </w:pPr>
                    <w:r>
                      <w:rPr>
                        <w:bCs/>
                        <w:sz w:val="20"/>
                      </w:rPr>
                      <w:t>EGADP</w:t>
                    </w:r>
                  </w:p>
                </w:tc>
              </w:tr>
              <w:tr>
                <w:trPr>
                  <w:trHeight w:val="330"/>
                </w:trPr>
                <w:tc>
                  <w:tcPr>
                    <w:tcW w:w="1418" w:type="dxa"/>
                    <w:shd w:val="clear" w:color="auto" w:fill="FFFFFF" w:themeFill="background1"/>
                  </w:tcPr>
                  <w:p>
                    <w:pPr>
                      <w:spacing w:line="276" w:lineRule="auto"/>
                      <w:rPr>
                        <w:sz w:val="20"/>
                      </w:rPr>
                    </w:pPr>
                    <w:r>
                      <w:rPr>
                        <w:sz w:val="20"/>
                      </w:rPr>
                      <w:t>P-11-002-02-11-01-46</w:t>
                    </w:r>
                  </w:p>
                </w:tc>
                <w:tc>
                  <w:tcPr>
                    <w:tcW w:w="1134" w:type="dxa"/>
                    <w:shd w:val="clear" w:color="auto" w:fill="FFFFFF" w:themeFill="background1"/>
                  </w:tcPr>
                  <w:p>
                    <w:pPr>
                      <w:spacing w:line="276" w:lineRule="auto"/>
                      <w:rPr>
                        <w:sz w:val="20"/>
                      </w:rPr>
                    </w:pPr>
                    <w:r>
                      <w:rPr>
                        <w:iCs/>
                        <w:sz w:val="20"/>
                      </w:rPr>
                      <w:t>Produkto</w:t>
                    </w:r>
                  </w:p>
                </w:tc>
                <w:tc>
                  <w:tcPr>
                    <w:tcW w:w="2693" w:type="dxa"/>
                    <w:shd w:val="clear" w:color="auto" w:fill="FFFFFF" w:themeFill="background1"/>
                  </w:tcPr>
                  <w:p>
                    <w:pPr>
                      <w:spacing w:line="276" w:lineRule="auto"/>
                      <w:rPr>
                        <w:sz w:val="20"/>
                      </w:rPr>
                    </w:pPr>
                    <w:r>
                      <w:rPr>
                        <w:sz w:val="20"/>
                      </w:rPr>
                      <w:t xml:space="preserve">Pažangiosios terapijos centro pastato statybos darbų viešojo pirkimo procedūrų užbaigimas </w:t>
                    </w:r>
                  </w:p>
                </w:tc>
                <w:tc>
                  <w:tcPr>
                    <w:tcW w:w="1134" w:type="dxa"/>
                    <w:shd w:val="clear" w:color="auto" w:fill="FFFFFF" w:themeFill="background1"/>
                  </w:tcPr>
                  <w:p>
                    <w:pPr>
                      <w:spacing w:line="276" w:lineRule="auto"/>
                      <w:jc w:val="center"/>
                      <w:rPr>
                        <w:sz w:val="20"/>
                      </w:rPr>
                    </w:pPr>
                    <w:r>
                      <w:rPr>
                        <w:sz w:val="20"/>
                      </w:rPr>
                      <w:t>Vnt.</w:t>
                    </w:r>
                  </w:p>
                </w:tc>
                <w:tc>
                  <w:tcPr>
                    <w:tcW w:w="1134" w:type="dxa"/>
                    <w:shd w:val="clear" w:color="auto" w:fill="FFFFFF" w:themeFill="background1"/>
                  </w:tcPr>
                  <w:p>
                    <w:pPr>
                      <w:spacing w:line="276" w:lineRule="auto"/>
                      <w:jc w:val="center"/>
                      <w:rPr>
                        <w:sz w:val="20"/>
                      </w:rPr>
                    </w:pPr>
                    <w:r>
                      <w:rPr>
                        <w:sz w:val="20"/>
                      </w:rPr>
                      <w:t>n/d</w:t>
                    </w:r>
                  </w:p>
                </w:tc>
                <w:tc>
                  <w:tcPr>
                    <w:tcW w:w="992" w:type="dxa"/>
                    <w:shd w:val="clear" w:color="auto" w:fill="FFFFFF" w:themeFill="background1"/>
                  </w:tcPr>
                  <w:p>
                    <w:pPr>
                      <w:jc w:val="center"/>
                      <w:rPr>
                        <w:sz w:val="20"/>
                      </w:rPr>
                    </w:pPr>
                    <w:r>
                      <w:rPr>
                        <w:sz w:val="20"/>
                      </w:rPr>
                      <w:t>n/d</w:t>
                    </w:r>
                  </w:p>
                </w:tc>
                <w:tc>
                  <w:tcPr>
                    <w:tcW w:w="1135" w:type="dxa"/>
                    <w:shd w:val="clear" w:color="auto" w:fill="FFFFFF" w:themeFill="background1"/>
                  </w:tcPr>
                  <w:p>
                    <w:pPr>
                      <w:jc w:val="center"/>
                      <w:rPr>
                        <w:sz w:val="20"/>
                      </w:rPr>
                    </w:pPr>
                    <w:r>
                      <w:rPr>
                        <w:sz w:val="20"/>
                      </w:rPr>
                      <w:t>1</w:t>
                    </w:r>
                  </w:p>
                  <w:p>
                    <w:pPr>
                      <w:jc w:val="center"/>
                      <w:rPr>
                        <w:sz w:val="20"/>
                      </w:rPr>
                    </w:pPr>
                    <w:r>
                      <w:rPr>
                        <w:sz w:val="20"/>
                      </w:rPr>
                      <w:t>(2022 m. IV ketv.)</w:t>
                    </w:r>
                  </w:p>
                </w:tc>
                <w:tc>
                  <w:tcPr>
                    <w:tcW w:w="1417" w:type="dxa"/>
                    <w:shd w:val="clear" w:color="auto" w:fill="FFFFFF" w:themeFill="background1"/>
                  </w:tcPr>
                  <w:p>
                    <w:pPr>
                      <w:spacing w:line="276" w:lineRule="auto"/>
                      <w:jc w:val="center"/>
                      <w:rPr>
                        <w:sz w:val="20"/>
                      </w:rPr>
                    </w:pPr>
                    <w:r>
                      <w:rPr>
                        <w:bCs/>
                        <w:sz w:val="20"/>
                      </w:rPr>
                      <w:t>EGADP</w:t>
                    </w:r>
                  </w:p>
                </w:tc>
              </w:tr>
              <w:tr>
                <w:trPr>
                  <w:trHeight w:val="330"/>
                </w:trPr>
                <w:tc>
                  <w:tcPr>
                    <w:tcW w:w="1418" w:type="dxa"/>
                    <w:shd w:val="clear" w:color="auto" w:fill="FFFFFF" w:themeFill="background1"/>
                  </w:tcPr>
                  <w:p>
                    <w:pPr>
                      <w:spacing w:line="276" w:lineRule="auto"/>
                      <w:rPr>
                        <w:sz w:val="20"/>
                      </w:rPr>
                    </w:pPr>
                    <w:r>
                      <w:rPr>
                        <w:sz w:val="20"/>
                      </w:rPr>
                      <w:t>P-11-002-02-11-01-47</w:t>
                    </w:r>
                  </w:p>
                </w:tc>
                <w:tc>
                  <w:tcPr>
                    <w:tcW w:w="1134" w:type="dxa"/>
                    <w:shd w:val="clear" w:color="auto" w:fill="FFFFFF" w:themeFill="background1"/>
                  </w:tcPr>
                  <w:p>
                    <w:pPr>
                      <w:spacing w:line="276" w:lineRule="auto"/>
                      <w:rPr>
                        <w:sz w:val="20"/>
                      </w:rPr>
                    </w:pPr>
                    <w:r>
                      <w:rPr>
                        <w:sz w:val="20"/>
                      </w:rPr>
                      <w:t>Produkto</w:t>
                    </w:r>
                  </w:p>
                </w:tc>
                <w:tc>
                  <w:tcPr>
                    <w:tcW w:w="2693" w:type="dxa"/>
                    <w:shd w:val="clear" w:color="auto" w:fill="FFFFFF" w:themeFill="background1"/>
                  </w:tcPr>
                  <w:p>
                    <w:pPr>
                      <w:spacing w:line="276" w:lineRule="auto"/>
                      <w:rPr>
                        <w:sz w:val="20"/>
                      </w:rPr>
                    </w:pPr>
                    <w:r>
                      <w:rPr>
                        <w:sz w:val="20"/>
                      </w:rPr>
                      <w:t xml:space="preserve">Sukurtas pažangios terapijos centras </w:t>
                    </w:r>
                  </w:p>
                </w:tc>
                <w:tc>
                  <w:tcPr>
                    <w:tcW w:w="1134" w:type="dxa"/>
                    <w:shd w:val="clear" w:color="auto" w:fill="FFFFFF" w:themeFill="background1"/>
                  </w:tcPr>
                  <w:p>
                    <w:pPr>
                      <w:spacing w:line="276" w:lineRule="auto"/>
                      <w:jc w:val="center"/>
                      <w:rPr>
                        <w:sz w:val="20"/>
                      </w:rPr>
                    </w:pPr>
                    <w:r>
                      <w:rPr>
                        <w:sz w:val="20"/>
                      </w:rPr>
                      <w:t>Vnt.</w:t>
                    </w:r>
                  </w:p>
                </w:tc>
                <w:tc>
                  <w:tcPr>
                    <w:tcW w:w="1134" w:type="dxa"/>
                    <w:shd w:val="clear" w:color="auto" w:fill="FFFFFF" w:themeFill="background1"/>
                  </w:tcPr>
                  <w:p>
                    <w:pPr>
                      <w:jc w:val="center"/>
                      <w:rPr>
                        <w:sz w:val="20"/>
                      </w:rPr>
                    </w:pPr>
                    <w:r>
                      <w:rPr>
                        <w:sz w:val="20"/>
                      </w:rPr>
                      <w:t>n/d</w:t>
                    </w:r>
                  </w:p>
                </w:tc>
                <w:tc>
                  <w:tcPr>
                    <w:tcW w:w="992" w:type="dxa"/>
                    <w:shd w:val="clear" w:color="auto" w:fill="FFFFFF" w:themeFill="background1"/>
                  </w:tcPr>
                  <w:p>
                    <w:pPr>
                      <w:jc w:val="center"/>
                      <w:rPr>
                        <w:sz w:val="20"/>
                      </w:rPr>
                    </w:pPr>
                    <w:r>
                      <w:rPr>
                        <w:sz w:val="20"/>
                      </w:rPr>
                      <w:t>n/d</w:t>
                    </w:r>
                  </w:p>
                </w:tc>
                <w:tc>
                  <w:tcPr>
                    <w:tcW w:w="1135" w:type="dxa"/>
                    <w:shd w:val="clear" w:color="auto" w:fill="FFFFFF" w:themeFill="background1"/>
                  </w:tcPr>
                  <w:p>
                    <w:pPr>
                      <w:jc w:val="center"/>
                      <w:rPr>
                        <w:sz w:val="20"/>
                      </w:rPr>
                    </w:pPr>
                    <w:r>
                      <w:rPr>
                        <w:sz w:val="20"/>
                      </w:rPr>
                      <w:t>1</w:t>
                    </w:r>
                  </w:p>
                  <w:p>
                    <w:pPr>
                      <w:jc w:val="center"/>
                      <w:rPr>
                        <w:sz w:val="20"/>
                      </w:rPr>
                    </w:pPr>
                    <w:r>
                      <w:rPr>
                        <w:sz w:val="20"/>
                      </w:rPr>
                      <w:t>(2025 m. IV ketv.)</w:t>
                    </w:r>
                  </w:p>
                </w:tc>
                <w:tc>
                  <w:tcPr>
                    <w:tcW w:w="1417" w:type="dxa"/>
                    <w:shd w:val="clear" w:color="auto" w:fill="FFFFFF" w:themeFill="background1"/>
                  </w:tcPr>
                  <w:p>
                    <w:pPr>
                      <w:spacing w:line="276" w:lineRule="auto"/>
                      <w:jc w:val="center"/>
                      <w:rPr>
                        <w:iCs/>
                        <w:sz w:val="20"/>
                      </w:rPr>
                    </w:pPr>
                    <w:r>
                      <w:rPr>
                        <w:bCs/>
                        <w:sz w:val="20"/>
                      </w:rPr>
                      <w:t>EGADP</w:t>
                    </w:r>
                  </w:p>
                </w:tc>
              </w:tr>
              <w:tr>
                <w:trPr>
                  <w:trHeight w:val="889"/>
                </w:trPr>
                <w:tc>
                  <w:tcPr>
                    <w:tcW w:w="1418" w:type="dxa"/>
                    <w:shd w:val="clear" w:color="auto" w:fill="FFFFFF" w:themeFill="background1"/>
                  </w:tcPr>
                  <w:p>
                    <w:pPr>
                      <w:rPr>
                        <w:sz w:val="20"/>
                      </w:rPr>
                    </w:pPr>
                    <w:r>
                      <w:rPr>
                        <w:sz w:val="20"/>
                      </w:rPr>
                      <w:t>P-11-002-02-11-01-48</w:t>
                    </w:r>
                  </w:p>
                </w:tc>
                <w:tc>
                  <w:tcPr>
                    <w:tcW w:w="1134" w:type="dxa"/>
                    <w:shd w:val="clear" w:color="auto" w:fill="FFFFFF" w:themeFill="background1"/>
                  </w:tcPr>
                  <w:p>
                    <w:pPr>
                      <w:rPr>
                        <w:sz w:val="20"/>
                      </w:rPr>
                    </w:pPr>
                    <w:r>
                      <w:rPr>
                        <w:iCs/>
                        <w:sz w:val="20"/>
                      </w:rPr>
                      <w:t>Produkto</w:t>
                    </w:r>
                  </w:p>
                </w:tc>
                <w:tc>
                  <w:tcPr>
                    <w:tcW w:w="2693" w:type="dxa"/>
                    <w:shd w:val="clear" w:color="auto" w:fill="FFFFFF" w:themeFill="background1"/>
                  </w:tcPr>
                  <w:p>
                    <w:pPr>
                      <w:rPr>
                        <w:sz w:val="20"/>
                      </w:rPr>
                    </w:pPr>
                    <w:r>
                      <w:rPr>
                        <w:color w:val="000000"/>
                        <w:sz w:val="20"/>
                        <w:lang w:eastAsia="lt-LT"/>
                      </w:rPr>
                      <w:t xml:space="preserve">Patvirtinti teisės aktai dėl genomo tyrimų </w:t>
                    </w:r>
                  </w:p>
                </w:tc>
                <w:tc>
                  <w:tcPr>
                    <w:tcW w:w="1134" w:type="dxa"/>
                    <w:shd w:val="clear" w:color="auto" w:fill="FFFFFF" w:themeFill="background1"/>
                  </w:tcPr>
                  <w:p>
                    <w:pPr>
                      <w:jc w:val="center"/>
                      <w:rPr>
                        <w:sz w:val="20"/>
                      </w:rPr>
                    </w:pPr>
                    <w:r>
                      <w:rPr>
                        <w:sz w:val="20"/>
                      </w:rPr>
                      <w:t>Vnt.</w:t>
                    </w:r>
                  </w:p>
                </w:tc>
                <w:tc>
                  <w:tcPr>
                    <w:tcW w:w="1134" w:type="dxa"/>
                    <w:shd w:val="clear" w:color="auto" w:fill="FFFFFF" w:themeFill="background1"/>
                  </w:tcPr>
                  <w:p>
                    <w:pPr>
                      <w:jc w:val="center"/>
                      <w:rPr>
                        <w:sz w:val="20"/>
                      </w:rPr>
                    </w:pPr>
                    <w:r>
                      <w:rPr>
                        <w:sz w:val="20"/>
                      </w:rPr>
                      <w:t>n/d</w:t>
                    </w:r>
                  </w:p>
                </w:tc>
                <w:tc>
                  <w:tcPr>
                    <w:tcW w:w="992" w:type="dxa"/>
                    <w:shd w:val="clear" w:color="auto" w:fill="FFFFFF" w:themeFill="background1"/>
                  </w:tcPr>
                  <w:p>
                    <w:pPr>
                      <w:jc w:val="center"/>
                      <w:rPr>
                        <w:sz w:val="20"/>
                      </w:rPr>
                    </w:pPr>
                    <w:r>
                      <w:rPr>
                        <w:sz w:val="20"/>
                      </w:rPr>
                      <w:t>n/d</w:t>
                    </w:r>
                  </w:p>
                </w:tc>
                <w:tc>
                  <w:tcPr>
                    <w:tcW w:w="1135" w:type="dxa"/>
                    <w:shd w:val="clear" w:color="auto" w:fill="FFFFFF" w:themeFill="background1"/>
                  </w:tcPr>
                  <w:p>
                    <w:pPr>
                      <w:jc w:val="center"/>
                      <w:rPr>
                        <w:sz w:val="20"/>
                      </w:rPr>
                    </w:pPr>
                    <w:r>
                      <w:rPr>
                        <w:sz w:val="20"/>
                      </w:rPr>
                      <w:t>1</w:t>
                    </w:r>
                  </w:p>
                  <w:p>
                    <w:pPr>
                      <w:jc w:val="center"/>
                      <w:rPr>
                        <w:sz w:val="20"/>
                      </w:rPr>
                    </w:pPr>
                    <w:r>
                      <w:rPr>
                        <w:sz w:val="20"/>
                      </w:rPr>
                      <w:t>(2023 m. II ketv.)</w:t>
                    </w:r>
                  </w:p>
                </w:tc>
                <w:tc>
                  <w:tcPr>
                    <w:tcW w:w="1417" w:type="dxa"/>
                    <w:shd w:val="clear" w:color="auto" w:fill="FFFFFF" w:themeFill="background1"/>
                  </w:tcPr>
                  <w:p>
                    <w:pPr>
                      <w:jc w:val="center"/>
                      <w:rPr>
                        <w:bCs/>
                        <w:sz w:val="20"/>
                      </w:rPr>
                    </w:pPr>
                    <w:r>
                      <w:rPr>
                        <w:bCs/>
                        <w:sz w:val="20"/>
                      </w:rPr>
                      <w:t>EGADP</w:t>
                    </w:r>
                  </w:p>
                </w:tc>
              </w:tr>
              <w:tr>
                <w:trPr>
                  <w:trHeight w:val="330"/>
                </w:trPr>
                <w:tc>
                  <w:tcPr>
                    <w:tcW w:w="1418" w:type="dxa"/>
                    <w:shd w:val="clear" w:color="auto" w:fill="FFFFFF" w:themeFill="background1"/>
                  </w:tcPr>
                  <w:p>
                    <w:pPr>
                      <w:rPr>
                        <w:sz w:val="20"/>
                      </w:rPr>
                    </w:pPr>
                    <w:r>
                      <w:rPr>
                        <w:sz w:val="20"/>
                      </w:rPr>
                      <w:t>P-11-002-02-11-01-49</w:t>
                    </w:r>
                  </w:p>
                </w:tc>
                <w:tc>
                  <w:tcPr>
                    <w:tcW w:w="1134" w:type="dxa"/>
                    <w:shd w:val="clear" w:color="auto" w:fill="FFFFFF" w:themeFill="background1"/>
                  </w:tcPr>
                  <w:p>
                    <w:pPr>
                      <w:rPr>
                        <w:sz w:val="20"/>
                      </w:rPr>
                    </w:pPr>
                    <w:r>
                      <w:rPr>
                        <w:sz w:val="20"/>
                      </w:rPr>
                      <w:t>Produkto</w:t>
                    </w:r>
                  </w:p>
                </w:tc>
                <w:tc>
                  <w:tcPr>
                    <w:tcW w:w="2693" w:type="dxa"/>
                    <w:shd w:val="clear" w:color="auto" w:fill="FFFFFF" w:themeFill="background1"/>
                  </w:tcPr>
                  <w:p>
                    <w:pPr>
                      <w:jc w:val="both"/>
                      <w:rPr>
                        <w:sz w:val="20"/>
                      </w:rPr>
                    </w:pPr>
                    <w:r>
                      <w:rPr>
                        <w:sz w:val="20"/>
                      </w:rPr>
                      <w:t xml:space="preserve">Atliktų viso žmogaus genomo sekos nustatymo tyrimų skaičius </w:t>
                    </w:r>
                  </w:p>
                </w:tc>
                <w:tc>
                  <w:tcPr>
                    <w:tcW w:w="1134" w:type="dxa"/>
                    <w:shd w:val="clear" w:color="auto" w:fill="FFFFFF" w:themeFill="background1"/>
                  </w:tcPr>
                  <w:p>
                    <w:pPr>
                      <w:jc w:val="center"/>
                      <w:rPr>
                        <w:sz w:val="20"/>
                      </w:rPr>
                    </w:pPr>
                    <w:r>
                      <w:rPr>
                        <w:sz w:val="20"/>
                      </w:rPr>
                      <w:t>Vnt.</w:t>
                    </w:r>
                  </w:p>
                </w:tc>
                <w:tc>
                  <w:tcPr>
                    <w:tcW w:w="1134" w:type="dxa"/>
                    <w:shd w:val="clear" w:color="auto" w:fill="FFFFFF" w:themeFill="background1"/>
                  </w:tcPr>
                  <w:p>
                    <w:pPr>
                      <w:jc w:val="center"/>
                      <w:rPr>
                        <w:sz w:val="20"/>
                      </w:rPr>
                    </w:pPr>
                    <w:r>
                      <w:rPr>
                        <w:sz w:val="20"/>
                      </w:rPr>
                      <w:t>0</w:t>
                    </w:r>
                  </w:p>
                  <w:p>
                    <w:pPr>
                      <w:jc w:val="center"/>
                      <w:rPr>
                        <w:sz w:val="20"/>
                      </w:rPr>
                    </w:pPr>
                    <w:r>
                      <w:rPr>
                        <w:sz w:val="20"/>
                      </w:rPr>
                      <w:t>(2021 m.)</w:t>
                    </w:r>
                  </w:p>
                </w:tc>
                <w:tc>
                  <w:tcPr>
                    <w:tcW w:w="992" w:type="dxa"/>
                    <w:shd w:val="clear" w:color="auto" w:fill="FFFFFF" w:themeFill="background1"/>
                  </w:tcPr>
                  <w:p>
                    <w:pPr>
                      <w:jc w:val="center"/>
                      <w:rPr>
                        <w:sz w:val="20"/>
                      </w:rPr>
                    </w:pPr>
                    <w:r>
                      <w:rPr>
                        <w:sz w:val="20"/>
                      </w:rPr>
                      <w:t>750</w:t>
                    </w:r>
                  </w:p>
                  <w:p>
                    <w:pPr>
                      <w:jc w:val="center"/>
                      <w:rPr>
                        <w:sz w:val="20"/>
                      </w:rPr>
                    </w:pPr>
                    <w:r>
                      <w:rPr>
                        <w:sz w:val="20"/>
                      </w:rPr>
                      <w:t>(2025 m.</w:t>
                    </w:r>
                  </w:p>
                  <w:p>
                    <w:pPr>
                      <w:jc w:val="center"/>
                      <w:rPr>
                        <w:sz w:val="20"/>
                      </w:rPr>
                    </w:pPr>
                    <w:r>
                      <w:rPr>
                        <w:sz w:val="20"/>
                      </w:rPr>
                      <w:t>II ketv.)</w:t>
                    </w:r>
                  </w:p>
                  <w:p>
                    <w:pPr>
                      <w:jc w:val="center"/>
                      <w:rPr>
                        <w:sz w:val="20"/>
                      </w:rPr>
                    </w:pPr>
                  </w:p>
                </w:tc>
                <w:tc>
                  <w:tcPr>
                    <w:tcW w:w="1135" w:type="dxa"/>
                    <w:shd w:val="clear" w:color="auto" w:fill="FFFFFF" w:themeFill="background1"/>
                  </w:tcPr>
                  <w:p>
                    <w:pPr>
                      <w:jc w:val="center"/>
                      <w:rPr>
                        <w:sz w:val="20"/>
                      </w:rPr>
                    </w:pPr>
                    <w:r>
                      <w:rPr>
                        <w:sz w:val="20"/>
                      </w:rPr>
                      <w:t>1 570</w:t>
                    </w:r>
                  </w:p>
                  <w:p>
                    <w:pPr>
                      <w:jc w:val="center"/>
                      <w:rPr>
                        <w:sz w:val="20"/>
                      </w:rPr>
                    </w:pPr>
                    <w:r>
                      <w:rPr>
                        <w:sz w:val="20"/>
                      </w:rPr>
                      <w:t>(2026 m. I ketv.)</w:t>
                    </w:r>
                  </w:p>
                </w:tc>
                <w:tc>
                  <w:tcPr>
                    <w:tcW w:w="1417" w:type="dxa"/>
                    <w:shd w:val="clear" w:color="auto" w:fill="FFFFFF" w:themeFill="background1"/>
                  </w:tcPr>
                  <w:p>
                    <w:pPr>
                      <w:jc w:val="center"/>
                      <w:rPr>
                        <w:sz w:val="20"/>
                      </w:rPr>
                    </w:pPr>
                    <w:r>
                      <w:rPr>
                        <w:bCs/>
                        <w:sz w:val="20"/>
                      </w:rPr>
                      <w:t>EGADP</w:t>
                    </w:r>
                  </w:p>
                </w:tc>
              </w:tr>
              <w:tr>
                <w:trPr>
                  <w:trHeight w:val="330"/>
                </w:trPr>
                <w:tc>
                  <w:tcPr>
                    <w:tcW w:w="1418" w:type="dxa"/>
                    <w:shd w:val="clear" w:color="auto" w:fill="FFFFFF" w:themeFill="background1"/>
                  </w:tcPr>
                  <w:p>
                    <w:pPr>
                      <w:rPr>
                        <w:sz w:val="20"/>
                      </w:rPr>
                    </w:pPr>
                    <w:r>
                      <w:rPr>
                        <w:sz w:val="20"/>
                      </w:rPr>
                      <w:t>P-11-002-02-11-01-50</w:t>
                    </w:r>
                  </w:p>
                </w:tc>
                <w:tc>
                  <w:tcPr>
                    <w:tcW w:w="1134" w:type="dxa"/>
                    <w:shd w:val="clear" w:color="auto" w:fill="FFFFFF" w:themeFill="background1"/>
                  </w:tcPr>
                  <w:p>
                    <w:pPr>
                      <w:rPr>
                        <w:sz w:val="20"/>
                      </w:rPr>
                    </w:pPr>
                    <w:r>
                      <w:rPr>
                        <w:iCs/>
                        <w:sz w:val="20"/>
                      </w:rPr>
                      <w:t>Produkto</w:t>
                    </w:r>
                  </w:p>
                </w:tc>
                <w:tc>
                  <w:tcPr>
                    <w:tcW w:w="2693" w:type="dxa"/>
                    <w:shd w:val="clear" w:color="auto" w:fill="FFFFFF" w:themeFill="background1"/>
                  </w:tcPr>
                  <w:p>
                    <w:pPr>
                      <w:rPr>
                        <w:sz w:val="20"/>
                      </w:rPr>
                    </w:pPr>
                    <w:r>
                      <w:rPr>
                        <w:sz w:val="20"/>
                      </w:rPr>
                      <w:t xml:space="preserve">Sudarytas  sveikatos priežiūros sistemos informacinių išteklių žemėlapis ir atlikta informacinių  sistemų brandos analizė, įvertinant integralumą su kitomis informacinėmis sistemomis, siekiant sveikatos priežiūros sistemos skaitmeninimo</w:t>
                    </w:r>
                  </w:p>
                </w:tc>
                <w:tc>
                  <w:tcPr>
                    <w:tcW w:w="1134" w:type="dxa"/>
                    <w:shd w:val="clear" w:color="auto" w:fill="FFFFFF" w:themeFill="background1"/>
                  </w:tcPr>
                  <w:p>
                    <w:pPr>
                      <w:jc w:val="center"/>
                      <w:rPr>
                        <w:sz w:val="20"/>
                      </w:rPr>
                    </w:pPr>
                    <w:r>
                      <w:rPr>
                        <w:sz w:val="20"/>
                      </w:rPr>
                      <w:t>Vnt.</w:t>
                    </w:r>
                  </w:p>
                </w:tc>
                <w:tc>
                  <w:tcPr>
                    <w:tcW w:w="1134" w:type="dxa"/>
                    <w:shd w:val="clear" w:color="auto" w:fill="FFFFFF" w:themeFill="background1"/>
                  </w:tcPr>
                  <w:p>
                    <w:pPr>
                      <w:jc w:val="center"/>
                      <w:rPr>
                        <w:sz w:val="20"/>
                      </w:rPr>
                    </w:pPr>
                    <w:r>
                      <w:rPr>
                        <w:sz w:val="20"/>
                      </w:rPr>
                      <w:t>n/d</w:t>
                    </w:r>
                  </w:p>
                </w:tc>
                <w:tc>
                  <w:tcPr>
                    <w:tcW w:w="992" w:type="dxa"/>
                    <w:shd w:val="clear" w:color="auto" w:fill="FFFFFF" w:themeFill="background1"/>
                  </w:tcPr>
                  <w:p>
                    <w:pPr>
                      <w:jc w:val="center"/>
                      <w:rPr>
                        <w:sz w:val="20"/>
                      </w:rPr>
                    </w:pPr>
                    <w:r>
                      <w:rPr>
                        <w:sz w:val="20"/>
                      </w:rPr>
                      <w:t>n/d</w:t>
                    </w:r>
                  </w:p>
                </w:tc>
                <w:tc>
                  <w:tcPr>
                    <w:tcW w:w="1135"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417" w:type="dxa"/>
                    <w:shd w:val="clear" w:color="auto" w:fill="FFFFFF" w:themeFill="background1"/>
                  </w:tcPr>
                  <w:p>
                    <w:pPr>
                      <w:jc w:val="center"/>
                      <w:rPr>
                        <w:bCs/>
                        <w:sz w:val="20"/>
                      </w:rPr>
                    </w:pPr>
                    <w:r>
                      <w:rPr>
                        <w:bCs/>
                        <w:sz w:val="20"/>
                      </w:rPr>
                      <w:t>EGADP</w:t>
                    </w:r>
                  </w:p>
                </w:tc>
              </w:tr>
              <w:tr>
                <w:trPr>
                  <w:trHeight w:val="330"/>
                </w:trPr>
                <w:tc>
                  <w:tcPr>
                    <w:tcW w:w="1418" w:type="dxa"/>
                    <w:shd w:val="clear" w:color="auto" w:fill="FFFFFF" w:themeFill="background1"/>
                  </w:tcPr>
                  <w:p>
                    <w:pPr>
                      <w:rPr>
                        <w:sz w:val="20"/>
                      </w:rPr>
                    </w:pPr>
                    <w:r>
                      <w:rPr>
                        <w:sz w:val="20"/>
                      </w:rPr>
                      <w:t>P-11-002-02-11-01-51</w:t>
                    </w:r>
                  </w:p>
                </w:tc>
                <w:tc>
                  <w:tcPr>
                    <w:tcW w:w="1134" w:type="dxa"/>
                    <w:shd w:val="clear" w:color="auto" w:fill="FFFFFF" w:themeFill="background1"/>
                  </w:tcPr>
                  <w:p>
                    <w:pPr>
                      <w:rPr>
                        <w:sz w:val="20"/>
                      </w:rPr>
                    </w:pPr>
                    <w:r>
                      <w:rPr>
                        <w:sz w:val="20"/>
                      </w:rPr>
                      <w:t>Produkto</w:t>
                    </w:r>
                  </w:p>
                </w:tc>
                <w:tc>
                  <w:tcPr>
                    <w:tcW w:w="2693" w:type="dxa"/>
                    <w:shd w:val="clear" w:color="auto" w:fill="FFFFFF" w:themeFill="background1"/>
                  </w:tcPr>
                  <w:p>
                    <w:pPr>
                      <w:rPr>
                        <w:sz w:val="20"/>
                      </w:rPr>
                    </w:pPr>
                    <w:r>
                      <w:rPr>
                        <w:sz w:val="20"/>
                      </w:rPr>
                      <w:t xml:space="preserve">Įsigalioję teisės aktai, reglamentuojantys pakartotinį  sveikatos duomenų naudojimą </w:t>
                    </w:r>
                  </w:p>
                </w:tc>
                <w:tc>
                  <w:tcPr>
                    <w:tcW w:w="1134" w:type="dxa"/>
                    <w:shd w:val="clear" w:color="auto" w:fill="FFFFFF" w:themeFill="background1"/>
                  </w:tcPr>
                  <w:p>
                    <w:pPr>
                      <w:jc w:val="center"/>
                      <w:rPr>
                        <w:sz w:val="20"/>
                      </w:rPr>
                    </w:pPr>
                    <w:r>
                      <w:rPr>
                        <w:sz w:val="20"/>
                      </w:rPr>
                      <w:t>Kompl.</w:t>
                    </w:r>
                  </w:p>
                </w:tc>
                <w:tc>
                  <w:tcPr>
                    <w:tcW w:w="1134" w:type="dxa"/>
                    <w:shd w:val="clear" w:color="auto" w:fill="FFFFFF" w:themeFill="background1"/>
                  </w:tcPr>
                  <w:p>
                    <w:pPr>
                      <w:jc w:val="center"/>
                      <w:rPr>
                        <w:sz w:val="20"/>
                      </w:rPr>
                    </w:pPr>
                    <w:r>
                      <w:rPr>
                        <w:sz w:val="20"/>
                      </w:rPr>
                      <w:t>n/d</w:t>
                    </w:r>
                  </w:p>
                </w:tc>
                <w:tc>
                  <w:tcPr>
                    <w:tcW w:w="992" w:type="dxa"/>
                    <w:shd w:val="clear" w:color="auto" w:fill="FFFFFF" w:themeFill="background1"/>
                  </w:tcPr>
                  <w:p>
                    <w:pPr>
                      <w:jc w:val="center"/>
                      <w:rPr>
                        <w:sz w:val="20"/>
                      </w:rPr>
                    </w:pPr>
                    <w:r>
                      <w:rPr>
                        <w:sz w:val="20"/>
                      </w:rPr>
                      <w:t>n/d</w:t>
                    </w:r>
                  </w:p>
                </w:tc>
                <w:tc>
                  <w:tcPr>
                    <w:tcW w:w="1135"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417" w:type="dxa"/>
                    <w:shd w:val="clear" w:color="auto" w:fill="FFFFFF" w:themeFill="background1"/>
                  </w:tcPr>
                  <w:p>
                    <w:pPr>
                      <w:jc w:val="center"/>
                      <w:rPr>
                        <w:sz w:val="20"/>
                      </w:rPr>
                    </w:pPr>
                    <w:r>
                      <w:rPr>
                        <w:bCs/>
                        <w:sz w:val="20"/>
                      </w:rPr>
                      <w:t>EGADP</w:t>
                    </w:r>
                  </w:p>
                </w:tc>
              </w:tr>
              <w:tr>
                <w:trPr>
                  <w:trHeight w:val="330"/>
                </w:trPr>
                <w:tc>
                  <w:tcPr>
                    <w:tcW w:w="1418" w:type="dxa"/>
                    <w:shd w:val="clear" w:color="auto" w:fill="FFFFFF" w:themeFill="background1"/>
                  </w:tcPr>
                  <w:p>
                    <w:pPr>
                      <w:rPr>
                        <w:sz w:val="20"/>
                      </w:rPr>
                    </w:pPr>
                    <w:r>
                      <w:rPr>
                        <w:sz w:val="20"/>
                      </w:rPr>
                      <w:t>P-11-002-02-11-01-52</w:t>
                    </w:r>
                  </w:p>
                </w:tc>
                <w:tc>
                  <w:tcPr>
                    <w:tcW w:w="1134" w:type="dxa"/>
                    <w:shd w:val="clear" w:color="auto" w:fill="FFFFFF" w:themeFill="background1"/>
                  </w:tcPr>
                  <w:p>
                    <w:pPr>
                      <w:rPr>
                        <w:sz w:val="20"/>
                      </w:rPr>
                    </w:pPr>
                    <w:r>
                      <w:rPr>
                        <w:iCs/>
                        <w:sz w:val="20"/>
                      </w:rPr>
                      <w:t>Produkto</w:t>
                    </w:r>
                  </w:p>
                </w:tc>
                <w:tc>
                  <w:tcPr>
                    <w:tcW w:w="2693" w:type="dxa"/>
                    <w:shd w:val="clear" w:color="auto" w:fill="FFFFFF" w:themeFill="background1"/>
                  </w:tcPr>
                  <w:p>
                    <w:pPr>
                      <w:rPr>
                        <w:sz w:val="20"/>
                      </w:rPr>
                    </w:pPr>
                    <w:r>
                      <w:rPr>
                        <w:sz w:val="20"/>
                        <w:lang w:eastAsia="lt-LT"/>
                      </w:rPr>
                      <w:t>Atviros viešųjų pirkimų procedūros, skirtos sveikatos priežiūros specialistų gebėjimų platformos informacinių technologijų priemonei įdiegti, užbaigimas</w:t>
                    </w:r>
                  </w:p>
                </w:tc>
                <w:tc>
                  <w:tcPr>
                    <w:tcW w:w="1134" w:type="dxa"/>
                    <w:shd w:val="clear" w:color="auto" w:fill="FFFFFF" w:themeFill="background1"/>
                  </w:tcPr>
                  <w:p>
                    <w:pPr>
                      <w:jc w:val="center"/>
                      <w:rPr>
                        <w:sz w:val="20"/>
                      </w:rPr>
                    </w:pPr>
                    <w:r>
                      <w:rPr>
                        <w:sz w:val="20"/>
                      </w:rPr>
                      <w:t>Vnt.</w:t>
                    </w:r>
                  </w:p>
                </w:tc>
                <w:tc>
                  <w:tcPr>
                    <w:tcW w:w="1134" w:type="dxa"/>
                    <w:shd w:val="clear" w:color="auto" w:fill="FFFFFF" w:themeFill="background1"/>
                  </w:tcPr>
                  <w:p>
                    <w:pPr>
                      <w:jc w:val="center"/>
                      <w:rPr>
                        <w:sz w:val="20"/>
                      </w:rPr>
                    </w:pPr>
                    <w:r>
                      <w:rPr>
                        <w:sz w:val="20"/>
                      </w:rPr>
                      <w:t>n/d</w:t>
                    </w:r>
                  </w:p>
                </w:tc>
                <w:tc>
                  <w:tcPr>
                    <w:tcW w:w="992" w:type="dxa"/>
                    <w:shd w:val="clear" w:color="auto" w:fill="FFFFFF" w:themeFill="background1"/>
                  </w:tcPr>
                  <w:p>
                    <w:pPr>
                      <w:jc w:val="center"/>
                      <w:rPr>
                        <w:sz w:val="20"/>
                      </w:rPr>
                    </w:pPr>
                    <w:r>
                      <w:rPr>
                        <w:sz w:val="20"/>
                      </w:rPr>
                      <w:t>n/d</w:t>
                    </w:r>
                  </w:p>
                </w:tc>
                <w:tc>
                  <w:tcPr>
                    <w:tcW w:w="1135" w:type="dxa"/>
                    <w:shd w:val="clear" w:color="auto" w:fill="FFFFFF" w:themeFill="background1"/>
                  </w:tcPr>
                  <w:p>
                    <w:pPr>
                      <w:jc w:val="center"/>
                      <w:rPr>
                        <w:sz w:val="20"/>
                      </w:rPr>
                    </w:pPr>
                    <w:r>
                      <w:rPr>
                        <w:sz w:val="20"/>
                      </w:rPr>
                      <w:t>1</w:t>
                    </w:r>
                  </w:p>
                  <w:p>
                    <w:pPr>
                      <w:jc w:val="center"/>
                      <w:rPr>
                        <w:sz w:val="20"/>
                      </w:rPr>
                    </w:pPr>
                    <w:r>
                      <w:rPr>
                        <w:sz w:val="20"/>
                      </w:rPr>
                      <w:t>(2022 m. IV ketv.)</w:t>
                    </w:r>
                  </w:p>
                </w:tc>
                <w:tc>
                  <w:tcPr>
                    <w:tcW w:w="1417" w:type="dxa"/>
                    <w:shd w:val="clear" w:color="auto" w:fill="FFFFFF" w:themeFill="background1"/>
                  </w:tcPr>
                  <w:p>
                    <w:pPr>
                      <w:jc w:val="center"/>
                      <w:rPr>
                        <w:bCs/>
                        <w:sz w:val="20"/>
                      </w:rPr>
                    </w:pPr>
                    <w:r>
                      <w:rPr>
                        <w:bCs/>
                        <w:sz w:val="20"/>
                      </w:rPr>
                      <w:t>EGADP</w:t>
                    </w:r>
                  </w:p>
                </w:tc>
              </w:tr>
              <w:tr>
                <w:trPr>
                  <w:trHeight w:val="330"/>
                </w:trPr>
                <w:tc>
                  <w:tcPr>
                    <w:tcW w:w="1418" w:type="dxa"/>
                    <w:shd w:val="clear" w:color="auto" w:fill="FFFFFF" w:themeFill="background1"/>
                  </w:tcPr>
                  <w:p>
                    <w:pPr>
                      <w:rPr>
                        <w:sz w:val="20"/>
                      </w:rPr>
                    </w:pPr>
                    <w:r>
                      <w:rPr>
                        <w:sz w:val="20"/>
                      </w:rPr>
                      <w:t>P-11-002-02-11-01-53</w:t>
                    </w:r>
                  </w:p>
                </w:tc>
                <w:tc>
                  <w:tcPr>
                    <w:tcW w:w="1134" w:type="dxa"/>
                    <w:shd w:val="clear" w:color="auto" w:fill="FFFFFF" w:themeFill="background1"/>
                  </w:tcPr>
                  <w:p>
                    <w:pPr>
                      <w:rPr>
                        <w:iCs/>
                        <w:sz w:val="20"/>
                      </w:rPr>
                    </w:pPr>
                    <w:r>
                      <w:rPr>
                        <w:iCs/>
                        <w:sz w:val="20"/>
                      </w:rPr>
                      <w:t>Produkto</w:t>
                    </w:r>
                  </w:p>
                </w:tc>
                <w:tc>
                  <w:tcPr>
                    <w:tcW w:w="2693" w:type="dxa"/>
                    <w:shd w:val="clear" w:color="auto" w:fill="FFFFFF" w:themeFill="background1"/>
                  </w:tcPr>
                  <w:p>
                    <w:pPr>
                      <w:rPr>
                        <w:sz w:val="20"/>
                      </w:rPr>
                    </w:pPr>
                    <w:r>
                      <w:rPr>
                        <w:sz w:val="20"/>
                      </w:rPr>
                      <w:t>Sveikatos priežiūros specialistų kompetencijų platformos sukūrimas</w:t>
                    </w:r>
                  </w:p>
                </w:tc>
                <w:tc>
                  <w:tcPr>
                    <w:tcW w:w="1134" w:type="dxa"/>
                    <w:shd w:val="clear" w:color="auto" w:fill="FFFFFF" w:themeFill="background1"/>
                  </w:tcPr>
                  <w:p>
                    <w:pPr>
                      <w:jc w:val="center"/>
                      <w:rPr>
                        <w:sz w:val="20"/>
                      </w:rPr>
                    </w:pPr>
                    <w:r>
                      <w:rPr>
                        <w:sz w:val="20"/>
                      </w:rPr>
                      <w:t>Vnt.</w:t>
                    </w:r>
                  </w:p>
                </w:tc>
                <w:tc>
                  <w:tcPr>
                    <w:tcW w:w="1134" w:type="dxa"/>
                    <w:shd w:val="clear" w:color="auto" w:fill="FFFFFF" w:themeFill="background1"/>
                  </w:tcPr>
                  <w:p>
                    <w:pPr>
                      <w:jc w:val="center"/>
                      <w:rPr>
                        <w:sz w:val="20"/>
                      </w:rPr>
                    </w:pPr>
                    <w:r>
                      <w:rPr>
                        <w:sz w:val="20"/>
                      </w:rPr>
                      <w:t>n/d</w:t>
                    </w:r>
                  </w:p>
                </w:tc>
                <w:tc>
                  <w:tcPr>
                    <w:tcW w:w="992" w:type="dxa"/>
                    <w:shd w:val="clear" w:color="auto" w:fill="FFFFFF" w:themeFill="background1"/>
                  </w:tcPr>
                  <w:p>
                    <w:pPr>
                      <w:jc w:val="center"/>
                      <w:rPr>
                        <w:sz w:val="20"/>
                      </w:rPr>
                    </w:pPr>
                    <w:r>
                      <w:rPr>
                        <w:sz w:val="20"/>
                      </w:rPr>
                      <w:t>n/d</w:t>
                    </w:r>
                  </w:p>
                </w:tc>
                <w:tc>
                  <w:tcPr>
                    <w:tcW w:w="1135" w:type="dxa"/>
                    <w:shd w:val="clear" w:color="auto" w:fill="FFFFFF" w:themeFill="background1"/>
                  </w:tcPr>
                  <w:p>
                    <w:pPr>
                      <w:jc w:val="center"/>
                      <w:rPr>
                        <w:sz w:val="20"/>
                      </w:rPr>
                    </w:pPr>
                    <w:r>
                      <w:rPr>
                        <w:sz w:val="20"/>
                      </w:rPr>
                      <w:t>1</w:t>
                    </w:r>
                  </w:p>
                  <w:p>
                    <w:pPr>
                      <w:jc w:val="center"/>
                      <w:rPr>
                        <w:sz w:val="20"/>
                      </w:rPr>
                    </w:pPr>
                    <w:r>
                      <w:rPr>
                        <w:sz w:val="20"/>
                      </w:rPr>
                      <w:t>(202</w:t>
                    </w:r>
                    <w:r>
                      <w:rPr>
                        <w:sz w:val="20"/>
                        <w:lang w:val="en-US"/>
                      </w:rPr>
                      <w:t>4</w:t>
                    </w:r>
                    <w:r>
                      <w:rPr>
                        <w:sz w:val="20"/>
                      </w:rPr>
                      <w:t xml:space="preserve"> m. IV ketv.)</w:t>
                    </w:r>
                  </w:p>
                </w:tc>
                <w:tc>
                  <w:tcPr>
                    <w:tcW w:w="1417" w:type="dxa"/>
                    <w:shd w:val="clear" w:color="auto" w:fill="FFFFFF" w:themeFill="background1"/>
                  </w:tcPr>
                  <w:p>
                    <w:pPr>
                      <w:jc w:val="center"/>
                      <w:rPr>
                        <w:sz w:val="20"/>
                      </w:rPr>
                    </w:pPr>
                    <w:r>
                      <w:rPr>
                        <w:sz w:val="20"/>
                      </w:rPr>
                      <w:t>EGADP</w:t>
                    </w:r>
                  </w:p>
                </w:tc>
              </w:tr>
              <w:tr>
                <w:trPr>
                  <w:trHeight w:val="330"/>
                </w:trPr>
                <w:tc>
                  <w:tcPr>
                    <w:tcW w:w="1418" w:type="dxa"/>
                    <w:shd w:val="clear" w:color="auto" w:fill="FFFFFF" w:themeFill="background1"/>
                  </w:tcPr>
                  <w:p>
                    <w:pPr>
                      <w:rPr>
                        <w:sz w:val="20"/>
                      </w:rPr>
                    </w:pPr>
                    <w:r>
                      <w:rPr>
                        <w:sz w:val="20"/>
                      </w:rPr>
                      <w:t>P-11-002-02-11-01-54</w:t>
                    </w:r>
                  </w:p>
                </w:tc>
                <w:tc>
                  <w:tcPr>
                    <w:tcW w:w="1134" w:type="dxa"/>
                    <w:shd w:val="clear" w:color="auto" w:fill="FFFFFF" w:themeFill="background1"/>
                  </w:tcPr>
                  <w:p>
                    <w:pPr>
                      <w:rPr>
                        <w:sz w:val="20"/>
                      </w:rPr>
                    </w:pPr>
                    <w:r>
                      <w:rPr>
                        <w:sz w:val="20"/>
                      </w:rPr>
                      <w:t>Produkto</w:t>
                    </w:r>
                  </w:p>
                </w:tc>
                <w:tc>
                  <w:tcPr>
                    <w:tcW w:w="2693" w:type="dxa"/>
                    <w:shd w:val="clear" w:color="auto" w:fill="FFFFFF" w:themeFill="background1"/>
                  </w:tcPr>
                  <w:p>
                    <w:pPr>
                      <w:rPr>
                        <w:sz w:val="20"/>
                      </w:rPr>
                    </w:pPr>
                    <w:r>
                      <w:rPr>
                        <w:sz w:val="20"/>
                        <w:lang w:eastAsia="lt-LT"/>
                      </w:rPr>
                      <w:t>Informacinės sistemos (platformos), skirtos sveikatos priežiūros specialistų licencijoms registruoti ir skaitmeninei stebėsenai vykdyti, sukūrimas</w:t>
                    </w:r>
                  </w:p>
                </w:tc>
                <w:tc>
                  <w:tcPr>
                    <w:tcW w:w="1134" w:type="dxa"/>
                    <w:shd w:val="clear" w:color="auto" w:fill="FFFFFF" w:themeFill="background1"/>
                  </w:tcPr>
                  <w:p>
                    <w:pPr>
                      <w:jc w:val="center"/>
                      <w:rPr>
                        <w:sz w:val="20"/>
                      </w:rPr>
                    </w:pPr>
                    <w:r>
                      <w:rPr>
                        <w:sz w:val="20"/>
                      </w:rPr>
                      <w:t>Vnt.</w:t>
                    </w:r>
                  </w:p>
                </w:tc>
                <w:tc>
                  <w:tcPr>
                    <w:tcW w:w="1134" w:type="dxa"/>
                    <w:shd w:val="clear" w:color="auto" w:fill="FFFFFF" w:themeFill="background1"/>
                  </w:tcPr>
                  <w:p>
                    <w:pPr>
                      <w:jc w:val="center"/>
                      <w:rPr>
                        <w:sz w:val="20"/>
                      </w:rPr>
                    </w:pPr>
                    <w:r>
                      <w:rPr>
                        <w:sz w:val="20"/>
                      </w:rPr>
                      <w:t>n/d</w:t>
                    </w:r>
                  </w:p>
                </w:tc>
                <w:tc>
                  <w:tcPr>
                    <w:tcW w:w="992" w:type="dxa"/>
                    <w:shd w:val="clear" w:color="auto" w:fill="FFFFFF" w:themeFill="background1"/>
                  </w:tcPr>
                  <w:p>
                    <w:pPr>
                      <w:jc w:val="center"/>
                      <w:rPr>
                        <w:sz w:val="20"/>
                      </w:rPr>
                    </w:pPr>
                    <w:r>
                      <w:rPr>
                        <w:sz w:val="20"/>
                      </w:rPr>
                      <w:t>n/d</w:t>
                    </w:r>
                  </w:p>
                </w:tc>
                <w:tc>
                  <w:tcPr>
                    <w:tcW w:w="1135" w:type="dxa"/>
                    <w:shd w:val="clear" w:color="auto" w:fill="FFFFFF" w:themeFill="background1"/>
                  </w:tcPr>
                  <w:p>
                    <w:pPr>
                      <w:jc w:val="center"/>
                      <w:rPr>
                        <w:sz w:val="20"/>
                      </w:rPr>
                    </w:pPr>
                    <w:r>
                      <w:rPr>
                        <w:sz w:val="20"/>
                      </w:rPr>
                      <w:t>1</w:t>
                    </w:r>
                  </w:p>
                  <w:p>
                    <w:pPr>
                      <w:jc w:val="center"/>
                      <w:rPr>
                        <w:sz w:val="20"/>
                      </w:rPr>
                    </w:pPr>
                    <w:r>
                      <w:rPr>
                        <w:sz w:val="20"/>
                      </w:rPr>
                      <w:t>(2024 m. I ketv.)</w:t>
                    </w:r>
                  </w:p>
                </w:tc>
                <w:tc>
                  <w:tcPr>
                    <w:tcW w:w="1417" w:type="dxa"/>
                    <w:shd w:val="clear" w:color="auto" w:fill="FFFFFF" w:themeFill="background1"/>
                  </w:tcPr>
                  <w:p>
                    <w:pPr>
                      <w:jc w:val="center"/>
                      <w:rPr>
                        <w:sz w:val="20"/>
                      </w:rPr>
                    </w:pPr>
                    <w:r>
                      <w:rPr>
                        <w:bCs/>
                        <w:sz w:val="20"/>
                      </w:rPr>
                      <w:t>EGADP</w:t>
                    </w:r>
                  </w:p>
                </w:tc>
              </w:tr>
              <w:tr>
                <w:trPr>
                  <w:trHeight w:val="330"/>
                </w:trPr>
                <w:tc>
                  <w:tcPr>
                    <w:tcW w:w="1418" w:type="dxa"/>
                    <w:shd w:val="clear" w:color="auto" w:fill="FFFFFF" w:themeFill="background1"/>
                  </w:tcPr>
                  <w:p>
                    <w:pPr>
                      <w:spacing w:line="276" w:lineRule="auto"/>
                      <w:rPr>
                        <w:sz w:val="20"/>
                      </w:rPr>
                    </w:pPr>
                    <w:r>
                      <w:rPr>
                        <w:sz w:val="20"/>
                      </w:rPr>
                      <w:t>P-11-002-02-11-01-55</w:t>
                    </w:r>
                  </w:p>
                </w:tc>
                <w:tc>
                  <w:tcPr>
                    <w:tcW w:w="1134" w:type="dxa"/>
                    <w:shd w:val="clear" w:color="auto" w:fill="FFFFFF" w:themeFill="background1"/>
                  </w:tcPr>
                  <w:p>
                    <w:pPr>
                      <w:spacing w:line="276" w:lineRule="auto"/>
                      <w:rPr>
                        <w:sz w:val="20"/>
                      </w:rPr>
                    </w:pPr>
                    <w:r>
                      <w:rPr>
                        <w:sz w:val="20"/>
                      </w:rPr>
                      <w:t>Produkto</w:t>
                    </w:r>
                  </w:p>
                </w:tc>
                <w:tc>
                  <w:tcPr>
                    <w:tcW w:w="2693" w:type="dxa"/>
                    <w:shd w:val="clear" w:color="auto" w:fill="FFFFFF" w:themeFill="background1"/>
                  </w:tcPr>
                  <w:p>
                    <w:pPr>
                      <w:rPr>
                        <w:sz w:val="20"/>
                      </w:rPr>
                    </w:pPr>
                    <w:r>
                      <w:rPr>
                        <w:sz w:val="20"/>
                      </w:rPr>
                      <w:t>Atliktų sveikatos sektoriaus analizių skaičius</w:t>
                    </w:r>
                  </w:p>
                </w:tc>
                <w:tc>
                  <w:tcPr>
                    <w:tcW w:w="1134" w:type="dxa"/>
                    <w:shd w:val="clear" w:color="auto" w:fill="FFFFFF" w:themeFill="background1"/>
                  </w:tcPr>
                  <w:p>
                    <w:pPr>
                      <w:spacing w:line="276" w:lineRule="auto"/>
                      <w:jc w:val="center"/>
                      <w:rPr>
                        <w:sz w:val="20"/>
                      </w:rPr>
                    </w:pPr>
                    <w:r>
                      <w:rPr>
                        <w:sz w:val="20"/>
                      </w:rPr>
                      <w:t>Vnt.</w:t>
                    </w:r>
                  </w:p>
                </w:tc>
                <w:tc>
                  <w:tcPr>
                    <w:tcW w:w="1134" w:type="dxa"/>
                    <w:shd w:val="clear" w:color="auto" w:fill="FFFFFF" w:themeFill="background1"/>
                  </w:tcPr>
                  <w:p>
                    <w:pPr>
                      <w:jc w:val="center"/>
                      <w:rPr>
                        <w:sz w:val="20"/>
                      </w:rPr>
                    </w:pPr>
                    <w:r>
                      <w:rPr>
                        <w:sz w:val="20"/>
                      </w:rPr>
                      <w:t>0</w:t>
                    </w:r>
                  </w:p>
                </w:tc>
                <w:tc>
                  <w:tcPr>
                    <w:tcW w:w="992" w:type="dxa"/>
                    <w:shd w:val="clear" w:color="auto" w:fill="FFFFFF" w:themeFill="background1"/>
                  </w:tcPr>
                  <w:p>
                    <w:pPr>
                      <w:jc w:val="center"/>
                      <w:rPr>
                        <w:sz w:val="20"/>
                      </w:rPr>
                    </w:pPr>
                    <w:r>
                      <w:rPr>
                        <w:sz w:val="20"/>
                      </w:rPr>
                      <w:t>6</w:t>
                    </w:r>
                  </w:p>
                  <w:p>
                    <w:pPr>
                      <w:jc w:val="center"/>
                      <w:rPr>
                        <w:sz w:val="20"/>
                      </w:rPr>
                    </w:pPr>
                    <w:r>
                      <w:rPr>
                        <w:sz w:val="20"/>
                      </w:rPr>
                      <w:t>(2022 m.)</w:t>
                    </w:r>
                  </w:p>
                </w:tc>
                <w:tc>
                  <w:tcPr>
                    <w:tcW w:w="1135" w:type="dxa"/>
                    <w:shd w:val="clear" w:color="auto" w:fill="FFFFFF" w:themeFill="background1"/>
                  </w:tcPr>
                  <w:p>
                    <w:pPr>
                      <w:jc w:val="center"/>
                      <w:rPr>
                        <w:sz w:val="20"/>
                        <w:lang w:val="en-US"/>
                      </w:rPr>
                    </w:pPr>
                    <w:r>
                      <w:rPr>
                        <w:sz w:val="20"/>
                        <w:lang w:val="en-US"/>
                      </w:rPr>
                      <w:t>6</w:t>
                    </w:r>
                  </w:p>
                  <w:p>
                    <w:pPr>
                      <w:jc w:val="center"/>
                      <w:rPr>
                        <w:sz w:val="20"/>
                      </w:rPr>
                    </w:pPr>
                    <w:r>
                      <w:rPr>
                        <w:sz w:val="20"/>
                      </w:rPr>
                      <w:t>(2022 m. )</w:t>
                    </w:r>
                  </w:p>
                </w:tc>
                <w:tc>
                  <w:tcPr>
                    <w:tcW w:w="1417" w:type="dxa"/>
                    <w:shd w:val="clear" w:color="auto" w:fill="FFFFFF" w:themeFill="background1"/>
                  </w:tcPr>
                  <w:p>
                    <w:pPr>
                      <w:spacing w:line="276" w:lineRule="auto"/>
                      <w:ind w:firstLine="53"/>
                      <w:jc w:val="center"/>
                      <w:rPr>
                        <w:bCs/>
                        <w:sz w:val="20"/>
                      </w:rPr>
                    </w:pPr>
                    <w:r>
                      <w:rPr>
                        <w:bCs/>
                        <w:sz w:val="20"/>
                      </w:rPr>
                      <w:t>VB</w:t>
                    </w:r>
                  </w:p>
                </w:tc>
              </w:tr>
              <w:tr>
                <w:trPr>
                  <w:trHeight w:val="330"/>
                </w:trPr>
                <w:tc>
                  <w:tcPr>
                    <w:tcW w:w="1418"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R-11-002-02-11-01-56</w:t>
                    </w: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Rezultato</w:t>
                    </w:r>
                  </w:p>
                </w:tc>
                <w:tc>
                  <w:tcPr>
                    <w:tcW w:w="2693"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lang w:eastAsia="lt-LT"/>
                      </w:rPr>
                      <w:t>Specialistų, kurie po dalyvavimo veiklose įgijo ar patobulino kvalifikaciją, dalis</w:t>
                    </w: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Proc.</w:t>
                    </w: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38</w:t>
                    </w:r>
                  </w:p>
                  <w:p>
                    <w:pPr>
                      <w:jc w:val="center"/>
                      <w:rPr>
                        <w:sz w:val="20"/>
                      </w:rPr>
                    </w:pPr>
                    <w:r>
                      <w:rPr>
                        <w:sz w:val="20"/>
                      </w:rPr>
                      <w:t>(2021 m.)</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n/a</w:t>
                    </w:r>
                  </w:p>
                </w:tc>
                <w:tc>
                  <w:tcPr>
                    <w:tcW w:w="1135"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90</w:t>
                    </w:r>
                  </w:p>
                  <w:p>
                    <w:pPr>
                      <w:jc w:val="center"/>
                      <w:rPr>
                        <w:sz w:val="20"/>
                      </w:rPr>
                    </w:pPr>
                    <w:r>
                      <w:rPr>
                        <w:sz w:val="20"/>
                      </w:rPr>
                      <w:t>(2029 m.)</w:t>
                    </w: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418"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P-11-002-02-11-01-57</w:t>
                    </w: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Produkto</w:t>
                    </w:r>
                  </w:p>
                </w:tc>
                <w:tc>
                  <w:tcPr>
                    <w:tcW w:w="2693"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Sveikatos priežiūros įstaigos, įgyvendinusios sveikatos priežiūros specialistų įgalinimo, pritraukimo ir išlaikymo projektus</w:t>
                    </w: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Skaičius</w:t>
                    </w: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0</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5</w:t>
                    </w:r>
                  </w:p>
                  <w:p>
                    <w:pPr>
                      <w:jc w:val="center"/>
                      <w:rPr>
                        <w:sz w:val="20"/>
                      </w:rPr>
                    </w:pPr>
                    <w:r>
                      <w:rPr>
                        <w:sz w:val="20"/>
                      </w:rPr>
                      <w:t>(2024 m.)</w:t>
                    </w:r>
                  </w:p>
                </w:tc>
                <w:tc>
                  <w:tcPr>
                    <w:tcW w:w="1135"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lang w:val="en-US"/>
                      </w:rPr>
                    </w:pPr>
                    <w:r>
                      <w:rPr>
                        <w:sz w:val="20"/>
                        <w:lang w:val="en-US"/>
                      </w:rPr>
                      <w:t>104</w:t>
                    </w:r>
                  </w:p>
                  <w:p>
                    <w:pPr>
                      <w:jc w:val="center"/>
                      <w:rPr>
                        <w:sz w:val="20"/>
                      </w:rPr>
                    </w:pPr>
                    <w:r>
                      <w:rPr>
                        <w:sz w:val="20"/>
                      </w:rPr>
                      <w:t>(2029 m.)</w:t>
                    </w: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418" w:type="dxa"/>
                    <w:shd w:val="clear" w:color="auto" w:fill="FFFFFF" w:themeFill="background1"/>
                  </w:tcPr>
                  <w:p>
                    <w:pPr>
                      <w:spacing w:line="276" w:lineRule="auto"/>
                      <w:rPr>
                        <w:sz w:val="20"/>
                      </w:rPr>
                    </w:pPr>
                    <w:r>
                      <w:rPr>
                        <w:sz w:val="20"/>
                      </w:rPr>
                      <w:t>P-11-002-02-11-01-58</w:t>
                    </w:r>
                  </w:p>
                </w:tc>
                <w:tc>
                  <w:tcPr>
                    <w:tcW w:w="1134" w:type="dxa"/>
                    <w:shd w:val="clear" w:color="auto" w:fill="FFFFFF" w:themeFill="background1"/>
                  </w:tcPr>
                  <w:p>
                    <w:pPr>
                      <w:spacing w:line="276" w:lineRule="auto"/>
                      <w:rPr>
                        <w:sz w:val="20"/>
                      </w:rPr>
                    </w:pPr>
                    <w:r>
                      <w:rPr>
                        <w:sz w:val="20"/>
                      </w:rPr>
                      <w:t>Produkto</w:t>
                    </w:r>
                  </w:p>
                </w:tc>
                <w:tc>
                  <w:tcPr>
                    <w:tcW w:w="2693" w:type="dxa"/>
                    <w:shd w:val="clear" w:color="auto" w:fill="FFFFFF" w:themeFill="background1"/>
                  </w:tcPr>
                  <w:p>
                    <w:pPr>
                      <w:rPr>
                        <w:sz w:val="20"/>
                      </w:rPr>
                    </w:pPr>
                    <w:r>
                      <w:rPr>
                        <w:sz w:val="20"/>
                      </w:rPr>
                      <w:t>Tikslinių grupių asmenys, gavę naujas ar patobulintas psichikos sveikatos priežiūros paslaugas</w:t>
                    </w:r>
                  </w:p>
                </w:tc>
                <w:tc>
                  <w:tcPr>
                    <w:tcW w:w="1134" w:type="dxa"/>
                    <w:shd w:val="clear" w:color="auto" w:fill="FFFFFF" w:themeFill="background1"/>
                  </w:tcPr>
                  <w:p>
                    <w:pPr>
                      <w:spacing w:line="276" w:lineRule="auto"/>
                      <w:jc w:val="center"/>
                      <w:rPr>
                        <w:sz w:val="20"/>
                      </w:rPr>
                    </w:pPr>
                    <w:r>
                      <w:rPr>
                        <w:sz w:val="20"/>
                      </w:rPr>
                      <w:t>Asmenys</w:t>
                    </w:r>
                  </w:p>
                </w:tc>
                <w:tc>
                  <w:tcPr>
                    <w:tcW w:w="1134" w:type="dxa"/>
                    <w:shd w:val="clear" w:color="auto" w:fill="FFFFFF" w:themeFill="background1"/>
                  </w:tcPr>
                  <w:p>
                    <w:pPr>
                      <w:jc w:val="center"/>
                      <w:rPr>
                        <w:sz w:val="20"/>
                      </w:rPr>
                    </w:pPr>
                    <w:r>
                      <w:rPr>
                        <w:sz w:val="20"/>
                      </w:rPr>
                      <w:t>0</w:t>
                    </w:r>
                  </w:p>
                </w:tc>
                <w:tc>
                  <w:tcPr>
                    <w:tcW w:w="992" w:type="dxa"/>
                    <w:shd w:val="clear" w:color="auto" w:fill="FFFFFF" w:themeFill="background1"/>
                  </w:tcPr>
                  <w:p>
                    <w:pPr>
                      <w:jc w:val="center"/>
                      <w:rPr>
                        <w:sz w:val="20"/>
                      </w:rPr>
                    </w:pPr>
                    <w:r>
                      <w:rPr>
                        <w:sz w:val="20"/>
                      </w:rPr>
                      <w:t>1 050</w:t>
                    </w:r>
                  </w:p>
                  <w:p>
                    <w:pPr>
                      <w:jc w:val="center"/>
                      <w:rPr>
                        <w:sz w:val="20"/>
                        <w:lang w:val="en-US"/>
                      </w:rPr>
                    </w:pPr>
                    <w:r>
                      <w:rPr>
                        <w:sz w:val="20"/>
                      </w:rPr>
                      <w:t>(2024 m.)</w:t>
                    </w:r>
                  </w:p>
                </w:tc>
                <w:tc>
                  <w:tcPr>
                    <w:tcW w:w="1135" w:type="dxa"/>
                    <w:shd w:val="clear" w:color="auto" w:fill="FFFFFF" w:themeFill="background1"/>
                  </w:tcPr>
                  <w:p>
                    <w:pPr>
                      <w:jc w:val="center"/>
                      <w:rPr>
                        <w:sz w:val="20"/>
                      </w:rPr>
                    </w:pPr>
                    <w:r>
                      <w:rPr>
                        <w:sz w:val="20"/>
                      </w:rPr>
                      <w:t>10 500</w:t>
                    </w:r>
                  </w:p>
                  <w:p>
                    <w:pPr>
                      <w:jc w:val="center"/>
                      <w:rPr>
                        <w:sz w:val="20"/>
                        <w:lang w:val="en-US"/>
                      </w:rPr>
                    </w:pPr>
                    <w:r>
                      <w:rPr>
                        <w:sz w:val="20"/>
                      </w:rPr>
                      <w:t>(2029 m.)</w:t>
                    </w:r>
                  </w:p>
                </w:tc>
                <w:tc>
                  <w:tcPr>
                    <w:tcW w:w="1417" w:type="dxa"/>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418" w:type="dxa"/>
                    <w:shd w:val="clear" w:color="auto" w:fill="FFFFFF" w:themeFill="background1"/>
                  </w:tcPr>
                  <w:p>
                    <w:pPr>
                      <w:spacing w:line="276" w:lineRule="auto"/>
                      <w:rPr>
                        <w:sz w:val="20"/>
                      </w:rPr>
                    </w:pPr>
                    <w:r>
                      <w:rPr>
                        <w:sz w:val="20"/>
                      </w:rPr>
                      <w:t>P-11-002-02-11-01-59</w:t>
                    </w:r>
                  </w:p>
                </w:tc>
                <w:tc>
                  <w:tcPr>
                    <w:tcW w:w="1134" w:type="dxa"/>
                    <w:shd w:val="clear" w:color="auto" w:fill="FFFFFF" w:themeFill="background1"/>
                  </w:tcPr>
                  <w:p>
                    <w:pPr>
                      <w:spacing w:line="276" w:lineRule="auto"/>
                      <w:rPr>
                        <w:sz w:val="20"/>
                      </w:rPr>
                    </w:pPr>
                    <w:r>
                      <w:rPr>
                        <w:sz w:val="20"/>
                      </w:rPr>
                      <w:t>Produkto</w:t>
                    </w:r>
                  </w:p>
                </w:tc>
                <w:tc>
                  <w:tcPr>
                    <w:tcW w:w="2693" w:type="dxa"/>
                    <w:shd w:val="clear" w:color="auto" w:fill="FFFFFF" w:themeFill="background1"/>
                  </w:tcPr>
                  <w:p>
                    <w:pPr>
                      <w:rPr>
                        <w:sz w:val="20"/>
                      </w:rPr>
                    </w:pPr>
                    <w:r>
                      <w:rPr>
                        <w:sz w:val="20"/>
                      </w:rPr>
                      <w:t>Specialistai, dalyvavę kvalifikacijos tobulinimo ar perkvalifikavimo veiklose</w:t>
                    </w:r>
                  </w:p>
                </w:tc>
                <w:tc>
                  <w:tcPr>
                    <w:tcW w:w="1134" w:type="dxa"/>
                    <w:shd w:val="clear" w:color="auto" w:fill="FFFFFF" w:themeFill="background1"/>
                  </w:tcPr>
                  <w:p>
                    <w:pPr>
                      <w:spacing w:line="276" w:lineRule="auto"/>
                      <w:jc w:val="center"/>
                      <w:rPr>
                        <w:sz w:val="20"/>
                      </w:rPr>
                    </w:pPr>
                    <w:r>
                      <w:rPr>
                        <w:sz w:val="20"/>
                      </w:rPr>
                      <w:t>Asmenys</w:t>
                    </w:r>
                  </w:p>
                </w:tc>
                <w:tc>
                  <w:tcPr>
                    <w:tcW w:w="1134" w:type="dxa"/>
                    <w:shd w:val="clear" w:color="auto" w:fill="FFFFFF" w:themeFill="background1"/>
                  </w:tcPr>
                  <w:p>
                    <w:pPr>
                      <w:jc w:val="center"/>
                      <w:rPr>
                        <w:sz w:val="20"/>
                      </w:rPr>
                    </w:pPr>
                    <w:r>
                      <w:rPr>
                        <w:sz w:val="20"/>
                      </w:rPr>
                      <w:t>0</w:t>
                    </w:r>
                  </w:p>
                </w:tc>
                <w:tc>
                  <w:tcPr>
                    <w:tcW w:w="992" w:type="dxa"/>
                    <w:shd w:val="clear" w:color="auto" w:fill="FFFFFF" w:themeFill="background1"/>
                  </w:tcPr>
                  <w:p>
                    <w:pPr>
                      <w:jc w:val="center"/>
                      <w:rPr>
                        <w:sz w:val="20"/>
                      </w:rPr>
                    </w:pPr>
                    <w:r>
                      <w:rPr>
                        <w:sz w:val="20"/>
                      </w:rPr>
                      <w:t>900</w:t>
                    </w:r>
                  </w:p>
                  <w:p>
                    <w:pPr>
                      <w:jc w:val="center"/>
                      <w:rPr>
                        <w:sz w:val="20"/>
                      </w:rPr>
                    </w:pPr>
                    <w:r>
                      <w:rPr>
                        <w:sz w:val="20"/>
                      </w:rPr>
                      <w:t>(2024 m.)</w:t>
                    </w:r>
                  </w:p>
                </w:tc>
                <w:tc>
                  <w:tcPr>
                    <w:tcW w:w="1135" w:type="dxa"/>
                    <w:shd w:val="clear" w:color="auto" w:fill="FFFFFF" w:themeFill="background1"/>
                  </w:tcPr>
                  <w:p>
                    <w:pPr>
                      <w:jc w:val="center"/>
                      <w:rPr>
                        <w:sz w:val="20"/>
                      </w:rPr>
                    </w:pPr>
                    <w:r>
                      <w:rPr>
                        <w:sz w:val="20"/>
                      </w:rPr>
                      <w:t>29 800</w:t>
                    </w:r>
                  </w:p>
                  <w:p>
                    <w:pPr>
                      <w:jc w:val="center"/>
                      <w:rPr>
                        <w:sz w:val="20"/>
                        <w:lang w:val="en-US"/>
                      </w:rPr>
                    </w:pPr>
                    <w:r>
                      <w:rPr>
                        <w:sz w:val="20"/>
                      </w:rPr>
                      <w:t>(2029 m.)</w:t>
                    </w:r>
                  </w:p>
                </w:tc>
                <w:tc>
                  <w:tcPr>
                    <w:tcW w:w="1417" w:type="dxa"/>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418" w:type="dxa"/>
                    <w:shd w:val="clear" w:color="auto" w:fill="FFFFFF" w:themeFill="background1"/>
                  </w:tcPr>
                  <w:p>
                    <w:pPr>
                      <w:spacing w:line="276" w:lineRule="auto"/>
                      <w:rPr>
                        <w:sz w:val="20"/>
                      </w:rPr>
                    </w:pPr>
                    <w:r>
                      <w:rPr>
                        <w:sz w:val="20"/>
                      </w:rPr>
                      <w:t>P-11-002-02-11-01-60</w:t>
                    </w:r>
                  </w:p>
                </w:tc>
                <w:tc>
                  <w:tcPr>
                    <w:tcW w:w="1134" w:type="dxa"/>
                    <w:shd w:val="clear" w:color="auto" w:fill="FFFFFF" w:themeFill="background1"/>
                  </w:tcPr>
                  <w:p>
                    <w:pPr>
                      <w:spacing w:line="276" w:lineRule="auto"/>
                      <w:rPr>
                        <w:sz w:val="20"/>
                      </w:rPr>
                    </w:pPr>
                    <w:r>
                      <w:rPr>
                        <w:sz w:val="20"/>
                      </w:rPr>
                      <w:t>Produkto</w:t>
                    </w:r>
                  </w:p>
                </w:tc>
                <w:tc>
                  <w:tcPr>
                    <w:tcW w:w="2693" w:type="dxa"/>
                    <w:shd w:val="clear" w:color="auto" w:fill="FFFFFF" w:themeFill="background1"/>
                  </w:tcPr>
                  <w:p>
                    <w:pPr>
                      <w:rPr>
                        <w:sz w:val="20"/>
                      </w:rPr>
                    </w:pPr>
                    <w:r>
                      <w:rPr>
                        <w:sz w:val="20"/>
                      </w:rPr>
                      <w:t>Asmenys, dalyvavę kvalifikacijos įgijimo veiklose</w:t>
                    </w:r>
                  </w:p>
                </w:tc>
                <w:tc>
                  <w:tcPr>
                    <w:tcW w:w="1134" w:type="dxa"/>
                    <w:shd w:val="clear" w:color="auto" w:fill="FFFFFF" w:themeFill="background1"/>
                  </w:tcPr>
                  <w:p>
                    <w:pPr>
                      <w:spacing w:line="276" w:lineRule="auto"/>
                      <w:jc w:val="center"/>
                      <w:rPr>
                        <w:sz w:val="20"/>
                      </w:rPr>
                    </w:pPr>
                    <w:r>
                      <w:rPr>
                        <w:sz w:val="20"/>
                      </w:rPr>
                      <w:t>Asmenys</w:t>
                    </w:r>
                  </w:p>
                </w:tc>
                <w:tc>
                  <w:tcPr>
                    <w:tcW w:w="1134" w:type="dxa"/>
                    <w:shd w:val="clear" w:color="auto" w:fill="FFFFFF" w:themeFill="background1"/>
                  </w:tcPr>
                  <w:p>
                    <w:pPr>
                      <w:jc w:val="center"/>
                      <w:rPr>
                        <w:sz w:val="20"/>
                      </w:rPr>
                    </w:pPr>
                    <w:r>
                      <w:rPr>
                        <w:sz w:val="20"/>
                      </w:rPr>
                      <w:t>0</w:t>
                    </w:r>
                  </w:p>
                </w:tc>
                <w:tc>
                  <w:tcPr>
                    <w:tcW w:w="992" w:type="dxa"/>
                    <w:shd w:val="clear" w:color="auto" w:fill="FFFFFF" w:themeFill="background1"/>
                  </w:tcPr>
                  <w:p>
                    <w:pPr>
                      <w:jc w:val="center"/>
                      <w:rPr>
                        <w:sz w:val="20"/>
                      </w:rPr>
                    </w:pPr>
                    <w:r>
                      <w:rPr>
                        <w:sz w:val="20"/>
                      </w:rPr>
                      <w:t>0</w:t>
                    </w:r>
                  </w:p>
                  <w:p>
                    <w:pPr>
                      <w:jc w:val="center"/>
                      <w:rPr>
                        <w:sz w:val="20"/>
                      </w:rPr>
                    </w:pPr>
                    <w:r>
                      <w:rPr>
                        <w:sz w:val="20"/>
                      </w:rPr>
                      <w:t>(2024 m.)</w:t>
                    </w:r>
                  </w:p>
                </w:tc>
                <w:tc>
                  <w:tcPr>
                    <w:tcW w:w="1135" w:type="dxa"/>
                    <w:shd w:val="clear" w:color="auto" w:fill="FFFFFF" w:themeFill="background1"/>
                  </w:tcPr>
                  <w:p>
                    <w:pPr>
                      <w:jc w:val="center"/>
                      <w:rPr>
                        <w:sz w:val="20"/>
                      </w:rPr>
                    </w:pPr>
                    <w:r>
                      <w:rPr>
                        <w:sz w:val="20"/>
                      </w:rPr>
                      <w:t>240</w:t>
                    </w:r>
                  </w:p>
                  <w:p>
                    <w:pPr>
                      <w:jc w:val="center"/>
                      <w:rPr>
                        <w:sz w:val="20"/>
                        <w:lang w:val="en-US"/>
                      </w:rPr>
                    </w:pPr>
                    <w:r>
                      <w:rPr>
                        <w:sz w:val="20"/>
                      </w:rPr>
                      <w:t>(2029 m.)</w:t>
                    </w:r>
                  </w:p>
                </w:tc>
                <w:tc>
                  <w:tcPr>
                    <w:tcW w:w="1417" w:type="dxa"/>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418" w:type="dxa"/>
                    <w:shd w:val="clear" w:color="auto" w:fill="FFFFFF" w:themeFill="background1"/>
                  </w:tcPr>
                  <w:p>
                    <w:pPr>
                      <w:spacing w:line="276" w:lineRule="auto"/>
                      <w:rPr>
                        <w:sz w:val="20"/>
                      </w:rPr>
                    </w:pPr>
                    <w:r>
                      <w:rPr>
                        <w:sz w:val="20"/>
                      </w:rPr>
                      <w:t>P-11-002-02-11-01-61</w:t>
                    </w:r>
                  </w:p>
                </w:tc>
                <w:tc>
                  <w:tcPr>
                    <w:tcW w:w="1134" w:type="dxa"/>
                    <w:shd w:val="clear" w:color="auto" w:fill="FFFFFF" w:themeFill="background1"/>
                  </w:tcPr>
                  <w:p>
                    <w:pPr>
                      <w:spacing w:line="276" w:lineRule="auto"/>
                      <w:rPr>
                        <w:sz w:val="20"/>
                      </w:rPr>
                    </w:pPr>
                    <w:r>
                      <w:rPr>
                        <w:sz w:val="20"/>
                      </w:rPr>
                      <w:t>Produkto</w:t>
                    </w:r>
                  </w:p>
                </w:tc>
                <w:tc>
                  <w:tcPr>
                    <w:tcW w:w="2693" w:type="dxa"/>
                    <w:shd w:val="clear" w:color="auto" w:fill="FFFFFF" w:themeFill="background1"/>
                  </w:tcPr>
                  <w:p>
                    <w:pPr>
                      <w:rPr>
                        <w:sz w:val="20"/>
                      </w:rPr>
                    </w:pPr>
                    <w:r>
                      <w:rPr>
                        <w:sz w:val="20"/>
                      </w:rPr>
                      <w:t>Sukurtas ir išbandytas pacientų pavėžėjimo paslaugų teikimo modelis</w:t>
                    </w:r>
                  </w:p>
                </w:tc>
                <w:tc>
                  <w:tcPr>
                    <w:tcW w:w="1134" w:type="dxa"/>
                    <w:shd w:val="clear" w:color="auto" w:fill="FFFFFF" w:themeFill="background1"/>
                  </w:tcPr>
                  <w:p>
                    <w:pPr>
                      <w:spacing w:line="276" w:lineRule="auto"/>
                      <w:jc w:val="center"/>
                      <w:rPr>
                        <w:sz w:val="20"/>
                      </w:rPr>
                    </w:pPr>
                    <w:r>
                      <w:rPr>
                        <w:sz w:val="20"/>
                      </w:rPr>
                      <w:t>Skaičius</w:t>
                    </w:r>
                  </w:p>
                </w:tc>
                <w:tc>
                  <w:tcPr>
                    <w:tcW w:w="1134" w:type="dxa"/>
                    <w:shd w:val="clear" w:color="auto" w:fill="FFFFFF" w:themeFill="background1"/>
                  </w:tcPr>
                  <w:p>
                    <w:pPr>
                      <w:jc w:val="center"/>
                      <w:rPr>
                        <w:sz w:val="20"/>
                      </w:rPr>
                    </w:pPr>
                    <w:r>
                      <w:rPr>
                        <w:sz w:val="20"/>
                      </w:rPr>
                      <w:t>n/d</w:t>
                    </w:r>
                  </w:p>
                </w:tc>
                <w:tc>
                  <w:tcPr>
                    <w:tcW w:w="992" w:type="dxa"/>
                    <w:shd w:val="clear" w:color="auto" w:fill="FFFFFF" w:themeFill="background1"/>
                  </w:tcPr>
                  <w:p>
                    <w:pPr>
                      <w:jc w:val="center"/>
                      <w:rPr>
                        <w:sz w:val="20"/>
                      </w:rPr>
                    </w:pPr>
                    <w:r>
                      <w:rPr>
                        <w:sz w:val="20"/>
                      </w:rPr>
                      <w:t>n/d</w:t>
                    </w:r>
                  </w:p>
                </w:tc>
                <w:tc>
                  <w:tcPr>
                    <w:tcW w:w="1135" w:type="dxa"/>
                    <w:shd w:val="clear" w:color="auto" w:fill="FFFFFF" w:themeFill="background1"/>
                  </w:tcPr>
                  <w:p>
                    <w:pPr>
                      <w:jc w:val="center"/>
                      <w:rPr>
                        <w:sz w:val="20"/>
                      </w:rPr>
                    </w:pPr>
                    <w:r>
                      <w:rPr>
                        <w:sz w:val="20"/>
                        <w:lang w:val="en-US"/>
                      </w:rPr>
                      <w:t>1</w:t>
                    </w:r>
                  </w:p>
                  <w:p>
                    <w:pPr>
                      <w:jc w:val="center"/>
                      <w:rPr>
                        <w:sz w:val="20"/>
                        <w:lang w:val="en-US"/>
                      </w:rPr>
                    </w:pPr>
                    <w:r>
                      <w:rPr>
                        <w:sz w:val="20"/>
                      </w:rPr>
                      <w:t>(2024 m.)</w:t>
                    </w:r>
                  </w:p>
                </w:tc>
                <w:tc>
                  <w:tcPr>
                    <w:tcW w:w="1417" w:type="dxa"/>
                    <w:shd w:val="clear" w:color="auto" w:fill="FFFFFF" w:themeFill="background1"/>
                  </w:tcPr>
                  <w:p>
                    <w:pPr>
                      <w:spacing w:line="276" w:lineRule="auto"/>
                      <w:jc w:val="center"/>
                      <w:rPr>
                        <w:bCs/>
                        <w:sz w:val="20"/>
                      </w:rPr>
                    </w:pPr>
                    <w:r>
                      <w:rPr>
                        <w:bCs/>
                        <w:sz w:val="20"/>
                      </w:rPr>
                      <w:t>VB</w:t>
                    </w:r>
                  </w:p>
                </w:tc>
              </w:tr>
              <w:tr>
                <w:trPr>
                  <w:trHeight w:val="330"/>
                </w:trPr>
                <w:tc>
                  <w:tcPr>
                    <w:tcW w:w="1418" w:type="dxa"/>
                    <w:shd w:val="clear" w:color="auto" w:fill="FFFFFF" w:themeFill="background1"/>
                  </w:tcPr>
                  <w:p>
                    <w:pPr>
                      <w:spacing w:line="276" w:lineRule="auto"/>
                      <w:rPr>
                        <w:sz w:val="20"/>
                      </w:rPr>
                    </w:pPr>
                    <w:r>
                      <w:rPr>
                        <w:sz w:val="20"/>
                      </w:rPr>
                      <w:t>R-11-002-02-11-01-62</w:t>
                    </w:r>
                  </w:p>
                </w:tc>
                <w:tc>
                  <w:tcPr>
                    <w:tcW w:w="1134" w:type="dxa"/>
                    <w:shd w:val="clear" w:color="auto" w:fill="FFFFFF" w:themeFill="background1"/>
                  </w:tcPr>
                  <w:p>
                    <w:pPr>
                      <w:spacing w:line="276" w:lineRule="auto"/>
                      <w:rPr>
                        <w:sz w:val="20"/>
                      </w:rPr>
                    </w:pPr>
                    <w:r>
                      <w:rPr>
                        <w:sz w:val="20"/>
                      </w:rPr>
                      <w:t>Rezultato</w:t>
                    </w:r>
                  </w:p>
                </w:tc>
                <w:tc>
                  <w:tcPr>
                    <w:tcW w:w="2693" w:type="dxa"/>
                    <w:shd w:val="clear" w:color="auto" w:fill="FFFFFF" w:themeFill="background1"/>
                  </w:tcPr>
                  <w:p>
                    <w:pPr>
                      <w:rPr>
                        <w:sz w:val="20"/>
                      </w:rPr>
                    </w:pPr>
                    <w:r>
                      <w:rPr>
                        <w:sz w:val="20"/>
                      </w:rPr>
                      <w:t>Suteiktų pavėžėjimo paslaugų skaičius pagal bandomąjį pavėžėjimo paslaugų teikimo modelį</w:t>
                    </w:r>
                  </w:p>
                </w:tc>
                <w:tc>
                  <w:tcPr>
                    <w:tcW w:w="1134" w:type="dxa"/>
                    <w:shd w:val="clear" w:color="auto" w:fill="FFFFFF" w:themeFill="background1"/>
                  </w:tcPr>
                  <w:p>
                    <w:pPr>
                      <w:spacing w:line="276" w:lineRule="auto"/>
                      <w:jc w:val="center"/>
                      <w:rPr>
                        <w:sz w:val="20"/>
                      </w:rPr>
                    </w:pPr>
                    <w:r>
                      <w:rPr>
                        <w:sz w:val="20"/>
                      </w:rPr>
                      <w:t>Skaičius</w:t>
                    </w:r>
                  </w:p>
                </w:tc>
                <w:tc>
                  <w:tcPr>
                    <w:tcW w:w="1134" w:type="dxa"/>
                    <w:shd w:val="clear" w:color="auto" w:fill="FFFFFF" w:themeFill="background1"/>
                  </w:tcPr>
                  <w:p>
                    <w:pPr>
                      <w:jc w:val="center"/>
                      <w:rPr>
                        <w:sz w:val="20"/>
                      </w:rPr>
                    </w:pPr>
                    <w:r>
                      <w:rPr>
                        <w:sz w:val="20"/>
                      </w:rPr>
                      <w:t>n/d</w:t>
                    </w:r>
                  </w:p>
                </w:tc>
                <w:tc>
                  <w:tcPr>
                    <w:tcW w:w="992" w:type="dxa"/>
                    <w:shd w:val="clear" w:color="auto" w:fill="FFFFFF" w:themeFill="background1"/>
                  </w:tcPr>
                  <w:p>
                    <w:pPr>
                      <w:jc w:val="center"/>
                      <w:rPr>
                        <w:sz w:val="20"/>
                      </w:rPr>
                    </w:pPr>
                    <w:r>
                      <w:rPr>
                        <w:sz w:val="20"/>
                      </w:rPr>
                      <w:t>n/d</w:t>
                    </w:r>
                  </w:p>
                </w:tc>
                <w:tc>
                  <w:tcPr>
                    <w:tcW w:w="1135" w:type="dxa"/>
                    <w:shd w:val="clear" w:color="auto" w:fill="FFFFFF" w:themeFill="background1"/>
                  </w:tcPr>
                  <w:p>
                    <w:pPr>
                      <w:jc w:val="center"/>
                      <w:rPr>
                        <w:sz w:val="20"/>
                      </w:rPr>
                    </w:pPr>
                    <w:r>
                      <w:rPr>
                        <w:sz w:val="20"/>
                      </w:rPr>
                      <w:t>40 000</w:t>
                    </w:r>
                  </w:p>
                  <w:p>
                    <w:pPr>
                      <w:jc w:val="center"/>
                      <w:rPr>
                        <w:sz w:val="20"/>
                        <w:lang w:val="en-US"/>
                      </w:rPr>
                    </w:pPr>
                    <w:r>
                      <w:rPr>
                        <w:sz w:val="20"/>
                      </w:rPr>
                      <w:t>(2024 m.)</w:t>
                    </w:r>
                  </w:p>
                </w:tc>
                <w:tc>
                  <w:tcPr>
                    <w:tcW w:w="1417" w:type="dxa"/>
                    <w:shd w:val="clear" w:color="auto" w:fill="FFFFFF" w:themeFill="background1"/>
                  </w:tcPr>
                  <w:p>
                    <w:pPr>
                      <w:spacing w:line="276" w:lineRule="auto"/>
                      <w:jc w:val="center"/>
                      <w:rPr>
                        <w:bCs/>
                        <w:sz w:val="20"/>
                      </w:rPr>
                    </w:pPr>
                    <w:r>
                      <w:rPr>
                        <w:bCs/>
                        <w:sz w:val="20"/>
                      </w:rPr>
                      <w:t>VB</w:t>
                    </w:r>
                  </w:p>
                </w:tc>
              </w:tr>
              <w:tr>
                <w:trPr>
                  <w:trHeight w:val="330"/>
                </w:trPr>
                <w:tc>
                  <w:tcPr>
                    <w:tcW w:w="1418" w:type="dxa"/>
                    <w:shd w:val="clear" w:color="auto" w:fill="FFFFFF" w:themeFill="background1"/>
                  </w:tcPr>
                  <w:p>
                    <w:pPr>
                      <w:spacing w:line="276" w:lineRule="auto"/>
                      <w:rPr>
                        <w:sz w:val="20"/>
                      </w:rPr>
                    </w:pPr>
                    <w:r>
                      <w:rPr>
                        <w:sz w:val="20"/>
                      </w:rPr>
                      <w:t>R-11-002-02-11-01-63</w:t>
                    </w:r>
                  </w:p>
                </w:tc>
                <w:tc>
                  <w:tcPr>
                    <w:tcW w:w="1134" w:type="dxa"/>
                    <w:shd w:val="clear" w:color="auto" w:fill="FFFFFF" w:themeFill="background1"/>
                  </w:tcPr>
                  <w:p>
                    <w:pPr>
                      <w:spacing w:line="276" w:lineRule="auto"/>
                      <w:rPr>
                        <w:sz w:val="20"/>
                      </w:rPr>
                    </w:pPr>
                    <w:r>
                      <w:rPr>
                        <w:sz w:val="20"/>
                      </w:rPr>
                      <w:t>Rezultato</w:t>
                    </w:r>
                  </w:p>
                </w:tc>
                <w:tc>
                  <w:tcPr>
                    <w:tcW w:w="2693" w:type="dxa"/>
                    <w:shd w:val="clear" w:color="auto" w:fill="FFFFFF" w:themeFill="background1"/>
                  </w:tcPr>
                  <w:p>
                    <w:pPr>
                      <w:rPr>
                        <w:sz w:val="20"/>
                      </w:rPr>
                    </w:pPr>
                    <w:r>
                      <w:rPr>
                        <w:sz w:val="20"/>
                      </w:rPr>
                      <w:t>Asmenų, kurie po dalyvavimo veiklose įgijo kvalifikaciją, dalis</w:t>
                    </w:r>
                  </w:p>
                </w:tc>
                <w:tc>
                  <w:tcPr>
                    <w:tcW w:w="1134" w:type="dxa"/>
                    <w:shd w:val="clear" w:color="auto" w:fill="FFFFFF" w:themeFill="background1"/>
                  </w:tcPr>
                  <w:p>
                    <w:pPr>
                      <w:spacing w:line="276" w:lineRule="auto"/>
                      <w:jc w:val="center"/>
                      <w:rPr>
                        <w:sz w:val="20"/>
                      </w:rPr>
                    </w:pPr>
                    <w:r>
                      <w:rPr>
                        <w:sz w:val="20"/>
                      </w:rPr>
                      <w:t>Proc.</w:t>
                    </w:r>
                  </w:p>
                </w:tc>
                <w:tc>
                  <w:tcPr>
                    <w:tcW w:w="1134" w:type="dxa"/>
                    <w:shd w:val="clear" w:color="auto" w:fill="FFFFFF" w:themeFill="background1"/>
                  </w:tcPr>
                  <w:p>
                    <w:pPr>
                      <w:jc w:val="center"/>
                      <w:rPr>
                        <w:sz w:val="20"/>
                      </w:rPr>
                    </w:pPr>
                    <w:r>
                      <w:rPr>
                        <w:sz w:val="20"/>
                      </w:rPr>
                      <w:t>17</w:t>
                    </w:r>
                  </w:p>
                  <w:p>
                    <w:pPr>
                      <w:jc w:val="center"/>
                      <w:rPr>
                        <w:sz w:val="20"/>
                      </w:rPr>
                    </w:pPr>
                    <w:r>
                      <w:rPr>
                        <w:sz w:val="20"/>
                      </w:rPr>
                      <w:t>(2021 m.)</w:t>
                    </w:r>
                  </w:p>
                </w:tc>
                <w:tc>
                  <w:tcPr>
                    <w:tcW w:w="992" w:type="dxa"/>
                    <w:shd w:val="clear" w:color="auto" w:fill="FFFFFF" w:themeFill="background1"/>
                  </w:tcPr>
                  <w:p>
                    <w:pPr>
                      <w:jc w:val="center"/>
                      <w:rPr>
                        <w:sz w:val="20"/>
                      </w:rPr>
                    </w:pPr>
                    <w:r>
                      <w:rPr>
                        <w:sz w:val="20"/>
                      </w:rPr>
                      <w:t>n/d</w:t>
                    </w:r>
                  </w:p>
                </w:tc>
                <w:tc>
                  <w:tcPr>
                    <w:tcW w:w="1135" w:type="dxa"/>
                    <w:shd w:val="clear" w:color="auto" w:fill="FFFFFF" w:themeFill="background1"/>
                  </w:tcPr>
                  <w:p>
                    <w:pPr>
                      <w:jc w:val="center"/>
                      <w:rPr>
                        <w:sz w:val="20"/>
                      </w:rPr>
                    </w:pPr>
                    <w:r>
                      <w:rPr>
                        <w:sz w:val="20"/>
                      </w:rPr>
                      <w:t>80</w:t>
                    </w:r>
                  </w:p>
                  <w:p>
                    <w:pPr>
                      <w:jc w:val="center"/>
                      <w:rPr>
                        <w:sz w:val="20"/>
                        <w:lang w:val="en-US"/>
                      </w:rPr>
                    </w:pPr>
                    <w:r>
                      <w:rPr>
                        <w:sz w:val="20"/>
                      </w:rPr>
                      <w:t>(2029 m.)</w:t>
                    </w:r>
                  </w:p>
                </w:tc>
                <w:tc>
                  <w:tcPr>
                    <w:tcW w:w="1417" w:type="dxa"/>
                    <w:shd w:val="clear" w:color="auto" w:fill="FFFFFF" w:themeFill="background1"/>
                  </w:tcPr>
                  <w:p>
                    <w:pPr>
                      <w:spacing w:line="276" w:lineRule="auto"/>
                      <w:jc w:val="center"/>
                      <w:rPr>
                        <w:bCs/>
                        <w:sz w:val="20"/>
                      </w:rPr>
                    </w:pPr>
                    <w:r>
                      <w:rPr>
                        <w:bCs/>
                        <w:sz w:val="20"/>
                      </w:rPr>
                      <w:t>2021</w:t>
                    </w:r>
                    <w:r>
                      <w:rPr>
                        <w:color w:val="000000"/>
                        <w:szCs w:val="24"/>
                      </w:rPr>
                      <w:t>–</w:t>
                    </w:r>
                    <w:r>
                      <w:rPr>
                        <w:bCs/>
                        <w:sz w:val="20"/>
                      </w:rPr>
                      <w:t xml:space="preserve">2027 m. IP (ESF+); VB </w:t>
                    </w:r>
                  </w:p>
                </w:tc>
              </w:tr>
              <w:tr>
                <w:trPr>
                  <w:trHeight w:val="330"/>
                </w:trPr>
                <w:tc>
                  <w:tcPr>
                    <w:tcW w:w="1418" w:type="dxa"/>
                    <w:shd w:val="clear" w:color="auto" w:fill="FFFFFF" w:themeFill="background1"/>
                  </w:tcPr>
                  <w:p>
                    <w:pPr>
                      <w:spacing w:line="276" w:lineRule="auto"/>
                      <w:rPr>
                        <w:sz w:val="20"/>
                      </w:rPr>
                    </w:pPr>
                    <w:r>
                      <w:rPr>
                        <w:sz w:val="20"/>
                      </w:rPr>
                      <w:t>P-11-002-02-11-01-64</w:t>
                    </w:r>
                  </w:p>
                </w:tc>
                <w:tc>
                  <w:tcPr>
                    <w:tcW w:w="1134" w:type="dxa"/>
                    <w:shd w:val="clear" w:color="auto" w:fill="FFFFFF" w:themeFill="background1"/>
                  </w:tcPr>
                  <w:p>
                    <w:pPr>
                      <w:spacing w:line="276" w:lineRule="auto"/>
                      <w:rPr>
                        <w:sz w:val="20"/>
                      </w:rPr>
                    </w:pPr>
                    <w:r>
                      <w:rPr>
                        <w:sz w:val="20"/>
                      </w:rPr>
                      <w:t>Produkto</w:t>
                    </w:r>
                  </w:p>
                </w:tc>
                <w:tc>
                  <w:tcPr>
                    <w:tcW w:w="2693" w:type="dxa"/>
                    <w:shd w:val="clear" w:color="auto" w:fill="FFFFFF" w:themeFill="background1"/>
                  </w:tcPr>
                  <w:p>
                    <w:pPr>
                      <w:rPr>
                        <w:sz w:val="20"/>
                      </w:rPr>
                    </w:pPr>
                    <w:r>
                      <w:rPr>
                        <w:rFonts w:eastAsia="Calibri"/>
                        <w:sz w:val="20"/>
                        <w:lang w:eastAsia="lt-LT" w:bidi="lt-LT"/>
                      </w:rPr>
                      <w:t>Asmenys, dalyvavę veiklose, skirtose lėtinei ligai savarankiškai valdyti</w:t>
                    </w:r>
                  </w:p>
                </w:tc>
                <w:tc>
                  <w:tcPr>
                    <w:tcW w:w="1134" w:type="dxa"/>
                    <w:shd w:val="clear" w:color="auto" w:fill="FFFFFF" w:themeFill="background1"/>
                  </w:tcPr>
                  <w:p>
                    <w:pPr>
                      <w:spacing w:line="276" w:lineRule="auto"/>
                      <w:jc w:val="center"/>
                      <w:rPr>
                        <w:sz w:val="20"/>
                      </w:rPr>
                    </w:pPr>
                    <w:r>
                      <w:rPr>
                        <w:sz w:val="20"/>
                      </w:rPr>
                      <w:t>Asmenys</w:t>
                    </w:r>
                  </w:p>
                </w:tc>
                <w:tc>
                  <w:tcPr>
                    <w:tcW w:w="1134" w:type="dxa"/>
                    <w:shd w:val="clear" w:color="auto" w:fill="FFFFFF" w:themeFill="background1"/>
                  </w:tcPr>
                  <w:p>
                    <w:pPr>
                      <w:jc w:val="center"/>
                      <w:rPr>
                        <w:sz w:val="20"/>
                      </w:rPr>
                    </w:pPr>
                    <w:r>
                      <w:rPr>
                        <w:sz w:val="20"/>
                      </w:rPr>
                      <w:t>0</w:t>
                    </w:r>
                  </w:p>
                </w:tc>
                <w:tc>
                  <w:tcPr>
                    <w:tcW w:w="992" w:type="dxa"/>
                    <w:shd w:val="clear" w:color="auto" w:fill="FFFFFF" w:themeFill="background1"/>
                  </w:tcPr>
                  <w:p>
                    <w:pPr>
                      <w:jc w:val="center"/>
                      <w:rPr>
                        <w:sz w:val="20"/>
                      </w:rPr>
                    </w:pPr>
                    <w:r>
                      <w:rPr>
                        <w:sz w:val="20"/>
                      </w:rPr>
                      <w:t>5 000</w:t>
                    </w:r>
                  </w:p>
                  <w:p>
                    <w:pPr>
                      <w:jc w:val="center"/>
                      <w:rPr>
                        <w:sz w:val="20"/>
                      </w:rPr>
                    </w:pPr>
                    <w:r>
                      <w:rPr>
                        <w:sz w:val="20"/>
                      </w:rPr>
                      <w:t>(2024 m.)</w:t>
                    </w:r>
                  </w:p>
                </w:tc>
                <w:tc>
                  <w:tcPr>
                    <w:tcW w:w="1135" w:type="dxa"/>
                    <w:shd w:val="clear" w:color="auto" w:fill="FFFFFF" w:themeFill="background1"/>
                  </w:tcPr>
                  <w:p>
                    <w:pPr>
                      <w:jc w:val="center"/>
                      <w:rPr>
                        <w:sz w:val="20"/>
                      </w:rPr>
                    </w:pPr>
                    <w:r>
                      <w:rPr>
                        <w:sz w:val="20"/>
                      </w:rPr>
                      <w:t>25 000</w:t>
                    </w:r>
                  </w:p>
                  <w:p>
                    <w:pPr>
                      <w:jc w:val="center"/>
                      <w:rPr>
                        <w:sz w:val="20"/>
                        <w:lang w:val="en-US"/>
                      </w:rPr>
                    </w:pPr>
                    <w:r>
                      <w:rPr>
                        <w:sz w:val="20"/>
                      </w:rPr>
                      <w:t>(2029 m.)</w:t>
                    </w:r>
                  </w:p>
                </w:tc>
                <w:tc>
                  <w:tcPr>
                    <w:tcW w:w="1417" w:type="dxa"/>
                    <w:shd w:val="clear" w:color="auto" w:fill="FFFFFF" w:themeFill="background1"/>
                  </w:tcPr>
                  <w:p>
                    <w:pPr>
                      <w:spacing w:line="276" w:lineRule="auto"/>
                      <w:jc w:val="center"/>
                      <w:rPr>
                        <w:bCs/>
                        <w:sz w:val="20"/>
                      </w:rPr>
                    </w:pPr>
                    <w:r>
                      <w:rPr>
                        <w:bCs/>
                        <w:sz w:val="20"/>
                      </w:rPr>
                      <w:t>2021</w:t>
                    </w:r>
                    <w:r>
                      <w:rPr>
                        <w:color w:val="000000"/>
                        <w:szCs w:val="24"/>
                      </w:rPr>
                      <w:t>–</w:t>
                    </w:r>
                    <w:r>
                      <w:rPr>
                        <w:bCs/>
                        <w:sz w:val="20"/>
                      </w:rPr>
                      <w:t>2027 m. IP (ESF+)</w:t>
                    </w:r>
                  </w:p>
                </w:tc>
              </w:tr>
              <w:tr>
                <w:trPr>
                  <w:trHeight w:val="330"/>
                </w:trPr>
                <w:tc>
                  <w:tcPr>
                    <w:tcW w:w="1418" w:type="dxa"/>
                    <w:shd w:val="clear" w:color="auto" w:fill="FFFFFF" w:themeFill="background1"/>
                  </w:tcPr>
                  <w:p>
                    <w:pPr>
                      <w:spacing w:line="276" w:lineRule="auto"/>
                      <w:rPr>
                        <w:sz w:val="20"/>
                      </w:rPr>
                    </w:pPr>
                    <w:r>
                      <w:rPr>
                        <w:sz w:val="20"/>
                      </w:rPr>
                      <w:t>R-11-002-02-11-01-65</w:t>
                    </w:r>
                  </w:p>
                </w:tc>
                <w:tc>
                  <w:tcPr>
                    <w:tcW w:w="1134" w:type="dxa"/>
                    <w:shd w:val="clear" w:color="auto" w:fill="FFFFFF" w:themeFill="background1"/>
                  </w:tcPr>
                  <w:p>
                    <w:pPr>
                      <w:spacing w:line="276" w:lineRule="auto"/>
                      <w:rPr>
                        <w:sz w:val="20"/>
                      </w:rPr>
                    </w:pPr>
                    <w:r>
                      <w:rPr>
                        <w:sz w:val="20"/>
                      </w:rPr>
                      <w:t>Rezultato</w:t>
                    </w:r>
                  </w:p>
                </w:tc>
                <w:tc>
                  <w:tcPr>
                    <w:tcW w:w="2693" w:type="dxa"/>
                    <w:shd w:val="clear" w:color="auto" w:fill="FFFFFF" w:themeFill="background1"/>
                  </w:tcPr>
                  <w:p>
                    <w:pPr>
                      <w:rPr>
                        <w:sz w:val="20"/>
                      </w:rPr>
                    </w:pPr>
                    <w:r>
                      <w:rPr>
                        <w:sz w:val="20"/>
                      </w:rPr>
                      <w:t xml:space="preserve">Sveikatos priežiūros specialistų, kurie po dalyvavimo veiklose mažiausiai 2 metus dirbo sveikatos priežiūros įstaigose, dalis </w:t>
                    </w:r>
                  </w:p>
                </w:tc>
                <w:tc>
                  <w:tcPr>
                    <w:tcW w:w="1134" w:type="dxa"/>
                    <w:shd w:val="clear" w:color="auto" w:fill="FFFFFF" w:themeFill="background1"/>
                  </w:tcPr>
                  <w:p>
                    <w:pPr>
                      <w:spacing w:line="276" w:lineRule="auto"/>
                      <w:jc w:val="center"/>
                      <w:rPr>
                        <w:sz w:val="20"/>
                      </w:rPr>
                    </w:pPr>
                    <w:r>
                      <w:rPr>
                        <w:sz w:val="20"/>
                      </w:rPr>
                      <w:t>Proc.</w:t>
                    </w:r>
                  </w:p>
                </w:tc>
                <w:tc>
                  <w:tcPr>
                    <w:tcW w:w="1134" w:type="dxa"/>
                    <w:shd w:val="clear" w:color="auto" w:fill="FFFFFF" w:themeFill="background1"/>
                  </w:tcPr>
                  <w:p>
                    <w:pPr>
                      <w:jc w:val="center"/>
                      <w:rPr>
                        <w:sz w:val="20"/>
                      </w:rPr>
                    </w:pPr>
                    <w:r>
                      <w:rPr>
                        <w:sz w:val="20"/>
                      </w:rPr>
                      <w:t>0</w:t>
                    </w:r>
                  </w:p>
                  <w:p>
                    <w:pPr>
                      <w:jc w:val="center"/>
                      <w:rPr>
                        <w:sz w:val="20"/>
                      </w:rPr>
                    </w:pPr>
                    <w:r>
                      <w:rPr>
                        <w:sz w:val="20"/>
                      </w:rPr>
                      <w:t>(2021 m.)</w:t>
                    </w:r>
                  </w:p>
                </w:tc>
                <w:tc>
                  <w:tcPr>
                    <w:tcW w:w="992" w:type="dxa"/>
                    <w:shd w:val="clear" w:color="auto" w:fill="FFFFFF" w:themeFill="background1"/>
                  </w:tcPr>
                  <w:p>
                    <w:pPr>
                      <w:jc w:val="center"/>
                      <w:rPr>
                        <w:sz w:val="20"/>
                      </w:rPr>
                    </w:pPr>
                    <w:r>
                      <w:rPr>
                        <w:sz w:val="20"/>
                      </w:rPr>
                      <w:t>n/d</w:t>
                    </w:r>
                  </w:p>
                </w:tc>
                <w:tc>
                  <w:tcPr>
                    <w:tcW w:w="1135" w:type="dxa"/>
                    <w:shd w:val="clear" w:color="auto" w:fill="FFFFFF" w:themeFill="background1"/>
                  </w:tcPr>
                  <w:p>
                    <w:pPr>
                      <w:jc w:val="center"/>
                      <w:rPr>
                        <w:sz w:val="20"/>
                        <w:lang w:val="en-US"/>
                      </w:rPr>
                    </w:pPr>
                    <w:r>
                      <w:rPr>
                        <w:sz w:val="20"/>
                        <w:lang w:val="en-US"/>
                      </w:rPr>
                      <w:t>80</w:t>
                    </w:r>
                  </w:p>
                  <w:p>
                    <w:pPr>
                      <w:jc w:val="center"/>
                      <w:rPr>
                        <w:sz w:val="20"/>
                        <w:lang w:val="en-US"/>
                      </w:rPr>
                    </w:pPr>
                    <w:r>
                      <w:rPr>
                        <w:sz w:val="20"/>
                        <w:lang w:val="en-US"/>
                      </w:rPr>
                      <w:t>(2029 m.)</w:t>
                    </w:r>
                  </w:p>
                </w:tc>
                <w:tc>
                  <w:tcPr>
                    <w:tcW w:w="1417" w:type="dxa"/>
                    <w:shd w:val="clear" w:color="auto" w:fill="FFFFFF" w:themeFill="background1"/>
                  </w:tcPr>
                  <w:p>
                    <w:pPr>
                      <w:spacing w:line="276" w:lineRule="auto"/>
                      <w:jc w:val="center"/>
                      <w:rPr>
                        <w:bCs/>
                        <w:sz w:val="20"/>
                      </w:rPr>
                    </w:pPr>
                    <w:r>
                      <w:rPr>
                        <w:bCs/>
                        <w:sz w:val="20"/>
                      </w:rPr>
                      <w:t>2021</w:t>
                    </w:r>
                    <w:r>
                      <w:rPr>
                        <w:color w:val="000000"/>
                        <w:szCs w:val="24"/>
                      </w:rPr>
                      <w:t>–</w:t>
                    </w:r>
                    <w:r>
                      <w:rPr>
                        <w:bCs/>
                        <w:sz w:val="20"/>
                      </w:rPr>
                      <w:t xml:space="preserve">2027 m. IP (ESF+) </w:t>
                    </w:r>
                  </w:p>
                </w:tc>
              </w:tr>
              <w:tr>
                <w:trPr>
                  <w:trHeight w:val="330"/>
                </w:trPr>
                <w:tc>
                  <w:tcPr>
                    <w:tcW w:w="1418" w:type="dxa"/>
                    <w:shd w:val="clear" w:color="auto" w:fill="FFFFFF" w:themeFill="background1"/>
                  </w:tcPr>
                  <w:p>
                    <w:pPr>
                      <w:spacing w:line="276" w:lineRule="auto"/>
                      <w:rPr>
                        <w:sz w:val="20"/>
                      </w:rPr>
                    </w:pPr>
                    <w:r>
                      <w:rPr>
                        <w:sz w:val="20"/>
                      </w:rPr>
                      <w:t>P-11-002-02-11-01-66</w:t>
                    </w:r>
                  </w:p>
                </w:tc>
                <w:tc>
                  <w:tcPr>
                    <w:tcW w:w="1134" w:type="dxa"/>
                    <w:shd w:val="clear" w:color="auto" w:fill="FFFFFF" w:themeFill="background1"/>
                  </w:tcPr>
                  <w:p>
                    <w:pPr>
                      <w:spacing w:line="276" w:lineRule="auto"/>
                      <w:rPr>
                        <w:sz w:val="20"/>
                      </w:rPr>
                    </w:pPr>
                    <w:r>
                      <w:rPr>
                        <w:sz w:val="20"/>
                      </w:rPr>
                      <w:t>Produkto</w:t>
                    </w:r>
                  </w:p>
                </w:tc>
                <w:tc>
                  <w:tcPr>
                    <w:tcW w:w="2693" w:type="dxa"/>
                    <w:shd w:val="clear" w:color="auto" w:fill="FFFFFF" w:themeFill="background1"/>
                  </w:tcPr>
                  <w:p>
                    <w:pPr>
                      <w:rPr>
                        <w:sz w:val="20"/>
                      </w:rPr>
                    </w:pPr>
                    <w:r>
                      <w:rPr>
                        <w:sz w:val="20"/>
                      </w:rPr>
                      <w:t>Modernizuotų asmens sveikatos priežiūros įstaigų skaičius</w:t>
                    </w:r>
                  </w:p>
                </w:tc>
                <w:tc>
                  <w:tcPr>
                    <w:tcW w:w="1134" w:type="dxa"/>
                    <w:shd w:val="clear" w:color="auto" w:fill="FFFFFF" w:themeFill="background1"/>
                  </w:tcPr>
                  <w:p>
                    <w:pPr>
                      <w:spacing w:line="276" w:lineRule="auto"/>
                      <w:jc w:val="center"/>
                      <w:rPr>
                        <w:sz w:val="20"/>
                      </w:rPr>
                    </w:pPr>
                    <w:r>
                      <w:rPr>
                        <w:sz w:val="20"/>
                      </w:rPr>
                      <w:t xml:space="preserve">Vnt. </w:t>
                    </w:r>
                  </w:p>
                </w:tc>
                <w:tc>
                  <w:tcPr>
                    <w:tcW w:w="1134" w:type="dxa"/>
                    <w:shd w:val="clear" w:color="auto" w:fill="FFFFFF" w:themeFill="background1"/>
                  </w:tcPr>
                  <w:p>
                    <w:pPr>
                      <w:jc w:val="center"/>
                      <w:rPr>
                        <w:sz w:val="20"/>
                      </w:rPr>
                    </w:pPr>
                    <w:r>
                      <w:rPr>
                        <w:sz w:val="20"/>
                      </w:rPr>
                      <w:t>n/d</w:t>
                    </w:r>
                  </w:p>
                </w:tc>
                <w:tc>
                  <w:tcPr>
                    <w:tcW w:w="992" w:type="dxa"/>
                    <w:shd w:val="clear" w:color="auto" w:fill="FFFFFF" w:themeFill="background1"/>
                  </w:tcPr>
                  <w:p>
                    <w:pPr>
                      <w:jc w:val="center"/>
                      <w:rPr>
                        <w:sz w:val="20"/>
                      </w:rPr>
                    </w:pPr>
                    <w:r>
                      <w:rPr>
                        <w:sz w:val="20"/>
                      </w:rPr>
                      <w:t>n/d</w:t>
                    </w:r>
                  </w:p>
                </w:tc>
                <w:tc>
                  <w:tcPr>
                    <w:tcW w:w="1135" w:type="dxa"/>
                    <w:shd w:val="clear" w:color="auto" w:fill="FFFFFF" w:themeFill="background1"/>
                  </w:tcPr>
                  <w:p>
                    <w:pPr>
                      <w:jc w:val="center"/>
                      <w:rPr>
                        <w:sz w:val="20"/>
                        <w:lang w:val="en-US"/>
                      </w:rPr>
                    </w:pPr>
                    <w:r>
                      <w:rPr>
                        <w:sz w:val="20"/>
                        <w:lang w:val="en-US"/>
                      </w:rPr>
                      <w:t>13</w:t>
                    </w:r>
                  </w:p>
                </w:tc>
                <w:tc>
                  <w:tcPr>
                    <w:tcW w:w="1417" w:type="dxa"/>
                    <w:shd w:val="clear" w:color="auto" w:fill="FFFFFF" w:themeFill="background1"/>
                  </w:tcPr>
                  <w:p>
                    <w:pPr>
                      <w:spacing w:line="276" w:lineRule="auto"/>
                      <w:jc w:val="center"/>
                      <w:rPr>
                        <w:bCs/>
                        <w:sz w:val="20"/>
                      </w:rPr>
                    </w:pPr>
                    <w:r>
                      <w:rPr>
                        <w:bCs/>
                        <w:sz w:val="20"/>
                      </w:rPr>
                      <w:t>VB</w:t>
                    </w:r>
                  </w:p>
                </w:tc>
              </w:tr>
              <w:tr>
                <w:trPr>
                  <w:trHeight w:val="330"/>
                </w:trPr>
                <w:tc>
                  <w:tcPr>
                    <w:tcW w:w="1418" w:type="dxa"/>
                    <w:shd w:val="clear" w:color="auto" w:fill="FFFFFF" w:themeFill="background1"/>
                  </w:tcPr>
                  <w:p>
                    <w:pPr>
                      <w:spacing w:line="276" w:lineRule="auto"/>
                      <w:rPr>
                        <w:sz w:val="20"/>
                      </w:rPr>
                    </w:pPr>
                    <w:r>
                      <w:rPr>
                        <w:sz w:val="20"/>
                      </w:rPr>
                      <w:t>P-11-002-02-11-01-67</w:t>
                    </w:r>
                  </w:p>
                </w:tc>
                <w:tc>
                  <w:tcPr>
                    <w:tcW w:w="1134" w:type="dxa"/>
                    <w:shd w:val="clear" w:color="auto" w:fill="FFFFFF" w:themeFill="background1"/>
                  </w:tcPr>
                  <w:p>
                    <w:pPr>
                      <w:spacing w:line="276" w:lineRule="auto"/>
                      <w:rPr>
                        <w:sz w:val="20"/>
                      </w:rPr>
                    </w:pPr>
                    <w:r>
                      <w:rPr>
                        <w:sz w:val="20"/>
                      </w:rPr>
                      <w:t>Produkto</w:t>
                    </w:r>
                  </w:p>
                </w:tc>
                <w:tc>
                  <w:tcPr>
                    <w:tcW w:w="2693" w:type="dxa"/>
                    <w:shd w:val="clear" w:color="auto" w:fill="FFFFFF" w:themeFill="background1"/>
                  </w:tcPr>
                  <w:p>
                    <w:pPr>
                      <w:rPr>
                        <w:sz w:val="20"/>
                      </w:rPr>
                    </w:pPr>
                    <w:r>
                      <w:rPr>
                        <w:sz w:val="20"/>
                        <w:lang w:eastAsia="lt-LT"/>
                      </w:rPr>
                      <w:t>Lietuvos Respublikos sveikatos priežiūros įstaigų įstatymo, Lietuvos Respublikos sveikatos sistemos įstatymo ir susijusių teisės aktų pakeitimų įsigaliojimas</w:t>
                    </w:r>
                    <w:r>
                      <w:rPr>
                        <w:sz w:val="20"/>
                      </w:rPr>
                      <w:t xml:space="preserve"> </w:t>
                    </w:r>
                  </w:p>
                </w:tc>
                <w:tc>
                  <w:tcPr>
                    <w:tcW w:w="1134" w:type="dxa"/>
                    <w:shd w:val="clear" w:color="auto" w:fill="FFFFFF" w:themeFill="background1"/>
                  </w:tcPr>
                  <w:p>
                    <w:pPr>
                      <w:spacing w:line="276" w:lineRule="auto"/>
                      <w:jc w:val="center"/>
                      <w:rPr>
                        <w:sz w:val="20"/>
                      </w:rPr>
                    </w:pPr>
                    <w:r>
                      <w:rPr>
                        <w:sz w:val="20"/>
                      </w:rPr>
                      <w:t>Kompl.</w:t>
                    </w:r>
                  </w:p>
                </w:tc>
                <w:tc>
                  <w:tcPr>
                    <w:tcW w:w="1134" w:type="dxa"/>
                    <w:shd w:val="clear" w:color="auto" w:fill="FFFFFF" w:themeFill="background1"/>
                  </w:tcPr>
                  <w:p>
                    <w:pPr>
                      <w:jc w:val="center"/>
                      <w:rPr>
                        <w:sz w:val="20"/>
                      </w:rPr>
                    </w:pPr>
                    <w:r>
                      <w:rPr>
                        <w:sz w:val="20"/>
                      </w:rPr>
                      <w:t>n/d</w:t>
                    </w:r>
                  </w:p>
                </w:tc>
                <w:tc>
                  <w:tcPr>
                    <w:tcW w:w="992" w:type="dxa"/>
                    <w:shd w:val="clear" w:color="auto" w:fill="FFFFFF" w:themeFill="background1"/>
                  </w:tcPr>
                  <w:p>
                    <w:pPr>
                      <w:jc w:val="center"/>
                      <w:rPr>
                        <w:sz w:val="20"/>
                      </w:rPr>
                    </w:pPr>
                    <w:r>
                      <w:rPr>
                        <w:sz w:val="20"/>
                      </w:rPr>
                      <w:t>n/d</w:t>
                    </w:r>
                  </w:p>
                </w:tc>
                <w:tc>
                  <w:tcPr>
                    <w:tcW w:w="1135" w:type="dxa"/>
                    <w:shd w:val="clear" w:color="auto" w:fill="FFFFFF" w:themeFill="background1"/>
                  </w:tcPr>
                  <w:p>
                    <w:pPr>
                      <w:jc w:val="center"/>
                      <w:rPr>
                        <w:sz w:val="20"/>
                        <w:lang w:val="en-US"/>
                      </w:rPr>
                    </w:pPr>
                    <w:r>
                      <w:rPr>
                        <w:sz w:val="20"/>
                        <w:lang w:val="en-US"/>
                      </w:rPr>
                      <w:t>1</w:t>
                    </w:r>
                  </w:p>
                  <w:p>
                    <w:pPr>
                      <w:jc w:val="center"/>
                      <w:rPr>
                        <w:sz w:val="20"/>
                        <w:lang w:val="en-US"/>
                      </w:rPr>
                    </w:pPr>
                    <w:r>
                      <w:rPr>
                        <w:sz w:val="20"/>
                        <w:lang w:val="en-US"/>
                      </w:rPr>
                      <w:t>(2022 m. IV ketv.)</w:t>
                    </w:r>
                  </w:p>
                </w:tc>
                <w:tc>
                  <w:tcPr>
                    <w:tcW w:w="1417" w:type="dxa"/>
                    <w:shd w:val="clear" w:color="auto" w:fill="FFFFFF" w:themeFill="background1"/>
                  </w:tcPr>
                  <w:p>
                    <w:pPr>
                      <w:spacing w:line="276" w:lineRule="auto"/>
                      <w:jc w:val="center"/>
                      <w:rPr>
                        <w:bCs/>
                        <w:sz w:val="20"/>
                      </w:rPr>
                    </w:pPr>
                    <w:r>
                      <w:rPr>
                        <w:bCs/>
                        <w:sz w:val="20"/>
                      </w:rPr>
                      <w:t>EGADP</w:t>
                    </w:r>
                  </w:p>
                </w:tc>
              </w:tr>
              <w:tr>
                <w:trPr>
                  <w:trHeight w:val="330"/>
                </w:trPr>
                <w:tc>
                  <w:tcPr>
                    <w:tcW w:w="1418" w:type="dxa"/>
                    <w:shd w:val="clear" w:color="auto" w:fill="FFFFFF" w:themeFill="background1"/>
                  </w:tcPr>
                  <w:p>
                    <w:pPr>
                      <w:spacing w:line="276" w:lineRule="auto"/>
                      <w:rPr>
                        <w:sz w:val="20"/>
                      </w:rPr>
                    </w:pPr>
                    <w:r>
                      <w:rPr>
                        <w:sz w:val="20"/>
                      </w:rPr>
                      <w:t>P-11-002-02-11-01-68</w:t>
                    </w:r>
                  </w:p>
                </w:tc>
                <w:tc>
                  <w:tcPr>
                    <w:tcW w:w="1134" w:type="dxa"/>
                    <w:shd w:val="clear" w:color="auto" w:fill="FFFFFF" w:themeFill="background1"/>
                  </w:tcPr>
                  <w:p>
                    <w:pPr>
                      <w:spacing w:line="276" w:lineRule="auto"/>
                      <w:rPr>
                        <w:sz w:val="20"/>
                      </w:rPr>
                    </w:pPr>
                    <w:r>
                      <w:rPr>
                        <w:sz w:val="20"/>
                      </w:rPr>
                      <w:t>Produkto</w:t>
                    </w:r>
                  </w:p>
                </w:tc>
                <w:tc>
                  <w:tcPr>
                    <w:tcW w:w="2693" w:type="dxa"/>
                    <w:shd w:val="clear" w:color="auto" w:fill="FFFFFF" w:themeFill="background1"/>
                  </w:tcPr>
                  <w:p>
                    <w:pPr>
                      <w:rPr>
                        <w:sz w:val="20"/>
                      </w:rPr>
                    </w:pPr>
                    <w:r>
                      <w:rPr>
                        <w:sz w:val="20"/>
                      </w:rPr>
                      <w:t>Įsigalioję teisės aktai dėl kompetencijos centrų ir regioninio bendradarbiavimo modeliu pagrįsto asmens sveikatos priežiūros įstaigų tinklo sukūrimo ir reglamentavimo</w:t>
                    </w:r>
                  </w:p>
                </w:tc>
                <w:tc>
                  <w:tcPr>
                    <w:tcW w:w="1134" w:type="dxa"/>
                    <w:shd w:val="clear" w:color="auto" w:fill="FFFFFF" w:themeFill="background1"/>
                  </w:tcPr>
                  <w:p>
                    <w:pPr>
                      <w:spacing w:line="276" w:lineRule="auto"/>
                      <w:jc w:val="center"/>
                      <w:rPr>
                        <w:sz w:val="20"/>
                      </w:rPr>
                    </w:pPr>
                    <w:r>
                      <w:rPr>
                        <w:sz w:val="20"/>
                      </w:rPr>
                      <w:t>Kompl.</w:t>
                    </w:r>
                  </w:p>
                </w:tc>
                <w:tc>
                  <w:tcPr>
                    <w:tcW w:w="1134" w:type="dxa"/>
                    <w:shd w:val="clear" w:color="auto" w:fill="FFFFFF" w:themeFill="background1"/>
                  </w:tcPr>
                  <w:p>
                    <w:pPr>
                      <w:jc w:val="center"/>
                      <w:rPr>
                        <w:sz w:val="20"/>
                      </w:rPr>
                    </w:pPr>
                    <w:r>
                      <w:rPr>
                        <w:sz w:val="20"/>
                      </w:rPr>
                      <w:t>n/d</w:t>
                    </w:r>
                  </w:p>
                </w:tc>
                <w:tc>
                  <w:tcPr>
                    <w:tcW w:w="992" w:type="dxa"/>
                    <w:shd w:val="clear" w:color="auto" w:fill="FFFFFF" w:themeFill="background1"/>
                  </w:tcPr>
                  <w:p>
                    <w:pPr>
                      <w:jc w:val="center"/>
                      <w:rPr>
                        <w:sz w:val="20"/>
                      </w:rPr>
                    </w:pPr>
                    <w:r>
                      <w:rPr>
                        <w:sz w:val="20"/>
                      </w:rPr>
                      <w:t>n/d</w:t>
                    </w:r>
                  </w:p>
                </w:tc>
                <w:tc>
                  <w:tcPr>
                    <w:tcW w:w="1135" w:type="dxa"/>
                    <w:shd w:val="clear" w:color="auto" w:fill="FFFFFF" w:themeFill="background1"/>
                  </w:tcPr>
                  <w:p>
                    <w:pPr>
                      <w:jc w:val="center"/>
                      <w:rPr>
                        <w:sz w:val="20"/>
                        <w:lang w:val="en-US"/>
                      </w:rPr>
                    </w:pPr>
                    <w:r>
                      <w:rPr>
                        <w:sz w:val="20"/>
                        <w:lang w:val="en-US"/>
                      </w:rPr>
                      <w:t>1</w:t>
                    </w:r>
                  </w:p>
                  <w:p>
                    <w:pPr>
                      <w:jc w:val="center"/>
                      <w:rPr>
                        <w:sz w:val="20"/>
                        <w:lang w:val="en-US"/>
                      </w:rPr>
                    </w:pPr>
                    <w:r>
                      <w:rPr>
                        <w:sz w:val="20"/>
                        <w:lang w:val="en-US"/>
                      </w:rPr>
                      <w:t>(2023 m. III ketv.)</w:t>
                    </w:r>
                  </w:p>
                </w:tc>
                <w:tc>
                  <w:tcPr>
                    <w:tcW w:w="1417" w:type="dxa"/>
                    <w:shd w:val="clear" w:color="auto" w:fill="FFFFFF" w:themeFill="background1"/>
                  </w:tcPr>
                  <w:p>
                    <w:pPr>
                      <w:spacing w:line="276" w:lineRule="auto"/>
                      <w:jc w:val="center"/>
                      <w:rPr>
                        <w:bCs/>
                        <w:sz w:val="20"/>
                      </w:rPr>
                    </w:pPr>
                    <w:r>
                      <w:rPr>
                        <w:bCs/>
                        <w:sz w:val="20"/>
                      </w:rPr>
                      <w:t>EGADP</w:t>
                    </w:r>
                  </w:p>
                </w:tc>
              </w:tr>
              <w:tr>
                <w:trPr>
                  <w:trHeight w:val="330"/>
                </w:trPr>
                <w:tc>
                  <w:tcPr>
                    <w:tcW w:w="1418" w:type="dxa"/>
                    <w:shd w:val="clear" w:color="auto" w:fill="FFFFFF" w:themeFill="background1"/>
                  </w:tcPr>
                  <w:p>
                    <w:pPr>
                      <w:spacing w:line="276" w:lineRule="auto"/>
                      <w:rPr>
                        <w:sz w:val="20"/>
                      </w:rPr>
                    </w:pPr>
                    <w:r>
                      <w:rPr>
                        <w:sz w:val="20"/>
                      </w:rPr>
                      <w:t>P-11-002-02-11-01-69</w:t>
                    </w:r>
                  </w:p>
                </w:tc>
                <w:tc>
                  <w:tcPr>
                    <w:tcW w:w="1134" w:type="dxa"/>
                    <w:shd w:val="clear" w:color="auto" w:fill="FFFFFF" w:themeFill="background1"/>
                  </w:tcPr>
                  <w:p>
                    <w:pPr>
                      <w:spacing w:line="276" w:lineRule="auto"/>
                      <w:rPr>
                        <w:sz w:val="20"/>
                      </w:rPr>
                    </w:pPr>
                    <w:r>
                      <w:rPr>
                        <w:sz w:val="20"/>
                      </w:rPr>
                      <w:t>Produkto</w:t>
                    </w:r>
                  </w:p>
                </w:tc>
                <w:tc>
                  <w:tcPr>
                    <w:tcW w:w="2693" w:type="dxa"/>
                    <w:shd w:val="clear" w:color="auto" w:fill="FFFFFF" w:themeFill="background1"/>
                  </w:tcPr>
                  <w:p>
                    <w:pPr>
                      <w:rPr>
                        <w:sz w:val="20"/>
                      </w:rPr>
                    </w:pPr>
                    <w:r>
                      <w:rPr>
                        <w:sz w:val="20"/>
                      </w:rPr>
                      <w:t>Struktūrinius sveikatos priežiūros paslaugų teikimo pokyčius įgyvendinusių ASPĮ skaičius</w:t>
                    </w:r>
                  </w:p>
                </w:tc>
                <w:tc>
                  <w:tcPr>
                    <w:tcW w:w="1134" w:type="dxa"/>
                    <w:shd w:val="clear" w:color="auto" w:fill="FFFFFF" w:themeFill="background1"/>
                  </w:tcPr>
                  <w:p>
                    <w:pPr>
                      <w:spacing w:line="276" w:lineRule="auto"/>
                      <w:jc w:val="center"/>
                      <w:rPr>
                        <w:sz w:val="20"/>
                      </w:rPr>
                    </w:pPr>
                    <w:r>
                      <w:rPr>
                        <w:sz w:val="20"/>
                      </w:rPr>
                      <w:t>Vnt.</w:t>
                    </w:r>
                  </w:p>
                </w:tc>
                <w:tc>
                  <w:tcPr>
                    <w:tcW w:w="1134" w:type="dxa"/>
                    <w:shd w:val="clear" w:color="auto" w:fill="FFFFFF" w:themeFill="background1"/>
                  </w:tcPr>
                  <w:p>
                    <w:pPr>
                      <w:jc w:val="center"/>
                      <w:rPr>
                        <w:sz w:val="20"/>
                      </w:rPr>
                    </w:pPr>
                    <w:r>
                      <w:rPr>
                        <w:sz w:val="20"/>
                      </w:rPr>
                      <w:t>n/d</w:t>
                    </w:r>
                  </w:p>
                </w:tc>
                <w:tc>
                  <w:tcPr>
                    <w:tcW w:w="992" w:type="dxa"/>
                    <w:shd w:val="clear" w:color="auto" w:fill="FFFFFF" w:themeFill="background1"/>
                  </w:tcPr>
                  <w:p>
                    <w:pPr>
                      <w:jc w:val="center"/>
                      <w:rPr>
                        <w:sz w:val="20"/>
                      </w:rPr>
                    </w:pPr>
                    <w:r>
                      <w:rPr>
                        <w:sz w:val="20"/>
                      </w:rPr>
                      <w:t>n/d</w:t>
                    </w:r>
                  </w:p>
                </w:tc>
                <w:tc>
                  <w:tcPr>
                    <w:tcW w:w="1135" w:type="dxa"/>
                    <w:shd w:val="clear" w:color="auto" w:fill="FFFFFF" w:themeFill="background1"/>
                  </w:tcPr>
                  <w:p>
                    <w:pPr>
                      <w:jc w:val="center"/>
                      <w:rPr>
                        <w:sz w:val="20"/>
                        <w:lang w:val="en-US"/>
                      </w:rPr>
                    </w:pPr>
                    <w:r>
                      <w:rPr>
                        <w:sz w:val="20"/>
                        <w:lang w:val="en-US"/>
                      </w:rPr>
                      <w:t>250</w:t>
                    </w:r>
                  </w:p>
                </w:tc>
                <w:tc>
                  <w:tcPr>
                    <w:tcW w:w="1417" w:type="dxa"/>
                    <w:shd w:val="clear" w:color="auto" w:fill="FFFFFF" w:themeFill="background1"/>
                  </w:tcPr>
                  <w:p>
                    <w:pPr>
                      <w:jc w:val="center"/>
                      <w:rPr>
                        <w:bCs/>
                        <w:sz w:val="20"/>
                      </w:rPr>
                    </w:pPr>
                    <w:r>
                      <w:rPr>
                        <w:bCs/>
                        <w:sz w:val="20"/>
                      </w:rPr>
                      <w:t>VB</w:t>
                    </w:r>
                  </w:p>
                  <w:p>
                    <w:pPr>
                      <w:spacing w:line="276" w:lineRule="auto"/>
                      <w:jc w:val="center"/>
                      <w:rPr>
                        <w:bCs/>
                        <w:sz w:val="20"/>
                      </w:rPr>
                    </w:pPr>
                  </w:p>
                </w:tc>
              </w:tr>
              <w:tr>
                <w:trPr>
                  <w:trHeight w:val="330"/>
                </w:trPr>
                <w:tc>
                  <w:tcPr>
                    <w:tcW w:w="1418" w:type="dxa"/>
                    <w:shd w:val="clear" w:color="auto" w:fill="FFFFFF" w:themeFill="background1"/>
                  </w:tcPr>
                  <w:p>
                    <w:pPr>
                      <w:spacing w:line="276" w:lineRule="auto"/>
                      <w:rPr>
                        <w:sz w:val="20"/>
                      </w:rPr>
                    </w:pPr>
                    <w:r>
                      <w:rPr>
                        <w:sz w:val="20"/>
                      </w:rPr>
                      <w:t>P-11-002-02-11-01-70</w:t>
                    </w:r>
                  </w:p>
                </w:tc>
                <w:tc>
                  <w:tcPr>
                    <w:tcW w:w="1134" w:type="dxa"/>
                    <w:shd w:val="clear" w:color="auto" w:fill="FFFFFF" w:themeFill="background1"/>
                  </w:tcPr>
                  <w:p>
                    <w:pPr>
                      <w:spacing w:line="276" w:lineRule="auto"/>
                      <w:rPr>
                        <w:sz w:val="20"/>
                      </w:rPr>
                    </w:pPr>
                    <w:r>
                      <w:rPr>
                        <w:sz w:val="20"/>
                      </w:rPr>
                      <w:t>Produkto</w:t>
                    </w:r>
                  </w:p>
                </w:tc>
                <w:tc>
                  <w:tcPr>
                    <w:tcW w:w="2693" w:type="dxa"/>
                    <w:shd w:val="clear" w:color="auto" w:fill="FFFFFF" w:themeFill="background1"/>
                  </w:tcPr>
                  <w:p>
                    <w:pPr>
                      <w:rPr>
                        <w:sz w:val="20"/>
                      </w:rPr>
                    </w:pPr>
                    <w:r>
                      <w:rPr>
                        <w:sz w:val="20"/>
                        <w:lang w:eastAsia="lt-LT"/>
                      </w:rPr>
                      <w:t>Baigtas mažiausiai 1 000 ilgalaikės priežiūros specialistų mokymas</w:t>
                    </w:r>
                  </w:p>
                </w:tc>
                <w:tc>
                  <w:tcPr>
                    <w:tcW w:w="1134" w:type="dxa"/>
                    <w:shd w:val="clear" w:color="auto" w:fill="FFFFFF" w:themeFill="background1"/>
                  </w:tcPr>
                  <w:p>
                    <w:pPr>
                      <w:spacing w:line="276" w:lineRule="auto"/>
                      <w:jc w:val="center"/>
                      <w:rPr>
                        <w:sz w:val="20"/>
                      </w:rPr>
                    </w:pPr>
                    <w:r>
                      <w:rPr>
                        <w:sz w:val="20"/>
                      </w:rPr>
                      <w:t xml:space="preserve">Vnt. </w:t>
                    </w:r>
                  </w:p>
                </w:tc>
                <w:tc>
                  <w:tcPr>
                    <w:tcW w:w="1134" w:type="dxa"/>
                    <w:shd w:val="clear" w:color="auto" w:fill="FFFFFF" w:themeFill="background1"/>
                  </w:tcPr>
                  <w:p>
                    <w:pPr>
                      <w:jc w:val="center"/>
                      <w:rPr>
                        <w:sz w:val="20"/>
                      </w:rPr>
                    </w:pPr>
                    <w:r>
                      <w:rPr>
                        <w:sz w:val="20"/>
                      </w:rPr>
                      <w:t>n/d</w:t>
                    </w:r>
                  </w:p>
                </w:tc>
                <w:tc>
                  <w:tcPr>
                    <w:tcW w:w="992" w:type="dxa"/>
                    <w:shd w:val="clear" w:color="auto" w:fill="FFFFFF" w:themeFill="background1"/>
                  </w:tcPr>
                  <w:p>
                    <w:pPr>
                      <w:jc w:val="center"/>
                      <w:rPr>
                        <w:sz w:val="20"/>
                      </w:rPr>
                    </w:pPr>
                    <w:r>
                      <w:rPr>
                        <w:sz w:val="20"/>
                      </w:rPr>
                      <w:t>n/d</w:t>
                    </w:r>
                  </w:p>
                </w:tc>
                <w:tc>
                  <w:tcPr>
                    <w:tcW w:w="1135" w:type="dxa"/>
                    <w:shd w:val="clear" w:color="auto" w:fill="FFFFFF" w:themeFill="background1"/>
                  </w:tcPr>
                  <w:p>
                    <w:pPr>
                      <w:jc w:val="center"/>
                      <w:rPr>
                        <w:sz w:val="20"/>
                        <w:lang w:val="en-US"/>
                      </w:rPr>
                    </w:pPr>
                    <w:r>
                      <w:rPr>
                        <w:sz w:val="20"/>
                        <w:lang w:val="en-US"/>
                      </w:rPr>
                      <w:t>1 000</w:t>
                    </w:r>
                  </w:p>
                  <w:p>
                    <w:pPr>
                      <w:jc w:val="center"/>
                      <w:rPr>
                        <w:sz w:val="20"/>
                        <w:lang w:val="en-US"/>
                      </w:rPr>
                    </w:pPr>
                    <w:r>
                      <w:rPr>
                        <w:sz w:val="20"/>
                        <w:lang w:val="en-US"/>
                      </w:rPr>
                      <w:t>(2024 m. IV ketv.)</w:t>
                    </w:r>
                  </w:p>
                </w:tc>
                <w:tc>
                  <w:tcPr>
                    <w:tcW w:w="1417" w:type="dxa"/>
                    <w:shd w:val="clear" w:color="auto" w:fill="FFFFFF" w:themeFill="background1"/>
                  </w:tcPr>
                  <w:p>
                    <w:pPr>
                      <w:ind w:left="-57" w:right="-57"/>
                      <w:jc w:val="center"/>
                      <w:rPr>
                        <w:sz w:val="20"/>
                      </w:rPr>
                    </w:pPr>
                    <w:r>
                      <w:rPr>
                        <w:sz w:val="20"/>
                      </w:rPr>
                      <w:t>EGADP</w:t>
                    </w:r>
                  </w:p>
                  <w:p>
                    <w:pPr>
                      <w:spacing w:line="276" w:lineRule="auto"/>
                      <w:jc w:val="center"/>
                      <w:rPr>
                        <w:bCs/>
                        <w:sz w:val="20"/>
                      </w:rPr>
                    </w:pPr>
                  </w:p>
                </w:tc>
              </w:tr>
              <w:tr>
                <w:trPr>
                  <w:trHeight w:val="330"/>
                </w:trPr>
                <w:tc>
                  <w:tcPr>
                    <w:tcW w:w="1418" w:type="dxa"/>
                    <w:shd w:val="clear" w:color="auto" w:fill="FFFFFF" w:themeFill="background1"/>
                  </w:tcPr>
                  <w:p>
                    <w:pPr>
                      <w:spacing w:line="276" w:lineRule="auto"/>
                      <w:rPr>
                        <w:sz w:val="20"/>
                      </w:rPr>
                    </w:pPr>
                    <w:r>
                      <w:rPr>
                        <w:sz w:val="20"/>
                      </w:rPr>
                      <w:t>P-11-002-02-11-01-71</w:t>
                    </w:r>
                  </w:p>
                </w:tc>
                <w:tc>
                  <w:tcPr>
                    <w:tcW w:w="1134" w:type="dxa"/>
                    <w:shd w:val="clear" w:color="auto" w:fill="FFFFFF" w:themeFill="background1"/>
                  </w:tcPr>
                  <w:p>
                    <w:pPr>
                      <w:spacing w:line="276" w:lineRule="auto"/>
                      <w:rPr>
                        <w:sz w:val="20"/>
                      </w:rPr>
                    </w:pPr>
                    <w:r>
                      <w:rPr>
                        <w:sz w:val="20"/>
                      </w:rPr>
                      <w:t>Produkto</w:t>
                    </w:r>
                  </w:p>
                </w:tc>
                <w:tc>
                  <w:tcPr>
                    <w:tcW w:w="2693" w:type="dxa"/>
                    <w:shd w:val="clear" w:color="auto" w:fill="FFFFFF" w:themeFill="background1"/>
                  </w:tcPr>
                  <w:p>
                    <w:pPr>
                      <w:rPr>
                        <w:sz w:val="20"/>
                      </w:rPr>
                    </w:pPr>
                    <w:r>
                      <w:rPr>
                        <w:sz w:val="20"/>
                      </w:rPr>
                      <w:t>Parengta reformos komunikacijos strategija</w:t>
                    </w:r>
                  </w:p>
                </w:tc>
                <w:tc>
                  <w:tcPr>
                    <w:tcW w:w="1134" w:type="dxa"/>
                    <w:shd w:val="clear" w:color="auto" w:fill="FFFFFF" w:themeFill="background1"/>
                  </w:tcPr>
                  <w:p>
                    <w:pPr>
                      <w:spacing w:line="276" w:lineRule="auto"/>
                      <w:jc w:val="center"/>
                      <w:rPr>
                        <w:sz w:val="20"/>
                      </w:rPr>
                    </w:pPr>
                    <w:r>
                      <w:rPr>
                        <w:sz w:val="20"/>
                      </w:rPr>
                      <w:t xml:space="preserve">Vnt. </w:t>
                    </w:r>
                  </w:p>
                </w:tc>
                <w:tc>
                  <w:tcPr>
                    <w:tcW w:w="1134" w:type="dxa"/>
                    <w:shd w:val="clear" w:color="auto" w:fill="FFFFFF" w:themeFill="background1"/>
                  </w:tcPr>
                  <w:p>
                    <w:pPr>
                      <w:jc w:val="center"/>
                      <w:rPr>
                        <w:sz w:val="20"/>
                      </w:rPr>
                    </w:pPr>
                    <w:r>
                      <w:rPr>
                        <w:sz w:val="20"/>
                      </w:rPr>
                      <w:t>n/d</w:t>
                    </w:r>
                  </w:p>
                </w:tc>
                <w:tc>
                  <w:tcPr>
                    <w:tcW w:w="992" w:type="dxa"/>
                    <w:shd w:val="clear" w:color="auto" w:fill="FFFFFF" w:themeFill="background1"/>
                  </w:tcPr>
                  <w:p>
                    <w:pPr>
                      <w:jc w:val="center"/>
                      <w:rPr>
                        <w:sz w:val="20"/>
                      </w:rPr>
                    </w:pPr>
                    <w:r>
                      <w:rPr>
                        <w:sz w:val="20"/>
                      </w:rPr>
                      <w:t>n/d</w:t>
                    </w:r>
                  </w:p>
                </w:tc>
                <w:tc>
                  <w:tcPr>
                    <w:tcW w:w="1135"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(2023 m.)</w:t>
                    </w:r>
                  </w:p>
                </w:tc>
                <w:tc>
                  <w:tcPr>
                    <w:tcW w:w="1417" w:type="dxa"/>
                    <w:shd w:val="clear" w:color="auto" w:fill="FFFFFF" w:themeFill="background1"/>
                  </w:tcPr>
                  <w:p>
                    <w:pPr>
                      <w:spacing w:line="276" w:lineRule="auto"/>
                      <w:jc w:val="center"/>
                      <w:rPr>
                        <w:bCs/>
                        <w:sz w:val="20"/>
                      </w:rPr>
                    </w:pPr>
                    <w:r>
                      <w:rPr>
                        <w:sz w:val="20"/>
                      </w:rPr>
                      <w:t>VB</w:t>
                    </w:r>
                  </w:p>
                </w:tc>
              </w:tr>
              <w:tr>
                <w:trPr>
                  <w:trHeight w:val="330"/>
                </w:trPr>
                <w:tc>
                  <w:tcPr>
                    <w:tcW w:w="1418" w:type="dxa"/>
                    <w:shd w:val="clear" w:color="auto" w:fill="FFFFFF" w:themeFill="background1"/>
                  </w:tcPr>
                  <w:p>
                    <w:pPr>
                      <w:spacing w:line="276" w:lineRule="auto"/>
                      <w:rPr>
                        <w:sz w:val="20"/>
                      </w:rPr>
                    </w:pPr>
                    <w:r>
                      <w:rPr>
                        <w:sz w:val="20"/>
                      </w:rPr>
                      <w:t>P-11-002-02-11-01-72</w:t>
                    </w:r>
                  </w:p>
                </w:tc>
                <w:tc>
                  <w:tcPr>
                    <w:tcW w:w="1134" w:type="dxa"/>
                    <w:shd w:val="clear" w:color="auto" w:fill="FFFFFF" w:themeFill="background1"/>
                  </w:tcPr>
                  <w:p>
                    <w:pPr>
                      <w:spacing w:line="276" w:lineRule="auto"/>
                      <w:rPr>
                        <w:sz w:val="20"/>
                      </w:rPr>
                    </w:pPr>
                    <w:r>
                      <w:rPr>
                        <w:sz w:val="20"/>
                      </w:rPr>
                      <w:t>Produkto</w:t>
                    </w:r>
                  </w:p>
                </w:tc>
                <w:tc>
                  <w:tcPr>
                    <w:tcW w:w="2693" w:type="dxa"/>
                    <w:shd w:val="clear" w:color="auto" w:fill="FFFFFF" w:themeFill="background1"/>
                  </w:tcPr>
                  <w:p>
                    <w:pPr>
                      <w:rPr>
                        <w:sz w:val="20"/>
                      </w:rPr>
                    </w:pPr>
                    <w:r>
                      <w:rPr>
                        <w:sz w:val="20"/>
                      </w:rPr>
                      <w:t>Sprendimo dėl reguliavimo, investavimo ir komunikacijos veiksmų siekiant sukurti tvarų sveikatos priežiūros įstaigų tinklą, priėmimas</w:t>
                    </w:r>
                  </w:p>
                </w:tc>
                <w:tc>
                  <w:tcPr>
                    <w:tcW w:w="1134" w:type="dxa"/>
                    <w:shd w:val="clear" w:color="auto" w:fill="FFFFFF" w:themeFill="background1"/>
                  </w:tcPr>
                  <w:p>
                    <w:pPr>
                      <w:spacing w:line="276" w:lineRule="auto"/>
                      <w:jc w:val="center"/>
                      <w:rPr>
                        <w:sz w:val="20"/>
                      </w:rPr>
                    </w:pPr>
                    <w:r>
                      <w:rPr>
                        <w:sz w:val="20"/>
                      </w:rPr>
                      <w:t xml:space="preserve">Vnt. </w:t>
                    </w:r>
                  </w:p>
                </w:tc>
                <w:tc>
                  <w:tcPr>
                    <w:tcW w:w="1134" w:type="dxa"/>
                    <w:shd w:val="clear" w:color="auto" w:fill="FFFFFF" w:themeFill="background1"/>
                  </w:tcPr>
                  <w:p>
                    <w:pPr>
                      <w:jc w:val="center"/>
                      <w:rPr>
                        <w:sz w:val="20"/>
                      </w:rPr>
                    </w:pPr>
                    <w:r>
                      <w:rPr>
                        <w:sz w:val="20"/>
                      </w:rPr>
                      <w:t>n/d</w:t>
                    </w:r>
                  </w:p>
                </w:tc>
                <w:tc>
                  <w:tcPr>
                    <w:tcW w:w="992" w:type="dxa"/>
                    <w:shd w:val="clear" w:color="auto" w:fill="FFFFFF" w:themeFill="background1"/>
                  </w:tcPr>
                  <w:p>
                    <w:pPr>
                      <w:jc w:val="center"/>
                      <w:rPr>
                        <w:sz w:val="20"/>
                      </w:rPr>
                    </w:pPr>
                    <w:r>
                      <w:rPr>
                        <w:sz w:val="20"/>
                      </w:rPr>
                      <w:t>n/d</w:t>
                    </w:r>
                  </w:p>
                </w:tc>
                <w:tc>
                  <w:tcPr>
                    <w:tcW w:w="1135" w:type="dxa"/>
                    <w:shd w:val="clear" w:color="auto" w:fill="FFFFFF" w:themeFill="background1"/>
                  </w:tcPr>
                  <w:p>
                    <w:pPr>
                      <w:jc w:val="center"/>
                      <w:rPr>
                        <w:sz w:val="20"/>
                      </w:rPr>
                    </w:pPr>
                    <w:r>
                      <w:rPr>
                        <w:sz w:val="20"/>
                      </w:rPr>
                      <w:t>1</w:t>
                    </w:r>
                  </w:p>
                  <w:p>
                    <w:pPr>
                      <w:jc w:val="center"/>
                      <w:rPr>
                        <w:sz w:val="20"/>
                        <w:lang w:val="en-US"/>
                      </w:rPr>
                    </w:pPr>
                    <w:r>
                      <w:rPr>
                        <w:sz w:val="20"/>
                      </w:rPr>
                      <w:t xml:space="preserve">(2023 m. I ketv.) </w:t>
                    </w:r>
                  </w:p>
                </w:tc>
                <w:tc>
                  <w:tcPr>
                    <w:tcW w:w="1417" w:type="dxa"/>
                    <w:shd w:val="clear" w:color="auto" w:fill="FFFFFF" w:themeFill="background1"/>
                  </w:tcPr>
                  <w:p>
                    <w:pPr>
                      <w:spacing w:line="276" w:lineRule="auto"/>
                      <w:jc w:val="center"/>
                      <w:rPr>
                        <w:bCs/>
                        <w:sz w:val="20"/>
                      </w:rPr>
                    </w:pPr>
                    <w:r>
                      <w:rPr>
                        <w:sz w:val="20"/>
                      </w:rPr>
                      <w:t>EGADP</w:t>
                    </w:r>
                  </w:p>
                </w:tc>
              </w:tr>
              <w:tr>
                <w:trPr>
                  <w:trHeight w:val="330"/>
                </w:trPr>
                <w:tc>
                  <w:tcPr>
                    <w:tcW w:w="1418" w:type="dxa"/>
                    <w:shd w:val="clear" w:color="auto" w:fill="FFFFFF" w:themeFill="background1"/>
                  </w:tcPr>
                  <w:p>
                    <w:pPr>
                      <w:spacing w:line="276" w:lineRule="auto"/>
                      <w:rPr>
                        <w:sz w:val="20"/>
                      </w:rPr>
                    </w:pPr>
                    <w:r>
                      <w:rPr>
                        <w:sz w:val="20"/>
                      </w:rPr>
                      <w:t>P-11-002-02-11-01-73</w:t>
                    </w:r>
                  </w:p>
                </w:tc>
                <w:tc>
                  <w:tcPr>
                    <w:tcW w:w="1134" w:type="dxa"/>
                    <w:shd w:val="clear" w:color="auto" w:fill="FFFFFF" w:themeFill="background1"/>
                  </w:tcPr>
                  <w:p>
                    <w:pPr>
                      <w:spacing w:line="276" w:lineRule="auto"/>
                      <w:rPr>
                        <w:sz w:val="20"/>
                      </w:rPr>
                    </w:pPr>
                    <w:r>
                      <w:rPr>
                        <w:sz w:val="20"/>
                      </w:rPr>
                      <w:t>Produkto</w:t>
                    </w:r>
                  </w:p>
                </w:tc>
                <w:tc>
                  <w:tcPr>
                    <w:tcW w:w="2693" w:type="dxa"/>
                    <w:shd w:val="clear" w:color="auto" w:fill="FFFFFF" w:themeFill="background1"/>
                  </w:tcPr>
                  <w:p>
                    <w:pPr>
                      <w:rPr>
                        <w:sz w:val="20"/>
                      </w:rPr>
                    </w:pPr>
                    <w:r>
                      <w:rPr>
                        <w:sz w:val="20"/>
                      </w:rPr>
                      <w:t>Įsigalioję teisės aktai, reglamentuojantys, pavėžėjimo paslaugų teikimo ir organizavimo reikalavimus</w:t>
                    </w:r>
                  </w:p>
                </w:tc>
                <w:tc>
                  <w:tcPr>
                    <w:tcW w:w="1134" w:type="dxa"/>
                    <w:shd w:val="clear" w:color="auto" w:fill="FFFFFF" w:themeFill="background1"/>
                  </w:tcPr>
                  <w:p>
                    <w:pPr>
                      <w:spacing w:line="276" w:lineRule="auto"/>
                      <w:jc w:val="center"/>
                      <w:rPr>
                        <w:sz w:val="20"/>
                      </w:rPr>
                    </w:pPr>
                    <w:r>
                      <w:rPr>
                        <w:sz w:val="20"/>
                      </w:rPr>
                      <w:t xml:space="preserve">Kompl. </w:t>
                    </w:r>
                  </w:p>
                </w:tc>
                <w:tc>
                  <w:tcPr>
                    <w:tcW w:w="1134" w:type="dxa"/>
                    <w:shd w:val="clear" w:color="auto" w:fill="FFFFFF" w:themeFill="background1"/>
                  </w:tcPr>
                  <w:p>
                    <w:pPr>
                      <w:jc w:val="center"/>
                      <w:rPr>
                        <w:sz w:val="20"/>
                      </w:rPr>
                    </w:pPr>
                    <w:r>
                      <w:rPr>
                        <w:sz w:val="20"/>
                      </w:rPr>
                      <w:t>n/d</w:t>
                    </w:r>
                  </w:p>
                </w:tc>
                <w:tc>
                  <w:tcPr>
                    <w:tcW w:w="992" w:type="dxa"/>
                    <w:shd w:val="clear" w:color="auto" w:fill="FFFFFF" w:themeFill="background1"/>
                  </w:tcPr>
                  <w:p>
                    <w:pPr>
                      <w:jc w:val="center"/>
                      <w:rPr>
                        <w:sz w:val="20"/>
                      </w:rPr>
                    </w:pPr>
                    <w:r>
                      <w:rPr>
                        <w:sz w:val="20"/>
                      </w:rPr>
                      <w:t>n/d</w:t>
                    </w:r>
                  </w:p>
                </w:tc>
                <w:tc>
                  <w:tcPr>
                    <w:tcW w:w="1135" w:type="dxa"/>
                    <w:shd w:val="clear" w:color="auto" w:fill="FFFFFF" w:themeFill="background1"/>
                  </w:tcPr>
                  <w:p>
                    <w:pPr>
                      <w:jc w:val="center"/>
                      <w:rPr>
                        <w:sz w:val="20"/>
                      </w:rPr>
                    </w:pPr>
                    <w:r>
                      <w:rPr>
                        <w:sz w:val="20"/>
                      </w:rPr>
                      <w:t>1</w:t>
                    </w:r>
                  </w:p>
                  <w:p>
                    <w:pPr>
                      <w:jc w:val="center"/>
                      <w:rPr>
                        <w:sz w:val="20"/>
                        <w:lang w:val="en-US"/>
                      </w:rPr>
                    </w:pPr>
                    <w:r>
                      <w:rPr>
                        <w:sz w:val="20"/>
                      </w:rPr>
                      <w:t>(2024 m.)</w:t>
                    </w:r>
                  </w:p>
                </w:tc>
                <w:tc>
                  <w:tcPr>
                    <w:tcW w:w="1417" w:type="dxa"/>
                    <w:shd w:val="clear" w:color="auto" w:fill="FFFFFF" w:themeFill="background1"/>
                  </w:tcPr>
                  <w:p>
                    <w:pPr>
                      <w:spacing w:line="276" w:lineRule="auto"/>
                      <w:jc w:val="center"/>
                      <w:rPr>
                        <w:bCs/>
                        <w:sz w:val="20"/>
                      </w:rPr>
                    </w:pPr>
                    <w:r>
                      <w:rPr>
                        <w:bCs/>
                        <w:sz w:val="20"/>
                      </w:rPr>
                      <w:t>VB</w:t>
                    </w:r>
                  </w:p>
                </w:tc>
              </w:tr>
              <w:tr>
                <w:trPr>
                  <w:trHeight w:val="330"/>
                </w:trPr>
                <w:tc>
                  <w:tcPr>
                    <w:tcW w:w="1418" w:type="dxa"/>
                    <w:shd w:val="clear" w:color="auto" w:fill="FFFFFF" w:themeFill="background1"/>
                  </w:tcPr>
                  <w:p>
                    <w:pPr>
                      <w:spacing w:line="276" w:lineRule="auto"/>
                      <w:rPr>
                        <w:sz w:val="20"/>
                      </w:rPr>
                    </w:pPr>
                    <w:r>
                      <w:rPr>
                        <w:sz w:val="20"/>
                      </w:rPr>
                      <w:t>P-11-002-02-11-01-74</w:t>
                    </w:r>
                  </w:p>
                </w:tc>
                <w:tc>
                  <w:tcPr>
                    <w:tcW w:w="1134" w:type="dxa"/>
                    <w:shd w:val="clear" w:color="auto" w:fill="FFFFFF" w:themeFill="background1"/>
                  </w:tcPr>
                  <w:p>
                    <w:pPr>
                      <w:spacing w:line="276" w:lineRule="auto"/>
                      <w:rPr>
                        <w:sz w:val="20"/>
                      </w:rPr>
                    </w:pPr>
                    <w:r>
                      <w:rPr>
                        <w:sz w:val="20"/>
                      </w:rPr>
                      <w:t>Produkto</w:t>
                    </w:r>
                  </w:p>
                </w:tc>
                <w:tc>
                  <w:tcPr>
                    <w:tcW w:w="2693" w:type="dxa"/>
                    <w:shd w:val="clear" w:color="auto" w:fill="FFFFFF" w:themeFill="background1"/>
                  </w:tcPr>
                  <w:p>
                    <w:pPr>
                      <w:rPr>
                        <w:sz w:val="20"/>
                      </w:rPr>
                    </w:pPr>
                    <w:r>
                      <w:rPr>
                        <w:sz w:val="20"/>
                      </w:rPr>
                      <w:t>Specialistai, dalyvavę kvalifikacijos tobulinimo veiklose</w:t>
                    </w:r>
                  </w:p>
                </w:tc>
                <w:tc>
                  <w:tcPr>
                    <w:tcW w:w="1134" w:type="dxa"/>
                    <w:shd w:val="clear" w:color="auto" w:fill="FFFFFF" w:themeFill="background1"/>
                  </w:tcPr>
                  <w:p>
                    <w:pPr>
                      <w:spacing w:line="276" w:lineRule="auto"/>
                      <w:jc w:val="center"/>
                      <w:rPr>
                        <w:sz w:val="20"/>
                      </w:rPr>
                    </w:pPr>
                    <w:r>
                      <w:rPr>
                        <w:iCs/>
                        <w:sz w:val="20"/>
                      </w:rPr>
                      <w:t>Asmenys</w:t>
                    </w:r>
                  </w:p>
                </w:tc>
                <w:tc>
                  <w:tcPr>
                    <w:tcW w:w="1134" w:type="dxa"/>
                    <w:shd w:val="clear" w:color="auto" w:fill="FFFFFF" w:themeFill="background1"/>
                  </w:tcPr>
                  <w:p>
                    <w:pPr>
                      <w:jc w:val="center"/>
                      <w:rPr>
                        <w:sz w:val="20"/>
                      </w:rPr>
                    </w:pPr>
                    <w:r>
                      <w:rPr>
                        <w:sz w:val="20"/>
                      </w:rPr>
                      <w:t>n/d</w:t>
                    </w:r>
                  </w:p>
                </w:tc>
                <w:tc>
                  <w:tcPr>
                    <w:tcW w:w="992" w:type="dxa"/>
                    <w:shd w:val="clear" w:color="auto" w:fill="FFFFFF" w:themeFill="background1"/>
                  </w:tcPr>
                  <w:p>
                    <w:pPr>
                      <w:jc w:val="center"/>
                      <w:rPr>
                        <w:sz w:val="20"/>
                      </w:rPr>
                    </w:pPr>
                    <w:r>
                      <w:rPr>
                        <w:sz w:val="20"/>
                      </w:rPr>
                      <w:t>n/d</w:t>
                    </w:r>
                  </w:p>
                </w:tc>
                <w:tc>
                  <w:tcPr>
                    <w:tcW w:w="1135" w:type="dxa"/>
                    <w:shd w:val="clear" w:color="auto" w:fill="FFFFFF" w:themeFill="background1"/>
                  </w:tcPr>
                  <w:p>
                    <w:pPr>
                      <w:jc w:val="center"/>
                      <w:rPr>
                        <w:sz w:val="20"/>
                        <w:lang w:val="en-US"/>
                      </w:rPr>
                    </w:pPr>
                    <w:r>
                      <w:rPr>
                        <w:sz w:val="20"/>
                        <w:lang w:val="en-US"/>
                      </w:rPr>
                      <w:t>18 000</w:t>
                    </w:r>
                  </w:p>
                </w:tc>
                <w:tc>
                  <w:tcPr>
                    <w:tcW w:w="1417" w:type="dxa"/>
                    <w:shd w:val="clear" w:color="auto" w:fill="FFFFFF" w:themeFill="background1"/>
                  </w:tcPr>
                  <w:p>
                    <w:pPr>
                      <w:spacing w:line="276" w:lineRule="auto"/>
                      <w:jc w:val="center"/>
                      <w:rPr>
                        <w:bCs/>
                        <w:sz w:val="20"/>
                      </w:rPr>
                    </w:pPr>
                    <w:r>
                      <w:rPr>
                        <w:sz w:val="20"/>
                      </w:rPr>
                      <w:t>VB</w:t>
                    </w:r>
                    <w:r>
                      <w:rPr>
                        <w:bCs/>
                        <w:sz w:val="20"/>
                      </w:rPr>
                      <w:t xml:space="preserve"> </w:t>
                    </w:r>
                  </w:p>
                </w:tc>
              </w:tr>
              <w:tr>
                <w:trPr>
                  <w:trHeight w:val="330"/>
                </w:trPr>
                <w:tc>
                  <w:tcPr>
                    <w:tcW w:w="1418" w:type="dxa"/>
                    <w:shd w:val="clear" w:color="auto" w:fill="FFFFFF" w:themeFill="background1"/>
                  </w:tcPr>
                  <w:p>
                    <w:pPr>
                      <w:spacing w:line="276" w:lineRule="auto"/>
                      <w:rPr>
                        <w:sz w:val="20"/>
                      </w:rPr>
                    </w:pPr>
                    <w:r>
                      <w:rPr>
                        <w:sz w:val="20"/>
                      </w:rPr>
                      <w:t>P-11-002-02-11-01-75</w:t>
                    </w:r>
                  </w:p>
                </w:tc>
                <w:tc>
                  <w:tcPr>
                    <w:tcW w:w="1134" w:type="dxa"/>
                    <w:shd w:val="clear" w:color="auto" w:fill="FFFFFF" w:themeFill="background1"/>
                  </w:tcPr>
                  <w:p>
                    <w:pPr>
                      <w:spacing w:line="276" w:lineRule="auto"/>
                      <w:rPr>
                        <w:sz w:val="20"/>
                      </w:rPr>
                    </w:pPr>
                    <w:r>
                      <w:rPr>
                        <w:sz w:val="20"/>
                      </w:rPr>
                      <w:t>Produkto</w:t>
                    </w:r>
                  </w:p>
                </w:tc>
                <w:tc>
                  <w:tcPr>
                    <w:tcW w:w="2693" w:type="dxa"/>
                    <w:shd w:val="clear" w:color="auto" w:fill="FFFFFF" w:themeFill="background1"/>
                  </w:tcPr>
                  <w:p>
                    <w:pPr>
                      <w:rPr>
                        <w:sz w:val="20"/>
                      </w:rPr>
                    </w:pPr>
                    <w:r>
                      <w:rPr>
                        <w:sz w:val="20"/>
                      </w:rPr>
                      <w:t xml:space="preserve">Patvirtintas atnaujintas Šeimos medicinos plėtros 2016–2025 m. veiksmų planas </w:t>
                    </w:r>
                  </w:p>
                </w:tc>
                <w:tc>
                  <w:tcPr>
                    <w:tcW w:w="1134" w:type="dxa"/>
                    <w:shd w:val="clear" w:color="auto" w:fill="FFFFFF" w:themeFill="background1"/>
                  </w:tcPr>
                  <w:p>
                    <w:pPr>
                      <w:spacing w:line="276" w:lineRule="auto"/>
                      <w:jc w:val="center"/>
                      <w:rPr>
                        <w:sz w:val="20"/>
                      </w:rPr>
                    </w:pPr>
                    <w:r>
                      <w:rPr>
                        <w:sz w:val="20"/>
                      </w:rPr>
                      <w:t xml:space="preserve">Vnt. </w:t>
                    </w:r>
                  </w:p>
                </w:tc>
                <w:tc>
                  <w:tcPr>
                    <w:tcW w:w="1134" w:type="dxa"/>
                    <w:shd w:val="clear" w:color="auto" w:fill="FFFFFF" w:themeFill="background1"/>
                  </w:tcPr>
                  <w:p>
                    <w:pPr>
                      <w:jc w:val="center"/>
                      <w:rPr>
                        <w:sz w:val="20"/>
                      </w:rPr>
                    </w:pPr>
                    <w:r>
                      <w:rPr>
                        <w:sz w:val="20"/>
                      </w:rPr>
                      <w:t>n/d</w:t>
                    </w:r>
                  </w:p>
                </w:tc>
                <w:tc>
                  <w:tcPr>
                    <w:tcW w:w="992" w:type="dxa"/>
                    <w:shd w:val="clear" w:color="auto" w:fill="FFFFFF" w:themeFill="background1"/>
                  </w:tcPr>
                  <w:p>
                    <w:pPr>
                      <w:jc w:val="center"/>
                      <w:rPr>
                        <w:sz w:val="20"/>
                      </w:rPr>
                    </w:pPr>
                    <w:r>
                      <w:rPr>
                        <w:sz w:val="20"/>
                      </w:rPr>
                      <w:t>n/d</w:t>
                    </w:r>
                  </w:p>
                </w:tc>
                <w:tc>
                  <w:tcPr>
                    <w:tcW w:w="1135" w:type="dxa"/>
                    <w:shd w:val="clear" w:color="auto" w:fill="FFFFFF" w:themeFill="background1"/>
                  </w:tcPr>
                  <w:p>
                    <w:pPr>
                      <w:jc w:val="center"/>
                      <w:rPr>
                        <w:sz w:val="20"/>
                      </w:rPr>
                    </w:pPr>
                    <w:r>
                      <w:rPr>
                        <w:sz w:val="20"/>
                      </w:rPr>
                      <w:t xml:space="preserve">1 </w:t>
                    </w:r>
                  </w:p>
                  <w:p>
                    <w:pPr>
                      <w:jc w:val="center"/>
                      <w:rPr>
                        <w:sz w:val="20"/>
                        <w:lang w:val="en-US"/>
                      </w:rPr>
                    </w:pPr>
                    <w:r>
                      <w:rPr>
                        <w:sz w:val="20"/>
                      </w:rPr>
                      <w:t>(2022 m. IV ketv.)</w:t>
                    </w:r>
                  </w:p>
                </w:tc>
                <w:tc>
                  <w:tcPr>
                    <w:tcW w:w="1417" w:type="dxa"/>
                    <w:shd w:val="clear" w:color="auto" w:fill="FFFFFF" w:themeFill="background1"/>
                  </w:tcPr>
                  <w:p>
                    <w:pPr>
                      <w:spacing w:line="276" w:lineRule="auto"/>
                      <w:jc w:val="center"/>
                      <w:rPr>
                        <w:bCs/>
                        <w:sz w:val="20"/>
                      </w:rPr>
                    </w:pPr>
                    <w:r>
                      <w:rPr>
                        <w:sz w:val="20"/>
                      </w:rPr>
                      <w:t>EGADP</w:t>
                    </w:r>
                  </w:p>
                </w:tc>
              </w:tr>
              <w:tr>
                <w:trPr>
                  <w:trHeight w:val="330"/>
                </w:trPr>
                <w:tc>
                  <w:tcPr>
                    <w:tcW w:w="1418" w:type="dxa"/>
                    <w:shd w:val="clear" w:color="auto" w:fill="FFFFFF" w:themeFill="background1"/>
                  </w:tcPr>
                  <w:p>
                    <w:pPr>
                      <w:spacing w:line="276" w:lineRule="auto"/>
                      <w:rPr>
                        <w:sz w:val="20"/>
                      </w:rPr>
                    </w:pPr>
                    <w:r>
                      <w:rPr>
                        <w:sz w:val="20"/>
                      </w:rPr>
                      <w:t>P-11-002-02-11-01-76</w:t>
                    </w:r>
                  </w:p>
                </w:tc>
                <w:tc>
                  <w:tcPr>
                    <w:tcW w:w="1134" w:type="dxa"/>
                    <w:shd w:val="clear" w:color="auto" w:fill="FFFFFF" w:themeFill="background1"/>
                  </w:tcPr>
                  <w:p>
                    <w:pPr>
                      <w:spacing w:line="276" w:lineRule="auto"/>
                      <w:rPr>
                        <w:sz w:val="20"/>
                      </w:rPr>
                    </w:pPr>
                    <w:r>
                      <w:rPr>
                        <w:sz w:val="20"/>
                      </w:rPr>
                      <w:t>Produkto</w:t>
                    </w:r>
                  </w:p>
                </w:tc>
                <w:tc>
                  <w:tcPr>
                    <w:tcW w:w="2693" w:type="dxa"/>
                    <w:shd w:val="clear" w:color="auto" w:fill="FFFFFF" w:themeFill="background1"/>
                  </w:tcPr>
                  <w:p>
                    <w:pPr>
                      <w:rPr>
                        <w:sz w:val="20"/>
                      </w:rPr>
                    </w:pPr>
                    <w:r>
                      <w:rPr>
                        <w:sz w:val="20"/>
                      </w:rPr>
                      <w:t>Parengta ir patvirtinta ilgalaikė sveikatos žmogiškųjų išteklių valdymo strategija</w:t>
                    </w:r>
                    <w:r>
                      <w:rPr>
                        <w:sz w:val="20"/>
                        <w:vertAlign w:val="superscript"/>
                      </w:rPr>
                      <w:t>1</w:t>
                    </w:r>
                  </w:p>
                </w:tc>
                <w:tc>
                  <w:tcPr>
                    <w:tcW w:w="1134" w:type="dxa"/>
                    <w:shd w:val="clear" w:color="auto" w:fill="FFFFFF" w:themeFill="background1"/>
                  </w:tcPr>
                  <w:p>
                    <w:pPr>
                      <w:spacing w:line="276" w:lineRule="auto"/>
                      <w:jc w:val="center"/>
                      <w:rPr>
                        <w:sz w:val="20"/>
                      </w:rPr>
                    </w:pPr>
                    <w:r>
                      <w:rPr>
                        <w:sz w:val="20"/>
                      </w:rPr>
                      <w:t xml:space="preserve">Vnt. </w:t>
                    </w:r>
                  </w:p>
                </w:tc>
                <w:tc>
                  <w:tcPr>
                    <w:tcW w:w="1134" w:type="dxa"/>
                    <w:shd w:val="clear" w:color="auto" w:fill="FFFFFF" w:themeFill="background1"/>
                  </w:tcPr>
                  <w:p>
                    <w:pPr>
                      <w:jc w:val="center"/>
                      <w:rPr>
                        <w:sz w:val="20"/>
                      </w:rPr>
                    </w:pPr>
                    <w:r>
                      <w:rPr>
                        <w:sz w:val="20"/>
                      </w:rPr>
                      <w:t>n/d</w:t>
                    </w:r>
                  </w:p>
                </w:tc>
                <w:tc>
                  <w:tcPr>
                    <w:tcW w:w="992" w:type="dxa"/>
                    <w:shd w:val="clear" w:color="auto" w:fill="FFFFFF" w:themeFill="background1"/>
                  </w:tcPr>
                  <w:p>
                    <w:pPr>
                      <w:jc w:val="center"/>
                      <w:rPr>
                        <w:sz w:val="20"/>
                      </w:rPr>
                    </w:pPr>
                    <w:r>
                      <w:rPr>
                        <w:sz w:val="20"/>
                      </w:rPr>
                      <w:t>n/d</w:t>
                    </w:r>
                  </w:p>
                </w:tc>
                <w:tc>
                  <w:tcPr>
                    <w:tcW w:w="1135" w:type="dxa"/>
                    <w:shd w:val="clear" w:color="auto" w:fill="FFFFFF" w:themeFill="background1"/>
                  </w:tcPr>
                  <w:p>
                    <w:pPr>
                      <w:jc w:val="center"/>
                      <w:rPr>
                        <w:sz w:val="20"/>
                      </w:rPr>
                    </w:pPr>
                    <w:r>
                      <w:rPr>
                        <w:sz w:val="20"/>
                      </w:rPr>
                      <w:t>1</w:t>
                    </w:r>
                  </w:p>
                  <w:p>
                    <w:pPr>
                      <w:ind w:firstLine="53"/>
                      <w:jc w:val="center"/>
                      <w:rPr>
                        <w:sz w:val="20"/>
                        <w:lang w:val="en-US"/>
                      </w:rPr>
                    </w:pPr>
                    <w:r>
                      <w:rPr>
                        <w:sz w:val="20"/>
                      </w:rPr>
                      <w:t>(2024 m.)</w:t>
                    </w:r>
                  </w:p>
                </w:tc>
                <w:tc>
                  <w:tcPr>
                    <w:tcW w:w="1417" w:type="dxa"/>
                    <w:shd w:val="clear" w:color="auto" w:fill="FFFFFF" w:themeFill="background1"/>
                  </w:tcPr>
                  <w:p>
                    <w:pPr>
                      <w:spacing w:line="276" w:lineRule="auto"/>
                      <w:jc w:val="center"/>
                      <w:rPr>
                        <w:bCs/>
                        <w:sz w:val="20"/>
                      </w:rPr>
                    </w:pPr>
                    <w:r>
                      <w:rPr>
                        <w:bCs/>
                        <w:sz w:val="20"/>
                      </w:rPr>
                      <w:t>2021</w:t>
                    </w:r>
                    <w:r>
                      <w:rPr>
                        <w:color w:val="000000"/>
                        <w:szCs w:val="24"/>
                      </w:rPr>
                      <w:t>–</w:t>
                    </w:r>
                    <w:r>
                      <w:rPr>
                        <w:bCs/>
                        <w:sz w:val="20"/>
                      </w:rPr>
                      <w:t>2027 m. IP (ESF+)</w:t>
                    </w:r>
                  </w:p>
                </w:tc>
              </w:tr>
              <w:tr>
                <w:trPr>
                  <w:trHeight w:val="330"/>
                </w:trPr>
                <w:tc>
                  <w:tcPr>
                    <w:tcW w:w="1418" w:type="dxa"/>
                    <w:shd w:val="clear" w:color="auto" w:fill="FFFFFF" w:themeFill="background1"/>
                  </w:tcPr>
                  <w:p>
                    <w:pPr>
                      <w:spacing w:line="276" w:lineRule="auto"/>
                      <w:rPr>
                        <w:sz w:val="20"/>
                      </w:rPr>
                    </w:pPr>
                    <w:r>
                      <w:rPr>
                        <w:sz w:val="20"/>
                      </w:rPr>
                      <w:t>P-11-002-02-11-01-77</w:t>
                    </w:r>
                  </w:p>
                </w:tc>
                <w:tc>
                  <w:tcPr>
                    <w:tcW w:w="1134" w:type="dxa"/>
                    <w:shd w:val="clear" w:color="auto" w:fill="FFFFFF" w:themeFill="background1"/>
                  </w:tcPr>
                  <w:p>
                    <w:pPr>
                      <w:spacing w:line="276" w:lineRule="auto"/>
                      <w:rPr>
                        <w:sz w:val="20"/>
                      </w:rPr>
                    </w:pPr>
                    <w:r>
                      <w:rPr>
                        <w:sz w:val="20"/>
                      </w:rPr>
                      <w:t>Produkto</w:t>
                    </w:r>
                  </w:p>
                </w:tc>
                <w:tc>
                  <w:tcPr>
                    <w:tcW w:w="2693" w:type="dxa"/>
                    <w:shd w:val="clear" w:color="auto" w:fill="FFFFFF" w:themeFill="background1"/>
                  </w:tcPr>
                  <w:p>
                    <w:pPr>
                      <w:rPr>
                        <w:sz w:val="20"/>
                      </w:rPr>
                    </w:pPr>
                    <w:r>
                      <w:rPr>
                        <w:sz w:val="20"/>
                      </w:rPr>
                      <w:t>Įsigalioję teisės aktai dėl sveikatos priežiūros specialistų darbo sąlygų gerinimo ir profesinės kvalifikacijos tobulinimo</w:t>
                    </w:r>
                  </w:p>
                </w:tc>
                <w:tc>
                  <w:tcPr>
                    <w:tcW w:w="1134" w:type="dxa"/>
                    <w:shd w:val="clear" w:color="auto" w:fill="FFFFFF" w:themeFill="background1"/>
                  </w:tcPr>
                  <w:p>
                    <w:pPr>
                      <w:spacing w:line="276" w:lineRule="auto"/>
                      <w:jc w:val="center"/>
                      <w:rPr>
                        <w:sz w:val="20"/>
                      </w:rPr>
                    </w:pPr>
                    <w:r>
                      <w:rPr>
                        <w:sz w:val="20"/>
                      </w:rPr>
                      <w:t xml:space="preserve">Kompl. </w:t>
                    </w:r>
                  </w:p>
                </w:tc>
                <w:tc>
                  <w:tcPr>
                    <w:tcW w:w="1134" w:type="dxa"/>
                    <w:shd w:val="clear" w:color="auto" w:fill="FFFFFF" w:themeFill="background1"/>
                  </w:tcPr>
                  <w:p>
                    <w:pPr>
                      <w:jc w:val="center"/>
                      <w:rPr>
                        <w:sz w:val="20"/>
                      </w:rPr>
                    </w:pPr>
                    <w:r>
                      <w:rPr>
                        <w:sz w:val="20"/>
                      </w:rPr>
                      <w:t>n/d</w:t>
                    </w:r>
                  </w:p>
                </w:tc>
                <w:tc>
                  <w:tcPr>
                    <w:tcW w:w="992" w:type="dxa"/>
                    <w:shd w:val="clear" w:color="auto" w:fill="FFFFFF" w:themeFill="background1"/>
                  </w:tcPr>
                  <w:p>
                    <w:pPr>
                      <w:jc w:val="center"/>
                      <w:rPr>
                        <w:sz w:val="20"/>
                      </w:rPr>
                    </w:pPr>
                    <w:r>
                      <w:rPr>
                        <w:sz w:val="20"/>
                      </w:rPr>
                      <w:t xml:space="preserve">n/d </w:t>
                    </w:r>
                  </w:p>
                </w:tc>
                <w:tc>
                  <w:tcPr>
                    <w:tcW w:w="1135"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(2023 m. II ketv.)</w:t>
                    </w:r>
                  </w:p>
                </w:tc>
                <w:tc>
                  <w:tcPr>
                    <w:tcW w:w="1417" w:type="dxa"/>
                    <w:shd w:val="clear" w:color="auto" w:fill="FFFFFF" w:themeFill="background1"/>
                  </w:tcPr>
                  <w:p>
                    <w:pPr>
                      <w:spacing w:line="276" w:lineRule="auto"/>
                      <w:jc w:val="center"/>
                      <w:rPr>
                        <w:bCs/>
                        <w:sz w:val="20"/>
                      </w:rPr>
                    </w:pPr>
                    <w:r>
                      <w:rPr>
                        <w:bCs/>
                        <w:sz w:val="20"/>
                      </w:rPr>
                      <w:t>EGADP</w:t>
                    </w:r>
                  </w:p>
                </w:tc>
              </w:tr>
              <w:tr>
                <w:trPr>
                  <w:trHeight w:val="330"/>
                </w:trPr>
                <w:tc>
                  <w:tcPr>
                    <w:tcW w:w="1418" w:type="dxa"/>
                    <w:shd w:val="clear" w:color="auto" w:fill="FFFFFF" w:themeFill="background1"/>
                  </w:tcPr>
                  <w:p>
                    <w:pPr>
                      <w:spacing w:line="276" w:lineRule="auto"/>
                      <w:rPr>
                        <w:sz w:val="20"/>
                      </w:rPr>
                    </w:pPr>
                    <w:r>
                      <w:rPr>
                        <w:sz w:val="20"/>
                      </w:rPr>
                      <w:t>P-11-002-02-11-01-78</w:t>
                    </w:r>
                  </w:p>
                </w:tc>
                <w:tc>
                  <w:tcPr>
                    <w:tcW w:w="1134" w:type="dxa"/>
                    <w:shd w:val="clear" w:color="auto" w:fill="FFFFFF" w:themeFill="background1"/>
                  </w:tcPr>
                  <w:p>
                    <w:pPr>
                      <w:spacing w:line="276" w:lineRule="auto"/>
                      <w:rPr>
                        <w:sz w:val="20"/>
                      </w:rPr>
                    </w:pPr>
                    <w:r>
                      <w:rPr>
                        <w:sz w:val="20"/>
                      </w:rPr>
                      <w:t>Produkto</w:t>
                    </w:r>
                  </w:p>
                </w:tc>
                <w:tc>
                  <w:tcPr>
                    <w:tcW w:w="2693" w:type="dxa"/>
                    <w:shd w:val="clear" w:color="auto" w:fill="FFFFFF" w:themeFill="background1"/>
                  </w:tcPr>
                  <w:p>
                    <w:pPr>
                      <w:rPr>
                        <w:sz w:val="20"/>
                      </w:rPr>
                    </w:pPr>
                    <w:r>
                      <w:rPr>
                        <w:sz w:val="20"/>
                        <w:lang w:eastAsia="lt-LT"/>
                      </w:rPr>
                      <w:t>Skaitmeninės sveikatos sistemos plėtros veiksmų planas</w:t>
                    </w:r>
                  </w:p>
                </w:tc>
                <w:tc>
                  <w:tcPr>
                    <w:tcW w:w="1134" w:type="dxa"/>
                    <w:shd w:val="clear" w:color="auto" w:fill="FFFFFF" w:themeFill="background1"/>
                  </w:tcPr>
                  <w:p>
                    <w:pPr>
                      <w:spacing w:line="276" w:lineRule="auto"/>
                      <w:jc w:val="center"/>
                      <w:rPr>
                        <w:sz w:val="20"/>
                      </w:rPr>
                    </w:pPr>
                    <w:r>
                      <w:rPr>
                        <w:sz w:val="20"/>
                      </w:rPr>
                      <w:t>Vnt.</w:t>
                    </w:r>
                  </w:p>
                </w:tc>
                <w:tc>
                  <w:tcPr>
                    <w:tcW w:w="1134" w:type="dxa"/>
                    <w:shd w:val="clear" w:color="auto" w:fill="FFFFFF" w:themeFill="background1"/>
                  </w:tcPr>
                  <w:p>
                    <w:pPr>
                      <w:jc w:val="center"/>
                      <w:rPr>
                        <w:sz w:val="20"/>
                      </w:rPr>
                    </w:pPr>
                    <w:r>
                      <w:rPr>
                        <w:sz w:val="20"/>
                      </w:rPr>
                      <w:t>n/d</w:t>
                    </w:r>
                  </w:p>
                </w:tc>
                <w:tc>
                  <w:tcPr>
                    <w:tcW w:w="992" w:type="dxa"/>
                    <w:shd w:val="clear" w:color="auto" w:fill="FFFFFF" w:themeFill="background1"/>
                  </w:tcPr>
                  <w:p>
                    <w:pPr>
                      <w:jc w:val="center"/>
                      <w:rPr>
                        <w:sz w:val="20"/>
                      </w:rPr>
                    </w:pPr>
                    <w:r>
                      <w:rPr>
                        <w:sz w:val="20"/>
                      </w:rPr>
                      <w:t>n/d</w:t>
                    </w:r>
                  </w:p>
                </w:tc>
                <w:tc>
                  <w:tcPr>
                    <w:tcW w:w="1135"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w:t>
                    </w:r>
                    <w:r>
                      <w:rPr>
                        <w:sz w:val="20"/>
                        <w:lang w:val="en-US"/>
                      </w:rPr>
                      <w:t>6</w:t>
                    </w:r>
                    <w:r>
                      <w:rPr>
                        <w:sz w:val="20"/>
                      </w:rPr>
                      <w:t xml:space="preserve"> m. II ketv.)</w:t>
                    </w:r>
                  </w:p>
                </w:tc>
                <w:tc>
                  <w:tcPr>
                    <w:tcW w:w="1417" w:type="dxa"/>
                    <w:shd w:val="clear" w:color="auto" w:fill="FFFFFF" w:themeFill="background1"/>
                  </w:tcPr>
                  <w:p>
                    <w:pPr>
                      <w:spacing w:line="276" w:lineRule="auto"/>
                      <w:jc w:val="center"/>
                      <w:rPr>
                        <w:bCs/>
                        <w:sz w:val="20"/>
                      </w:rPr>
                    </w:pPr>
                    <w:r>
                      <w:rPr>
                        <w:bCs/>
                        <w:sz w:val="20"/>
                      </w:rPr>
                      <w:t>EGADP</w:t>
                    </w:r>
                  </w:p>
                </w:tc>
              </w:tr>
              <w:tr>
                <w:trPr>
                  <w:trHeight w:val="330"/>
                </w:trPr>
                <w:tc>
                  <w:tcPr>
                    <w:tcW w:w="1418" w:type="dxa"/>
                    <w:shd w:val="clear" w:color="auto" w:fill="FFFFFF" w:themeFill="background1"/>
                  </w:tcPr>
                  <w:p>
                    <w:pPr>
                      <w:spacing w:line="276" w:lineRule="auto"/>
                      <w:rPr>
                        <w:sz w:val="20"/>
                      </w:rPr>
                    </w:pPr>
                    <w:r>
                      <w:rPr>
                        <w:sz w:val="20"/>
                      </w:rPr>
                      <w:t>P-11-002-02-11-01-79</w:t>
                    </w:r>
                  </w:p>
                </w:tc>
                <w:tc>
                  <w:tcPr>
                    <w:tcW w:w="1134" w:type="dxa"/>
                    <w:shd w:val="clear" w:color="auto" w:fill="FFFFFF" w:themeFill="background1"/>
                  </w:tcPr>
                  <w:p>
                    <w:pPr>
                      <w:spacing w:line="276" w:lineRule="auto"/>
                      <w:rPr>
                        <w:sz w:val="20"/>
                      </w:rPr>
                    </w:pPr>
                    <w:r>
                      <w:rPr>
                        <w:sz w:val="20"/>
                      </w:rPr>
                      <w:t>Produkto</w:t>
                    </w:r>
                  </w:p>
                </w:tc>
                <w:tc>
                  <w:tcPr>
                    <w:tcW w:w="2693" w:type="dxa"/>
                    <w:shd w:val="clear" w:color="auto" w:fill="FFFFFF" w:themeFill="background1"/>
                  </w:tcPr>
                  <w:p>
                    <w:pPr>
                      <w:rPr>
                        <w:sz w:val="20"/>
                        <w:lang w:eastAsia="lt-LT"/>
                      </w:rPr>
                    </w:pPr>
                    <w:r>
                      <w:rPr>
                        <w:sz w:val="20"/>
                        <w:lang w:eastAsia="lt-LT"/>
                      </w:rPr>
                      <w:t>Patvirtintas Skaitmeninės sveikatos sistemos plėtros veiksmų planas</w:t>
                    </w:r>
                  </w:p>
                </w:tc>
                <w:tc>
                  <w:tcPr>
                    <w:tcW w:w="1134" w:type="dxa"/>
                    <w:shd w:val="clear" w:color="auto" w:fill="FFFFFF" w:themeFill="background1"/>
                  </w:tcPr>
                  <w:p>
                    <w:pPr>
                      <w:spacing w:line="276" w:lineRule="auto"/>
                      <w:jc w:val="center"/>
                      <w:rPr>
                        <w:sz w:val="20"/>
                      </w:rPr>
                    </w:pPr>
                    <w:r>
                      <w:rPr>
                        <w:sz w:val="20"/>
                      </w:rPr>
                      <w:t>Vnt.</w:t>
                    </w:r>
                  </w:p>
                </w:tc>
                <w:tc>
                  <w:tcPr>
                    <w:tcW w:w="1134" w:type="dxa"/>
                    <w:shd w:val="clear" w:color="auto" w:fill="FFFFFF" w:themeFill="background1"/>
                  </w:tcPr>
                  <w:p>
                    <w:pPr>
                      <w:jc w:val="center"/>
                      <w:rPr>
                        <w:sz w:val="20"/>
                      </w:rPr>
                    </w:pPr>
                    <w:r>
                      <w:rPr>
                        <w:sz w:val="20"/>
                      </w:rPr>
                      <w:t>n/d</w:t>
                    </w:r>
                  </w:p>
                </w:tc>
                <w:tc>
                  <w:tcPr>
                    <w:tcW w:w="992" w:type="dxa"/>
                    <w:shd w:val="clear" w:color="auto" w:fill="FFFFFF" w:themeFill="background1"/>
                  </w:tcPr>
                  <w:p>
                    <w:pPr>
                      <w:jc w:val="center"/>
                      <w:rPr>
                        <w:sz w:val="20"/>
                      </w:rPr>
                    </w:pPr>
                    <w:r>
                      <w:rPr>
                        <w:sz w:val="20"/>
                      </w:rPr>
                      <w:t>n/d</w:t>
                    </w:r>
                  </w:p>
                </w:tc>
                <w:tc>
                  <w:tcPr>
                    <w:tcW w:w="1135"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(2024 m. I ketv.)</w:t>
                    </w:r>
                  </w:p>
                </w:tc>
                <w:tc>
                  <w:tcPr>
                    <w:tcW w:w="1417" w:type="dxa"/>
                    <w:shd w:val="clear" w:color="auto" w:fill="FFFFFF" w:themeFill="background1"/>
                  </w:tcPr>
                  <w:p>
                    <w:pPr>
                      <w:spacing w:line="276" w:lineRule="auto"/>
                      <w:jc w:val="center"/>
                      <w:rPr>
                        <w:bCs/>
                        <w:sz w:val="20"/>
                      </w:rPr>
                    </w:pPr>
                    <w:r>
                      <w:rPr>
                        <w:bCs/>
                        <w:sz w:val="20"/>
                      </w:rPr>
                      <w:t>EGADP</w:t>
                    </w:r>
                  </w:p>
                </w:tc>
              </w:tr>
              <w:tr>
                <w:trPr>
                  <w:trHeight w:val="330"/>
                </w:trPr>
                <w:tc>
                  <w:tcPr>
                    <w:tcW w:w="1418" w:type="dxa"/>
                    <w:shd w:val="clear" w:color="auto" w:fill="FFFFFF" w:themeFill="background1"/>
                  </w:tcPr>
                  <w:p>
                    <w:pPr>
                      <w:spacing w:line="276" w:lineRule="auto"/>
                      <w:rPr>
                        <w:sz w:val="20"/>
                      </w:rPr>
                    </w:pPr>
                    <w:r>
                      <w:rPr>
                        <w:sz w:val="20"/>
                      </w:rPr>
                      <w:t>P-11-002-02-11-01-80</w:t>
                    </w:r>
                  </w:p>
                </w:tc>
                <w:tc>
                  <w:tcPr>
                    <w:tcW w:w="1134" w:type="dxa"/>
                    <w:shd w:val="clear" w:color="auto" w:fill="FFFFFF" w:themeFill="background1"/>
                  </w:tcPr>
                  <w:p>
                    <w:pPr>
                      <w:spacing w:line="276" w:lineRule="auto"/>
                      <w:rPr>
                        <w:sz w:val="20"/>
                      </w:rPr>
                    </w:pPr>
                    <w:r>
                      <w:rPr>
                        <w:sz w:val="20"/>
                      </w:rPr>
                      <w:t>Produkto</w:t>
                    </w:r>
                  </w:p>
                </w:tc>
                <w:tc>
                  <w:tcPr>
                    <w:tcW w:w="2693" w:type="dxa"/>
                    <w:shd w:val="clear" w:color="auto" w:fill="FFFFFF" w:themeFill="background1"/>
                  </w:tcPr>
                  <w:p>
                    <w:pPr>
                      <w:rPr>
                        <w:sz w:val="20"/>
                        <w:lang w:eastAsia="lt-LT"/>
                      </w:rPr>
                    </w:pPr>
                    <w:r>
                      <w:rPr>
                        <w:sz w:val="20"/>
                        <w:lang w:eastAsia="lt-LT"/>
                      </w:rPr>
                      <w:t>Sveikatos įstaigų ir agentūrų viešųjų pirkimų centralizavimo plano priėmimas</w:t>
                    </w:r>
                  </w:p>
                </w:tc>
                <w:tc>
                  <w:tcPr>
                    <w:tcW w:w="1134" w:type="dxa"/>
                    <w:shd w:val="clear" w:color="auto" w:fill="FFFFFF" w:themeFill="background1"/>
                  </w:tcPr>
                  <w:p>
                    <w:pPr>
                      <w:spacing w:line="276" w:lineRule="auto"/>
                      <w:jc w:val="center"/>
                      <w:rPr>
                        <w:sz w:val="20"/>
                      </w:rPr>
                    </w:pPr>
                    <w:r>
                      <w:rPr>
                        <w:sz w:val="20"/>
                      </w:rPr>
                      <w:t>Vnt.</w:t>
                    </w:r>
                  </w:p>
                </w:tc>
                <w:tc>
                  <w:tcPr>
                    <w:tcW w:w="1134" w:type="dxa"/>
                    <w:shd w:val="clear" w:color="auto" w:fill="FFFFFF" w:themeFill="background1"/>
                  </w:tcPr>
                  <w:p>
                    <w:pPr>
                      <w:jc w:val="center"/>
                      <w:rPr>
                        <w:sz w:val="20"/>
                      </w:rPr>
                    </w:pPr>
                    <w:r>
                      <w:rPr>
                        <w:sz w:val="20"/>
                      </w:rPr>
                      <w:t>n/d</w:t>
                    </w:r>
                  </w:p>
                </w:tc>
                <w:tc>
                  <w:tcPr>
                    <w:tcW w:w="992" w:type="dxa"/>
                    <w:shd w:val="clear" w:color="auto" w:fill="FFFFFF" w:themeFill="background1"/>
                  </w:tcPr>
                  <w:p>
                    <w:pPr>
                      <w:jc w:val="center"/>
                      <w:rPr>
                        <w:sz w:val="20"/>
                      </w:rPr>
                    </w:pPr>
                    <w:r>
                      <w:rPr>
                        <w:sz w:val="20"/>
                      </w:rPr>
                      <w:t>n/d</w:t>
                    </w:r>
                  </w:p>
                </w:tc>
                <w:tc>
                  <w:tcPr>
                    <w:tcW w:w="1135" w:type="dxa"/>
                    <w:shd w:val="clear" w:color="auto" w:fill="FFFFFF" w:themeFill="background1"/>
                  </w:tcPr>
                  <w:p>
                    <w:pPr>
                      <w:jc w:val="center"/>
                      <w:rPr>
                        <w:sz w:val="20"/>
                      </w:rPr>
                    </w:pPr>
                    <w:r>
                      <w:rPr>
                        <w:sz w:val="20"/>
                      </w:rPr>
                      <w:t>1</w:t>
                    </w:r>
                  </w:p>
                  <w:p>
                    <w:pPr>
                      <w:jc w:val="center"/>
                      <w:rPr>
                        <w:sz w:val="20"/>
                        <w:lang w:val="en-US"/>
                      </w:rPr>
                    </w:pPr>
                    <w:r>
                      <w:rPr>
                        <w:sz w:val="20"/>
                      </w:rPr>
                      <w:t>(202</w:t>
                    </w:r>
                    <w:r>
                      <w:rPr>
                        <w:sz w:val="20"/>
                        <w:lang w:val="en-US"/>
                      </w:rPr>
                      <w:t>3</w:t>
                    </w:r>
                    <w:r>
                      <w:rPr>
                        <w:sz w:val="20"/>
                      </w:rPr>
                      <w:t xml:space="preserve"> m. II ketv.)</w:t>
                    </w:r>
                  </w:p>
                </w:tc>
                <w:tc>
                  <w:tcPr>
                    <w:tcW w:w="1417" w:type="dxa"/>
                    <w:shd w:val="clear" w:color="auto" w:fill="FFFFFF" w:themeFill="background1"/>
                  </w:tcPr>
                  <w:p>
                    <w:pPr>
                      <w:spacing w:line="276" w:lineRule="auto"/>
                      <w:jc w:val="center"/>
                      <w:rPr>
                        <w:bCs/>
                        <w:sz w:val="20"/>
                      </w:rPr>
                    </w:pPr>
                    <w:r>
                      <w:rPr>
                        <w:bCs/>
                        <w:sz w:val="20"/>
                      </w:rPr>
                      <w:t>EGADP</w:t>
                    </w:r>
                  </w:p>
                </w:tc>
              </w:tr>
            </w:tbl>
            <w:p>
              <w:pPr>
                <w:rPr>
                  <w:sz w:val="10"/>
                  <w:szCs w:val="10"/>
                </w:rPr>
              </w:pPr>
            </w:p>
            <w:p>
              <w:pPr>
                <w:jc w:val="both"/>
                <w:rPr>
                  <w:b/>
                  <w:bCs/>
                  <w:sz w:val="20"/>
                  <w:lang w:eastAsia="lt-LT"/>
                </w:rPr>
              </w:pPr>
              <w:r>
                <w:rPr>
                  <w:b/>
                  <w:bCs/>
                  <w:sz w:val="20"/>
                  <w:lang w:eastAsia="lt-LT"/>
                </w:rPr>
                <w:t>Pastabos:</w:t>
              </w:r>
            </w:p>
            <w:p>
              <w:pPr>
                <w:jc w:val="both"/>
                <w:rPr>
                  <w:i/>
                  <w:iCs/>
                  <w:sz w:val="20"/>
                  <w:lang w:eastAsia="lt-LT"/>
                </w:rPr>
              </w:pPr>
              <w:r>
                <w:rPr>
                  <w:sz w:val="20"/>
                  <w:lang w:eastAsia="lt-LT"/>
                </w:rPr>
                <w:t>1. N</w:t>
              </w:r>
              <w:r>
                <w:rPr>
                  <w:sz w:val="20"/>
                </w:rPr>
                <w:t>acionaliniai rodikliai, kurių bus siekiama vykdant veiklas, finansuojamas iš 2021</w:t>
              </w:r>
              <w:r>
                <w:rPr>
                  <w:color w:val="000000"/>
                  <w:szCs w:val="24"/>
                </w:rPr>
                <w:t>–</w:t>
              </w:r>
              <w:r>
                <w:rPr>
                  <w:sz w:val="20"/>
                </w:rPr>
                <w:t>2027 m. IP ir (arba) EGDAP lėšų.</w:t>
              </w:r>
              <w:r>
                <w:rPr>
                  <w:i/>
                  <w:iCs/>
                  <w:sz w:val="20"/>
                  <w:lang w:eastAsia="lt-LT"/>
                </w:rPr>
                <w:t xml:space="preserve"> </w:t>
              </w:r>
            </w:p>
            <w:p>
              <w:pPr>
                <w:jc w:val="both"/>
                <w:rPr>
                  <w:sz w:val="20"/>
                  <w:lang w:eastAsia="lt-LT"/>
                </w:rPr>
              </w:pPr>
              <w:r>
                <w:rPr>
                  <w:sz w:val="20"/>
                  <w:lang w:eastAsia="lt-LT"/>
                </w:rPr>
                <w:t xml:space="preserve">2. </w:t>
              </w:r>
              <w:r>
                <w:rPr>
                  <w:sz w:val="20"/>
                </w:rPr>
                <w:t>EGADP bendrieji rodikliai.</w:t>
              </w:r>
              <w:r>
                <w:rPr>
                  <w:sz w:val="20"/>
                  <w:lang w:eastAsia="lt-LT"/>
                </w:rPr>
                <w:t xml:space="preserve"> Bendrieji rodikliai </w:t>
              </w:r>
              <w:r>
                <w:rPr>
                  <w:sz w:val="20"/>
                </w:rPr>
                <w:t xml:space="preserve">nurodyti Ekonomikos gaivinimo ir atsparumo didinimo plane „Naujos kartos Lietuva“ ir neturi siektinų reikšmių. Duomenys bus renkami iš susijusių reformų ir investicijų rodiklių. Ataskaitinis laikotarpis </w:t>
              </w:r>
              <w:r>
                <w:rPr>
                  <w:color w:val="000000"/>
                  <w:szCs w:val="24"/>
                </w:rPr>
                <w:t>–</w:t>
              </w:r>
              <w:r>
                <w:rPr>
                  <w:sz w:val="20"/>
                </w:rPr>
                <w:t xml:space="preserve"> iki 2026 m. IV ketv. </w:t>
              </w:r>
            </w:p>
            <w:p>
              <w:pPr>
                <w:rPr>
                  <w:sz w:val="10"/>
                  <w:szCs w:val="10"/>
                </w:rPr>
              </w:pPr>
            </w:p>
          </w:sdtContent>
        </w:sdt>
        <w:sdt>
          <w:sdtPr>
            <w:alias w:val="skyrius"/>
            <w:tag w:val="part_4604f1929c584b729069b54cbc0b8fc4"/>
            <w:lock w:val="sdtLocked"/>
            <w:richText/>
          </w:sdtPr>
          <w:sdtContent>
            <w:p>
              <w:pPr>
                <w:jc w:val="center"/>
                <w:rPr>
                  <w:b/>
                  <w:sz w:val="22"/>
                  <w:szCs w:val="22"/>
                </w:rPr>
              </w:pPr>
              <w:sdt>
                <w:sdtPr>
                  <w:alias w:val="Numeris"/>
                  <w:tag w:val="nr_4604f1929c584b729069b54cbc0b8fc4"/>
                  <w:lock w:val="sdtLocked"/>
                  <w:richText/>
                </w:sdtPr>
                <w:sdtContent>
                  <w:r>
                    <w:rPr>
                      <w:b/>
                      <w:sz w:val="22"/>
                      <w:szCs w:val="22"/>
                    </w:rPr>
                    <w:t>II</w:t>
                  </w:r>
                </w:sdtContent>
              </w:sdt>
              <w:r>
                <w:rPr>
                  <w:b/>
                  <w:sz w:val="22"/>
                  <w:szCs w:val="22"/>
                </w:rPr>
                <w:t xml:space="preserve"> SKYRIUS</w:t>
              </w:r>
            </w:p>
            <w:p>
              <w:pPr>
                <w:jc w:val="center"/>
                <w:rPr>
                  <w:b/>
                  <w:sz w:val="22"/>
                  <w:szCs w:val="22"/>
                </w:rPr>
              </w:pPr>
              <w:sdt>
                <w:sdtPr>
                  <w:alias w:val="Pavadinimas"/>
                  <w:tag w:val="title_4604f1929c584b729069b54cbc0b8fc4"/>
                  <w:lock w:val="sdtLocked"/>
                  <w:richText/>
                </w:sdtPr>
                <w:sdtContent>
                  <w:r>
                    <w:rPr>
                      <w:b/>
                      <w:sz w:val="22"/>
                      <w:szCs w:val="22"/>
                    </w:rPr>
                    <w:t>PLĖTROS PROGRAMOS PAŽANGOS PRIEMONĖS FINANSAVIMO ŠALTINIAI</w:t>
                  </w:r>
                </w:sdtContent>
              </w:sdt>
            </w:p>
            <w:p>
              <w:pPr>
                <w:jc w:val="center"/>
                <w:rPr>
                  <w:b/>
                  <w:sz w:val="22"/>
                  <w:szCs w:val="22"/>
                </w:rPr>
              </w:pPr>
            </w:p>
            <w:tbl>
              <w:tblPr>
                <w:tblW w:w="10348" w:type="dxa"/>
                <w:tblInd w:w="-147" w:type="dxa"/>
                <w:tblLayout w:type="fixed"/>
                <w:tblCellMar>
                  <w:left w:w="30" w:type="dxa"/>
                  <w:right w:w="30" w:type="dxa"/>
                </w:tblCellMar>
                <w:tblLook w:val="04A0" w:firstRow="1" w:lastRow="0" w:firstColumn="1" w:lastColumn="0" w:noHBand="0" w:noVBand="1"/>
              </w:tblPr>
              <w:tblGrid>
                <w:gridCol w:w="7513"/>
                <w:gridCol w:w="2835"/>
              </w:tblGrid>
              <w:tr>
                <w:trPr>
                  <w:cantSplit/>
                  <w:trHeight w:val="557"/>
                </w:trPr>
                <w:tc>
                  <w:tcPr>
                    <w:tcW w:w="7513"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hideMark/>
                  </w:tcPr>
                  <w:p>
                    <w:pPr>
                      <w:jc w:val="center"/>
                      <w:rPr>
                        <w:b/>
                        <w:sz w:val="20"/>
                      </w:rPr>
                    </w:pPr>
                    <w:r>
                      <w:rPr>
                        <w:b/>
                        <w:sz w:val="20"/>
                      </w:rPr>
                      <w:t>Finansavimo apimtis ir šaltiniai</w:t>
                    </w:r>
                  </w:p>
                </w:tc>
                <w:tc>
                  <w:tcPr>
                    <w:tcW w:w="2835"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pPr>
                      <w:ind w:left="15" w:hanging="15"/>
                      <w:jc w:val="center"/>
                      <w:rPr>
                        <w:b/>
                        <w:sz w:val="20"/>
                      </w:rPr>
                    </w:pPr>
                    <w:r>
                      <w:rPr>
                        <w:b/>
                        <w:sz w:val="20"/>
                      </w:rPr>
                      <w:t>Lėšų poreikis (tūkst. eurų)</w:t>
                    </w:r>
                  </w:p>
                </w:tc>
              </w:tr>
              <w:tr>
                <w:trPr>
                  <w:cantSplit/>
                  <w:trHeight w:val="272"/>
                </w:trPr>
                <w:tc>
                  <w:tcPr>
                    <w:tcW w:w="7513"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pPr>
                      <w:jc w:val="center"/>
                      <w:rPr>
                        <w:b/>
                        <w:sz w:val="20"/>
                      </w:rPr>
                    </w:pPr>
                    <w:r>
                      <w:rPr>
                        <w:b/>
                        <w:sz w:val="20"/>
                      </w:rPr>
                      <w:t>1</w:t>
                    </w:r>
                  </w:p>
                </w:tc>
                <w:tc>
                  <w:tcPr>
                    <w:tcW w:w="2835" w:type="dxa"/>
                    <w:tcBorders>
                      <w:top w:val="single" w:sz="4" w:space="0" w:color="auto"/>
                      <w:left w:val="single" w:sz="4" w:space="0" w:color="auto"/>
                      <w:right w:val="single" w:sz="4" w:space="0" w:color="auto"/>
                    </w:tcBorders>
                    <w:shd w:val="clear" w:color="auto" w:fill="DBE5F1" w:themeFill="accent1" w:themeFillTint="33"/>
                  </w:tcPr>
                  <w:p>
                    <w:pPr>
                      <w:ind w:left="15" w:hanging="15"/>
                      <w:jc w:val="center"/>
                      <w:rPr>
                        <w:b/>
                        <w:sz w:val="20"/>
                      </w:rPr>
                    </w:pPr>
                    <w:r>
                      <w:rPr>
                        <w:b/>
                        <w:sz w:val="20"/>
                      </w:rPr>
                      <w:t>2</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1.1. Valstybės biudžeto lėšos</w:t>
                    </w:r>
                  </w:p>
                </w:tc>
                <w:tc>
                  <w:tcPr>
                    <w:tcW w:w="2835"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111 199, 719</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1.1.1.1.1. Valstybės biudžeto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54 919,719</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1.1.1.1.2. Valstybės biudžeto lėšos, skirtos apmokėti bendrai finansuojamų iš ES fondų lėšų projektų netinkamam finansuoti iš ES fondų lėšų pirkimo ir (arba) importo PVM</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56 280</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1.2. Europos Sąjungos ir kitos tarptautinės finansinės paramos bendrojo finansavimo lėšos</w:t>
                    </w:r>
                  </w:p>
                </w:tc>
                <w:tc>
                  <w:tcPr>
                    <w:tcW w:w="2835" w:type="dxa"/>
                    <w:tcBorders>
                      <w:top w:val="single" w:sz="4" w:space="0" w:color="auto"/>
                      <w:left w:val="single" w:sz="4" w:space="0" w:color="auto"/>
                      <w:bottom w:val="single" w:sz="4" w:space="0" w:color="auto"/>
                      <w:right w:val="single" w:sz="4" w:space="0" w:color="auto"/>
                    </w:tcBorders>
                  </w:tcPr>
                  <w:p>
                    <w:pPr>
                      <w:jc w:val="center"/>
                      <w:rPr>
                        <w:b/>
                        <w:bCs/>
                        <w:sz w:val="20"/>
                      </w:rPr>
                    </w:pPr>
                    <w:r>
                      <w:rPr>
                        <w:b/>
                        <w:bCs/>
                        <w:sz w:val="20"/>
                      </w:rPr>
                      <w:t>80 648,806</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Cs/>
                        <w:sz w:val="20"/>
                      </w:rPr>
                    </w:pPr>
                    <w:r>
                      <w:rPr>
                        <w:bCs/>
                        <w:sz w:val="20"/>
                      </w:rPr>
                      <w:t>1.2.2.8.1. 2021–2027 m. ES struktūrinių fondų bendrojo finansavimo lėšos, Sostinės regionas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32 971,033</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1.2.2.8.1. 2021–2027 m. ES struktūrinių fondų bendrojo finansavimo lėšos, Vidurio ir vakarų Lietuvos regionas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47 677,773</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1.3. Europos Sąjungos ir kita tarptautinė finansinė parama</w:t>
                    </w:r>
                  </w:p>
                </w:tc>
                <w:tc>
                  <w:tcPr>
                    <w:tcW w:w="2835" w:type="dxa"/>
                    <w:tcBorders>
                      <w:top w:val="single" w:sz="4" w:space="0" w:color="auto"/>
                      <w:left w:val="single" w:sz="4" w:space="0" w:color="auto"/>
                      <w:bottom w:val="single" w:sz="4" w:space="0" w:color="auto"/>
                      <w:right w:val="single" w:sz="4" w:space="0" w:color="auto"/>
                    </w:tcBorders>
                  </w:tcPr>
                  <w:p>
                    <w:pPr>
                      <w:jc w:val="center"/>
                      <w:rPr>
                        <w:b/>
                        <w:bCs/>
                        <w:sz w:val="20"/>
                      </w:rPr>
                    </w:pPr>
                    <w:r>
                      <w:rPr>
                        <w:b/>
                        <w:bCs/>
                        <w:sz w:val="20"/>
                      </w:rPr>
                      <w:t>571 145,080</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shd w:val="clear" w:color="auto" w:fill="auto"/>
                    <w:vAlign w:val="center"/>
                  </w:tcPr>
                  <w:p>
                    <w:pPr>
                      <w:rPr>
                        <w:sz w:val="20"/>
                      </w:rPr>
                    </w:pPr>
                    <w:r>
                      <w:rPr>
                        <w:sz w:val="20"/>
                      </w:rPr>
                      <w:t>1.3.2.8.1. 2021–2027 m. ES struktūrinių fondų lėšos,</w:t>
                    </w:r>
                    <w:r>
                      <w:t xml:space="preserve"> </w:t>
                    </w:r>
                    <w:r>
                      <w:rPr>
                        <w:sz w:val="20"/>
                      </w:rPr>
                      <w:t>Vidurio ir vakarų Lietuvos regionas (Europos socialinis fondas +)</w:t>
                    </w:r>
                  </w:p>
                </w:tc>
                <w:tc>
                  <w:tcPr>
                    <w:tcW w:w="2835" w:type="dxa"/>
                    <w:tcBorders>
                      <w:top w:val="single" w:sz="4" w:space="0" w:color="auto"/>
                      <w:left w:val="single" w:sz="4" w:space="0" w:color="auto"/>
                      <w:bottom w:val="single" w:sz="4" w:space="0" w:color="auto"/>
                      <w:right w:val="single" w:sz="4" w:space="0" w:color="auto"/>
                    </w:tcBorders>
                    <w:shd w:val="clear" w:color="auto" w:fill="auto"/>
                  </w:tcPr>
                  <w:p>
                    <w:pPr>
                      <w:jc w:val="center"/>
                      <w:rPr>
                        <w:bCs/>
                        <w:sz w:val="20"/>
                      </w:rPr>
                    </w:pPr>
                    <w:r>
                      <w:rPr>
                        <w:bCs/>
                        <w:sz w:val="20"/>
                      </w:rPr>
                      <w:t>88 047,443</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shd w:val="clear" w:color="auto" w:fill="auto"/>
                    <w:vAlign w:val="center"/>
                  </w:tcPr>
                  <w:p>
                    <w:pPr>
                      <w:rPr>
                        <w:sz w:val="20"/>
                      </w:rPr>
                    </w:pPr>
                    <w:r>
                      <w:rPr>
                        <w:sz w:val="20"/>
                      </w:rPr>
                      <w:t>1.3.2.8.1. 2021–2027 m. ES struktūrinių fondų lėšos,</w:t>
                    </w:r>
                    <w:r>
                      <w:t xml:space="preserve"> </w:t>
                    </w:r>
                    <w:r>
                      <w:rPr>
                        <w:sz w:val="20"/>
                      </w:rPr>
                      <w:t>Sostinės regionas (Europos regioninės plėtros fondas)</w:t>
                    </w:r>
                  </w:p>
                </w:tc>
                <w:tc>
                  <w:tcPr>
                    <w:tcW w:w="2835" w:type="dxa"/>
                    <w:tcBorders>
                      <w:top w:val="single" w:sz="4" w:space="0" w:color="auto"/>
                      <w:left w:val="single" w:sz="4" w:space="0" w:color="auto"/>
                      <w:bottom w:val="single" w:sz="4" w:space="0" w:color="auto"/>
                      <w:right w:val="single" w:sz="4" w:space="0" w:color="auto"/>
                    </w:tcBorders>
                    <w:shd w:val="clear" w:color="auto" w:fill="auto"/>
                  </w:tcPr>
                  <w:p>
                    <w:pPr>
                      <w:jc w:val="center"/>
                      <w:rPr>
                        <w:bCs/>
                        <w:sz w:val="20"/>
                      </w:rPr>
                    </w:pPr>
                    <w:r>
                      <w:rPr>
                        <w:bCs/>
                        <w:sz w:val="20"/>
                      </w:rPr>
                      <w:t>32 971,033</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1.3.2.8.1. 2021–2027 m. ES struktūrinių fondų lėšos,</w:t>
                    </w:r>
                    <w:r>
                      <w:t xml:space="preserve"> </w:t>
                    </w:r>
                    <w:r>
                      <w:rPr>
                        <w:sz w:val="20"/>
                      </w:rPr>
                      <w:t>Vidurio ir vakarų Lietuvos regionas (Europos regioninės plėtros fondas)</w:t>
                    </w:r>
                  </w:p>
                </w:tc>
                <w:tc>
                  <w:tcPr>
                    <w:tcW w:w="2835" w:type="dxa"/>
                    <w:tcBorders>
                      <w:top w:val="single" w:sz="4" w:space="0" w:color="auto"/>
                      <w:left w:val="single" w:sz="4" w:space="0" w:color="auto"/>
                      <w:bottom w:val="single" w:sz="4" w:space="0" w:color="auto"/>
                      <w:right w:val="single" w:sz="4" w:space="0" w:color="auto"/>
                    </w:tcBorders>
                  </w:tcPr>
                  <w:p>
                    <w:pPr>
                      <w:jc w:val="center"/>
                      <w:rPr>
                        <w:bCs/>
                        <w:sz w:val="20"/>
                      </w:rPr>
                    </w:pPr>
                    <w:r>
                      <w:rPr>
                        <w:bCs/>
                        <w:sz w:val="20"/>
                      </w:rPr>
                      <w:t>182 126,604</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 xml:space="preserve">1.3.3.1.57. Ekonomikos gaivinimo ir atsparumo didinimo priemonės lėšos </w:t>
                    </w:r>
                  </w:p>
                </w:tc>
                <w:tc>
                  <w:tcPr>
                    <w:tcW w:w="2835" w:type="dxa"/>
                    <w:tcBorders>
                      <w:top w:val="single" w:sz="4" w:space="0" w:color="auto"/>
                      <w:left w:val="single" w:sz="4" w:space="0" w:color="auto"/>
                      <w:bottom w:val="single" w:sz="4" w:space="0" w:color="auto"/>
                      <w:right w:val="single" w:sz="4" w:space="0" w:color="auto"/>
                    </w:tcBorders>
                  </w:tcPr>
                  <w:p>
                    <w:pPr>
                      <w:jc w:val="center"/>
                      <w:rPr>
                        <w:bCs/>
                        <w:sz w:val="20"/>
                      </w:rPr>
                    </w:pPr>
                    <w:r>
                      <w:rPr>
                        <w:bCs/>
                        <w:sz w:val="20"/>
                      </w:rPr>
                      <w:t>268 000</w:t>
                    </w:r>
                  </w:p>
                </w:tc>
              </w:tr>
              <w:tr>
                <w:trPr>
                  <w:cantSplit/>
                  <w:trHeight w:val="228"/>
                </w:trPr>
                <w:tc>
                  <w:tcPr>
                    <w:tcW w:w="7513" w:type="dxa"/>
                    <w:tcBorders>
                      <w:top w:val="single" w:sz="4" w:space="0" w:color="auto"/>
                      <w:left w:val="single" w:sz="4" w:space="0" w:color="auto"/>
                      <w:bottom w:val="single" w:sz="4" w:space="0" w:color="auto"/>
                      <w:right w:val="single" w:sz="4" w:space="0" w:color="auto"/>
                    </w:tcBorders>
                    <w:vAlign w:val="center"/>
                  </w:tcPr>
                  <w:p>
                    <w:pPr>
                      <w:spacing w:line="276" w:lineRule="auto"/>
                      <w:ind w:left="1276" w:hanging="1276"/>
                      <w:jc w:val="both"/>
                      <w:rPr>
                        <w:b/>
                        <w:sz w:val="20"/>
                      </w:rPr>
                    </w:pPr>
                    <w:r>
                      <w:rPr>
                        <w:b/>
                        <w:sz w:val="20"/>
                      </w:rPr>
                      <w:t xml:space="preserve">1.4. Biudžetinių įstaigų pajamų įmokos ir kitos pajamos </w:t>
                    </w:r>
                  </w:p>
                </w:tc>
                <w:tc>
                  <w:tcPr>
                    <w:tcW w:w="2835" w:type="dxa"/>
                    <w:tcBorders>
                      <w:top w:val="single" w:sz="4" w:space="0" w:color="auto"/>
                      <w:left w:val="single" w:sz="4" w:space="0" w:color="auto"/>
                      <w:bottom w:val="single" w:sz="4" w:space="0" w:color="auto"/>
                      <w:right w:val="single" w:sz="4" w:space="0" w:color="auto"/>
                    </w:tcBorders>
                  </w:tcPr>
                  <w:p>
                    <w:pPr>
                      <w:jc w:val="center"/>
                      <w:rPr>
                        <w:b/>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2. Kitos lėšos</w:t>
                    </w:r>
                  </w:p>
                </w:tc>
                <w:tc>
                  <w:tcPr>
                    <w:tcW w:w="2835" w:type="dxa"/>
                    <w:tcBorders>
                      <w:top w:val="single" w:sz="4" w:space="0" w:color="auto"/>
                      <w:left w:val="single" w:sz="4" w:space="0" w:color="auto"/>
                      <w:bottom w:val="single" w:sz="4" w:space="0" w:color="auto"/>
                      <w:right w:val="single" w:sz="4" w:space="0" w:color="auto"/>
                    </w:tcBorders>
                  </w:tcPr>
                  <w:p>
                    <w:pPr>
                      <w:jc w:val="center"/>
                      <w:rPr>
                        <w:b/>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2.1.Savivaldybių biudžetų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2.2. Privačios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2.3. Kitos viešosios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pPr>
                      <w:rPr>
                        <w:b/>
                        <w:sz w:val="20"/>
                      </w:rPr>
                    </w:pPr>
                    <w:r>
                      <w:rPr>
                        <w:b/>
                        <w:sz w:val="20"/>
                      </w:rPr>
                      <w:t>IŠ VISO:</w:t>
                    </w:r>
                  </w:p>
                </w:tc>
                <w:tc>
                  <w:tcPr>
                    <w:tcW w:w="2835"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pPr>
                      <w:jc w:val="center"/>
                      <w:rPr>
                        <w:b/>
                        <w:sz w:val="20"/>
                      </w:rPr>
                    </w:pPr>
                    <w:r>
                      <w:rPr>
                        <w:b/>
                        <w:sz w:val="20"/>
                      </w:rPr>
                      <w:t xml:space="preserve">762 993,605 </w:t>
                    </w:r>
                  </w:p>
                </w:tc>
              </w:tr>
            </w:tbl>
            <w:p>
              <w:pPr>
                <w:rPr>
                  <w:b/>
                  <w:sz w:val="18"/>
                  <w:szCs w:val="18"/>
                </w:rPr>
              </w:pPr>
            </w:p>
            <w:p/>
            <w:p>
              <w:pPr>
                <w:sectPr>
                  <w:pgSz w:w="11906" w:h="16838" w:code="9"/>
                  <w:pgMar w:top="851" w:right="567" w:bottom="1134" w:left="992" w:header="567" w:footer="567" w:gutter="0"/>
                  <w:pgNumType w:start="1"/>
                  <w:cols w:space="1296"/>
                  <w:titlePg/>
                  <w:docGrid w:linePitch="360"/>
                </w:sectPr>
              </w:pPr>
            </w:p>
            <w:p>
              <w:pPr>
                <w:tabs>
                  <w:tab w:val="center" w:pos="4819"/>
                  <w:tab w:val="right" w:pos="9638"/>
                </w:tabs>
                <w:jc w:val="center"/>
                <w:rPr>
                  <w:szCs w:val="24"/>
                </w:rPr>
              </w:pPr>
            </w:p>
          </w:sdtContent>
        </w:sdt>
        <w:sdt>
          <w:sdtPr>
            <w:alias w:val="skyrius"/>
            <w:tag w:val="part_98344aaf225b4db3ada54a019e0ea59c"/>
            <w:lock w:val="sdtLocked"/>
            <w:richText/>
          </w:sdtPr>
          <w:sdtContent>
            <w:p>
              <w:pPr>
                <w:ind w:left="-284"/>
                <w:jc w:val="center"/>
                <w:rPr>
                  <w:b/>
                  <w:bCs/>
                </w:rPr>
              </w:pPr>
              <w:sdt>
                <w:sdtPr>
                  <w:alias w:val="Numeris"/>
                  <w:tag w:val="nr_98344aaf225b4db3ada54a019e0ea59c"/>
                  <w:lock w:val="sdtLocked"/>
                  <w:richText/>
                </w:sdtPr>
                <w:sdtContent>
                  <w:r>
                    <w:rPr>
                      <w:b/>
                      <w:bCs/>
                    </w:rPr>
                    <w:t>III</w:t>
                  </w:r>
                </w:sdtContent>
              </w:sdt>
              <w:r>
                <w:rPr>
                  <w:b/>
                  <w:bCs/>
                </w:rPr>
                <w:t xml:space="preserve"> SKYRIUS</w:t>
              </w:r>
            </w:p>
            <w:p>
              <w:pPr>
                <w:jc w:val="center"/>
                <w:rPr>
                  <w:b/>
                  <w:bCs/>
                </w:rPr>
              </w:pPr>
              <w:sdt>
                <w:sdtPr>
                  <w:alias w:val="Pavadinimas"/>
                  <w:tag w:val="title_98344aaf225b4db3ada54a019e0ea59c"/>
                  <w:lock w:val="sdtLocked"/>
                  <w:richText/>
                </w:sdtPr>
                <w:sdtContent>
                  <w:r>
                    <w:rPr>
                      <w:b/>
                      <w:bCs/>
                    </w:rPr>
                    <w:t>PLĖTROS PROGRAMOS PAŽANGOS PRIEMONĖS VEIKLŲ SUVESTINĖ</w:t>
                  </w:r>
                </w:sdtContent>
              </w:sdt>
            </w:p>
            <w:p>
              <w:pPr>
                <w:jc w:val="center"/>
                <w:rPr>
                  <w:b/>
                  <w:bCs/>
                </w:rPr>
              </w:pPr>
            </w:p>
            <w:tbl>
              <w:tblPr>
                <w:tblW w:w="1502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10"/>
                <w:gridCol w:w="709"/>
                <w:gridCol w:w="1559"/>
                <w:gridCol w:w="709"/>
                <w:gridCol w:w="992"/>
                <w:gridCol w:w="709"/>
                <w:gridCol w:w="1276"/>
                <w:gridCol w:w="992"/>
                <w:gridCol w:w="2551"/>
                <w:gridCol w:w="851"/>
                <w:gridCol w:w="992"/>
                <w:gridCol w:w="1276"/>
              </w:tblGrid>
              <w:tr>
                <w:trPr>
                  <w:trHeight w:val="1425"/>
                </w:trPr>
                <w:tc>
                  <w:tcPr>
                    <w:tcW w:w="2410"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Veikla</w:t>
                    </w:r>
                  </w:p>
                </w:tc>
                <w:tc>
                  <w:tcPr>
                    <w:tcW w:w="70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Veiklos (poveik-lės, projekto) tipas</w:t>
                    </w:r>
                  </w:p>
                </w:tc>
                <w:tc>
                  <w:tcPr>
                    <w:tcW w:w="155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Galimi pareiškėjai</w:t>
                    </w:r>
                  </w:p>
                </w:tc>
                <w:tc>
                  <w:tcPr>
                    <w:tcW w:w="70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 xml:space="preserve">Projektų </w:t>
                    </w:r>
                  </w:p>
                  <w:p>
                    <w:pPr>
                      <w:ind w:left="-57" w:right="-57"/>
                      <w:jc w:val="center"/>
                      <w:rPr>
                        <w:b/>
                        <w:sz w:val="16"/>
                        <w:szCs w:val="16"/>
                      </w:rPr>
                    </w:pPr>
                    <w:r>
                      <w:rPr>
                        <w:b/>
                        <w:sz w:val="16"/>
                        <w:szCs w:val="16"/>
                      </w:rPr>
                      <w:t>atrankos būdas</w:t>
                    </w:r>
                  </w:p>
                </w:tc>
                <w:tc>
                  <w:tcPr>
                    <w:tcW w:w="992"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Tiesiogiai prisidedama prie HP</w:t>
                    </w:r>
                  </w:p>
                  <w:p>
                    <w:pPr>
                      <w:ind w:left="-57" w:right="-57"/>
                      <w:jc w:val="center"/>
                      <w:rPr>
                        <w:b/>
                        <w:sz w:val="16"/>
                        <w:szCs w:val="16"/>
                      </w:rPr>
                    </w:pPr>
                    <w:r>
                      <w:rPr>
                        <w:b/>
                        <w:sz w:val="16"/>
                        <w:szCs w:val="16"/>
                      </w:rPr>
                      <w:t>(Taip / Ne)</w:t>
                    </w:r>
                  </w:p>
                </w:tc>
                <w:tc>
                  <w:tcPr>
                    <w:tcW w:w="70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Finan-savimo forma</w:t>
                    </w:r>
                  </w:p>
                </w:tc>
                <w:tc>
                  <w:tcPr>
                    <w:tcW w:w="1276"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Finansavimo suma(tūkst. eurų)</w:t>
                    </w:r>
                  </w:p>
                </w:tc>
                <w:tc>
                  <w:tcPr>
                    <w:tcW w:w="992"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vertAlign w:val="superscript"/>
                      </w:rPr>
                    </w:pPr>
                    <w:r>
                      <w:rPr>
                        <w:b/>
                        <w:sz w:val="16"/>
                        <w:szCs w:val="16"/>
                      </w:rPr>
                      <w:t>Finansavimo šaltinis</w:t>
                    </w:r>
                    <w:r>
                      <w:rPr>
                        <w:b/>
                        <w:sz w:val="16"/>
                        <w:szCs w:val="16"/>
                        <w:vertAlign w:val="superscript"/>
                      </w:rPr>
                      <w:t xml:space="preserve"> </w:t>
                    </w:r>
                    <w:r>
                      <w:rPr>
                        <w:b/>
                        <w:sz w:val="16"/>
                        <w:szCs w:val="16"/>
                      </w:rPr>
                      <w:t>(-iai)</w:t>
                    </w:r>
                  </w:p>
                </w:tc>
                <w:tc>
                  <w:tcPr>
                    <w:tcW w:w="2551"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Rodiklio pavadinimas ir tipas</w:t>
                    </w:r>
                  </w:p>
                </w:tc>
                <w:tc>
                  <w:tcPr>
                    <w:tcW w:w="851"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Siektina galutinė rodiklio reikšmė, metai</w:t>
                    </w:r>
                  </w:p>
                </w:tc>
                <w:tc>
                  <w:tcPr>
                    <w:tcW w:w="992"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trike/>
                        <w:sz w:val="16"/>
                        <w:szCs w:val="16"/>
                      </w:rPr>
                    </w:pPr>
                    <w:r>
                      <w:rPr>
                        <w:b/>
                        <w:sz w:val="16"/>
                        <w:szCs w:val="16"/>
                      </w:rPr>
                      <w:t>Adminis-truojančioji institucija</w:t>
                    </w:r>
                  </w:p>
                </w:tc>
                <w:tc>
                  <w:tcPr>
                    <w:tcW w:w="1276"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Dalyvaujanti institucija</w:t>
                    </w:r>
                  </w:p>
                </w:tc>
              </w:tr>
              <w:tr>
                <w:trPr>
                  <w:trHeight w:val="279"/>
                </w:trPr>
                <w:tc>
                  <w:tcPr>
                    <w:tcW w:w="2410"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w:t>
                    </w:r>
                  </w:p>
                </w:tc>
                <w:tc>
                  <w:tcPr>
                    <w:tcW w:w="70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2</w:t>
                    </w:r>
                  </w:p>
                </w:tc>
                <w:tc>
                  <w:tcPr>
                    <w:tcW w:w="155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3</w:t>
                    </w:r>
                  </w:p>
                </w:tc>
                <w:tc>
                  <w:tcPr>
                    <w:tcW w:w="70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4</w:t>
                    </w:r>
                  </w:p>
                </w:tc>
                <w:tc>
                  <w:tcPr>
                    <w:tcW w:w="992"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5</w:t>
                    </w:r>
                  </w:p>
                </w:tc>
                <w:tc>
                  <w:tcPr>
                    <w:tcW w:w="70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6</w:t>
                    </w:r>
                  </w:p>
                </w:tc>
                <w:tc>
                  <w:tcPr>
                    <w:tcW w:w="1276"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7</w:t>
                    </w:r>
                  </w:p>
                </w:tc>
                <w:tc>
                  <w:tcPr>
                    <w:tcW w:w="992"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8</w:t>
                    </w:r>
                  </w:p>
                </w:tc>
                <w:tc>
                  <w:tcPr>
                    <w:tcW w:w="2551"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9</w:t>
                    </w:r>
                  </w:p>
                </w:tc>
                <w:tc>
                  <w:tcPr>
                    <w:tcW w:w="851"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10</w:t>
                    </w:r>
                  </w:p>
                </w:tc>
                <w:tc>
                  <w:tcPr>
                    <w:tcW w:w="992"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11</w:t>
                    </w:r>
                  </w:p>
                </w:tc>
                <w:tc>
                  <w:tcPr>
                    <w:tcW w:w="1276"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12</w:t>
                    </w:r>
                  </w:p>
                </w:tc>
              </w:tr>
              <w:tr>
                <w:trPr>
                  <w:trHeight w:val="382"/>
                </w:trPr>
                <w:tc>
                  <w:tcPr>
                    <w:tcW w:w="2410"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rPr>
                        <w:b/>
                        <w:bCs/>
                        <w:iCs/>
                        <w:sz w:val="20"/>
                      </w:rPr>
                    </w:pPr>
                    <w:r>
                      <w:rPr>
                        <w:b/>
                        <w:bCs/>
                        <w:iCs/>
                        <w:sz w:val="20"/>
                      </w:rPr>
                      <w:t>1. Ilgalaikės priežiūros paslaugų diegimas</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155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b/>
                        <w:bCs/>
                        <w:color w:val="000000"/>
                        <w:sz w:val="20"/>
                      </w:rPr>
                    </w:pPr>
                    <w:r>
                      <w:rPr>
                        <w:b/>
                        <w:bCs/>
                        <w:color w:val="000000"/>
                        <w:sz w:val="20"/>
                      </w:rPr>
                      <w:t>18 770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w:t>
                    </w:r>
                  </w:p>
                </w:tc>
                <w:tc>
                  <w:tcPr>
                    <w:tcW w:w="2551"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rPr>
                        <w:sz w:val="20"/>
                      </w:rPr>
                    </w:pPr>
                  </w:p>
                  <w:p>
                    <w:pPr>
                      <w:ind w:left="-57" w:right="-57"/>
                      <w:rPr>
                        <w:color w:val="000000"/>
                        <w:sz w:val="20"/>
                      </w:rPr>
                    </w:pPr>
                  </w:p>
                </w:tc>
                <w:tc>
                  <w:tcPr>
                    <w:tcW w:w="851"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1276"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r>
              <w:tr>
                <w:trPr>
                  <w:trHeight w:val="382"/>
                </w:trPr>
                <w:tc>
                  <w:tcPr>
                    <w:tcW w:w="2410" w:type="dxa"/>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8 900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EGADP</w:t>
                    </w:r>
                  </w:p>
                </w:tc>
                <w:tc>
                  <w:tcPr>
                    <w:tcW w:w="2551" w:type="dxa"/>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851"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415"/>
                </w:trPr>
                <w:tc>
                  <w:tcPr>
                    <w:tcW w:w="2410" w:type="dxa"/>
                    <w:vMerge/>
                    <w:tcBorders>
                      <w:left w:val="single" w:sz="4" w:space="0" w:color="auto"/>
                      <w:right w:val="single" w:sz="4" w:space="0" w:color="auto"/>
                    </w:tcBorders>
                    <w:shd w:val="clear" w:color="auto" w:fill="F2F2F2" w:themeFill="background1" w:themeFillShade="F2"/>
                  </w:tcPr>
                  <w:p>
                    <w:pPr>
                      <w:ind w:left="-57" w:right="-57"/>
                      <w:rPr>
                        <w:b/>
                        <w:bCs/>
                        <w:iCs/>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1 870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 xml:space="preserve">VB lėšos netinka-mam PVM apmokėti (toliau – PVM iš VB </w:t>
                    </w:r>
                  </w:p>
                </w:tc>
                <w:tc>
                  <w:tcPr>
                    <w:tcW w:w="2551" w:type="dxa"/>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851"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265"/>
                </w:trPr>
                <w:tc>
                  <w:tcPr>
                    <w:tcW w:w="2410"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rPr>
                        <w:b/>
                        <w:bCs/>
                        <w:iCs/>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55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8 000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VB</w:t>
                    </w:r>
                  </w:p>
                </w:tc>
                <w:tc>
                  <w:tcPr>
                    <w:tcW w:w="2551"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p>
                </w:tc>
                <w:tc>
                  <w:tcPr>
                    <w:tcW w:w="851"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1112"/>
                </w:trPr>
                <w:tc>
                  <w:tcPr>
                    <w:tcW w:w="2410" w:type="dxa"/>
                    <w:vMerge w:val="restart"/>
                    <w:tcBorders>
                      <w:top w:val="single" w:sz="4" w:space="0" w:color="auto"/>
                      <w:left w:val="single" w:sz="4" w:space="0" w:color="auto"/>
                      <w:right w:val="single" w:sz="4" w:space="0" w:color="auto"/>
                    </w:tcBorders>
                  </w:tcPr>
                  <w:p>
                    <w:pPr>
                      <w:ind w:left="-57" w:right="-57"/>
                      <w:rPr>
                        <w:b/>
                        <w:bCs/>
                        <w:sz w:val="20"/>
                      </w:rPr>
                    </w:pPr>
                    <w:r>
                      <w:rPr>
                        <w:sz w:val="20"/>
                      </w:rPr>
                      <w:t xml:space="preserve">1.1. Ilgalaikę priežiūrą reglamentuojančių teisės aktų  parengimas</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R</w:t>
                    </w:r>
                  </w:p>
                </w:tc>
                <w:tc>
                  <w:tcPr>
                    <w:tcW w:w="1559"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1276"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992" w:type="dxa"/>
                    <w:vMerge w:val="restart"/>
                    <w:tcBorders>
                      <w:top w:val="single" w:sz="4" w:space="0" w:color="auto"/>
                      <w:left w:val="single" w:sz="4" w:space="0" w:color="auto"/>
                      <w:right w:val="single" w:sz="4" w:space="0" w:color="auto"/>
                    </w:tcBorders>
                  </w:tcPr>
                  <w:p>
                    <w:pPr>
                      <w:ind w:left="-57" w:right="-57"/>
                      <w:rPr>
                        <w:sz w:val="20"/>
                      </w:rPr>
                    </w:pPr>
                    <w:r>
                      <w:rPr>
                        <w:sz w:val="20"/>
                      </w:rPr>
                      <w:t>-</w:t>
                    </w:r>
                  </w:p>
                </w:tc>
                <w:tc>
                  <w:tcPr>
                    <w:tcW w:w="2551" w:type="dxa"/>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rPr>
                        <w:sz w:val="20"/>
                      </w:rPr>
                    </w:pPr>
                    <w:r>
                      <w:rPr>
                        <w:sz w:val="20"/>
                      </w:rPr>
                      <w:t>P – Socialiniams partneriams pristatytas ir viešai konsultacijai pateiktas ilgalaikės priežiūros paslaugų teikimo ir finansavimo modelis, vnt.</w:t>
                    </w:r>
                  </w:p>
                </w:tc>
                <w:tc>
                  <w:tcPr>
                    <w:tcW w:w="851" w:type="dxa"/>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jc w:val="center"/>
                      <w:rPr>
                        <w:sz w:val="20"/>
                      </w:rPr>
                    </w:pPr>
                    <w:r>
                      <w:rPr>
                        <w:sz w:val="20"/>
                      </w:rPr>
                      <w:t>1</w:t>
                    </w:r>
                  </w:p>
                  <w:p>
                    <w:pPr>
                      <w:ind w:left="-57" w:right="-57"/>
                      <w:jc w:val="center"/>
                      <w:rPr>
                        <w:sz w:val="20"/>
                      </w:rPr>
                    </w:pPr>
                    <w:r>
                      <w:rPr>
                        <w:sz w:val="20"/>
                      </w:rPr>
                      <w:t>(2022 m. III ketv.)</w:t>
                    </w:r>
                  </w:p>
                </w:tc>
                <w:tc>
                  <w:tcPr>
                    <w:tcW w:w="992" w:type="dxa"/>
                    <w:vMerge w:val="restart"/>
                    <w:tcBorders>
                      <w:top w:val="single" w:sz="4" w:space="0" w:color="auto"/>
                      <w:left w:val="single" w:sz="4" w:space="0" w:color="auto"/>
                      <w:right w:val="single" w:sz="4" w:space="0" w:color="auto"/>
                    </w:tcBorders>
                  </w:tcPr>
                  <w:p>
                    <w:pPr>
                      <w:rPr>
                        <w:sz w:val="20"/>
                      </w:rPr>
                    </w:pPr>
                    <w:r>
                      <w:rPr>
                        <w:sz w:val="20"/>
                      </w:rPr>
                      <w:t>-</w:t>
                    </w:r>
                  </w:p>
                </w:tc>
                <w:tc>
                  <w:tcPr>
                    <w:tcW w:w="1276" w:type="dxa"/>
                    <w:vMerge w:val="restart"/>
                    <w:tcBorders>
                      <w:top w:val="single" w:sz="4" w:space="0" w:color="auto"/>
                      <w:left w:val="single" w:sz="4" w:space="0" w:color="auto"/>
                      <w:right w:val="single" w:sz="4" w:space="0" w:color="auto"/>
                    </w:tcBorders>
                  </w:tcPr>
                  <w:p>
                    <w:pPr>
                      <w:ind w:left="-57" w:right="-57"/>
                      <w:jc w:val="center"/>
                      <w:rPr>
                        <w:sz w:val="20"/>
                      </w:rPr>
                    </w:pPr>
                    <w:r>
                      <w:rPr>
                        <w:sz w:val="20"/>
                      </w:rPr>
                      <w:t>Sveikatos apsaugos ministerija (toliau – SAM);</w:t>
                    </w:r>
                  </w:p>
                  <w:p>
                    <w:pPr>
                      <w:ind w:left="-57" w:right="-57"/>
                      <w:jc w:val="center"/>
                      <w:rPr>
                        <w:sz w:val="20"/>
                      </w:rPr>
                    </w:pPr>
                    <w:r>
                      <w:rPr>
                        <w:sz w:val="20"/>
                      </w:rPr>
                      <w:t xml:space="preserve">Socialinės apsaugos ir darbo ministerija (toliau – SADM) </w:t>
                    </w:r>
                  </w:p>
                </w:tc>
              </w:tr>
              <w:tr>
                <w:trPr>
                  <w:trHeight w:val="599"/>
                </w:trPr>
                <w:tc>
                  <w:tcPr>
                    <w:tcW w:w="2410" w:type="dxa"/>
                    <w:vMerge/>
                    <w:tcBorders>
                      <w:left w:val="single" w:sz="4" w:space="0" w:color="auto"/>
                      <w:bottom w:val="single" w:sz="4" w:space="0" w:color="auto"/>
                      <w:right w:val="single" w:sz="4" w:space="0" w:color="auto"/>
                    </w:tcBorders>
                  </w:tcPr>
                  <w:p>
                    <w:pPr>
                      <w:ind w:left="-57" w:right="-57"/>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1559" w:type="dxa"/>
                    <w:vMerge/>
                    <w:tcBorders>
                      <w:left w:val="single" w:sz="4" w:space="0" w:color="auto"/>
                      <w:bottom w:val="single" w:sz="4" w:space="0" w:color="auto"/>
                      <w:right w:val="single" w:sz="4" w:space="0" w:color="auto"/>
                    </w:tcBorders>
                  </w:tcPr>
                  <w:p>
                    <w:pPr>
                      <w:ind w:left="-57" w:right="-57"/>
                      <w:jc w:val="center"/>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992" w:type="dxa"/>
                    <w:vMerge/>
                    <w:tcBorders>
                      <w:left w:val="single" w:sz="4" w:space="0" w:color="auto"/>
                      <w:bottom w:val="single" w:sz="4" w:space="0" w:color="auto"/>
                      <w:right w:val="single" w:sz="4" w:space="0" w:color="auto"/>
                    </w:tcBorders>
                  </w:tcPr>
                  <w:p>
                    <w:pPr>
                      <w:ind w:left="-57" w:right="-57"/>
                      <w:jc w:val="center"/>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1276" w:type="dxa"/>
                    <w:vMerge/>
                    <w:tcBorders>
                      <w:left w:val="single" w:sz="4" w:space="0" w:color="auto"/>
                      <w:bottom w:val="single" w:sz="4" w:space="0" w:color="auto"/>
                      <w:right w:val="single" w:sz="4" w:space="0" w:color="auto"/>
                    </w:tcBorders>
                  </w:tcPr>
                  <w:p>
                    <w:pPr>
                      <w:ind w:left="-57" w:right="-57"/>
                      <w:jc w:val="center"/>
                      <w:rPr>
                        <w:sz w:val="20"/>
                      </w:rPr>
                    </w:pPr>
                  </w:p>
                </w:tc>
                <w:tc>
                  <w:tcPr>
                    <w:tcW w:w="992" w:type="dxa"/>
                    <w:vMerge/>
                    <w:tcBorders>
                      <w:left w:val="single" w:sz="4" w:space="0" w:color="auto"/>
                      <w:bottom w:val="single" w:sz="4" w:space="0" w:color="auto"/>
                      <w:right w:val="single" w:sz="4" w:space="0" w:color="auto"/>
                    </w:tcBorders>
                  </w:tcPr>
                  <w:p>
                    <w:pPr>
                      <w:ind w:left="-57" w:right="-57"/>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rPr>
                        <w:sz w:val="20"/>
                      </w:rPr>
                    </w:pPr>
                    <w:r>
                      <w:rPr>
                        <w:sz w:val="20"/>
                      </w:rPr>
                      <w:t>P – Įsigalioję teisės aktai, reglamentuojantys ilgalaikės priežiūros paslaugų modelio įgyvendinimą, kompl.</w:t>
                    </w:r>
                  </w:p>
                </w:tc>
                <w:tc>
                  <w:tcPr>
                    <w:tcW w:w="851" w:type="dxa"/>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jc w:val="center"/>
                      <w:rPr>
                        <w:sz w:val="20"/>
                      </w:rPr>
                    </w:pPr>
                    <w:r>
                      <w:rPr>
                        <w:sz w:val="20"/>
                      </w:rPr>
                      <w:t>1</w:t>
                    </w:r>
                  </w:p>
                  <w:p>
                    <w:pPr>
                      <w:ind w:left="-57" w:right="-57"/>
                      <w:jc w:val="center"/>
                      <w:rPr>
                        <w:sz w:val="20"/>
                      </w:rPr>
                    </w:pPr>
                    <w:r>
                      <w:rPr>
                        <w:sz w:val="20"/>
                      </w:rPr>
                      <w:t>(2024 m. I ketv.)</w:t>
                    </w:r>
                  </w:p>
                </w:tc>
                <w:tc>
                  <w:tcPr>
                    <w:tcW w:w="992"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ind w:left="-57" w:right="-57"/>
                      <w:jc w:val="center"/>
                      <w:rPr>
                        <w:sz w:val="20"/>
                      </w:rPr>
                    </w:pPr>
                  </w:p>
                </w:tc>
              </w:tr>
              <w:tr>
                <w:trPr>
                  <w:trHeight w:val="926"/>
                </w:trPr>
                <w:tc>
                  <w:tcPr>
                    <w:tcW w:w="2410"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rPr>
                        <w:iCs/>
                        <w:sz w:val="20"/>
                      </w:rPr>
                    </w:pPr>
                    <w:r>
                      <w:rPr>
                        <w:iCs/>
                        <w:sz w:val="20"/>
                      </w:rPr>
                      <w:t>1.2.</w:t>
                    </w:r>
                    <w:r>
                      <w:rPr>
                        <w:iCs/>
                        <w:sz w:val="20"/>
                        <w:lang w:eastAsia="lt-LT"/>
                      </w:rPr>
                      <w:t xml:space="preserve"> </w:t>
                    </w:r>
                    <w:r>
                      <w:rPr>
                        <w:iCs/>
                        <w:sz w:val="20"/>
                      </w:rPr>
                      <w:t>Ilgalaikės priežiūros dienos centrų įrengimas</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I</w:t>
                    </w:r>
                  </w:p>
                </w:tc>
                <w:tc>
                  <w:tcPr>
                    <w:tcW w:w="1559"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Asmens sveikatos priežiūros įstaigos (toliau – ASPĮ); savivaldybių administracijos; savivaldybių įstaigos, teikiančios globos paslaugas</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P</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Taip</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D</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5 400</w:t>
                    </w:r>
                  </w:p>
                  <w:p>
                    <w:pPr>
                      <w:ind w:left="-57" w:right="-57"/>
                      <w:jc w:val="center"/>
                      <w:rPr>
                        <w:sz w:val="20"/>
                      </w:rPr>
                    </w:pPr>
                  </w:p>
                  <w:p>
                    <w:pPr>
                      <w:rPr>
                        <w:sz w:val="20"/>
                      </w:rPr>
                    </w:pPr>
                  </w:p>
                  <w:p>
                    <w:pPr>
                      <w:rPr>
                        <w:sz w:val="20"/>
                      </w:rPr>
                    </w:pPr>
                  </w:p>
                  <w:p>
                    <w:pPr>
                      <w:ind w:left="-57" w:right="-57"/>
                      <w:jc w:val="center"/>
                      <w:rPr>
                        <w:sz w:val="20"/>
                      </w:rPr>
                    </w:pPr>
                    <w:r>
                      <w:rPr>
                        <w:color w:val="000000"/>
                        <w:sz w:val="20"/>
                      </w:rPr>
                      <w:t>1 130</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EGADP</w:t>
                    </w:r>
                  </w:p>
                  <w:p>
                    <w:pPr>
                      <w:ind w:left="-57" w:right="-57"/>
                      <w:rPr>
                        <w:color w:val="000000"/>
                        <w:sz w:val="20"/>
                      </w:rPr>
                    </w:pPr>
                  </w:p>
                  <w:p>
                    <w:pPr>
                      <w:ind w:left="-57" w:right="-57"/>
                      <w:rPr>
                        <w:color w:val="000000"/>
                        <w:sz w:val="20"/>
                      </w:rPr>
                    </w:pPr>
                  </w:p>
                  <w:p>
                    <w:pPr>
                      <w:ind w:left="-57" w:right="-57"/>
                      <w:rPr>
                        <w:color w:val="000000"/>
                        <w:sz w:val="20"/>
                      </w:rPr>
                    </w:pPr>
                  </w:p>
                  <w:p>
                    <w:pPr>
                      <w:ind w:left="-57" w:right="-57"/>
                      <w:rPr>
                        <w:sz w:val="20"/>
                      </w:rPr>
                    </w:pPr>
                    <w:r>
                      <w:rPr>
                        <w:color w:val="000000"/>
                        <w:sz w:val="20"/>
                      </w:rPr>
                      <w:t>PVM iš VB</w:t>
                    </w: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P – Įkurtų specializuotų dienos priežiūros centrų, skirtų integruotoms ilgalaikės priežiūros paslaugoms teikti, skaičius, vnt.</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10</w:t>
                    </w:r>
                  </w:p>
                  <w:p>
                    <w:pPr>
                      <w:ind w:left="-57" w:right="-57"/>
                      <w:jc w:val="center"/>
                      <w:rPr>
                        <w:sz w:val="20"/>
                      </w:rPr>
                    </w:pPr>
                    <w:r>
                      <w:rPr>
                        <w:sz w:val="20"/>
                      </w:rPr>
                      <w:t>2024 m. (IV ketv.)</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VšĮ Centrinė projektų valdymo agentūra (toliau – CPVA)</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SAM; SADM</w:t>
                    </w:r>
                  </w:p>
                </w:tc>
              </w:tr>
              <w:tr>
                <w:trPr>
                  <w:trHeight w:val="962"/>
                </w:trPr>
                <w:tc>
                  <w:tcPr>
                    <w:tcW w:w="2410" w:type="dxa"/>
                    <w:vMerge/>
                    <w:tcBorders>
                      <w:left w:val="single" w:sz="4" w:space="0" w:color="auto"/>
                      <w:right w:val="single" w:sz="4" w:space="0" w:color="auto"/>
                    </w:tcBorders>
                    <w:shd w:val="clear" w:color="auto" w:fill="FFFFFF" w:themeFill="background1"/>
                  </w:tcPr>
                  <w:p>
                    <w:pPr>
                      <w:ind w:left="-57" w:right="-57"/>
                      <w:rPr>
                        <w:iCs/>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55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jc w:val="both"/>
                      <w:rPr>
                        <w:sz w:val="20"/>
                      </w:rPr>
                    </w:pPr>
                    <w:r>
                      <w:rPr>
                        <w:sz w:val="20"/>
                      </w:rPr>
                      <w:t>R – Naujos arba modernizuotos sveikatos priežiūros infrastruktūros talpumas, asmenys per metus</w:t>
                    </w:r>
                  </w:p>
                </w:tc>
                <w:tc>
                  <w:tcPr>
                    <w:tcW w:w="851" w:type="dxa"/>
                    <w:tcBorders>
                      <w:top w:val="single" w:sz="4" w:space="0" w:color="auto"/>
                      <w:left w:val="single" w:sz="4" w:space="0" w:color="auto"/>
                      <w:right w:val="single" w:sz="4" w:space="0" w:color="auto"/>
                    </w:tcBorders>
                    <w:shd w:val="clear" w:color="auto" w:fill="FFFFFF" w:themeFill="background1"/>
                  </w:tcPr>
                  <w:p>
                    <w:pPr>
                      <w:ind w:left="-57" w:right="-57"/>
                      <w:jc w:val="center"/>
                      <w:rPr>
                        <w:color w:val="000000"/>
                        <w:sz w:val="20"/>
                      </w:rPr>
                    </w:pPr>
                    <w:r>
                      <w:rPr>
                        <w:color w:val="000000"/>
                        <w:sz w:val="20"/>
                      </w:rPr>
                      <w:t>n/a</w:t>
                    </w: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1038"/>
                </w:trPr>
                <w:tc>
                  <w:tcPr>
                    <w:tcW w:w="2410" w:type="dxa"/>
                    <w:vMerge/>
                    <w:tcBorders>
                      <w:left w:val="single" w:sz="4" w:space="0" w:color="auto"/>
                      <w:right w:val="single" w:sz="4" w:space="0" w:color="auto"/>
                    </w:tcBorders>
                    <w:shd w:val="clear" w:color="auto" w:fill="FFFFFF" w:themeFill="background1"/>
                  </w:tcPr>
                  <w:p>
                    <w:pPr>
                      <w:ind w:left="-57" w:right="-57"/>
                      <w:rPr>
                        <w:iCs/>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55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jc w:val="both"/>
                      <w:rPr>
                        <w:color w:val="000000"/>
                        <w:sz w:val="20"/>
                      </w:rPr>
                    </w:pPr>
                    <w:r>
                      <w:rPr>
                        <w:sz w:val="20"/>
                      </w:rPr>
                      <w:t>R – Ambulatorines ilgalaikės priežiūros paslaugas gaunančių pacientų dalis, proc.</w:t>
                    </w:r>
                  </w:p>
                </w:tc>
                <w:tc>
                  <w:tcPr>
                    <w:tcW w:w="851" w:type="dxa"/>
                    <w:tcBorders>
                      <w:top w:val="single" w:sz="4" w:space="0" w:color="auto"/>
                      <w:left w:val="single" w:sz="4" w:space="0" w:color="auto"/>
                      <w:right w:val="single" w:sz="4" w:space="0" w:color="auto"/>
                    </w:tcBorders>
                    <w:shd w:val="clear" w:color="auto" w:fill="FFFFFF" w:themeFill="background1"/>
                  </w:tcPr>
                  <w:p>
                    <w:pPr>
                      <w:jc w:val="center"/>
                      <w:rPr>
                        <w:sz w:val="20"/>
                      </w:rPr>
                    </w:pPr>
                    <w:r>
                      <w:rPr>
                        <w:sz w:val="20"/>
                      </w:rPr>
                      <w:t>30</w:t>
                    </w:r>
                  </w:p>
                  <w:p>
                    <w:pPr>
                      <w:jc w:val="center"/>
                      <w:rPr>
                        <w:sz w:val="20"/>
                      </w:rPr>
                    </w:pPr>
                    <w:r>
                      <w:rPr>
                        <w:sz w:val="20"/>
                      </w:rPr>
                      <w:t>(2025 m. II ketv.)</w:t>
                    </w:r>
                  </w:p>
                  <w:p>
                    <w:pPr>
                      <w:ind w:left="-57" w:right="-57"/>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962"/>
                </w:trPr>
                <w:tc>
                  <w:tcPr>
                    <w:tcW w:w="2410" w:type="dxa"/>
                    <w:vMerge/>
                    <w:tcBorders>
                      <w:left w:val="single" w:sz="4" w:space="0" w:color="auto"/>
                      <w:right w:val="single" w:sz="4" w:space="0" w:color="auto"/>
                    </w:tcBorders>
                    <w:shd w:val="clear" w:color="auto" w:fill="FFFFFF" w:themeFill="background1"/>
                  </w:tcPr>
                  <w:p>
                    <w:pPr>
                      <w:ind w:left="-57" w:right="-57"/>
                      <w:rPr>
                        <w:iCs/>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55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jc w:val="both"/>
                      <w:rPr>
                        <w:sz w:val="20"/>
                      </w:rPr>
                    </w:pPr>
                    <w:r>
                      <w:rPr>
                        <w:color w:val="000000"/>
                        <w:sz w:val="20"/>
                      </w:rPr>
                      <w:t>R – Ambulatorines ilgalaikės priežiūros paslaugas gaunančių pacientų dalis, proc.</w:t>
                    </w:r>
                  </w:p>
                </w:tc>
                <w:tc>
                  <w:tcPr>
                    <w:tcW w:w="851" w:type="dxa"/>
                    <w:tcBorders>
                      <w:top w:val="single" w:sz="4" w:space="0" w:color="auto"/>
                      <w:left w:val="single" w:sz="4" w:space="0" w:color="auto"/>
                      <w:right w:val="single" w:sz="4" w:space="0" w:color="auto"/>
                    </w:tcBorders>
                    <w:shd w:val="clear" w:color="auto" w:fill="FFFFFF" w:themeFill="background1"/>
                  </w:tcPr>
                  <w:p>
                    <w:pPr>
                      <w:ind w:left="-57" w:right="-57"/>
                      <w:jc w:val="center"/>
                      <w:rPr>
                        <w:color w:val="000000"/>
                        <w:sz w:val="20"/>
                      </w:rPr>
                    </w:pPr>
                    <w:r>
                      <w:rPr>
                        <w:color w:val="000000"/>
                        <w:sz w:val="20"/>
                      </w:rPr>
                      <w:t>60</w:t>
                    </w:r>
                  </w:p>
                  <w:p>
                    <w:pPr>
                      <w:ind w:left="-57" w:right="-57"/>
                      <w:jc w:val="center"/>
                      <w:rPr>
                        <w:color w:val="000000"/>
                        <w:sz w:val="20"/>
                      </w:rPr>
                    </w:pPr>
                    <w:r>
                      <w:rPr>
                        <w:color w:val="000000"/>
                        <w:sz w:val="20"/>
                      </w:rPr>
                      <w:t>(2026 m. I ketv.)</w:t>
                    </w: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1042"/>
                </w:trPr>
                <w:tc>
                  <w:tcPr>
                    <w:tcW w:w="2410" w:type="dxa"/>
                    <w:vMerge w:val="restart"/>
                    <w:tcBorders>
                      <w:top w:val="single" w:sz="4" w:space="0" w:color="auto"/>
                      <w:left w:val="single" w:sz="4" w:space="0" w:color="auto"/>
                      <w:right w:val="single" w:sz="4" w:space="0" w:color="auto"/>
                    </w:tcBorders>
                  </w:tcPr>
                  <w:p>
                    <w:pPr>
                      <w:ind w:left="-57" w:right="-57"/>
                      <w:rPr>
                        <w:sz w:val="20"/>
                        <w:u w:val="single"/>
                      </w:rPr>
                    </w:pPr>
                    <w:r>
                      <w:rPr>
                        <w:iCs/>
                        <w:sz w:val="20"/>
                      </w:rPr>
                      <w:t xml:space="preserve">1.3. </w:t>
                    </w:r>
                    <w:r>
                      <w:rPr>
                        <w:sz w:val="20"/>
                      </w:rPr>
                      <w:t>Paslaugų teikimas ilgalaikės priežiūros dienos centruose</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I</w:t>
                    </w:r>
                  </w:p>
                  <w:p>
                    <w:pPr>
                      <w:rPr>
                        <w:sz w:val="20"/>
                      </w:rPr>
                    </w:pPr>
                  </w:p>
                  <w:p>
                    <w:pPr>
                      <w:rPr>
                        <w:sz w:val="20"/>
                      </w:rPr>
                    </w:pPr>
                  </w:p>
                </w:tc>
                <w:tc>
                  <w:tcPr>
                    <w:tcW w:w="1559" w:type="dxa"/>
                    <w:vMerge w:val="restart"/>
                    <w:tcBorders>
                      <w:top w:val="single" w:sz="4" w:space="0" w:color="auto"/>
                      <w:left w:val="single" w:sz="4" w:space="0" w:color="auto"/>
                      <w:right w:val="single" w:sz="4" w:space="0" w:color="auto"/>
                    </w:tcBorders>
                  </w:tcPr>
                  <w:p>
                    <w:pPr>
                      <w:ind w:left="-57" w:right="-57" w:firstLine="53"/>
                      <w:jc w:val="center"/>
                      <w:rPr>
                        <w:sz w:val="20"/>
                      </w:rPr>
                    </w:pPr>
                    <w:r>
                      <w:rPr>
                        <w:sz w:val="20"/>
                      </w:rPr>
                      <w:t>ASPĮ</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P</w:t>
                    </w: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D</w:t>
                    </w:r>
                  </w:p>
                </w:tc>
                <w:tc>
                  <w:tcPr>
                    <w:tcW w:w="1276" w:type="dxa"/>
                    <w:vMerge w:val="restart"/>
                    <w:tcBorders>
                      <w:top w:val="single" w:sz="4" w:space="0" w:color="auto"/>
                      <w:left w:val="single" w:sz="4" w:space="0" w:color="auto"/>
                      <w:right w:val="single" w:sz="4" w:space="0" w:color="auto"/>
                    </w:tcBorders>
                  </w:tcPr>
                  <w:p>
                    <w:pPr>
                      <w:jc w:val="center"/>
                      <w:rPr>
                        <w:color w:val="000000"/>
                        <w:sz w:val="20"/>
                      </w:rPr>
                    </w:pPr>
                    <w:r>
                      <w:rPr>
                        <w:color w:val="000000"/>
                        <w:sz w:val="20"/>
                      </w:rPr>
                      <w:t>8 000</w:t>
                    </w:r>
                  </w:p>
                  <w:p>
                    <w:pPr>
                      <w:jc w:val="center"/>
                      <w:rPr>
                        <w:sz w:val="20"/>
                      </w:rPr>
                    </w:pPr>
                  </w:p>
                  <w:p>
                    <w:pPr>
                      <w:jc w:val="center"/>
                      <w:rPr>
                        <w:sz w:val="20"/>
                      </w:rPr>
                    </w:pPr>
                  </w:p>
                  <w:p>
                    <w:pPr>
                      <w:jc w:val="center"/>
                      <w:rPr>
                        <w:sz w:val="20"/>
                      </w:rPr>
                    </w:pPr>
                  </w:p>
                  <w:p>
                    <w:pPr>
                      <w:jc w:val="center"/>
                      <w:rPr>
                        <w:sz w:val="20"/>
                      </w:rPr>
                    </w:pPr>
                  </w:p>
                  <w:p>
                    <w:pPr>
                      <w:jc w:val="center"/>
                      <w:rPr>
                        <w:color w:val="000000"/>
                        <w:sz w:val="20"/>
                      </w:rPr>
                    </w:pPr>
                  </w:p>
                  <w:p>
                    <w:pPr>
                      <w:jc w:val="center"/>
                      <w:rPr>
                        <w:sz w:val="20"/>
                      </w:rPr>
                    </w:pPr>
                  </w:p>
                </w:tc>
                <w:tc>
                  <w:tcPr>
                    <w:tcW w:w="992" w:type="dxa"/>
                    <w:vMerge w:val="restart"/>
                    <w:tcBorders>
                      <w:top w:val="single" w:sz="4" w:space="0" w:color="auto"/>
                      <w:left w:val="single" w:sz="4" w:space="0" w:color="auto"/>
                      <w:right w:val="single" w:sz="4" w:space="0" w:color="auto"/>
                    </w:tcBorders>
                  </w:tcPr>
                  <w:p>
                    <w:pPr>
                      <w:jc w:val="center"/>
                      <w:rPr>
                        <w:sz w:val="20"/>
                      </w:rPr>
                    </w:pPr>
                    <w:r>
                      <w:rPr>
                        <w:color w:val="000000"/>
                        <w:sz w:val="20"/>
                      </w:rPr>
                      <w:t>VB</w:t>
                    </w: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rPr>
                        <w:sz w:val="20"/>
                      </w:rPr>
                    </w:pPr>
                    <w:r>
                      <w:rPr>
                        <w:sz w:val="20"/>
                      </w:rPr>
                      <w:t>R – Ambulatorines ilgalaikės priežiūros paslaugas gaunančių pacientų dalis, proc.</w:t>
                    </w:r>
                  </w:p>
                </w:tc>
                <w:tc>
                  <w:tcPr>
                    <w:tcW w:w="851" w:type="dxa"/>
                    <w:tcBorders>
                      <w:top w:val="single" w:sz="4" w:space="0" w:color="auto"/>
                      <w:left w:val="single" w:sz="4" w:space="0" w:color="auto"/>
                      <w:right w:val="single" w:sz="4" w:space="0" w:color="auto"/>
                    </w:tcBorders>
                    <w:shd w:val="clear" w:color="auto" w:fill="FFFFFF" w:themeFill="background1"/>
                  </w:tcPr>
                  <w:p>
                    <w:pPr>
                      <w:jc w:val="center"/>
                      <w:rPr>
                        <w:sz w:val="20"/>
                      </w:rPr>
                    </w:pPr>
                    <w:r>
                      <w:rPr>
                        <w:sz w:val="20"/>
                      </w:rPr>
                      <w:t>30</w:t>
                    </w:r>
                  </w:p>
                  <w:p>
                    <w:pPr>
                      <w:jc w:val="center"/>
                      <w:rPr>
                        <w:sz w:val="20"/>
                      </w:rPr>
                    </w:pPr>
                    <w:r>
                      <w:rPr>
                        <w:sz w:val="20"/>
                      </w:rPr>
                      <w:t>(2025 m. II ketv.)</w:t>
                    </w:r>
                  </w:p>
                  <w:p>
                    <w:pPr>
                      <w:ind w:left="-57" w:right="-57"/>
                      <w:jc w:val="center"/>
                      <w:rPr>
                        <w:sz w:val="20"/>
                      </w:rPr>
                    </w:pP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CPVA</w:t>
                    </w:r>
                  </w:p>
                </w:tc>
                <w:tc>
                  <w:tcPr>
                    <w:tcW w:w="1276" w:type="dxa"/>
                    <w:vMerge w:val="restart"/>
                    <w:tcBorders>
                      <w:top w:val="single" w:sz="4" w:space="0" w:color="auto"/>
                      <w:left w:val="single" w:sz="4" w:space="0" w:color="auto"/>
                      <w:right w:val="single" w:sz="4" w:space="0" w:color="auto"/>
                    </w:tcBorders>
                  </w:tcPr>
                  <w:p>
                    <w:pPr>
                      <w:ind w:left="-57" w:right="-57"/>
                      <w:jc w:val="center"/>
                      <w:rPr>
                        <w:sz w:val="20"/>
                      </w:rPr>
                    </w:pPr>
                    <w:r>
                      <w:rPr>
                        <w:sz w:val="20"/>
                      </w:rPr>
                      <w:t>SAM; SADM</w:t>
                    </w:r>
                  </w:p>
                  <w:p>
                    <w:pPr>
                      <w:rPr>
                        <w:sz w:val="20"/>
                      </w:rPr>
                    </w:pPr>
                  </w:p>
                  <w:p>
                    <w:pPr>
                      <w:rPr>
                        <w:sz w:val="20"/>
                      </w:rPr>
                    </w:pPr>
                  </w:p>
                  <w:p>
                    <w:pPr>
                      <w:rPr>
                        <w:sz w:val="20"/>
                      </w:rPr>
                    </w:pPr>
                  </w:p>
                </w:tc>
              </w:tr>
              <w:tr>
                <w:trPr>
                  <w:trHeight w:val="1130"/>
                </w:trPr>
                <w:tc>
                  <w:tcPr>
                    <w:tcW w:w="2410" w:type="dxa"/>
                    <w:vMerge/>
                    <w:tcBorders>
                      <w:left w:val="single" w:sz="4" w:space="0" w:color="auto"/>
                      <w:bottom w:val="single" w:sz="4" w:space="0" w:color="auto"/>
                      <w:right w:val="single" w:sz="4" w:space="0" w:color="auto"/>
                    </w:tcBorders>
                  </w:tcPr>
                  <w:p>
                    <w:pPr>
                      <w:ind w:left="-57" w:right="-57"/>
                      <w:rPr>
                        <w:iCs/>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1559" w:type="dxa"/>
                    <w:vMerge/>
                    <w:tcBorders>
                      <w:left w:val="single" w:sz="4" w:space="0" w:color="auto"/>
                      <w:bottom w:val="single" w:sz="4" w:space="0" w:color="auto"/>
                      <w:right w:val="single" w:sz="4" w:space="0" w:color="auto"/>
                    </w:tcBorders>
                  </w:tcPr>
                  <w:p>
                    <w:pPr>
                      <w:ind w:left="-57" w:right="-57" w:firstLine="53"/>
                      <w:jc w:val="center"/>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992" w:type="dxa"/>
                    <w:vMerge/>
                    <w:tcBorders>
                      <w:left w:val="single" w:sz="4" w:space="0" w:color="auto"/>
                      <w:bottom w:val="single" w:sz="4" w:space="0" w:color="auto"/>
                      <w:right w:val="single" w:sz="4" w:space="0" w:color="auto"/>
                    </w:tcBorders>
                  </w:tcPr>
                  <w:p>
                    <w:pPr>
                      <w:ind w:left="-57" w:right="-57"/>
                      <w:jc w:val="center"/>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1276" w:type="dxa"/>
                    <w:vMerge/>
                    <w:tcBorders>
                      <w:left w:val="single" w:sz="4" w:space="0" w:color="auto"/>
                      <w:bottom w:val="single" w:sz="4" w:space="0" w:color="auto"/>
                      <w:right w:val="single" w:sz="4" w:space="0" w:color="auto"/>
                    </w:tcBorders>
                  </w:tcPr>
                  <w:p>
                    <w:pPr>
                      <w:jc w:val="center"/>
                      <w:rPr>
                        <w:color w:val="000000"/>
                        <w:sz w:val="20"/>
                      </w:rPr>
                    </w:pPr>
                  </w:p>
                </w:tc>
                <w:tc>
                  <w:tcPr>
                    <w:tcW w:w="992" w:type="dxa"/>
                    <w:vMerge/>
                    <w:tcBorders>
                      <w:left w:val="single" w:sz="4" w:space="0" w:color="auto"/>
                      <w:bottom w:val="single" w:sz="4" w:space="0" w:color="auto"/>
                      <w:right w:val="single" w:sz="4" w:space="0" w:color="auto"/>
                    </w:tcBorders>
                  </w:tcPr>
                  <w:p>
                    <w:pPr>
                      <w:jc w:val="center"/>
                      <w:rPr>
                        <w:color w:val="000000"/>
                        <w:sz w:val="20"/>
                      </w:rPr>
                    </w:pP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rPr>
                        <w:sz w:val="20"/>
                      </w:rPr>
                    </w:pPr>
                    <w:r>
                      <w:rPr>
                        <w:sz w:val="20"/>
                      </w:rPr>
                      <w:t>R – Ambulatorines ilgalaikės priežiūros paslaugas gaunančių pacientų dalis, proc.</w:t>
                    </w:r>
                  </w:p>
                </w:tc>
                <w:tc>
                  <w:tcPr>
                    <w:tcW w:w="851" w:type="dxa"/>
                    <w:tcBorders>
                      <w:top w:val="single" w:sz="4" w:space="0" w:color="auto"/>
                      <w:left w:val="single" w:sz="4" w:space="0" w:color="auto"/>
                      <w:right w:val="single" w:sz="4" w:space="0" w:color="auto"/>
                    </w:tcBorders>
                    <w:shd w:val="clear" w:color="auto" w:fill="FFFFFF" w:themeFill="background1"/>
                  </w:tcPr>
                  <w:p>
                    <w:pPr>
                      <w:ind w:left="-57" w:right="-57"/>
                      <w:jc w:val="center"/>
                      <w:rPr>
                        <w:sz w:val="20"/>
                      </w:rPr>
                    </w:pPr>
                    <w:r>
                      <w:rPr>
                        <w:sz w:val="20"/>
                      </w:rPr>
                      <w:t>60</w:t>
                    </w:r>
                  </w:p>
                  <w:p>
                    <w:pPr>
                      <w:ind w:left="-57" w:right="-57"/>
                      <w:jc w:val="center"/>
                      <w:rPr>
                        <w:sz w:val="20"/>
                      </w:rPr>
                    </w:pPr>
                    <w:r>
                      <w:rPr>
                        <w:sz w:val="20"/>
                      </w:rPr>
                      <w:t>(2026 m. I ketv.)</w:t>
                    </w:r>
                  </w:p>
                  <w:p>
                    <w:pPr>
                      <w:ind w:left="-57" w:right="-57"/>
                      <w:jc w:val="center"/>
                      <w:rPr>
                        <w:sz w:val="20"/>
                      </w:rPr>
                    </w:pPr>
                  </w:p>
                </w:tc>
                <w:tc>
                  <w:tcPr>
                    <w:tcW w:w="992" w:type="dxa"/>
                    <w:vMerge/>
                    <w:tcBorders>
                      <w:left w:val="single" w:sz="4" w:space="0" w:color="auto"/>
                      <w:bottom w:val="single" w:sz="4" w:space="0" w:color="auto"/>
                      <w:right w:val="single" w:sz="4" w:space="0" w:color="auto"/>
                    </w:tcBorders>
                  </w:tcPr>
                  <w:p>
                    <w:pPr>
                      <w:ind w:left="-57" w:right="-57"/>
                      <w:jc w:val="center"/>
                      <w:rPr>
                        <w:sz w:val="20"/>
                      </w:rPr>
                    </w:pPr>
                  </w:p>
                </w:tc>
                <w:tc>
                  <w:tcPr>
                    <w:tcW w:w="1276" w:type="dxa"/>
                    <w:vMerge/>
                    <w:tcBorders>
                      <w:left w:val="single" w:sz="4" w:space="0" w:color="auto"/>
                      <w:bottom w:val="single" w:sz="4" w:space="0" w:color="auto"/>
                      <w:right w:val="single" w:sz="4" w:space="0" w:color="auto"/>
                    </w:tcBorders>
                  </w:tcPr>
                  <w:p>
                    <w:pPr>
                      <w:ind w:left="-57" w:right="-57"/>
                      <w:jc w:val="center"/>
                      <w:rPr>
                        <w:sz w:val="20"/>
                      </w:rPr>
                    </w:pPr>
                  </w:p>
                </w:tc>
              </w:tr>
              <w:tr>
                <w:trPr>
                  <w:trHeight w:val="316"/>
                </w:trPr>
                <w:tc>
                  <w:tcPr>
                    <w:tcW w:w="2410" w:type="dxa"/>
                    <w:vMerge w:val="restart"/>
                    <w:tcBorders>
                      <w:top w:val="single" w:sz="4" w:space="0" w:color="auto"/>
                      <w:left w:val="single" w:sz="4" w:space="0" w:color="auto"/>
                      <w:right w:val="single" w:sz="4" w:space="0" w:color="auto"/>
                    </w:tcBorders>
                  </w:tcPr>
                  <w:p>
                    <w:pPr>
                      <w:ind w:left="-57" w:right="-57"/>
                      <w:rPr>
                        <w:iCs/>
                        <w:sz w:val="20"/>
                      </w:rPr>
                    </w:pPr>
                    <w:r>
                      <w:rPr>
                        <w:iCs/>
                        <w:sz w:val="20"/>
                      </w:rPr>
                      <w:t>1.4. Mobiliųjų komandų aprūpinimas įranga ir transporto priemonėmis</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I</w:t>
                    </w:r>
                  </w:p>
                </w:tc>
                <w:tc>
                  <w:tcPr>
                    <w:tcW w:w="1559" w:type="dxa"/>
                    <w:vMerge w:val="restart"/>
                    <w:tcBorders>
                      <w:top w:val="single" w:sz="4" w:space="0" w:color="auto"/>
                      <w:left w:val="single" w:sz="4" w:space="0" w:color="auto"/>
                      <w:right w:val="single" w:sz="4" w:space="0" w:color="auto"/>
                    </w:tcBorders>
                  </w:tcPr>
                  <w:p>
                    <w:pPr>
                      <w:ind w:left="-57" w:right="-57"/>
                      <w:jc w:val="center"/>
                      <w:rPr>
                        <w:sz w:val="20"/>
                      </w:rPr>
                    </w:pPr>
                    <w:r>
                      <w:rPr>
                        <w:sz w:val="20"/>
                      </w:rPr>
                      <w:t>ASPĮ;</w:t>
                    </w:r>
                  </w:p>
                  <w:p>
                    <w:pPr>
                      <w:ind w:left="-57" w:right="-57"/>
                      <w:jc w:val="center"/>
                      <w:rPr>
                        <w:color w:val="FF0000"/>
                        <w:sz w:val="20"/>
                      </w:rPr>
                    </w:pPr>
                    <w:r>
                      <w:rPr>
                        <w:sz w:val="20"/>
                      </w:rPr>
                      <w:t>savivaldybių administracijos</w:t>
                    </w:r>
                    <w:r>
                      <w:rPr>
                        <w:color w:val="FF0000"/>
                        <w:sz w:val="20"/>
                      </w:rPr>
                      <w:t xml:space="preserve"> </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P</w:t>
                    </w:r>
                  </w:p>
                </w:tc>
                <w:tc>
                  <w:tcPr>
                    <w:tcW w:w="992"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D</w:t>
                    </w:r>
                  </w:p>
                </w:tc>
                <w:tc>
                  <w:tcPr>
                    <w:tcW w:w="1276" w:type="dxa"/>
                    <w:tcBorders>
                      <w:top w:val="single" w:sz="4" w:space="0" w:color="auto"/>
                      <w:left w:val="single" w:sz="4" w:space="0" w:color="auto"/>
                      <w:right w:val="single" w:sz="4" w:space="0" w:color="auto"/>
                    </w:tcBorders>
                  </w:tcPr>
                  <w:p>
                    <w:pPr>
                      <w:ind w:left="-57" w:right="-57"/>
                      <w:jc w:val="center"/>
                      <w:rPr>
                        <w:sz w:val="20"/>
                      </w:rPr>
                    </w:pPr>
                    <w:r>
                      <w:rPr>
                        <w:sz w:val="20"/>
                      </w:rPr>
                      <w:t>3 500</w:t>
                    </w:r>
                  </w:p>
                </w:tc>
                <w:tc>
                  <w:tcPr>
                    <w:tcW w:w="992" w:type="dxa"/>
                    <w:tcBorders>
                      <w:top w:val="single" w:sz="4" w:space="0" w:color="auto"/>
                      <w:left w:val="single" w:sz="4" w:space="0" w:color="auto"/>
                      <w:bottom w:val="single" w:sz="4" w:space="0" w:color="auto"/>
                      <w:right w:val="single" w:sz="4" w:space="0" w:color="auto"/>
                    </w:tcBorders>
                  </w:tcPr>
                  <w:p>
                    <w:pPr>
                      <w:ind w:left="-57" w:right="-57"/>
                      <w:rPr>
                        <w:sz w:val="20"/>
                      </w:rPr>
                    </w:pPr>
                    <w:r>
                      <w:rPr>
                        <w:sz w:val="20"/>
                      </w:rPr>
                      <w:t>EGADP</w:t>
                    </w:r>
                  </w:p>
                </w:tc>
                <w:tc>
                  <w:tcPr>
                    <w:tcW w:w="2551" w:type="dxa"/>
                    <w:vMerge w:val="restart"/>
                    <w:tcBorders>
                      <w:top w:val="single" w:sz="4" w:space="0" w:color="auto"/>
                      <w:left w:val="single" w:sz="4" w:space="0" w:color="auto"/>
                      <w:right w:val="single" w:sz="4" w:space="0" w:color="auto"/>
                    </w:tcBorders>
                    <w:shd w:val="clear" w:color="auto" w:fill="auto"/>
                  </w:tcPr>
                  <w:p>
                    <w:pPr>
                      <w:ind w:left="-57" w:right="-57"/>
                      <w:rPr>
                        <w:sz w:val="20"/>
                      </w:rPr>
                    </w:pPr>
                    <w:r>
                      <w:rPr>
                        <w:sz w:val="20"/>
                      </w:rPr>
                      <w:t>P – Sukurtų ilgalaikės priežiūros specialistų komandų, teikiančių paslaugas gyventojų namuose, skaičius, vnt.</w:t>
                    </w:r>
                  </w:p>
                </w:tc>
                <w:tc>
                  <w:tcPr>
                    <w:tcW w:w="851"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90</w:t>
                    </w:r>
                  </w:p>
                  <w:p>
                    <w:pPr>
                      <w:ind w:left="-57" w:right="-57"/>
                      <w:jc w:val="center"/>
                      <w:rPr>
                        <w:sz w:val="20"/>
                      </w:rPr>
                    </w:pPr>
                    <w:r>
                      <w:rPr>
                        <w:sz w:val="20"/>
                      </w:rPr>
                      <w:t>(2024 m. IV ketv.)</w:t>
                    </w:r>
                  </w:p>
                </w:tc>
                <w:tc>
                  <w:tcPr>
                    <w:tcW w:w="992"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CPVA</w:t>
                    </w:r>
                  </w:p>
                </w:tc>
                <w:tc>
                  <w:tcPr>
                    <w:tcW w:w="1276"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SAM; SADM</w:t>
                    </w:r>
                  </w:p>
                </w:tc>
              </w:tr>
              <w:tr>
                <w:trPr>
                  <w:trHeight w:val="453"/>
                </w:trPr>
                <w:tc>
                  <w:tcPr>
                    <w:tcW w:w="2410" w:type="dxa"/>
                    <w:vMerge/>
                    <w:tcBorders>
                      <w:left w:val="single" w:sz="4" w:space="0" w:color="auto"/>
                      <w:right w:val="single" w:sz="4" w:space="0" w:color="auto"/>
                    </w:tcBorders>
                  </w:tcPr>
                  <w:p>
                    <w:pPr>
                      <w:ind w:left="-57" w:right="-57"/>
                      <w:rPr>
                        <w:iCs/>
                        <w:sz w:val="20"/>
                      </w:rPr>
                    </w:pPr>
                  </w:p>
                </w:tc>
                <w:tc>
                  <w:tcPr>
                    <w:tcW w:w="709" w:type="dxa"/>
                    <w:vMerge/>
                    <w:tcBorders>
                      <w:left w:val="single" w:sz="4" w:space="0" w:color="auto"/>
                      <w:right w:val="single" w:sz="4" w:space="0" w:color="auto"/>
                    </w:tcBorders>
                  </w:tcPr>
                  <w:p>
                    <w:pPr>
                      <w:ind w:left="-57" w:right="-57"/>
                      <w:jc w:val="center"/>
                      <w:rPr>
                        <w:color w:val="000000"/>
                        <w:sz w:val="20"/>
                      </w:rPr>
                    </w:pPr>
                  </w:p>
                </w:tc>
                <w:tc>
                  <w:tcPr>
                    <w:tcW w:w="1559" w:type="dxa"/>
                    <w:vMerge/>
                    <w:tcBorders>
                      <w:left w:val="single" w:sz="4" w:space="0" w:color="auto"/>
                      <w:right w:val="single" w:sz="4" w:space="0" w:color="auto"/>
                    </w:tcBorders>
                  </w:tcPr>
                  <w:p>
                    <w:pPr>
                      <w:ind w:left="-57" w:right="-57"/>
                      <w:jc w:val="center"/>
                      <w:rPr>
                        <w:color w:val="FF0000"/>
                        <w:sz w:val="20"/>
                      </w:rPr>
                    </w:pPr>
                  </w:p>
                </w:tc>
                <w:tc>
                  <w:tcPr>
                    <w:tcW w:w="709" w:type="dxa"/>
                    <w:vMerge/>
                    <w:tcBorders>
                      <w:left w:val="single" w:sz="4" w:space="0" w:color="auto"/>
                      <w:right w:val="single" w:sz="4" w:space="0" w:color="auto"/>
                    </w:tcBorders>
                  </w:tcPr>
                  <w:p>
                    <w:pPr>
                      <w:ind w:left="-57" w:right="-57"/>
                      <w:jc w:val="center"/>
                      <w:rPr>
                        <w:color w:val="000000"/>
                        <w:sz w:val="20"/>
                      </w:rPr>
                    </w:pPr>
                  </w:p>
                </w:tc>
                <w:tc>
                  <w:tcPr>
                    <w:tcW w:w="992" w:type="dxa"/>
                    <w:vMerge/>
                    <w:tcBorders>
                      <w:left w:val="single" w:sz="4" w:space="0" w:color="auto"/>
                      <w:right w:val="single" w:sz="4" w:space="0" w:color="auto"/>
                    </w:tcBorders>
                  </w:tcPr>
                  <w:p>
                    <w:pPr>
                      <w:ind w:left="-57" w:right="-57"/>
                      <w:jc w:val="center"/>
                      <w:rPr>
                        <w:color w:val="000000"/>
                        <w:sz w:val="20"/>
                      </w:rPr>
                    </w:pPr>
                  </w:p>
                </w:tc>
                <w:tc>
                  <w:tcPr>
                    <w:tcW w:w="709" w:type="dxa"/>
                    <w:vMerge/>
                    <w:tcBorders>
                      <w:left w:val="single" w:sz="4" w:space="0" w:color="auto"/>
                      <w:right w:val="single" w:sz="4" w:space="0" w:color="auto"/>
                    </w:tcBorders>
                  </w:tcPr>
                  <w:p>
                    <w:pPr>
                      <w:ind w:left="-57" w:right="-57"/>
                      <w:jc w:val="center"/>
                      <w:rPr>
                        <w:color w:val="000000"/>
                        <w:sz w:val="20"/>
                      </w:rPr>
                    </w:pPr>
                  </w:p>
                </w:tc>
                <w:tc>
                  <w:tcPr>
                    <w:tcW w:w="1276" w:type="dxa"/>
                    <w:tcBorders>
                      <w:left w:val="single" w:sz="4" w:space="0" w:color="auto"/>
                      <w:right w:val="single" w:sz="4" w:space="0" w:color="auto"/>
                    </w:tcBorders>
                  </w:tcPr>
                  <w:p>
                    <w:pPr>
                      <w:ind w:left="-57" w:right="-57"/>
                      <w:jc w:val="center"/>
                      <w:rPr>
                        <w:sz w:val="20"/>
                      </w:rPr>
                    </w:pPr>
                    <w:r>
                      <w:rPr>
                        <w:sz w:val="20"/>
                      </w:rPr>
                      <w:t>740</w:t>
                    </w:r>
                  </w:p>
                </w:tc>
                <w:tc>
                  <w:tcPr>
                    <w:tcW w:w="992" w:type="dxa"/>
                    <w:tcBorders>
                      <w:top w:val="single" w:sz="4" w:space="0" w:color="auto"/>
                      <w:left w:val="single" w:sz="4" w:space="0" w:color="auto"/>
                      <w:right w:val="single" w:sz="4" w:space="0" w:color="auto"/>
                    </w:tcBorders>
                  </w:tcPr>
                  <w:p>
                    <w:pPr>
                      <w:ind w:left="-57" w:right="-57"/>
                      <w:rPr>
                        <w:sz w:val="20"/>
                      </w:rPr>
                    </w:pPr>
                    <w:r>
                      <w:rPr>
                        <w:sz w:val="20"/>
                      </w:rPr>
                      <w:t>PVM iš VB</w:t>
                    </w:r>
                  </w:p>
                </w:tc>
                <w:tc>
                  <w:tcPr>
                    <w:tcW w:w="2551" w:type="dxa"/>
                    <w:vMerge/>
                    <w:tcBorders>
                      <w:left w:val="single" w:sz="4" w:space="0" w:color="auto"/>
                      <w:right w:val="single" w:sz="4" w:space="0" w:color="auto"/>
                    </w:tcBorders>
                    <w:shd w:val="clear" w:color="auto" w:fill="auto"/>
                  </w:tcPr>
                  <w:p>
                    <w:pPr>
                      <w:ind w:left="-57" w:right="-57"/>
                      <w:rPr>
                        <w:sz w:val="20"/>
                      </w:rPr>
                    </w:pPr>
                  </w:p>
                </w:tc>
                <w:tc>
                  <w:tcPr>
                    <w:tcW w:w="851" w:type="dxa"/>
                    <w:vMerge/>
                    <w:tcBorders>
                      <w:left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shd w:val="clear" w:color="auto" w:fill="auto"/>
                  </w:tcPr>
                  <w:p>
                    <w:pPr>
                      <w:ind w:left="-57" w:right="-57"/>
                      <w:jc w:val="center"/>
                      <w:rPr>
                        <w:sz w:val="20"/>
                      </w:rPr>
                    </w:pPr>
                  </w:p>
                </w:tc>
                <w:tc>
                  <w:tcPr>
                    <w:tcW w:w="1276" w:type="dxa"/>
                    <w:vMerge/>
                    <w:tcBorders>
                      <w:left w:val="single" w:sz="4" w:space="0" w:color="auto"/>
                      <w:right w:val="single" w:sz="4" w:space="0" w:color="auto"/>
                    </w:tcBorders>
                    <w:shd w:val="clear" w:color="auto" w:fill="auto"/>
                  </w:tcPr>
                  <w:p>
                    <w:pPr>
                      <w:ind w:left="-57" w:right="-57"/>
                      <w:jc w:val="center"/>
                      <w:rPr>
                        <w:sz w:val="20"/>
                      </w:rPr>
                    </w:pPr>
                  </w:p>
                </w:tc>
              </w:tr>
              <w:tr>
                <w:trPr>
                  <w:trHeight w:val="419"/>
                </w:trPr>
                <w:tc>
                  <w:tcPr>
                    <w:tcW w:w="2410" w:type="dxa"/>
                    <w:vMerge/>
                    <w:tcBorders>
                      <w:left w:val="single" w:sz="4" w:space="0" w:color="auto"/>
                      <w:bottom w:val="single" w:sz="4" w:space="0" w:color="auto"/>
                      <w:right w:val="single" w:sz="4" w:space="0" w:color="auto"/>
                    </w:tcBorders>
                  </w:tcPr>
                  <w:p>
                    <w:pPr>
                      <w:ind w:left="-57" w:right="-57"/>
                      <w:rPr>
                        <w:iCs/>
                        <w:sz w:val="20"/>
                      </w:rPr>
                    </w:pPr>
                  </w:p>
                </w:tc>
                <w:tc>
                  <w:tcPr>
                    <w:tcW w:w="709" w:type="dxa"/>
                    <w:vMerge/>
                    <w:tcBorders>
                      <w:left w:val="single" w:sz="4" w:space="0" w:color="auto"/>
                      <w:bottom w:val="single" w:sz="4" w:space="0" w:color="auto"/>
                      <w:right w:val="single" w:sz="4" w:space="0" w:color="auto"/>
                    </w:tcBorders>
                  </w:tcPr>
                  <w:p>
                    <w:pPr>
                      <w:ind w:left="-57" w:right="-57"/>
                      <w:jc w:val="center"/>
                      <w:rPr>
                        <w:color w:val="000000"/>
                        <w:sz w:val="20"/>
                      </w:rPr>
                    </w:pPr>
                  </w:p>
                </w:tc>
                <w:tc>
                  <w:tcPr>
                    <w:tcW w:w="1559" w:type="dxa"/>
                    <w:vMerge/>
                    <w:tcBorders>
                      <w:left w:val="single" w:sz="4" w:space="0" w:color="auto"/>
                      <w:bottom w:val="single" w:sz="4" w:space="0" w:color="auto"/>
                      <w:right w:val="single" w:sz="4" w:space="0" w:color="auto"/>
                    </w:tcBorders>
                  </w:tcPr>
                  <w:p>
                    <w:pPr>
                      <w:ind w:left="-57" w:right="-57"/>
                      <w:jc w:val="center"/>
                      <w:rPr>
                        <w:color w:val="FF0000"/>
                        <w:sz w:val="20"/>
                      </w:rPr>
                    </w:pPr>
                  </w:p>
                </w:tc>
                <w:tc>
                  <w:tcPr>
                    <w:tcW w:w="709" w:type="dxa"/>
                    <w:vMerge/>
                    <w:tcBorders>
                      <w:left w:val="single" w:sz="4" w:space="0" w:color="auto"/>
                      <w:bottom w:val="single" w:sz="4" w:space="0" w:color="auto"/>
                      <w:right w:val="single" w:sz="4" w:space="0" w:color="auto"/>
                    </w:tcBorders>
                  </w:tcPr>
                  <w:p>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tcPr>
                  <w:p>
                    <w:pPr>
                      <w:ind w:left="-57" w:right="-57"/>
                      <w:jc w:val="center"/>
                      <w:rPr>
                        <w:color w:val="000000"/>
                        <w:sz w:val="20"/>
                      </w:rPr>
                    </w:pPr>
                  </w:p>
                </w:tc>
                <w:tc>
                  <w:tcPr>
                    <w:tcW w:w="709" w:type="dxa"/>
                    <w:vMerge/>
                    <w:tcBorders>
                      <w:left w:val="single" w:sz="4" w:space="0" w:color="auto"/>
                      <w:bottom w:val="single" w:sz="4" w:space="0" w:color="auto"/>
                      <w:right w:val="single" w:sz="4" w:space="0" w:color="auto"/>
                    </w:tcBorders>
                  </w:tcPr>
                  <w:p>
                    <w:pPr>
                      <w:ind w:left="-57" w:right="-57"/>
                      <w:jc w:val="center"/>
                      <w:rPr>
                        <w:color w:val="000000"/>
                        <w:sz w:val="20"/>
                      </w:rPr>
                    </w:pPr>
                  </w:p>
                </w:tc>
                <w:tc>
                  <w:tcPr>
                    <w:tcW w:w="1276" w:type="dxa"/>
                    <w:vMerge w:val="restart"/>
                    <w:tcBorders>
                      <w:left w:val="single" w:sz="4" w:space="0" w:color="auto"/>
                      <w:bottom w:val="single" w:sz="4" w:space="0" w:color="auto"/>
                      <w:right w:val="single" w:sz="4" w:space="0" w:color="auto"/>
                    </w:tcBorders>
                    <w:vAlign w:val="center"/>
                  </w:tcPr>
                  <w:p>
                    <w:pPr>
                      <w:ind w:left="-57" w:right="-57"/>
                      <w:jc w:val="center"/>
                      <w:rPr>
                        <w:sz w:val="20"/>
                      </w:rPr>
                    </w:pPr>
                  </w:p>
                </w:tc>
                <w:tc>
                  <w:tcPr>
                    <w:tcW w:w="992" w:type="dxa"/>
                    <w:vMerge w:val="restart"/>
                    <w:tcBorders>
                      <w:top w:val="single" w:sz="4" w:space="0" w:color="auto"/>
                      <w:left w:val="single" w:sz="4" w:space="0" w:color="auto"/>
                      <w:bottom w:val="single" w:sz="4" w:space="0" w:color="auto"/>
                      <w:right w:val="single" w:sz="4" w:space="0" w:color="auto"/>
                    </w:tcBorders>
                    <w:vAlign w:val="center"/>
                  </w:tcPr>
                  <w:p>
                    <w:pPr>
                      <w:ind w:left="-57" w:right="-57"/>
                      <w:rPr>
                        <w:sz w:val="20"/>
                      </w:rPr>
                    </w:pPr>
                  </w:p>
                </w:tc>
                <w:tc>
                  <w:tcPr>
                    <w:tcW w:w="2551" w:type="dxa"/>
                    <w:vMerge/>
                    <w:tcBorders>
                      <w:left w:val="single" w:sz="4" w:space="0" w:color="auto"/>
                      <w:bottom w:val="single" w:sz="4" w:space="0" w:color="auto"/>
                      <w:right w:val="single" w:sz="4" w:space="0" w:color="auto"/>
                    </w:tcBorders>
                    <w:shd w:val="clear" w:color="auto" w:fill="auto"/>
                  </w:tcPr>
                  <w:p>
                    <w:pPr>
                      <w:ind w:left="-57" w:right="-57"/>
                      <w:rPr>
                        <w:sz w:val="20"/>
                      </w:rPr>
                    </w:pPr>
                  </w:p>
                </w:tc>
                <w:tc>
                  <w:tcPr>
                    <w:tcW w:w="851" w:type="dxa"/>
                    <w:vMerge/>
                    <w:tcBorders>
                      <w:left w:val="single" w:sz="4" w:space="0" w:color="auto"/>
                      <w:bottom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shd w:val="clear" w:color="auto" w:fill="auto"/>
                  </w:tcPr>
                  <w:p>
                    <w:pPr>
                      <w:ind w:left="-57" w:right="-57"/>
                      <w:jc w:val="center"/>
                      <w:rPr>
                        <w:sz w:val="20"/>
                      </w:rPr>
                    </w:pPr>
                  </w:p>
                </w:tc>
                <w:tc>
                  <w:tcPr>
                    <w:tcW w:w="1276" w:type="dxa"/>
                    <w:vMerge/>
                    <w:tcBorders>
                      <w:left w:val="single" w:sz="4" w:space="0" w:color="auto"/>
                      <w:right w:val="single" w:sz="4" w:space="0" w:color="auto"/>
                    </w:tcBorders>
                    <w:shd w:val="clear" w:color="auto" w:fill="auto"/>
                  </w:tcPr>
                  <w:p>
                    <w:pPr>
                      <w:ind w:left="-57" w:right="-57"/>
                      <w:jc w:val="center"/>
                      <w:rPr>
                        <w:sz w:val="20"/>
                      </w:rPr>
                    </w:pPr>
                  </w:p>
                </w:tc>
              </w:tr>
              <w:tr>
                <w:trPr>
                  <w:trHeight w:val="414"/>
                </w:trPr>
                <w:tc>
                  <w:tcPr>
                    <w:tcW w:w="2410"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c>
                  <w:tcPr>
                    <w:tcW w:w="992" w:type="dxa"/>
                    <w:vMerge/>
                    <w:tcBorders>
                      <w:left w:val="single" w:sz="4" w:space="0" w:color="auto"/>
                      <w:bottom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sz w:val="20"/>
                      </w:rPr>
                      <w:t>R – Ambulatorines ilgalaikės priežiūros paslaugas gaunančių pacientų dalis,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jc w:val="center"/>
                      <w:rPr>
                        <w:sz w:val="20"/>
                      </w:rPr>
                    </w:pPr>
                    <w:r>
                      <w:rPr>
                        <w:sz w:val="20"/>
                      </w:rPr>
                      <w:t>30</w:t>
                    </w:r>
                  </w:p>
                  <w:p>
                    <w:pPr>
                      <w:jc w:val="center"/>
                      <w:rPr>
                        <w:sz w:val="20"/>
                      </w:rPr>
                    </w:pPr>
                    <w:r>
                      <w:rPr>
                        <w:sz w:val="20"/>
                      </w:rPr>
                      <w:t>(2025 m. II ketv.)</w:t>
                    </w:r>
                  </w:p>
                  <w:p>
                    <w:pPr>
                      <w:ind w:left="-57" w:right="-57"/>
                      <w:jc w:val="cente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c>
                  <w:tcPr>
                    <w:tcW w:w="992" w:type="dxa"/>
                    <w:vMerge/>
                    <w:tcBorders>
                      <w:left w:val="single" w:sz="4" w:space="0" w:color="auto"/>
                      <w:bottom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R – Ambulatorines ilgalaikės priežiūros paslaugas gaunančių pacientų dalis,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60</w:t>
                    </w:r>
                  </w:p>
                  <w:p>
                    <w:pPr>
                      <w:ind w:left="-57" w:right="-57"/>
                      <w:jc w:val="center"/>
                      <w:rPr>
                        <w:color w:val="000000"/>
                        <w:sz w:val="20"/>
                      </w:rPr>
                    </w:pPr>
                    <w:r>
                      <w:rPr>
                        <w:color w:val="000000"/>
                        <w:sz w:val="20"/>
                      </w:rPr>
                      <w:t>(2026 m. I ketv)</w:t>
                    </w: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b/>
                        <w:bCs/>
                        <w:color w:val="000000"/>
                        <w:sz w:val="20"/>
                      </w:rPr>
                    </w:pPr>
                    <w:r>
                      <w:rPr>
                        <w:b/>
                        <w:bCs/>
                        <w:color w:val="000000"/>
                        <w:sz w:val="20"/>
                      </w:rPr>
                      <w:t>2. Pasirengimo grėsmėms stiprinimas</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1559"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b/>
                        <w:bCs/>
                        <w:color w:val="000000"/>
                        <w:sz w:val="20"/>
                      </w:rPr>
                    </w:pPr>
                    <w:r>
                      <w:rPr>
                        <w:b/>
                        <w:bCs/>
                        <w:color w:val="000000"/>
                        <w:sz w:val="20"/>
                      </w:rPr>
                      <w:t>253 823,507</w:t>
                    </w:r>
                  </w:p>
                  <w:p>
                    <w:pPr>
                      <w:rPr>
                        <w:color w:val="000000"/>
                        <w:sz w:val="20"/>
                      </w:rPr>
                    </w:pP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w:t>
                    </w: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R – Mirštamumas nuo miokardo infarkto per 30 dienų nuo hospitalizacijos,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9</w:t>
                    </w:r>
                  </w:p>
                  <w:p>
                    <w:pPr>
                      <w:ind w:left="-57" w:right="-57"/>
                      <w:jc w:val="center"/>
                      <w:rPr>
                        <w:color w:val="000000"/>
                        <w:sz w:val="20"/>
                      </w:rPr>
                    </w:pPr>
                    <w:r>
                      <w:rPr>
                        <w:color w:val="000000"/>
                        <w:sz w:val="20"/>
                      </w:rPr>
                      <w:t>(2030 m.)</w:t>
                    </w:r>
                  </w:p>
                  <w:p>
                    <w:pPr>
                      <w:ind w:left="-57" w:right="-57"/>
                      <w:jc w:val="center"/>
                      <w:rPr>
                        <w:color w:val="000000"/>
                        <w:sz w:val="20"/>
                      </w:rPr>
                    </w:pPr>
                  </w:p>
                  <w:p>
                    <w:pPr>
                      <w:ind w:left="-57" w:right="-57"/>
                      <w:jc w:val="center"/>
                      <w:rPr>
                        <w:color w:val="000000"/>
                        <w:sz w:val="20"/>
                      </w:rPr>
                    </w:pP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1276"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r>
              <w:tr>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p>
                    <w:pPr>
                      <w:jc w:val="center"/>
                      <w:rPr>
                        <w:color w:val="000000"/>
                        <w:sz w:val="20"/>
                      </w:rPr>
                    </w:pPr>
                    <w:r>
                      <w:rPr>
                        <w:color w:val="000000"/>
                        <w:sz w:val="20"/>
                      </w:rPr>
                      <w:t>148 153,509</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EGADP</w:t>
                    </w: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R – Mirštamumas nuo išeminio galvos smegenų insulto per 30 dienų po hospitalizacijos,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12</w:t>
                    </w:r>
                  </w:p>
                  <w:p>
                    <w:pPr>
                      <w:ind w:left="-57" w:right="-57"/>
                      <w:jc w:val="center"/>
                      <w:rPr>
                        <w:color w:val="000000"/>
                        <w:sz w:val="20"/>
                      </w:rPr>
                    </w:pPr>
                    <w:r>
                      <w:rPr>
                        <w:color w:val="000000"/>
                        <w:sz w:val="20"/>
                      </w:rPr>
                      <w:t>(2030 m.)</w:t>
                    </w: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p>
                    <w:pPr>
                      <w:jc w:val="center"/>
                      <w:rPr>
                        <w:color w:val="000000"/>
                        <w:sz w:val="20"/>
                      </w:rPr>
                    </w:pPr>
                    <w:r>
                      <w:rPr>
                        <w:color w:val="000000"/>
                        <w:sz w:val="20"/>
                      </w:rPr>
                      <w:t>31 111,338</w:t>
                    </w:r>
                  </w:p>
                  <w:p>
                    <w:pPr>
                      <w:jc w:val="center"/>
                      <w:rPr>
                        <w:color w:val="000000"/>
                        <w:sz w:val="20"/>
                      </w:rPr>
                    </w:pP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PVM iš VB</w:t>
                    </w: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R – Efektyvių organų donorų skaičius 1 mln. gyventojų, vnt.</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30</w:t>
                    </w:r>
                  </w:p>
                  <w:p>
                    <w:pPr>
                      <w:ind w:left="-57" w:right="-57"/>
                      <w:jc w:val="center"/>
                      <w:rPr>
                        <w:color w:val="000000"/>
                        <w:sz w:val="20"/>
                      </w:rPr>
                    </w:pPr>
                    <w:r>
                      <w:rPr>
                        <w:color w:val="000000"/>
                        <w:sz w:val="20"/>
                      </w:rPr>
                      <w:t>(2030 m.)</w:t>
                    </w: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9 133,595</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2021–2027 m. IP (ERPF, Sostinės regionas)</w:t>
                    </w:r>
                  </w:p>
                </w:tc>
                <w:tc>
                  <w:tcPr>
                    <w:tcW w:w="2551"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 xml:space="preserve">R – Aktyviojo gydymo sveikatos priežiūros įstaigose nustatytų invazinių </w:t>
                    </w:r>
                    <w:r>
                      <w:rPr>
                        <w:i/>
                        <w:iCs/>
                        <w:color w:val="000000"/>
                        <w:sz w:val="20"/>
                      </w:rPr>
                      <w:t>Klebsiella pneumoniae</w:t>
                    </w:r>
                    <w:r>
                      <w:rPr>
                        <w:color w:val="000000"/>
                        <w:sz w:val="20"/>
                      </w:rPr>
                      <w:t xml:space="preserve">, atsparių  trečios kartos cefalosporinams, dalis (EARS-Net duomenimis), proc.</w:t>
                    </w:r>
                  </w:p>
                </w:tc>
                <w:tc>
                  <w:tcPr>
                    <w:tcW w:w="851"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30</w:t>
                    </w:r>
                  </w:p>
                  <w:p>
                    <w:pPr>
                      <w:ind w:left="-57" w:right="-57"/>
                      <w:jc w:val="center"/>
                      <w:rPr>
                        <w:color w:val="000000"/>
                        <w:sz w:val="20"/>
                      </w:rPr>
                    </w:pPr>
                    <w:r>
                      <w:rPr>
                        <w:color w:val="000000"/>
                        <w:sz w:val="20"/>
                      </w:rPr>
                      <w:t>(2030 m.)</w:t>
                    </w: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9 133,595</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 xml:space="preserve">2021–2027 m. IP (BF, Sostinės regionas) </w:t>
                    </w:r>
                  </w:p>
                </w:tc>
                <w:tc>
                  <w:tcPr>
                    <w:tcW w:w="2551" w:type="dxa"/>
                    <w:vMerge/>
                    <w:tcBorders>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851" w:type="dxa"/>
                    <w:vMerge/>
                    <w:tcBorders>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47 847,749</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2021–2027 m. IP (ERPF,</w:t>
                    </w:r>
                  </w:p>
                  <w:p>
                    <w:pPr>
                      <w:jc w:val="center"/>
                      <w:rPr>
                        <w:sz w:val="20"/>
                      </w:rPr>
                    </w:pPr>
                    <w:r>
                      <w:rPr>
                        <w:sz w:val="20"/>
                      </w:rPr>
                      <w:t>Vidurio ir vakarų Lietuvos (toliau – VVL) regionas)</w:t>
                    </w:r>
                  </w:p>
                </w:tc>
                <w:tc>
                  <w:tcPr>
                    <w:tcW w:w="2551" w:type="dxa"/>
                    <w:vMerge/>
                    <w:tcBorders>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851" w:type="dxa"/>
                    <w:vMerge/>
                    <w:tcBorders>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414"/>
                </w:trPr>
                <w:tc>
                  <w:tcPr>
                    <w:tcW w:w="2410"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8 443,721</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 xml:space="preserve">2021–2027 m. IP (BF, VVL regionas) </w:t>
                    </w:r>
                  </w:p>
                </w:tc>
                <w:tc>
                  <w:tcPr>
                    <w:tcW w:w="2551" w:type="dxa"/>
                    <w:vMerge/>
                    <w:tcBorders>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851" w:type="dxa"/>
                    <w:vMerge/>
                    <w:tcBorders>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2126"/>
                </w:trPr>
                <w:tc>
                  <w:tcPr>
                    <w:tcW w:w="2410" w:type="dxa"/>
                    <w:vMerge w:val="restart"/>
                    <w:tcBorders>
                      <w:top w:val="single" w:sz="4" w:space="0" w:color="auto"/>
                      <w:left w:val="single" w:sz="4" w:space="0" w:color="auto"/>
                      <w:right w:val="single" w:sz="4" w:space="0" w:color="auto"/>
                    </w:tcBorders>
                  </w:tcPr>
                  <w:p>
                    <w:pPr>
                      <w:ind w:left="-57" w:right="-57"/>
                      <w:rPr>
                        <w:iCs/>
                        <w:sz w:val="20"/>
                      </w:rPr>
                    </w:pPr>
                    <w:r>
                      <w:rPr>
                        <w:iCs/>
                        <w:sz w:val="20"/>
                      </w:rPr>
                      <w:t>2.1. Teisės aktų, skirtų įstaigų pasirengimui dirbti ekstremaliomis situacijomis didinti, parengimas</w:t>
                    </w:r>
                  </w:p>
                </w:tc>
                <w:tc>
                  <w:tcPr>
                    <w:tcW w:w="709" w:type="dxa"/>
                    <w:vMerge w:val="restart"/>
                    <w:tcBorders>
                      <w:top w:val="single" w:sz="4" w:space="0" w:color="auto"/>
                      <w:left w:val="single" w:sz="4" w:space="0" w:color="auto"/>
                      <w:right w:val="single" w:sz="4" w:space="0" w:color="auto"/>
                    </w:tcBorders>
                  </w:tcPr>
                  <w:p>
                    <w:pPr>
                      <w:ind w:left="-57" w:right="-57"/>
                      <w:rPr>
                        <w:iCs/>
                        <w:sz w:val="20"/>
                      </w:rPr>
                    </w:pPr>
                    <w:r>
                      <w:rPr>
                        <w:iCs/>
                        <w:sz w:val="20"/>
                      </w:rPr>
                      <w:t>R</w:t>
                    </w:r>
                  </w:p>
                </w:tc>
                <w:tc>
                  <w:tcPr>
                    <w:tcW w:w="1559" w:type="dxa"/>
                    <w:vMerge w:val="restart"/>
                    <w:tcBorders>
                      <w:top w:val="single" w:sz="4" w:space="0" w:color="auto"/>
                      <w:left w:val="single" w:sz="4" w:space="0" w:color="auto"/>
                      <w:right w:val="single" w:sz="4" w:space="0" w:color="auto"/>
                    </w:tcBorders>
                  </w:tcPr>
                  <w:p>
                    <w:pPr>
                      <w:ind w:left="-57" w:right="-57"/>
                      <w:jc w:val="center"/>
                      <w:rPr>
                        <w:color w:val="FF0000"/>
                        <w:sz w:val="20"/>
                      </w:rPr>
                    </w:pPr>
                    <w:r>
                      <w:rPr>
                        <w:sz w:val="20"/>
                      </w:rPr>
                      <w:t>-</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w:t>
                    </w:r>
                  </w:p>
                </w:tc>
                <w:tc>
                  <w:tcPr>
                    <w:tcW w:w="992"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w:t>
                    </w:r>
                  </w:p>
                </w:tc>
                <w:tc>
                  <w:tcPr>
                    <w:tcW w:w="1276" w:type="dxa"/>
                    <w:vMerge w:val="restart"/>
                    <w:tcBorders>
                      <w:top w:val="single" w:sz="4" w:space="0" w:color="auto"/>
                      <w:left w:val="single" w:sz="4" w:space="0" w:color="auto"/>
                      <w:right w:val="single" w:sz="4" w:space="0" w:color="auto"/>
                    </w:tcBorders>
                  </w:tcPr>
                  <w:p>
                    <w:pPr>
                      <w:jc w:val="center"/>
                      <w:rPr>
                        <w:sz w:val="20"/>
                      </w:rPr>
                    </w:pPr>
                    <w:r>
                      <w:rPr>
                        <w:sz w:val="20"/>
                      </w:rPr>
                      <w:t>-</w:t>
                    </w: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P – Sveikatos priežiūros įstaigų bendradarbiavimo gerinimo ir infrastruktūros pritaikymo ekstremalioms situacijoms modernizavimo veiksmų plano projektas pateiktas konsultacijoms su socialiniais partneriais ir kitomis suinteresuotomis šalimis, vnt.</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(2022 m. II ketv.)</w:t>
                    </w:r>
                  </w:p>
                </w:tc>
                <w:tc>
                  <w:tcPr>
                    <w:tcW w:w="992"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w:t>
                    </w:r>
                  </w:p>
                </w:tc>
                <w:tc>
                  <w:tcPr>
                    <w:tcW w:w="1276"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SAM</w:t>
                    </w:r>
                  </w:p>
                </w:tc>
              </w:tr>
              <w:tr>
                <w:trPr>
                  <w:trHeight w:val="1025"/>
                </w:trPr>
                <w:tc>
                  <w:tcPr>
                    <w:tcW w:w="2410" w:type="dxa"/>
                    <w:vMerge/>
                    <w:tcBorders>
                      <w:left w:val="single" w:sz="4" w:space="0" w:color="auto"/>
                      <w:right w:val="single" w:sz="4" w:space="0" w:color="auto"/>
                    </w:tcBorders>
                    <w:vAlign w:val="center"/>
                    <w:hideMark/>
                  </w:tcPr>
                  <w:p>
                    <w:pPr>
                      <w:rPr>
                        <w:color w:val="000000"/>
                        <w:sz w:val="20"/>
                      </w:rPr>
                    </w:pPr>
                  </w:p>
                </w:tc>
                <w:tc>
                  <w:tcPr>
                    <w:tcW w:w="709" w:type="dxa"/>
                    <w:vMerge/>
                    <w:tcBorders>
                      <w:left w:val="single" w:sz="4" w:space="0" w:color="auto"/>
                      <w:right w:val="single" w:sz="4" w:space="0" w:color="auto"/>
                    </w:tcBorders>
                    <w:vAlign w:val="center"/>
                  </w:tcPr>
                  <w:p>
                    <w:pPr>
                      <w:ind w:left="-57" w:right="-57"/>
                      <w:rPr>
                        <w:iCs/>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both"/>
                      <w:rPr>
                        <w:color w:val="000000"/>
                        <w:sz w:val="20"/>
                      </w:rPr>
                    </w:pPr>
                    <w:r>
                      <w:rPr>
                        <w:sz w:val="20"/>
                      </w:rPr>
                      <w:t xml:space="preserve">P  – Įsigaliojęs sveikatos priežiūros įstaigų bendradarbiavimo gerinimo ir infrastruktūros pritaikymo ekstremaliosioms situacijoms modernizavimo veiksmų planas, vnt. </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(2023 m. I ketv)</w:t>
                    </w:r>
                  </w:p>
                </w:tc>
                <w:tc>
                  <w:tcPr>
                    <w:tcW w:w="992" w:type="dxa"/>
                    <w:vMerge/>
                    <w:tcBorders>
                      <w:left w:val="single" w:sz="4" w:space="0" w:color="auto"/>
                      <w:right w:val="single" w:sz="4" w:space="0" w:color="auto"/>
                    </w:tcBorders>
                    <w:vAlign w:val="center"/>
                    <w:hideMark/>
                  </w:tcPr>
                  <w:p>
                    <w:pPr>
                      <w:rPr>
                        <w:color w:val="000000"/>
                        <w:sz w:val="20"/>
                      </w:rPr>
                    </w:pPr>
                  </w:p>
                </w:tc>
                <w:tc>
                  <w:tcPr>
                    <w:tcW w:w="1276" w:type="dxa"/>
                    <w:vMerge/>
                    <w:tcBorders>
                      <w:left w:val="single" w:sz="4" w:space="0" w:color="auto"/>
                      <w:right w:val="single" w:sz="4" w:space="0" w:color="auto"/>
                    </w:tcBorders>
                    <w:vAlign w:val="center"/>
                    <w:hideMark/>
                  </w:tcPr>
                  <w:p>
                    <w:pPr>
                      <w:rPr>
                        <w:color w:val="000000"/>
                        <w:sz w:val="20"/>
                      </w:rPr>
                    </w:pPr>
                  </w:p>
                </w:tc>
              </w:tr>
              <w:tr>
                <w:trPr>
                  <w:trHeight w:val="875"/>
                </w:trPr>
                <w:tc>
                  <w:tcPr>
                    <w:tcW w:w="2410" w:type="dxa"/>
                    <w:vMerge/>
                    <w:tcBorders>
                      <w:left w:val="single" w:sz="4" w:space="0" w:color="auto"/>
                      <w:right w:val="single" w:sz="4" w:space="0" w:color="auto"/>
                    </w:tcBorders>
                    <w:vAlign w:val="center"/>
                    <w:hideMark/>
                  </w:tcPr>
                  <w:p>
                    <w:pPr>
                      <w:rPr>
                        <w:color w:val="000000"/>
                        <w:sz w:val="20"/>
                      </w:rPr>
                    </w:pPr>
                  </w:p>
                </w:tc>
                <w:tc>
                  <w:tcPr>
                    <w:tcW w:w="709" w:type="dxa"/>
                    <w:vMerge/>
                    <w:tcBorders>
                      <w:left w:val="single" w:sz="4" w:space="0" w:color="auto"/>
                      <w:right w:val="single" w:sz="4" w:space="0" w:color="auto"/>
                    </w:tcBorders>
                    <w:vAlign w:val="center"/>
                  </w:tcPr>
                  <w:p>
                    <w:pPr>
                      <w:ind w:left="-57" w:right="-57"/>
                      <w:rPr>
                        <w:iCs/>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ind w:left="-57" w:right="-57"/>
                      <w:jc w:val="center"/>
                      <w:rPr>
                        <w:color w:val="000000"/>
                        <w:sz w:val="20"/>
                      </w:rPr>
                    </w:pPr>
                  </w:p>
                </w:tc>
                <w:tc>
                  <w:tcPr>
                    <w:tcW w:w="992" w:type="dxa"/>
                    <w:vMerge/>
                    <w:tcBorders>
                      <w:left w:val="single" w:sz="4" w:space="0" w:color="auto"/>
                      <w:right w:val="single" w:sz="4" w:space="0" w:color="auto"/>
                    </w:tcBorders>
                    <w:vAlign w:val="center"/>
                  </w:tcPr>
                  <w:p>
                    <w:pPr>
                      <w:ind w:left="-57" w:right="-57"/>
                      <w:jc w:val="cente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 xml:space="preserve">P – </w:t>
                    </w:r>
                    <w:r>
                      <w:rPr>
                        <w:sz w:val="20"/>
                        <w:lang w:eastAsia="lt-LT"/>
                      </w:rPr>
                      <w:t xml:space="preserve">Nustatyti infekcinių ligų centrų infrastruktūros reikalavimai, </w:t>
                    </w:r>
                    <w:r>
                      <w:rPr>
                        <w:color w:val="000000"/>
                        <w:sz w:val="20"/>
                      </w:rPr>
                      <w:t>kompl.</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(2022 m. I ketv.)</w:t>
                    </w:r>
                  </w:p>
                </w:tc>
                <w:tc>
                  <w:tcPr>
                    <w:tcW w:w="992" w:type="dxa"/>
                    <w:vMerge/>
                    <w:tcBorders>
                      <w:left w:val="single" w:sz="4" w:space="0" w:color="auto"/>
                      <w:right w:val="single" w:sz="4" w:space="0" w:color="auto"/>
                    </w:tcBorders>
                    <w:vAlign w:val="center"/>
                    <w:hideMark/>
                  </w:tcPr>
                  <w:p>
                    <w:pPr>
                      <w:rPr>
                        <w:color w:val="000000"/>
                        <w:sz w:val="20"/>
                      </w:rPr>
                    </w:pPr>
                  </w:p>
                </w:tc>
                <w:tc>
                  <w:tcPr>
                    <w:tcW w:w="1276" w:type="dxa"/>
                    <w:vMerge/>
                    <w:tcBorders>
                      <w:left w:val="single" w:sz="4" w:space="0" w:color="auto"/>
                      <w:right w:val="single" w:sz="4" w:space="0" w:color="auto"/>
                    </w:tcBorders>
                    <w:vAlign w:val="center"/>
                    <w:hideMark/>
                  </w:tcPr>
                  <w:p>
                    <w:pPr>
                      <w:rPr>
                        <w:color w:val="000000"/>
                        <w:sz w:val="20"/>
                      </w:rPr>
                    </w:pPr>
                  </w:p>
                </w:tc>
              </w:tr>
              <w:tr>
                <w:trPr>
                  <w:trHeight w:val="414"/>
                </w:trPr>
                <w:tc>
                  <w:tcPr>
                    <w:tcW w:w="2410" w:type="dxa"/>
                    <w:vMerge/>
                    <w:tcBorders>
                      <w:left w:val="single" w:sz="4" w:space="0" w:color="auto"/>
                      <w:right w:val="single" w:sz="4" w:space="0" w:color="auto"/>
                    </w:tcBorders>
                    <w:vAlign w:val="center"/>
                    <w:hideMark/>
                  </w:tcPr>
                  <w:p>
                    <w:pPr>
                      <w:rPr>
                        <w:color w:val="000000"/>
                        <w:sz w:val="20"/>
                      </w:rPr>
                    </w:pPr>
                  </w:p>
                </w:tc>
                <w:tc>
                  <w:tcPr>
                    <w:tcW w:w="709" w:type="dxa"/>
                    <w:vMerge/>
                    <w:tcBorders>
                      <w:left w:val="single" w:sz="4" w:space="0" w:color="auto"/>
                      <w:right w:val="single" w:sz="4" w:space="0" w:color="auto"/>
                    </w:tcBorders>
                    <w:vAlign w:val="center"/>
                  </w:tcPr>
                  <w:p>
                    <w:pPr>
                      <w:ind w:left="-57" w:right="-57"/>
                      <w:rPr>
                        <w:iCs/>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both"/>
                      <w:rPr>
                        <w:color w:val="000000"/>
                        <w:sz w:val="20"/>
                      </w:rPr>
                    </w:pPr>
                    <w:r>
                      <w:rPr>
                        <w:sz w:val="20"/>
                      </w:rPr>
                      <w:t xml:space="preserve">P – </w:t>
                    </w:r>
                    <w:r>
                      <w:rPr>
                        <w:sz w:val="20"/>
                        <w:lang w:eastAsia="lt-LT"/>
                      </w:rPr>
                      <w:t>Nustatyti ligoninių skubiosios medicinos pagalbos, reanimacijos ir intensyviosios terapijos skyrių infrastruktūros reikalavimai, kompl.</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(2022 m. II ketv.)</w:t>
                    </w:r>
                  </w:p>
                </w:tc>
                <w:tc>
                  <w:tcPr>
                    <w:tcW w:w="992" w:type="dxa"/>
                    <w:vMerge/>
                    <w:tcBorders>
                      <w:left w:val="single" w:sz="4" w:space="0" w:color="auto"/>
                      <w:right w:val="single" w:sz="4" w:space="0" w:color="auto"/>
                    </w:tcBorders>
                    <w:vAlign w:val="center"/>
                    <w:hideMark/>
                  </w:tcPr>
                  <w:p>
                    <w:pPr>
                      <w:rPr>
                        <w:color w:val="000000"/>
                        <w:sz w:val="20"/>
                      </w:rPr>
                    </w:pPr>
                  </w:p>
                </w:tc>
                <w:tc>
                  <w:tcPr>
                    <w:tcW w:w="1276" w:type="dxa"/>
                    <w:vMerge/>
                    <w:tcBorders>
                      <w:left w:val="single" w:sz="4" w:space="0" w:color="auto"/>
                      <w:right w:val="single" w:sz="4" w:space="0" w:color="auto"/>
                    </w:tcBorders>
                    <w:vAlign w:val="center"/>
                    <w:hideMark/>
                  </w:tcPr>
                  <w:p>
                    <w:pPr>
                      <w:rPr>
                        <w:color w:val="000000"/>
                        <w:sz w:val="20"/>
                      </w:rPr>
                    </w:pPr>
                  </w:p>
                </w:tc>
              </w:tr>
              <w:tr>
                <w:trPr>
                  <w:trHeight w:val="414"/>
                </w:trPr>
                <w:tc>
                  <w:tcPr>
                    <w:tcW w:w="2410"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ind w:left="-57" w:right="-57"/>
                      <w:rPr>
                        <w:iCs/>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 xml:space="preserve">P – </w:t>
                    </w:r>
                    <w:r>
                      <w:rPr>
                        <w:sz w:val="20"/>
                        <w:lang w:eastAsia="lt-LT"/>
                      </w:rPr>
                      <w:t xml:space="preserve">Atlikta ligoninių tinklo veiklos rezultatų analizė, parodanti, kaip pokyčiai, įskaitant investicijas pagal Ekonomikos gaivinimo ir atsparumo didinimo priemonę, prisideda prie galimybių geriau užtikrinti tam tikrą  gydomųjų lovų skaičių, jo nedidinant. Analizė taip pat turėtų būti perspektyvinė ir ją atliekant turėtų būti atsižvelgiama į prognozuojamą paklausą, vnt.</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(2023 m. III ketv)</w:t>
                    </w: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87"/>
                </w:trPr>
                <w:tc>
                  <w:tcPr>
                    <w:tcW w:w="2410" w:type="dxa"/>
                    <w:vMerge w:val="restart"/>
                    <w:tcBorders>
                      <w:top w:val="single" w:sz="4" w:space="0" w:color="auto"/>
                      <w:left w:val="single" w:sz="4" w:space="0" w:color="auto"/>
                      <w:right w:val="single" w:sz="4" w:space="0" w:color="auto"/>
                    </w:tcBorders>
                  </w:tcPr>
                  <w:p>
                    <w:pPr>
                      <w:rPr>
                        <w:color w:val="000000"/>
                        <w:sz w:val="20"/>
                      </w:rPr>
                    </w:pPr>
                    <w:r>
                      <w:rPr>
                        <w:color w:val="000000"/>
                        <w:sz w:val="20"/>
                      </w:rPr>
                      <w:t>2.2. Infekcinių ligų klasterių centrų įrengimas</w:t>
                    </w:r>
                  </w:p>
                </w:tc>
                <w:tc>
                  <w:tcPr>
                    <w:tcW w:w="709" w:type="dxa"/>
                    <w:vMerge w:val="restart"/>
                    <w:tcBorders>
                      <w:top w:val="single" w:sz="4" w:space="0" w:color="auto"/>
                      <w:left w:val="single" w:sz="4" w:space="0" w:color="auto"/>
                      <w:right w:val="single" w:sz="4" w:space="0" w:color="auto"/>
                    </w:tcBorders>
                  </w:tcPr>
                  <w:p>
                    <w:pPr>
                      <w:rPr>
                        <w:color w:val="000000"/>
                        <w:sz w:val="20"/>
                      </w:rPr>
                    </w:pPr>
                    <w:r>
                      <w:rPr>
                        <w:color w:val="000000"/>
                        <w:sz w:val="20"/>
                      </w:rPr>
                      <w:t>I</w:t>
                    </w:r>
                  </w:p>
                </w:tc>
                <w:tc>
                  <w:tcPr>
                    <w:tcW w:w="1559" w:type="dxa"/>
                    <w:vMerge w:val="restart"/>
                    <w:tcBorders>
                      <w:top w:val="single" w:sz="4" w:space="0" w:color="auto"/>
                      <w:left w:val="single" w:sz="4" w:space="0" w:color="auto"/>
                      <w:right w:val="single" w:sz="4" w:space="0" w:color="auto"/>
                    </w:tcBorders>
                  </w:tcPr>
                  <w:p>
                    <w:pPr>
                      <w:rPr>
                        <w:sz w:val="20"/>
                      </w:rPr>
                    </w:pPr>
                    <w:r>
                      <w:rPr>
                        <w:sz w:val="20"/>
                      </w:rPr>
                      <w:t>ASPĮ</w:t>
                    </w:r>
                  </w:p>
                </w:tc>
                <w:tc>
                  <w:tcPr>
                    <w:tcW w:w="709" w:type="dxa"/>
                    <w:vMerge w:val="restart"/>
                    <w:tcBorders>
                      <w:top w:val="single" w:sz="4" w:space="0" w:color="auto"/>
                      <w:left w:val="single" w:sz="4" w:space="0" w:color="auto"/>
                      <w:right w:val="single" w:sz="4" w:space="0" w:color="auto"/>
                    </w:tcBorders>
                  </w:tcPr>
                  <w:p>
                    <w:pPr>
                      <w:rPr>
                        <w:sz w:val="20"/>
                      </w:rPr>
                    </w:pPr>
                    <w:r>
                      <w:rPr>
                        <w:sz w:val="20"/>
                      </w:rPr>
                      <w:t>P</w:t>
                    </w:r>
                  </w:p>
                </w:tc>
                <w:tc>
                  <w:tcPr>
                    <w:tcW w:w="992" w:type="dxa"/>
                    <w:vMerge w:val="restart"/>
                    <w:tcBorders>
                      <w:top w:val="single" w:sz="4" w:space="0" w:color="auto"/>
                      <w:left w:val="single" w:sz="4" w:space="0" w:color="auto"/>
                      <w:right w:val="single" w:sz="4" w:space="0" w:color="auto"/>
                    </w:tcBorders>
                  </w:tcPr>
                  <w:p>
                    <w:pP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rPr>
                        <w:sz w:val="20"/>
                      </w:rPr>
                    </w:pPr>
                    <w:r>
                      <w:rPr>
                        <w:sz w:val="20"/>
                      </w:rPr>
                      <w:t>D</w:t>
                    </w:r>
                  </w:p>
                </w:tc>
                <w:tc>
                  <w:tcPr>
                    <w:tcW w:w="1276" w:type="dxa"/>
                    <w:tcBorders>
                      <w:top w:val="single" w:sz="4" w:space="0" w:color="auto"/>
                      <w:left w:val="single" w:sz="4" w:space="0" w:color="auto"/>
                      <w:bottom w:val="single" w:sz="4" w:space="0" w:color="auto"/>
                      <w:right w:val="single" w:sz="4" w:space="0" w:color="auto"/>
                    </w:tcBorders>
                  </w:tcPr>
                  <w:p>
                    <w:pPr>
                      <w:rPr>
                        <w:sz w:val="20"/>
                      </w:rPr>
                    </w:pPr>
                    <w:r>
                      <w:rPr>
                        <w:sz w:val="20"/>
                      </w:rPr>
                      <w:t>124 153,509</w:t>
                    </w:r>
                  </w:p>
                  <w:p>
                    <w:pPr>
                      <w:rPr>
                        <w:sz w:val="20"/>
                      </w:rPr>
                    </w:pP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EGADP</w:t>
                    </w:r>
                  </w:p>
                </w:tc>
                <w:tc>
                  <w:tcPr>
                    <w:tcW w:w="2551" w:type="dxa"/>
                    <w:vMerge w:val="restart"/>
                    <w:tcBorders>
                      <w:top w:val="single" w:sz="4" w:space="0" w:color="auto"/>
                      <w:left w:val="single" w:sz="4" w:space="0" w:color="auto"/>
                      <w:right w:val="single" w:sz="4" w:space="0" w:color="auto"/>
                    </w:tcBorders>
                    <w:shd w:val="clear" w:color="auto" w:fill="auto"/>
                  </w:tcPr>
                  <w:p>
                    <w:pPr>
                      <w:ind w:left="-57" w:right="-57"/>
                      <w:rPr>
                        <w:sz w:val="20"/>
                      </w:rPr>
                    </w:pPr>
                    <w:r>
                      <w:rPr>
                        <w:sz w:val="20"/>
                      </w:rPr>
                      <w:t>P – Modernizuotų sveikatos priežiūros įstaigų, įskaitant infekcinių ligų klasterio kompetencijos centrus, skaičius, vnt.</w:t>
                    </w:r>
                  </w:p>
                </w:tc>
                <w:tc>
                  <w:tcPr>
                    <w:tcW w:w="851"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5</w:t>
                    </w:r>
                  </w:p>
                  <w:p>
                    <w:pPr>
                      <w:ind w:left="-57" w:right="-57"/>
                      <w:jc w:val="center"/>
                      <w:rPr>
                        <w:sz w:val="20"/>
                      </w:rPr>
                    </w:pPr>
                    <w:r>
                      <w:rPr>
                        <w:sz w:val="20"/>
                      </w:rPr>
                      <w:t>(2025 m. IV ketv.)</w:t>
                    </w:r>
                  </w:p>
                </w:tc>
                <w:tc>
                  <w:tcPr>
                    <w:tcW w:w="992" w:type="dxa"/>
                    <w:vMerge w:val="restart"/>
                    <w:tcBorders>
                      <w:top w:val="single" w:sz="4" w:space="0" w:color="auto"/>
                      <w:left w:val="single" w:sz="4" w:space="0" w:color="auto"/>
                      <w:right w:val="single" w:sz="4" w:space="0" w:color="auto"/>
                    </w:tcBorders>
                  </w:tcPr>
                  <w:p>
                    <w:pPr>
                      <w:rPr>
                        <w:color w:val="000000"/>
                        <w:sz w:val="20"/>
                      </w:rPr>
                    </w:pPr>
                    <w:r>
                      <w:rPr>
                        <w:color w:val="000000"/>
                        <w:sz w:val="20"/>
                      </w:rPr>
                      <w:t>CPVA</w:t>
                    </w:r>
                  </w:p>
                </w:tc>
                <w:tc>
                  <w:tcPr>
                    <w:tcW w:w="1276" w:type="dxa"/>
                    <w:vMerge w:val="restart"/>
                    <w:tcBorders>
                      <w:top w:val="single" w:sz="4" w:space="0" w:color="auto"/>
                      <w:left w:val="single" w:sz="4" w:space="0" w:color="auto"/>
                      <w:right w:val="single" w:sz="4" w:space="0" w:color="auto"/>
                    </w:tcBorders>
                  </w:tcPr>
                  <w:p>
                    <w:pPr>
                      <w:rPr>
                        <w:color w:val="000000"/>
                        <w:sz w:val="20"/>
                      </w:rPr>
                    </w:pPr>
                    <w:r>
                      <w:rPr>
                        <w:color w:val="000000"/>
                        <w:sz w:val="20"/>
                      </w:rPr>
                      <w:t>SAM</w:t>
                    </w:r>
                  </w:p>
                </w:tc>
              </w:tr>
              <w:tr>
                <w:trPr>
                  <w:trHeight w:val="497"/>
                </w:trPr>
                <w:tc>
                  <w:tcPr>
                    <w:tcW w:w="2410"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559" w:type="dxa"/>
                    <w:vMerge/>
                    <w:tcBorders>
                      <w:left w:val="single" w:sz="4" w:space="0" w:color="auto"/>
                      <w:right w:val="single" w:sz="4" w:space="0" w:color="auto"/>
                    </w:tcBorders>
                    <w:vAlign w:val="center"/>
                  </w:tcPr>
                  <w:p>
                    <w:pPr>
                      <w:rPr>
                        <w:sz w:val="20"/>
                      </w:rPr>
                    </w:pPr>
                  </w:p>
                </w:tc>
                <w:tc>
                  <w:tcPr>
                    <w:tcW w:w="709" w:type="dxa"/>
                    <w:vMerge/>
                    <w:tcBorders>
                      <w:left w:val="single" w:sz="4" w:space="0" w:color="auto"/>
                      <w:right w:val="single" w:sz="4" w:space="0" w:color="auto"/>
                    </w:tcBorders>
                    <w:vAlign w:val="center"/>
                  </w:tcPr>
                  <w:p>
                    <w:pPr>
                      <w:rPr>
                        <w:sz w:val="20"/>
                      </w:rPr>
                    </w:pPr>
                  </w:p>
                </w:tc>
                <w:tc>
                  <w:tcPr>
                    <w:tcW w:w="992" w:type="dxa"/>
                    <w:vMerge/>
                    <w:tcBorders>
                      <w:left w:val="single" w:sz="4" w:space="0" w:color="auto"/>
                      <w:right w:val="single" w:sz="4" w:space="0" w:color="auto"/>
                    </w:tcBorders>
                    <w:vAlign w:val="center"/>
                  </w:tcPr>
                  <w:p>
                    <w:pPr>
                      <w:rPr>
                        <w:sz w:val="20"/>
                      </w:rPr>
                    </w:pPr>
                  </w:p>
                </w:tc>
                <w:tc>
                  <w:tcPr>
                    <w:tcW w:w="709" w:type="dxa"/>
                    <w:vMerge/>
                    <w:tcBorders>
                      <w:left w:val="single" w:sz="4" w:space="0" w:color="auto"/>
                      <w:right w:val="single" w:sz="4" w:space="0" w:color="auto"/>
                    </w:tcBorders>
                  </w:tcPr>
                  <w:p>
                    <w:pPr>
                      <w:rPr>
                        <w:sz w:val="20"/>
                      </w:rPr>
                    </w:pPr>
                  </w:p>
                </w:tc>
                <w:tc>
                  <w:tcPr>
                    <w:tcW w:w="1276" w:type="dxa"/>
                    <w:tcBorders>
                      <w:top w:val="single" w:sz="4" w:space="0" w:color="auto"/>
                      <w:left w:val="single" w:sz="4" w:space="0" w:color="auto"/>
                      <w:bottom w:val="single" w:sz="4" w:space="0" w:color="auto"/>
                      <w:right w:val="single" w:sz="4" w:space="0" w:color="auto"/>
                    </w:tcBorders>
                  </w:tcPr>
                  <w:p>
                    <w:pPr>
                      <w:rPr>
                        <w:sz w:val="20"/>
                      </w:rPr>
                    </w:pPr>
                    <w:r>
                      <w:rPr>
                        <w:sz w:val="20"/>
                      </w:rPr>
                      <w:t>26 071,338</w:t>
                    </w: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PVM iš VB</w:t>
                    </w:r>
                  </w:p>
                </w:tc>
                <w:tc>
                  <w:tcPr>
                    <w:tcW w:w="2551" w:type="dxa"/>
                    <w:vMerge/>
                    <w:tcBorders>
                      <w:left w:val="single" w:sz="4" w:space="0" w:color="auto"/>
                      <w:bottom w:val="single" w:sz="4" w:space="0" w:color="auto"/>
                      <w:right w:val="single" w:sz="4" w:space="0" w:color="auto"/>
                    </w:tcBorders>
                    <w:shd w:val="clear" w:color="auto" w:fill="auto"/>
                  </w:tcPr>
                  <w:p>
                    <w:pPr>
                      <w:ind w:left="-57" w:right="-57"/>
                      <w:rPr>
                        <w:sz w:val="20"/>
                      </w:rPr>
                    </w:pPr>
                  </w:p>
                </w:tc>
                <w:tc>
                  <w:tcPr>
                    <w:tcW w:w="851" w:type="dxa"/>
                    <w:vMerge/>
                    <w:tcBorders>
                      <w:left w:val="single" w:sz="4" w:space="0" w:color="auto"/>
                      <w:bottom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87"/>
                </w:trPr>
                <w:tc>
                  <w:tcPr>
                    <w:tcW w:w="2410" w:type="dxa"/>
                    <w:vMerge/>
                    <w:tcBorders>
                      <w:left w:val="single" w:sz="4" w:space="0" w:color="auto"/>
                      <w:bottom w:val="single" w:sz="4" w:space="0" w:color="auto"/>
                      <w:right w:val="single" w:sz="4" w:space="0" w:color="auto"/>
                    </w:tcBorders>
                    <w:vAlign w:val="center"/>
                  </w:tcPr>
                  <w:p>
                    <w:pPr>
                      <w:rPr>
                        <w:color w:val="000000"/>
                        <w:sz w:val="20"/>
                      </w:rPr>
                    </w:pPr>
                  </w:p>
                </w:tc>
                <w:tc>
                  <w:tcPr>
                    <w:tcW w:w="709" w:type="dxa"/>
                    <w:vMerge/>
                    <w:tcBorders>
                      <w:left w:val="single" w:sz="4" w:space="0" w:color="auto"/>
                      <w:bottom w:val="single" w:sz="4" w:space="0" w:color="auto"/>
                      <w:right w:val="single" w:sz="4" w:space="0" w:color="auto"/>
                    </w:tcBorders>
                    <w:vAlign w:val="center"/>
                  </w:tcPr>
                  <w:p>
                    <w:pPr>
                      <w:rPr>
                        <w:color w:val="000000"/>
                        <w:sz w:val="20"/>
                      </w:rPr>
                    </w:pPr>
                  </w:p>
                </w:tc>
                <w:tc>
                  <w:tcPr>
                    <w:tcW w:w="1559" w:type="dxa"/>
                    <w:vMerge/>
                    <w:tcBorders>
                      <w:left w:val="single" w:sz="4" w:space="0" w:color="auto"/>
                      <w:bottom w:val="single" w:sz="4" w:space="0" w:color="auto"/>
                      <w:right w:val="single" w:sz="4" w:space="0" w:color="auto"/>
                    </w:tcBorders>
                    <w:vAlign w:val="center"/>
                  </w:tcPr>
                  <w:p>
                    <w:pPr>
                      <w:rPr>
                        <w:sz w:val="20"/>
                      </w:rPr>
                    </w:pPr>
                  </w:p>
                </w:tc>
                <w:tc>
                  <w:tcPr>
                    <w:tcW w:w="709" w:type="dxa"/>
                    <w:vMerge/>
                    <w:tcBorders>
                      <w:left w:val="single" w:sz="4" w:space="0" w:color="auto"/>
                      <w:bottom w:val="single" w:sz="4" w:space="0" w:color="auto"/>
                      <w:right w:val="single" w:sz="4" w:space="0" w:color="auto"/>
                    </w:tcBorders>
                    <w:vAlign w:val="center"/>
                  </w:tcPr>
                  <w:p>
                    <w:pPr>
                      <w:rPr>
                        <w:sz w:val="20"/>
                      </w:rPr>
                    </w:pPr>
                  </w:p>
                </w:tc>
                <w:tc>
                  <w:tcPr>
                    <w:tcW w:w="992" w:type="dxa"/>
                    <w:vMerge/>
                    <w:tcBorders>
                      <w:left w:val="single" w:sz="4" w:space="0" w:color="auto"/>
                      <w:bottom w:val="single" w:sz="4" w:space="0" w:color="auto"/>
                      <w:right w:val="single" w:sz="4" w:space="0" w:color="auto"/>
                    </w:tcBorders>
                    <w:vAlign w:val="center"/>
                  </w:tcPr>
                  <w:p>
                    <w:pPr>
                      <w:rPr>
                        <w:sz w:val="20"/>
                      </w:rPr>
                    </w:pPr>
                  </w:p>
                </w:tc>
                <w:tc>
                  <w:tcPr>
                    <w:tcW w:w="709" w:type="dxa"/>
                    <w:vMerge/>
                    <w:tcBorders>
                      <w:left w:val="single" w:sz="4" w:space="0" w:color="auto"/>
                      <w:bottom w:val="single" w:sz="4" w:space="0" w:color="auto"/>
                      <w:right w:val="single" w:sz="4" w:space="0" w:color="auto"/>
                    </w:tcBorders>
                    <w:vAlign w:val="center"/>
                  </w:tcPr>
                  <w:p>
                    <w:pPr>
                      <w:rPr>
                        <w:sz w:val="20"/>
                      </w:rPr>
                    </w:pPr>
                  </w:p>
                </w:tc>
                <w:tc>
                  <w:tcPr>
                    <w:tcW w:w="1276" w:type="dxa"/>
                    <w:tcBorders>
                      <w:top w:val="single" w:sz="4" w:space="0" w:color="auto"/>
                      <w:left w:val="single" w:sz="4" w:space="0" w:color="auto"/>
                      <w:bottom w:val="single" w:sz="4" w:space="0" w:color="auto"/>
                      <w:right w:val="single" w:sz="4" w:space="0" w:color="auto"/>
                    </w:tcBorders>
                    <w:vAlign w:val="center"/>
                  </w:tcPr>
                  <w:p>
                    <w:pPr>
                      <w:rPr>
                        <w:sz w:val="20"/>
                      </w:rPr>
                    </w:pPr>
                  </w:p>
                </w:tc>
                <w:tc>
                  <w:tcPr>
                    <w:tcW w:w="992" w:type="dxa"/>
                    <w:tcBorders>
                      <w:top w:val="single" w:sz="4" w:space="0" w:color="auto"/>
                      <w:left w:val="single" w:sz="4" w:space="0" w:color="auto"/>
                      <w:bottom w:val="single" w:sz="4" w:space="0" w:color="auto"/>
                      <w:right w:val="single" w:sz="4" w:space="0" w:color="auto"/>
                    </w:tcBorders>
                    <w:vAlign w:val="center"/>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Naujos arba modernizuotos sveikatos priežiūros infrastruktūros talpumas, asmenys per metus</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n/a</w:t>
                    </w:r>
                  </w:p>
                </w:tc>
                <w:tc>
                  <w:tcPr>
                    <w:tcW w:w="992" w:type="dxa"/>
                    <w:vMerge/>
                    <w:tcBorders>
                      <w:left w:val="single" w:sz="4" w:space="0" w:color="auto"/>
                      <w:bottom w:val="single" w:sz="4" w:space="0" w:color="auto"/>
                      <w:right w:val="single" w:sz="4" w:space="0" w:color="auto"/>
                    </w:tcBorders>
                    <w:vAlign w:val="center"/>
                  </w:tcPr>
                  <w:p>
                    <w:pPr>
                      <w:rPr>
                        <w:color w:val="000000"/>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70"/>
                </w:trPr>
                <w:tc>
                  <w:tcPr>
                    <w:tcW w:w="2410" w:type="dxa"/>
                    <w:vMerge w:val="restart"/>
                    <w:tcBorders>
                      <w:top w:val="single" w:sz="4" w:space="0" w:color="auto"/>
                      <w:left w:val="single" w:sz="4" w:space="0" w:color="auto"/>
                      <w:right w:val="single" w:sz="4" w:space="0" w:color="auto"/>
                    </w:tcBorders>
                  </w:tcPr>
                  <w:p>
                    <w:pPr>
                      <w:ind w:left="-57" w:right="-57"/>
                      <w:rPr>
                        <w:iCs/>
                        <w:sz w:val="20"/>
                      </w:rPr>
                    </w:pPr>
                    <w:r>
                      <w:rPr>
                        <w:iCs/>
                        <w:sz w:val="20"/>
                      </w:rPr>
                      <w:t>2.3. Regioninių sveikatos priežiūros įstaigų infrastruktūros modernizavimas</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I</w:t>
                    </w:r>
                  </w:p>
                </w:tc>
                <w:tc>
                  <w:tcPr>
                    <w:tcW w:w="1559" w:type="dxa"/>
                    <w:vMerge w:val="restart"/>
                    <w:tcBorders>
                      <w:top w:val="single" w:sz="4" w:space="0" w:color="auto"/>
                      <w:left w:val="single" w:sz="4" w:space="0" w:color="auto"/>
                      <w:right w:val="single" w:sz="4" w:space="0" w:color="auto"/>
                    </w:tcBorders>
                  </w:tcPr>
                  <w:p>
                    <w:pPr>
                      <w:ind w:left="-57" w:right="-57"/>
                      <w:jc w:val="center"/>
                      <w:rPr>
                        <w:sz w:val="20"/>
                      </w:rPr>
                    </w:pPr>
                    <w:r>
                      <w:rPr>
                        <w:sz w:val="20"/>
                      </w:rPr>
                      <w:t>ASPĮ</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P</w:t>
                    </w: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D</w:t>
                    </w:r>
                  </w:p>
                </w:tc>
                <w:tc>
                  <w:tcPr>
                    <w:tcW w:w="1276" w:type="dxa"/>
                    <w:tcBorders>
                      <w:top w:val="single" w:sz="4" w:space="0" w:color="auto"/>
                      <w:left w:val="single" w:sz="4" w:space="0" w:color="auto"/>
                      <w:right w:val="single" w:sz="4" w:space="0" w:color="auto"/>
                    </w:tcBorders>
                  </w:tcPr>
                  <w:p>
                    <w:pPr>
                      <w:ind w:left="-57" w:right="-57"/>
                      <w:jc w:val="center"/>
                      <w:rPr>
                        <w:sz w:val="20"/>
                      </w:rPr>
                    </w:pPr>
                    <w:r>
                      <w:rPr>
                        <w:sz w:val="20"/>
                      </w:rPr>
                      <w:t>24 000</w:t>
                    </w:r>
                  </w:p>
                  <w:p>
                    <w:pPr>
                      <w:ind w:left="-57" w:right="-57"/>
                      <w:jc w:val="center"/>
                      <w:rPr>
                        <w:sz w:val="20"/>
                      </w:rPr>
                    </w:pPr>
                  </w:p>
                </w:tc>
                <w:tc>
                  <w:tcPr>
                    <w:tcW w:w="992" w:type="dxa"/>
                    <w:tcBorders>
                      <w:top w:val="single" w:sz="4" w:space="0" w:color="auto"/>
                      <w:left w:val="single" w:sz="4" w:space="0" w:color="auto"/>
                      <w:bottom w:val="single" w:sz="4" w:space="0" w:color="auto"/>
                      <w:right w:val="single" w:sz="4" w:space="0" w:color="auto"/>
                    </w:tcBorders>
                  </w:tcPr>
                  <w:p>
                    <w:pPr>
                      <w:ind w:left="-57" w:right="-57"/>
                      <w:rPr>
                        <w:sz w:val="20"/>
                      </w:rPr>
                    </w:pPr>
                    <w:r>
                      <w:rPr>
                        <w:sz w:val="20"/>
                      </w:rPr>
                      <w:t>EGADP</w:t>
                    </w:r>
                  </w:p>
                </w:tc>
                <w:tc>
                  <w:tcPr>
                    <w:tcW w:w="2551" w:type="dxa"/>
                    <w:vMerge w:val="restart"/>
                    <w:tcBorders>
                      <w:top w:val="single" w:sz="4" w:space="0" w:color="auto"/>
                      <w:left w:val="single" w:sz="4" w:space="0" w:color="auto"/>
                      <w:right w:val="single" w:sz="4" w:space="0" w:color="auto"/>
                    </w:tcBorders>
                    <w:shd w:val="clear" w:color="auto" w:fill="auto"/>
                  </w:tcPr>
                  <w:p>
                    <w:pPr>
                      <w:ind w:left="-57" w:right="-57"/>
                      <w:rPr>
                        <w:sz w:val="20"/>
                      </w:rPr>
                    </w:pPr>
                    <w:r>
                      <w:rPr>
                        <w:sz w:val="20"/>
                      </w:rPr>
                      <w:t>P – Modernizuotos ligoninių skubiosios medicinos pagalbos ir reanimacijos bei intensyviosios terapijos skyrių sveikatos priežiūros infrastruktūros objektų skaičius, vnt.</w:t>
                    </w:r>
                  </w:p>
                </w:tc>
                <w:tc>
                  <w:tcPr>
                    <w:tcW w:w="851"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7</w:t>
                    </w:r>
                  </w:p>
                  <w:p>
                    <w:pPr>
                      <w:ind w:left="-57" w:right="-57"/>
                      <w:jc w:val="center"/>
                      <w:rPr>
                        <w:sz w:val="20"/>
                      </w:rPr>
                    </w:pPr>
                    <w:r>
                      <w:rPr>
                        <w:sz w:val="20"/>
                      </w:rPr>
                      <w:t>(2025 m. IV ketv.)</w:t>
                    </w:r>
                  </w:p>
                </w:tc>
                <w:tc>
                  <w:tcPr>
                    <w:tcW w:w="992"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CPVA</w:t>
                    </w:r>
                  </w:p>
                </w:tc>
                <w:tc>
                  <w:tcPr>
                    <w:tcW w:w="1276"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SAM</w:t>
                    </w:r>
                  </w:p>
                </w:tc>
              </w:tr>
              <w:tr>
                <w:trPr>
                  <w:trHeight w:val="801"/>
                </w:trPr>
                <w:tc>
                  <w:tcPr>
                    <w:tcW w:w="2410" w:type="dxa"/>
                    <w:vMerge/>
                    <w:tcBorders>
                      <w:top w:val="single" w:sz="4" w:space="0" w:color="auto"/>
                      <w:left w:val="single" w:sz="4" w:space="0" w:color="auto"/>
                      <w:bottom w:val="single" w:sz="4" w:space="0" w:color="auto"/>
                      <w:right w:val="single" w:sz="4" w:space="0" w:color="auto"/>
                    </w:tcBorders>
                  </w:tcPr>
                  <w:p>
                    <w:pPr>
                      <w:ind w:left="-57" w:right="-57"/>
                      <w:rPr>
                        <w:iCs/>
                        <w:sz w:val="20"/>
                      </w:rPr>
                    </w:pPr>
                  </w:p>
                </w:tc>
                <w:tc>
                  <w:tcPr>
                    <w:tcW w:w="709" w:type="dxa"/>
                    <w:vMerge/>
                    <w:tcBorders>
                      <w:top w:val="single" w:sz="4" w:space="0" w:color="auto"/>
                      <w:left w:val="single" w:sz="4" w:space="0" w:color="auto"/>
                      <w:bottom w:val="single" w:sz="4" w:space="0" w:color="auto"/>
                      <w:right w:val="single" w:sz="4" w:space="0" w:color="auto"/>
                    </w:tcBorders>
                  </w:tcPr>
                  <w:p>
                    <w:pPr>
                      <w:ind w:left="-57" w:right="-57"/>
                      <w:jc w:val="center"/>
                      <w:rPr>
                        <w:color w:val="000000"/>
                        <w:sz w:val="20"/>
                      </w:rPr>
                    </w:pPr>
                  </w:p>
                </w:tc>
                <w:tc>
                  <w:tcPr>
                    <w:tcW w:w="1559" w:type="dxa"/>
                    <w:vMerge/>
                    <w:tcBorders>
                      <w:top w:val="single" w:sz="4" w:space="0" w:color="auto"/>
                      <w:left w:val="single" w:sz="4" w:space="0" w:color="auto"/>
                      <w:bottom w:val="single" w:sz="4" w:space="0" w:color="auto"/>
                      <w:right w:val="single" w:sz="4" w:space="0" w:color="auto"/>
                    </w:tcBorders>
                  </w:tcPr>
                  <w:p>
                    <w:pPr>
                      <w:ind w:left="-57" w:right="-57"/>
                      <w:jc w:val="center"/>
                      <w:rPr>
                        <w:sz w:val="20"/>
                      </w:rPr>
                    </w:pPr>
                  </w:p>
                </w:tc>
                <w:tc>
                  <w:tcPr>
                    <w:tcW w:w="709" w:type="dxa"/>
                    <w:vMerge/>
                    <w:tcBorders>
                      <w:top w:val="single" w:sz="4" w:space="0" w:color="auto"/>
                      <w:left w:val="single" w:sz="4" w:space="0" w:color="auto"/>
                      <w:bottom w:val="single" w:sz="4" w:space="0" w:color="auto"/>
                      <w:right w:val="single" w:sz="4" w:space="0" w:color="auto"/>
                    </w:tcBorders>
                  </w:tcPr>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tcPr>
                  <w:p>
                    <w:pPr>
                      <w:ind w:left="-57" w:right="-57"/>
                      <w:jc w:val="center"/>
                      <w:rPr>
                        <w:sz w:val="20"/>
                      </w:rPr>
                    </w:pPr>
                  </w:p>
                </w:tc>
                <w:tc>
                  <w:tcPr>
                    <w:tcW w:w="709" w:type="dxa"/>
                    <w:vMerge/>
                    <w:tcBorders>
                      <w:top w:val="single" w:sz="4" w:space="0" w:color="auto"/>
                      <w:left w:val="single" w:sz="4" w:space="0" w:color="auto"/>
                      <w:bottom w:val="single" w:sz="4" w:space="0" w:color="auto"/>
                      <w:right w:val="single" w:sz="4" w:space="0" w:color="auto"/>
                    </w:tcBorders>
                  </w:tcPr>
                  <w:p>
                    <w:pPr>
                      <w:ind w:left="-57" w:right="-57"/>
                      <w:jc w:val="center"/>
                      <w:rPr>
                        <w:sz w:val="20"/>
                      </w:rPr>
                    </w:pPr>
                  </w:p>
                </w:tc>
                <w:tc>
                  <w:tcPr>
                    <w:tcW w:w="1276" w:type="dxa"/>
                    <w:vMerge w:val="restart"/>
                    <w:tcBorders>
                      <w:top w:val="single" w:sz="4" w:space="0" w:color="auto"/>
                      <w:left w:val="single" w:sz="4" w:space="0" w:color="auto"/>
                      <w:bottom w:val="single" w:sz="4" w:space="0" w:color="auto"/>
                      <w:right w:val="single" w:sz="4" w:space="0" w:color="auto"/>
                    </w:tcBorders>
                  </w:tcPr>
                  <w:p>
                    <w:pPr>
                      <w:ind w:left="-57" w:right="-57"/>
                      <w:jc w:val="center"/>
                      <w:rPr>
                        <w:sz w:val="20"/>
                      </w:rPr>
                    </w:pPr>
                    <w:r>
                      <w:rPr>
                        <w:color w:val="000000"/>
                        <w:sz w:val="20"/>
                      </w:rPr>
                      <w:t>5 040</w:t>
                    </w:r>
                  </w:p>
                </w:tc>
                <w:tc>
                  <w:tcPr>
                    <w:tcW w:w="992" w:type="dxa"/>
                    <w:vMerge w:val="restart"/>
                    <w:tcBorders>
                      <w:top w:val="single" w:sz="4" w:space="0" w:color="auto"/>
                      <w:left w:val="single" w:sz="4" w:space="0" w:color="auto"/>
                      <w:bottom w:val="single" w:sz="4" w:space="0" w:color="auto"/>
                      <w:right w:val="single" w:sz="4" w:space="0" w:color="auto"/>
                    </w:tcBorders>
                  </w:tcPr>
                  <w:p>
                    <w:pPr>
                      <w:ind w:left="-57" w:right="-57"/>
                      <w:rPr>
                        <w:sz w:val="20"/>
                      </w:rPr>
                    </w:pPr>
                    <w:r>
                      <w:rPr>
                        <w:color w:val="000000"/>
                        <w:sz w:val="20"/>
                      </w:rPr>
                      <w:t>PVM iš VB</w:t>
                    </w:r>
                  </w:p>
                </w:tc>
                <w:tc>
                  <w:tcPr>
                    <w:tcW w:w="2551" w:type="dxa"/>
                    <w:vMerge/>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p>
                </w:tc>
                <w:tc>
                  <w:tcPr>
                    <w:tcW w:w="851" w:type="dxa"/>
                    <w:vMerge/>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tcPr>
                  <w:p>
                    <w:pPr>
                      <w:ind w:left="-57" w:right="-57"/>
                      <w:jc w:val="center"/>
                      <w:rPr>
                        <w:color w:val="000000"/>
                        <w:sz w:val="20"/>
                      </w:rPr>
                    </w:pPr>
                  </w:p>
                </w:tc>
                <w:tc>
                  <w:tcPr>
                    <w:tcW w:w="1276" w:type="dxa"/>
                    <w:vMerge/>
                    <w:tcBorders>
                      <w:top w:val="single" w:sz="4" w:space="0" w:color="auto"/>
                      <w:left w:val="single" w:sz="4" w:space="0" w:color="auto"/>
                      <w:bottom w:val="single" w:sz="4" w:space="0" w:color="auto"/>
                      <w:right w:val="single" w:sz="4" w:space="0" w:color="auto"/>
                    </w:tcBorders>
                  </w:tcPr>
                  <w:p>
                    <w:pPr>
                      <w:ind w:left="-57" w:right="-57"/>
                      <w:jc w:val="center"/>
                      <w:rPr>
                        <w:color w:val="000000"/>
                        <w:sz w:val="20"/>
                      </w:rPr>
                    </w:pPr>
                  </w:p>
                </w:tc>
              </w:tr>
              <w:tr>
                <w:trPr>
                  <w:trHeight w:val="719"/>
                </w:trPr>
                <w:tc>
                  <w:tcPr>
                    <w:tcW w:w="2410" w:type="dxa"/>
                    <w:vMerge/>
                    <w:tcBorders>
                      <w:left w:val="single" w:sz="4" w:space="0" w:color="auto"/>
                      <w:right w:val="single" w:sz="4" w:space="0" w:color="auto"/>
                    </w:tcBorders>
                    <w:vAlign w:val="center"/>
                    <w:hideMark/>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R – Naujos arba modernizuotos sveikatos priežiūros infrastruktūros talpumas, asmenys per metus</w:t>
                    </w:r>
                  </w:p>
                </w:tc>
                <w:tc>
                  <w:tcPr>
                    <w:tcW w:w="851" w:type="dxa"/>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n/a</w:t>
                    </w:r>
                  </w:p>
                </w:tc>
                <w:tc>
                  <w:tcPr>
                    <w:tcW w:w="992" w:type="dxa"/>
                    <w:vMerge/>
                    <w:tcBorders>
                      <w:left w:val="single" w:sz="4" w:space="0" w:color="auto"/>
                      <w:right w:val="single" w:sz="4" w:space="0" w:color="auto"/>
                    </w:tcBorders>
                    <w:vAlign w:val="center"/>
                    <w:hideMark/>
                  </w:tcPr>
                  <w:p>
                    <w:pPr>
                      <w:rPr>
                        <w:color w:val="000000"/>
                        <w:sz w:val="20"/>
                      </w:rPr>
                    </w:pPr>
                  </w:p>
                </w:tc>
                <w:tc>
                  <w:tcPr>
                    <w:tcW w:w="1276" w:type="dxa"/>
                    <w:vMerge/>
                    <w:tcBorders>
                      <w:left w:val="single" w:sz="4" w:space="0" w:color="auto"/>
                      <w:right w:val="single" w:sz="4" w:space="0" w:color="auto"/>
                    </w:tcBorders>
                    <w:vAlign w:val="center"/>
                    <w:hideMark/>
                  </w:tcPr>
                  <w:p>
                    <w:pPr>
                      <w:rPr>
                        <w:color w:val="000000"/>
                        <w:sz w:val="20"/>
                      </w:rPr>
                    </w:pPr>
                  </w:p>
                </w:tc>
              </w:tr>
              <w:tr>
                <w:trPr>
                  <w:trHeight w:val="1025"/>
                </w:trPr>
                <w:tc>
                  <w:tcPr>
                    <w:tcW w:w="2410" w:type="dxa"/>
                    <w:vMerge w:val="restart"/>
                  </w:tcPr>
                  <w:p>
                    <w:pPr>
                      <w:rPr>
                        <w:sz w:val="20"/>
                      </w:rPr>
                    </w:pPr>
                    <w:r>
                      <w:rPr>
                        <w:sz w:val="20"/>
                      </w:rPr>
                      <w:t>2.4 Regionų ir savivaldybių sveikatos priežiūros įstaigų  infrastruktūros modernizavimas,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p>
                    <w:pPr>
                      <w:rPr>
                        <w:sz w:val="20"/>
                      </w:rPr>
                    </w:pP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Borders>
                      <w:left w:val="single" w:sz="4" w:space="0" w:color="auto"/>
                      <w:bottom w:val="single" w:sz="4" w:space="0" w:color="auto"/>
                      <w:right w:val="single" w:sz="4" w:space="0" w:color="auto"/>
                    </w:tcBorders>
                    <w:shd w:val="clear" w:color="auto" w:fill="auto"/>
                  </w:tcPr>
                  <w:p>
                    <w:pPr>
                      <w:rPr>
                        <w:sz w:val="20"/>
                      </w:rPr>
                    </w:pPr>
                    <w:r>
                      <w:rPr>
                        <w:color w:val="000000"/>
                        <w:sz w:val="20"/>
                      </w:rPr>
                      <w:t>9 133,595</w:t>
                    </w:r>
                  </w:p>
                </w:tc>
                <w:tc>
                  <w:tcPr>
                    <w:tcW w:w="992" w:type="dxa"/>
                  </w:tcPr>
                  <w:p>
                    <w:pPr>
                      <w:rPr>
                        <w:sz w:val="20"/>
                      </w:rPr>
                    </w:pPr>
                    <w:r>
                      <w:rPr>
                        <w:sz w:val="20"/>
                      </w:rPr>
                      <w:t>2021–2027 m. IP (ERPF)</w:t>
                    </w:r>
                  </w:p>
                  <w:p>
                    <w:pPr>
                      <w:rPr>
                        <w:sz w:val="20"/>
                      </w:rPr>
                    </w:pPr>
                  </w:p>
                </w:tc>
                <w:tc>
                  <w:tcPr>
                    <w:tcW w:w="2551" w:type="dxa"/>
                  </w:tcPr>
                  <w:p>
                    <w:pPr>
                      <w:ind w:left="-57" w:right="-57"/>
                      <w:rPr>
                        <w:sz w:val="20"/>
                      </w:rPr>
                    </w:pPr>
                    <w:r>
                      <w:rPr>
                        <w:sz w:val="20"/>
                      </w:rPr>
                      <w:t>P</w:t>
                    </w:r>
                    <w:r>
                      <w:t xml:space="preserve"> </w:t>
                    </w:r>
                    <w:r>
                      <w:rPr>
                        <w:color w:val="000000"/>
                        <w:szCs w:val="24"/>
                      </w:rPr>
                      <w:t xml:space="preserve">– </w:t>
                    </w:r>
                    <w:r>
                      <w:rPr>
                        <w:sz w:val="20"/>
                      </w:rPr>
                      <w:t xml:space="preserve">Naujos arba modernizuotos sveikatos priežiūros infrastruktūros talpumas, asmenys per metus </w:t>
                    </w:r>
                  </w:p>
                </w:tc>
                <w:tc>
                  <w:tcPr>
                    <w:tcW w:w="851" w:type="dxa"/>
                    <w:shd w:val="clear" w:color="auto" w:fill="auto"/>
                  </w:tcPr>
                  <w:p>
                    <w:pPr>
                      <w:ind w:left="-57" w:right="-57"/>
                      <w:jc w:val="center"/>
                      <w:rPr>
                        <w:sz w:val="20"/>
                      </w:rPr>
                    </w:pPr>
                    <w:r>
                      <w:rPr>
                        <w:sz w:val="20"/>
                      </w:rPr>
                      <w:t>96 410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983"/>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Pr>
                  <w:p>
                    <w:pPr>
                      <w:rPr>
                        <w:color w:val="000000"/>
                        <w:sz w:val="20"/>
                      </w:rPr>
                    </w:pPr>
                  </w:p>
                </w:tc>
                <w:tc>
                  <w:tcPr>
                    <w:tcW w:w="709" w:type="dxa"/>
                    <w:vMerge/>
                  </w:tcPr>
                  <w:p>
                    <w:pPr>
                      <w:rPr>
                        <w:color w:val="000000"/>
                        <w:sz w:val="20"/>
                      </w:rPr>
                    </w:pPr>
                  </w:p>
                </w:tc>
                <w:tc>
                  <w:tcPr>
                    <w:tcW w:w="1276" w:type="dxa"/>
                    <w:tcBorders>
                      <w:left w:val="single" w:sz="4" w:space="0" w:color="auto"/>
                      <w:bottom w:val="single" w:sz="4" w:space="0" w:color="auto"/>
                      <w:right w:val="single" w:sz="4" w:space="0" w:color="auto"/>
                    </w:tcBorders>
                    <w:shd w:val="clear" w:color="auto" w:fill="auto"/>
                  </w:tcPr>
                  <w:p>
                    <w:pPr>
                      <w:rPr>
                        <w:color w:val="000000"/>
                        <w:sz w:val="20"/>
                      </w:rPr>
                    </w:pPr>
                    <w:r>
                      <w:rPr>
                        <w:color w:val="000000"/>
                        <w:sz w:val="20"/>
                      </w:rPr>
                      <w:t>9 133,595</w:t>
                    </w:r>
                  </w:p>
                </w:tc>
                <w:tc>
                  <w:tcPr>
                    <w:tcW w:w="992" w:type="dxa"/>
                  </w:tcPr>
                  <w:p>
                    <w:pPr>
                      <w:rPr>
                        <w:sz w:val="20"/>
                      </w:rPr>
                    </w:pPr>
                    <w:r>
                      <w:rPr>
                        <w:sz w:val="20"/>
                      </w:rPr>
                      <w:t>2021–2027 m. IP (BF)</w:t>
                    </w:r>
                  </w:p>
                </w:tc>
                <w:tc>
                  <w:tcPr>
                    <w:tcW w:w="2551" w:type="dxa"/>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w:t>
                    </w:r>
                  </w:p>
                  <w:p>
                    <w:pPr>
                      <w:ind w:left="-57" w:right="-57"/>
                      <w:rPr>
                        <w:sz w:val="20"/>
                      </w:rPr>
                    </w:pPr>
                    <w:r>
                      <w:rPr>
                        <w:sz w:val="20"/>
                      </w:rPr>
                      <w:t xml:space="preserve">asmenys per metus </w:t>
                    </w:r>
                  </w:p>
                </w:tc>
                <w:tc>
                  <w:tcPr>
                    <w:tcW w:w="851" w:type="dxa"/>
                    <w:shd w:val="clear" w:color="auto" w:fill="auto"/>
                  </w:tcPr>
                  <w:p>
                    <w:pPr>
                      <w:ind w:left="-57" w:right="-57"/>
                      <w:jc w:val="center"/>
                      <w:rPr>
                        <w:sz w:val="20"/>
                      </w:rPr>
                    </w:pPr>
                    <w:r>
                      <w:rPr>
                        <w:sz w:val="20"/>
                      </w:rPr>
                      <w:t>91 590</w:t>
                    </w:r>
                  </w:p>
                  <w:p>
                    <w:pPr>
                      <w:ind w:left="-57" w:right="-57"/>
                      <w:jc w:val="center"/>
                      <w:rPr>
                        <w:sz w:val="20"/>
                      </w:rPr>
                    </w:pPr>
                    <w:r>
                      <w:rPr>
                        <w:sz w:val="20"/>
                      </w:rPr>
                      <w:t>(2029 m.)</w:t>
                    </w:r>
                  </w:p>
                </w:tc>
                <w:tc>
                  <w:tcPr>
                    <w:tcW w:w="992" w:type="dxa"/>
                    <w:vMerge/>
                  </w:tcPr>
                  <w:p>
                    <w:pPr>
                      <w:rPr>
                        <w:color w:val="000000"/>
                        <w:sz w:val="20"/>
                      </w:rPr>
                    </w:pPr>
                  </w:p>
                </w:tc>
                <w:tc>
                  <w:tcPr>
                    <w:tcW w:w="1276" w:type="dxa"/>
                    <w:vMerge/>
                    <w:tcBorders>
                      <w:left w:val="single" w:sz="4" w:space="0" w:color="auto"/>
                      <w:right w:val="single" w:sz="4" w:space="0" w:color="auto"/>
                    </w:tcBorders>
                  </w:tcPr>
                  <w:p>
                    <w:pPr>
                      <w:rPr>
                        <w:color w:val="000000"/>
                        <w:sz w:val="20"/>
                      </w:rPr>
                    </w:pPr>
                  </w:p>
                </w:tc>
              </w:tr>
              <w:tr>
                <w:trPr>
                  <w:trHeight w:val="1023"/>
                </w:trPr>
                <w:tc>
                  <w:tcPr>
                    <w:tcW w:w="2410" w:type="dxa"/>
                    <w:vMerge w:val="restart"/>
                  </w:tcPr>
                  <w:p>
                    <w:pPr>
                      <w:rPr>
                        <w:sz w:val="20"/>
                      </w:rPr>
                    </w:pPr>
                    <w:r>
                      <w:rPr>
                        <w:sz w:val="20"/>
                      </w:rPr>
                      <w:t>2.5. Regionų ir savivaldybių sveikatos priežiūros įstaigų  infrastruktūros modernizavimas,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p>
                    <w:pPr>
                      <w:rPr>
                        <w:sz w:val="20"/>
                      </w:rPr>
                    </w:pP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shd w:val="clear" w:color="auto" w:fill="auto"/>
                  </w:tcPr>
                  <w:p>
                    <w:pPr>
                      <w:rPr>
                        <w:sz w:val="20"/>
                      </w:rPr>
                    </w:pPr>
                    <w:r>
                      <w:rPr>
                        <w:sz w:val="20"/>
                      </w:rPr>
                      <w:t>44 022,749</w:t>
                    </w:r>
                  </w:p>
                </w:tc>
                <w:tc>
                  <w:tcPr>
                    <w:tcW w:w="992" w:type="dxa"/>
                  </w:tcPr>
                  <w:p>
                    <w:pPr>
                      <w:rPr>
                        <w:sz w:val="20"/>
                      </w:rPr>
                    </w:pPr>
                    <w:r>
                      <w:rPr>
                        <w:sz w:val="20"/>
                      </w:rPr>
                      <w:t>2021–2027 m. IP (ERPF)</w:t>
                    </w:r>
                  </w:p>
                </w:tc>
                <w:tc>
                  <w:tcPr>
                    <w:tcW w:w="2551" w:type="dxa"/>
                    <w:shd w:val="clear" w:color="auto" w:fill="auto"/>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 </w:t>
                    </w:r>
                  </w:p>
                </w:tc>
                <w:tc>
                  <w:tcPr>
                    <w:tcW w:w="851" w:type="dxa"/>
                    <w:shd w:val="clear" w:color="auto" w:fill="auto"/>
                  </w:tcPr>
                  <w:p>
                    <w:pPr>
                      <w:ind w:left="-57" w:right="-57"/>
                      <w:jc w:val="center"/>
                      <w:rPr>
                        <w:sz w:val="20"/>
                      </w:rPr>
                    </w:pPr>
                    <w:r>
                      <w:rPr>
                        <w:sz w:val="20"/>
                      </w:rPr>
                      <w:t>295 640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585"/>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shd w:val="clear" w:color="auto" w:fill="auto"/>
                  </w:tcPr>
                  <w:p>
                    <w:pPr>
                      <w:rPr>
                        <w:sz w:val="20"/>
                      </w:rPr>
                    </w:pPr>
                    <w:r>
                      <w:rPr>
                        <w:sz w:val="20"/>
                      </w:rPr>
                      <w:t>7 768,721</w:t>
                    </w:r>
                  </w:p>
                </w:tc>
                <w:tc>
                  <w:tcPr>
                    <w:tcW w:w="992" w:type="dxa"/>
                  </w:tcPr>
                  <w:p>
                    <w:pPr>
                      <w:rPr>
                        <w:sz w:val="20"/>
                      </w:rPr>
                    </w:pPr>
                    <w:r>
                      <w:rPr>
                        <w:sz w:val="20"/>
                      </w:rPr>
                      <w:t>2021–2027 m. IP (BF)</w:t>
                    </w: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w:t>
                    </w:r>
                  </w:p>
                </w:tc>
                <w:tc>
                  <w:tcPr>
                    <w:tcW w:w="851" w:type="dxa"/>
                    <w:shd w:val="clear" w:color="auto" w:fill="auto"/>
                  </w:tcPr>
                  <w:p>
                    <w:pPr>
                      <w:ind w:left="-57" w:right="-57"/>
                      <w:jc w:val="center"/>
                      <w:rPr>
                        <w:sz w:val="20"/>
                      </w:rPr>
                    </w:pPr>
                    <w:r>
                      <w:rPr>
                        <w:sz w:val="20"/>
                      </w:rPr>
                      <w:t>280 860</w:t>
                    </w:r>
                  </w:p>
                  <w:p>
                    <w:pPr>
                      <w:ind w:left="-57" w:right="-57"/>
                      <w:jc w:val="center"/>
                      <w:rPr>
                        <w:sz w:val="20"/>
                      </w:rPr>
                    </w:pPr>
                    <w:r>
                      <w:rPr>
                        <w:sz w:val="20"/>
                      </w:rPr>
                      <w:t>(2029 m.)</w:t>
                    </w:r>
                  </w:p>
                  <w:p>
                    <w:pPr>
                      <w:ind w:left="-57" w:right="-57"/>
                      <w:jc w:val="center"/>
                      <w:rPr>
                        <w:sz w:val="20"/>
                      </w:rPr>
                    </w:pP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960"/>
                </w:trPr>
                <w:tc>
                  <w:tcPr>
                    <w:tcW w:w="2410" w:type="dxa"/>
                    <w:vMerge w:val="restart"/>
                  </w:tcPr>
                  <w:p>
                    <w:pPr>
                      <w:rPr>
                        <w:sz w:val="20"/>
                      </w:rPr>
                    </w:pPr>
                    <w:r>
                      <w:rPr>
                        <w:sz w:val="20"/>
                      </w:rPr>
                      <w:t>2.6. Skubios telemedicinos paslaugų diegimas,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rPr>
                    </w:pPr>
                    <w:r>
                      <w:rPr>
                        <w:sz w:val="20"/>
                      </w:rPr>
                      <w:t>3 825</w:t>
                    </w:r>
                  </w:p>
                  <w:p>
                    <w:pPr>
                      <w:rPr>
                        <w:sz w:val="20"/>
                      </w:rPr>
                    </w:pPr>
                  </w:p>
                </w:tc>
                <w:tc>
                  <w:tcPr>
                    <w:tcW w:w="992" w:type="dxa"/>
                  </w:tcPr>
                  <w:p>
                    <w:pPr>
                      <w:rPr>
                        <w:sz w:val="20"/>
                      </w:rPr>
                    </w:pPr>
                    <w:r>
                      <w:rPr>
                        <w:sz w:val="20"/>
                      </w:rPr>
                      <w:t>2021–2027 m. IP (ERPF)</w:t>
                    </w:r>
                  </w:p>
                </w:tc>
                <w:tc>
                  <w:tcPr>
                    <w:tcW w:w="2551" w:type="dxa"/>
                    <w:vMerge w:val="restart"/>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vMerge w:val="restart"/>
                    <w:shd w:val="clear" w:color="auto" w:fill="auto"/>
                  </w:tcPr>
                  <w:p>
                    <w:pPr>
                      <w:ind w:left="-57" w:right="-57"/>
                      <w:jc w:val="center"/>
                      <w:rPr>
                        <w:sz w:val="20"/>
                      </w:rPr>
                    </w:pPr>
                    <w:r>
                      <w:rPr>
                        <w:sz w:val="20"/>
                      </w:rPr>
                      <w:t>8 000</w:t>
                    </w:r>
                  </w:p>
                  <w:p>
                    <w:pPr>
                      <w:ind w:left="-57" w:right="-57"/>
                      <w:jc w:val="center"/>
                      <w:rPr>
                        <w:sz w:val="20"/>
                      </w:rPr>
                    </w:pPr>
                    <w:r>
                      <w:rPr>
                        <w:sz w:val="20"/>
                      </w:rPr>
                      <w:t>(2029 m.)</w:t>
                    </w:r>
                  </w:p>
                </w:tc>
                <w:tc>
                  <w:tcPr>
                    <w:tcW w:w="992" w:type="dxa"/>
                    <w:vMerge w:val="restart"/>
                  </w:tcPr>
                  <w:p>
                    <w:pPr>
                      <w:ind w:firstLine="53"/>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230"/>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Pr>
                  <w:p>
                    <w:pPr>
                      <w:rPr>
                        <w:color w:val="000000"/>
                        <w:sz w:val="20"/>
                      </w:rPr>
                    </w:pPr>
                  </w:p>
                </w:tc>
                <w:tc>
                  <w:tcPr>
                    <w:tcW w:w="709" w:type="dxa"/>
                    <w:vMerge/>
                  </w:tcPr>
                  <w:p>
                    <w:pPr>
                      <w:rPr>
                        <w:color w:val="000000"/>
                        <w:sz w:val="20"/>
                      </w:rPr>
                    </w:pPr>
                  </w:p>
                </w:tc>
                <w:tc>
                  <w:tcPr>
                    <w:tcW w:w="1276" w:type="dxa"/>
                    <w:vMerge w:val="restart"/>
                  </w:tcPr>
                  <w:p>
                    <w:pPr>
                      <w:rPr>
                        <w:sz w:val="20"/>
                      </w:rPr>
                    </w:pPr>
                    <w:r>
                      <w:rPr>
                        <w:sz w:val="20"/>
                      </w:rPr>
                      <w:t>675</w:t>
                    </w:r>
                  </w:p>
                  <w:p>
                    <w:pPr>
                      <w:rPr>
                        <w:color w:val="000000"/>
                        <w:sz w:val="20"/>
                      </w:rPr>
                    </w:pPr>
                  </w:p>
                </w:tc>
                <w:tc>
                  <w:tcPr>
                    <w:tcW w:w="992" w:type="dxa"/>
                    <w:vMerge w:val="restart"/>
                  </w:tcPr>
                  <w:p>
                    <w:pPr>
                      <w:rPr>
                        <w:color w:val="000000"/>
                        <w:sz w:val="20"/>
                      </w:rPr>
                    </w:pPr>
                    <w:r>
                      <w:rPr>
                        <w:sz w:val="20"/>
                      </w:rPr>
                      <w:t>2021–2027 m. IP (BF)</w:t>
                    </w:r>
                  </w:p>
                </w:tc>
                <w:tc>
                  <w:tcPr>
                    <w:tcW w:w="2551" w:type="dxa"/>
                    <w:vMerge/>
                  </w:tcPr>
                  <w:p>
                    <w:pPr>
                      <w:ind w:left="-57" w:right="-57"/>
                      <w:rPr>
                        <w:color w:val="FF0000"/>
                        <w:sz w:val="20"/>
                      </w:rPr>
                    </w:pPr>
                  </w:p>
                </w:tc>
                <w:tc>
                  <w:tcPr>
                    <w:tcW w:w="851" w:type="dxa"/>
                    <w:vMerge/>
                    <w:shd w:val="clear" w:color="auto" w:fill="auto"/>
                  </w:tcPr>
                  <w:p>
                    <w:pPr>
                      <w:ind w:left="-57" w:right="-57"/>
                      <w:jc w:val="center"/>
                      <w:rPr>
                        <w:color w:val="FF0000"/>
                        <w:sz w:val="20"/>
                      </w:rPr>
                    </w:pPr>
                  </w:p>
                </w:tc>
                <w:tc>
                  <w:tcPr>
                    <w:tcW w:w="992" w:type="dxa"/>
                    <w:vMerge/>
                  </w:tcPr>
                  <w:p>
                    <w:pPr>
                      <w:rPr>
                        <w:color w:val="000000"/>
                        <w:sz w:val="20"/>
                      </w:rPr>
                    </w:pPr>
                  </w:p>
                </w:tc>
                <w:tc>
                  <w:tcPr>
                    <w:tcW w:w="1276" w:type="dxa"/>
                    <w:vMerge/>
                    <w:tcBorders>
                      <w:left w:val="single" w:sz="4" w:space="0" w:color="auto"/>
                      <w:right w:val="single" w:sz="4" w:space="0" w:color="auto"/>
                    </w:tcBorders>
                  </w:tcPr>
                  <w:p>
                    <w:pPr>
                      <w:rPr>
                        <w:color w:val="000000"/>
                        <w:sz w:val="20"/>
                      </w:rPr>
                    </w:pPr>
                  </w:p>
                </w:tc>
              </w:tr>
              <w:tr>
                <w:trPr>
                  <w:trHeight w:val="970"/>
                </w:trPr>
                <w:tc>
                  <w:tcPr>
                    <w:tcW w:w="2410" w:type="dxa"/>
                    <w:vMerge/>
                    <w:vAlign w:val="center"/>
                  </w:tcPr>
                  <w:p>
                    <w:pPr>
                      <w:rPr>
                        <w:color w:val="000000"/>
                        <w:sz w:val="20"/>
                      </w:rPr>
                    </w:pPr>
                  </w:p>
                </w:tc>
                <w:tc>
                  <w:tcPr>
                    <w:tcW w:w="709" w:type="dxa"/>
                    <w:vMerge/>
                    <w:vAlign w:val="center"/>
                  </w:tcPr>
                  <w:p>
                    <w:pPr>
                      <w:rPr>
                        <w:color w:val="000000"/>
                        <w:sz w:val="20"/>
                      </w:rPr>
                    </w:pPr>
                  </w:p>
                </w:tc>
                <w:tc>
                  <w:tcPr>
                    <w:tcW w:w="1559" w:type="dxa"/>
                    <w:vMerge/>
                    <w:vAlign w:val="center"/>
                  </w:tcPr>
                  <w:p>
                    <w:pPr>
                      <w:rPr>
                        <w:color w:val="000000"/>
                        <w:sz w:val="20"/>
                      </w:rPr>
                    </w:pPr>
                  </w:p>
                </w:tc>
                <w:tc>
                  <w:tcPr>
                    <w:tcW w:w="709" w:type="dxa"/>
                    <w:vMerge/>
                    <w:vAlign w:val="center"/>
                  </w:tcPr>
                  <w:p>
                    <w:pPr>
                      <w:rPr>
                        <w:color w:val="000000"/>
                        <w:sz w:val="20"/>
                      </w:rPr>
                    </w:pPr>
                  </w:p>
                </w:tc>
                <w:tc>
                  <w:tcPr>
                    <w:tcW w:w="992" w:type="dxa"/>
                    <w:vMerge/>
                    <w:vAlign w:val="center"/>
                  </w:tcPr>
                  <w:p>
                    <w:pPr>
                      <w:rPr>
                        <w:color w:val="000000"/>
                        <w:sz w:val="20"/>
                      </w:rPr>
                    </w:pPr>
                  </w:p>
                </w:tc>
                <w:tc>
                  <w:tcPr>
                    <w:tcW w:w="709" w:type="dxa"/>
                    <w:vMerge/>
                    <w:vAlign w:val="center"/>
                  </w:tcPr>
                  <w:p>
                    <w:pPr>
                      <w:rPr>
                        <w:color w:val="000000"/>
                        <w:sz w:val="20"/>
                      </w:rPr>
                    </w:pPr>
                  </w:p>
                </w:tc>
                <w:tc>
                  <w:tcPr>
                    <w:tcW w:w="1276" w:type="dxa"/>
                    <w:vMerge/>
                    <w:vAlign w:val="center"/>
                  </w:tcPr>
                  <w:p>
                    <w:pPr>
                      <w:rPr>
                        <w:color w:val="000000"/>
                        <w:sz w:val="20"/>
                      </w:rPr>
                    </w:pPr>
                  </w:p>
                </w:tc>
                <w:tc>
                  <w:tcPr>
                    <w:tcW w:w="992" w:type="dxa"/>
                    <w:vMerge/>
                    <w:vAlign w:val="center"/>
                  </w:tcPr>
                  <w:p>
                    <w:pPr>
                      <w:rPr>
                        <w:color w:val="000000"/>
                        <w:sz w:val="20"/>
                      </w:rPr>
                    </w:pPr>
                  </w:p>
                </w:tc>
                <w:tc>
                  <w:tcPr>
                    <w:tcW w:w="2551" w:type="dxa"/>
                    <w:shd w:val="clear" w:color="auto" w:fill="auto"/>
                  </w:tcPr>
                  <w:p>
                    <w:pPr>
                      <w:ind w:left="-57" w:right="-57"/>
                      <w:rPr>
                        <w:color w:val="FF0000"/>
                        <w:sz w:val="20"/>
                      </w:rPr>
                    </w:pPr>
                    <w:r>
                      <w:rPr>
                        <w:sz w:val="20"/>
                      </w:rPr>
                      <w:t xml:space="preserve">R </w:t>
                    </w:r>
                    <w:r>
                      <w:rPr>
                        <w:color w:val="000000"/>
                        <w:szCs w:val="24"/>
                      </w:rPr>
                      <w:t xml:space="preserve">– </w:t>
                    </w:r>
                    <w:r>
                      <w:rPr>
                        <w:sz w:val="20"/>
                      </w:rPr>
                      <w:t>Naujos arba modernizuotos sveikatos priežiūros infrastruktūros naudotojų skaičius per metus</w:t>
                    </w:r>
                  </w:p>
                </w:tc>
                <w:tc>
                  <w:tcPr>
                    <w:tcW w:w="851" w:type="dxa"/>
                    <w:shd w:val="clear" w:color="auto" w:fill="auto"/>
                  </w:tcPr>
                  <w:p>
                    <w:pPr>
                      <w:ind w:left="-57" w:right="-57"/>
                      <w:jc w:val="center"/>
                      <w:rPr>
                        <w:sz w:val="20"/>
                      </w:rPr>
                    </w:pPr>
                    <w:r>
                      <w:rPr>
                        <w:sz w:val="20"/>
                      </w:rPr>
                      <w:t>7 200</w:t>
                    </w:r>
                  </w:p>
                  <w:p>
                    <w:pPr>
                      <w:ind w:left="-57" w:right="-57"/>
                      <w:jc w:val="center"/>
                      <w:rPr>
                        <w:sz w:val="20"/>
                      </w:rPr>
                    </w:pPr>
                    <w:r>
                      <w:rPr>
                        <w:sz w:val="20"/>
                      </w:rPr>
                      <w:t>(2029 m.)</w:t>
                    </w:r>
                  </w:p>
                  <w:p>
                    <w:pPr>
                      <w:ind w:left="-57" w:right="-57"/>
                      <w:jc w:val="center"/>
                      <w:rPr>
                        <w:sz w:val="20"/>
                      </w:rPr>
                    </w:pPr>
                  </w:p>
                  <w:p>
                    <w:pPr>
                      <w:ind w:left="-57" w:right="-57"/>
                      <w:jc w:val="center"/>
                      <w:rPr>
                        <w:sz w:val="20"/>
                      </w:rPr>
                    </w:pPr>
                  </w:p>
                </w:tc>
                <w:tc>
                  <w:tcPr>
                    <w:tcW w:w="992" w:type="dxa"/>
                    <w:vMerge/>
                    <w:tcBorders>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shd w:val="clear" w:color="auto" w:fill="F2F2F2" w:themeFill="background1" w:themeFillShade="F2"/>
                  </w:tcPr>
                  <w:p>
                    <w:pPr>
                      <w:rPr>
                        <w:color w:val="000000"/>
                        <w:sz w:val="20"/>
                      </w:rPr>
                    </w:pPr>
                    <w:r>
                      <w:rPr>
                        <w:b/>
                        <w:bCs/>
                        <w:sz w:val="20"/>
                      </w:rPr>
                      <w:t>3.</w:t>
                    </w:r>
                    <w:r>
                      <w:rPr>
                        <w:b/>
                        <w:bCs/>
                        <w:color w:val="000000"/>
                        <w:sz w:val="20"/>
                      </w:rPr>
                      <w:t xml:space="preserve"> Pažangių ir įrodymais pagrįstų technologijų sveikatos sektoriuje diegimas</w:t>
                    </w:r>
                  </w:p>
                </w:tc>
                <w:tc>
                  <w:tcPr>
                    <w:tcW w:w="709" w:type="dxa"/>
                    <w:vMerge w:val="restart"/>
                    <w:shd w:val="clear" w:color="auto" w:fill="F2F2F2" w:themeFill="background1" w:themeFillShade="F2"/>
                  </w:tcPr>
                  <w:p>
                    <w:pPr>
                      <w:rPr>
                        <w:color w:val="000000"/>
                        <w:sz w:val="20"/>
                      </w:rPr>
                    </w:pPr>
                    <w:r>
                      <w:rPr>
                        <w:sz w:val="20"/>
                      </w:rPr>
                      <w:t>-</w:t>
                    </w:r>
                  </w:p>
                </w:tc>
                <w:tc>
                  <w:tcPr>
                    <w:tcW w:w="1559" w:type="dxa"/>
                    <w:vMerge w:val="restart"/>
                    <w:shd w:val="clear" w:color="auto" w:fill="F2F2F2" w:themeFill="background1" w:themeFillShade="F2"/>
                  </w:tcPr>
                  <w:p>
                    <w:pPr>
                      <w:rPr>
                        <w:color w:val="000000"/>
                        <w:sz w:val="20"/>
                      </w:rPr>
                    </w:pPr>
                    <w:r>
                      <w:rPr>
                        <w:sz w:val="20"/>
                      </w:rPr>
                      <w:t>-</w:t>
                    </w:r>
                  </w:p>
                </w:tc>
                <w:tc>
                  <w:tcPr>
                    <w:tcW w:w="709" w:type="dxa"/>
                    <w:vMerge w:val="restart"/>
                    <w:shd w:val="clear" w:color="auto" w:fill="F2F2F2" w:themeFill="background1" w:themeFillShade="F2"/>
                  </w:tcPr>
                  <w:p>
                    <w:pPr>
                      <w:rPr>
                        <w:color w:val="000000"/>
                        <w:sz w:val="20"/>
                      </w:rPr>
                    </w:pPr>
                    <w:r>
                      <w:rPr>
                        <w:sz w:val="20"/>
                      </w:rPr>
                      <w:t>-</w:t>
                    </w:r>
                  </w:p>
                </w:tc>
                <w:tc>
                  <w:tcPr>
                    <w:tcW w:w="992" w:type="dxa"/>
                    <w:vMerge w:val="restart"/>
                    <w:shd w:val="clear" w:color="auto" w:fill="F2F2F2" w:themeFill="background1" w:themeFillShade="F2"/>
                  </w:tcPr>
                  <w:p>
                    <w:pPr>
                      <w:rPr>
                        <w:color w:val="000000"/>
                        <w:sz w:val="20"/>
                      </w:rPr>
                    </w:pPr>
                    <w:r>
                      <w:rPr>
                        <w:sz w:val="20"/>
                      </w:rPr>
                      <w:t>-</w:t>
                    </w:r>
                  </w:p>
                </w:tc>
                <w:tc>
                  <w:tcPr>
                    <w:tcW w:w="709" w:type="dxa"/>
                    <w:vMerge w:val="restart"/>
                    <w:shd w:val="clear" w:color="auto" w:fill="F2F2F2" w:themeFill="background1" w:themeFillShade="F2"/>
                  </w:tcPr>
                  <w:p>
                    <w:pPr>
                      <w:rPr>
                        <w:color w:val="000000"/>
                        <w:sz w:val="20"/>
                      </w:rPr>
                    </w:pPr>
                    <w:r>
                      <w:rPr>
                        <w:sz w:val="20"/>
                      </w:rPr>
                      <w:t>-</w:t>
                    </w:r>
                  </w:p>
                </w:tc>
                <w:tc>
                  <w:tcPr>
                    <w:tcW w:w="1276" w:type="dxa"/>
                    <w:shd w:val="clear" w:color="auto" w:fill="F2F2F2" w:themeFill="background1" w:themeFillShade="F2"/>
                  </w:tcPr>
                  <w:p>
                    <w:pPr>
                      <w:rPr>
                        <w:color w:val="000000"/>
                        <w:sz w:val="20"/>
                      </w:rPr>
                    </w:pPr>
                    <w:r>
                      <w:rPr>
                        <w:b/>
                        <w:bCs/>
                        <w:sz w:val="20"/>
                      </w:rPr>
                      <w:t>52 970,227</w:t>
                    </w:r>
                  </w:p>
                </w:tc>
                <w:tc>
                  <w:tcPr>
                    <w:tcW w:w="992" w:type="dxa"/>
                    <w:shd w:val="clear" w:color="auto" w:fill="F2F2F2" w:themeFill="background1" w:themeFillShade="F2"/>
                  </w:tcPr>
                  <w:p>
                    <w:pPr>
                      <w:rPr>
                        <w:color w:val="000000"/>
                        <w:sz w:val="20"/>
                      </w:rPr>
                    </w:pPr>
                    <w:r>
                      <w:rPr>
                        <w:sz w:val="20"/>
                      </w:rPr>
                      <w:t>-</w:t>
                    </w:r>
                  </w:p>
                </w:tc>
                <w:tc>
                  <w:tcPr>
                    <w:tcW w:w="2551" w:type="dxa"/>
                    <w:shd w:val="clear" w:color="auto" w:fill="F2F2F2" w:themeFill="background1" w:themeFillShade="F2"/>
                  </w:tcPr>
                  <w:p>
                    <w:pPr>
                      <w:ind w:left="-57" w:right="-57"/>
                      <w:rPr>
                        <w:color w:val="FF0000"/>
                        <w:sz w:val="20"/>
                      </w:rPr>
                    </w:pPr>
                    <w:r>
                      <w:rPr>
                        <w:sz w:val="20"/>
                      </w:rPr>
                      <w:t xml:space="preserve">R </w:t>
                    </w:r>
                    <w:r>
                      <w:rPr>
                        <w:color w:val="000000"/>
                        <w:szCs w:val="24"/>
                      </w:rPr>
                      <w:t>–</w:t>
                    </w:r>
                    <w:r>
                      <w:rPr>
                        <w:sz w:val="20"/>
                      </w:rPr>
                      <w:t xml:space="preserve"> Bendras 5 metų išgyvenamumas sergant krūties vėžiu (dalis nuo visų atvejų),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83</w:t>
                    </w:r>
                  </w:p>
                  <w:p>
                    <w:pPr>
                      <w:ind w:left="-57" w:right="-57"/>
                      <w:jc w:val="center"/>
                      <w:rPr>
                        <w:color w:val="FF0000"/>
                        <w:sz w:val="20"/>
                      </w:rPr>
                    </w:pPr>
                    <w:r>
                      <w:rPr>
                        <w:sz w:val="20"/>
                      </w:rPr>
                      <w:t>(2030 m.)</w:t>
                    </w:r>
                  </w:p>
                </w:tc>
                <w:tc>
                  <w:tcPr>
                    <w:tcW w:w="992" w:type="dxa"/>
                    <w:vMerge w:val="restart"/>
                    <w:shd w:val="clear" w:color="auto" w:fill="F2F2F2" w:themeFill="background1" w:themeFillShade="F2"/>
                  </w:tcPr>
                  <w:p>
                    <w:pPr>
                      <w:rPr>
                        <w:color w:val="000000"/>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19 500</w:t>
                    </w:r>
                  </w:p>
                </w:tc>
                <w:tc>
                  <w:tcPr>
                    <w:tcW w:w="992" w:type="dxa"/>
                    <w:shd w:val="clear" w:color="auto" w:fill="F2F2F2" w:themeFill="background1" w:themeFillShade="F2"/>
                  </w:tcPr>
                  <w:p>
                    <w:pPr>
                      <w:rPr>
                        <w:sz w:val="20"/>
                      </w:rPr>
                    </w:pPr>
                    <w:r>
                      <w:rPr>
                        <w:sz w:val="20"/>
                      </w:rPr>
                      <w:t>EGADP</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5 metų išgyvenamumas sergant gimdos kaklelio vėžiu (dalis nuo visų atvejų),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67,9</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4 090</w:t>
                    </w:r>
                  </w:p>
                </w:tc>
                <w:tc>
                  <w:tcPr>
                    <w:tcW w:w="992" w:type="dxa"/>
                    <w:shd w:val="clear" w:color="auto" w:fill="F2F2F2" w:themeFill="background1" w:themeFillShade="F2"/>
                  </w:tcPr>
                  <w:p>
                    <w:pPr>
                      <w:rPr>
                        <w:sz w:val="20"/>
                      </w:rPr>
                    </w:pPr>
                    <w:r>
                      <w:rPr>
                        <w:sz w:val="20"/>
                      </w:rPr>
                      <w:t>PVM iš VB</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Vyrų 5 metų išgyvenamumas sergant storosios žarnos vėžiu (dalis nuo visų atvejų),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55</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8 823,193</w:t>
                    </w:r>
                  </w:p>
                </w:tc>
                <w:tc>
                  <w:tcPr>
                    <w:tcW w:w="992" w:type="dxa"/>
                    <w:shd w:val="clear" w:color="auto" w:fill="F2F2F2" w:themeFill="background1" w:themeFillShade="F2"/>
                  </w:tcPr>
                  <w:p>
                    <w:pPr>
                      <w:rPr>
                        <w:sz w:val="20"/>
                      </w:rPr>
                    </w:pPr>
                    <w:r>
                      <w:rPr>
                        <w:sz w:val="20"/>
                      </w:rPr>
                      <w:t xml:space="preserve">2021–2027 m. IP (ESF+, VVL regionas) </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Moterų 5 metų išgyvenamumas sergant storosios žarnos vėžiu (dalis nuo visų atvejų), proc. </w:t>
                    </w:r>
                  </w:p>
                </w:tc>
                <w:tc>
                  <w:tcPr>
                    <w:tcW w:w="851" w:type="dxa"/>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sz w:val="20"/>
                      </w:rPr>
                    </w:pPr>
                    <w:r>
                      <w:rPr>
                        <w:sz w:val="20"/>
                      </w:rPr>
                      <w:t>62,5</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1 557,034</w:t>
                    </w:r>
                  </w:p>
                </w:tc>
                <w:tc>
                  <w:tcPr>
                    <w:tcW w:w="992" w:type="dxa"/>
                    <w:shd w:val="clear" w:color="auto" w:fill="F2F2F2" w:themeFill="background1" w:themeFillShade="F2"/>
                  </w:tcPr>
                  <w:p>
                    <w:pPr>
                      <w:rPr>
                        <w:sz w:val="20"/>
                      </w:rPr>
                    </w:pPr>
                    <w:r>
                      <w:rPr>
                        <w:sz w:val="20"/>
                      </w:rPr>
                      <w:t xml:space="preserve">2021–2027 m. IP (BF, VVL regionas) </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Mirštamumas nuo miokardo infarkto per 30 dienų nuo hospitalizacijos, proc.</w:t>
                    </w:r>
                  </w:p>
                </w:tc>
                <w:tc>
                  <w:tcPr>
                    <w:tcW w:w="851" w:type="dxa"/>
                    <w:tcBorders>
                      <w:top w:val="single" w:sz="4" w:space="0" w:color="auto"/>
                      <w:left w:val="single" w:sz="4" w:space="0" w:color="auto"/>
                    </w:tcBorders>
                    <w:shd w:val="clear" w:color="auto" w:fill="F2F2F2" w:themeFill="background1" w:themeFillShade="F2"/>
                  </w:tcPr>
                  <w:p>
                    <w:pPr>
                      <w:ind w:left="-57" w:right="-57"/>
                      <w:jc w:val="center"/>
                      <w:rPr>
                        <w:sz w:val="20"/>
                      </w:rPr>
                    </w:pPr>
                    <w:r>
                      <w:rPr>
                        <w:sz w:val="20"/>
                      </w:rPr>
                      <w:t>9</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19 000</w:t>
                    </w:r>
                  </w:p>
                </w:tc>
                <w:tc>
                  <w:tcPr>
                    <w:tcW w:w="992" w:type="dxa"/>
                    <w:shd w:val="clear" w:color="auto" w:fill="F2F2F2" w:themeFill="background1" w:themeFillShade="F2"/>
                  </w:tcPr>
                  <w:p>
                    <w:pPr>
                      <w:rPr>
                        <w:sz w:val="20"/>
                      </w:rPr>
                    </w:pPr>
                    <w:r>
                      <w:rPr>
                        <w:sz w:val="20"/>
                      </w:rPr>
                      <w:t>VB</w:t>
                    </w:r>
                  </w:p>
                </w:tc>
                <w:tc>
                  <w:tcPr>
                    <w:tcW w:w="2551" w:type="dxa"/>
                    <w:tcBorders>
                      <w:top w:val="single" w:sz="4" w:space="0" w:color="auto"/>
                      <w:bottom w:val="single" w:sz="4" w:space="0" w:color="auto"/>
                      <w:right w:val="single" w:sz="4" w:space="0" w:color="auto"/>
                    </w:tcBorders>
                    <w:shd w:val="clear" w:color="auto" w:fill="F2F2F2" w:themeFill="background1" w:themeFillShade="F2"/>
                  </w:tcPr>
                  <w:p>
                    <w:pPr>
                      <w:ind w:left="-57" w:right="-57"/>
                      <w:rPr>
                        <w:sz w:val="20"/>
                      </w:rPr>
                    </w:pPr>
                    <w:r>
                      <w:rPr>
                        <w:sz w:val="20"/>
                      </w:rPr>
                      <w:t xml:space="preserve">R </w:t>
                    </w:r>
                    <w:r>
                      <w:rPr>
                        <w:color w:val="000000"/>
                        <w:szCs w:val="24"/>
                      </w:rPr>
                      <w:t xml:space="preserve">– </w:t>
                    </w:r>
                    <w:r>
                      <w:rPr>
                        <w:sz w:val="20"/>
                      </w:rPr>
                      <w:t>Mirštamumas nuo išeminio galvos smegenų insulto per 30 dienų po hospitalizacijos, proc.</w:t>
                    </w:r>
                  </w:p>
                </w:tc>
                <w:tc>
                  <w:tcPr>
                    <w:tcW w:w="851" w:type="dxa"/>
                    <w:tcBorders>
                      <w:top w:val="single" w:sz="4" w:space="0" w:color="auto"/>
                      <w:left w:val="single" w:sz="4" w:space="0" w:color="auto"/>
                      <w:bottom w:val="single" w:sz="4" w:space="0" w:color="auto"/>
                    </w:tcBorders>
                    <w:shd w:val="clear" w:color="auto" w:fill="F2F2F2" w:themeFill="background1" w:themeFillShade="F2"/>
                  </w:tcPr>
                  <w:p>
                    <w:pPr>
                      <w:ind w:left="-57" w:right="-57"/>
                      <w:jc w:val="center"/>
                      <w:rPr>
                        <w:sz w:val="20"/>
                      </w:rPr>
                    </w:pPr>
                    <w:r>
                      <w:rPr>
                        <w:sz w:val="20"/>
                      </w:rPr>
                      <w:t>12</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75"/>
                </w:trPr>
                <w:tc>
                  <w:tcPr>
                    <w:tcW w:w="2410" w:type="dxa"/>
                    <w:vMerge w:val="restart"/>
                  </w:tcPr>
                  <w:p>
                    <w:pPr>
                      <w:rPr>
                        <w:color w:val="000000"/>
                        <w:sz w:val="20"/>
                      </w:rPr>
                    </w:pPr>
                    <w:r>
                      <w:rPr>
                        <w:sz w:val="20"/>
                      </w:rPr>
                      <w:t>3.1. Pažangios terapijos centro statyba</w:t>
                    </w:r>
                  </w:p>
                </w:tc>
                <w:tc>
                  <w:tcPr>
                    <w:tcW w:w="709" w:type="dxa"/>
                    <w:vMerge w:val="restart"/>
                  </w:tcPr>
                  <w:p>
                    <w:pPr>
                      <w:rPr>
                        <w:color w:val="000000"/>
                        <w:sz w:val="20"/>
                      </w:rPr>
                    </w:pPr>
                    <w:r>
                      <w:rPr>
                        <w:sz w:val="20"/>
                      </w:rPr>
                      <w:t>I</w:t>
                    </w:r>
                  </w:p>
                </w:tc>
                <w:tc>
                  <w:tcPr>
                    <w:tcW w:w="1559" w:type="dxa"/>
                    <w:vMerge w:val="restart"/>
                  </w:tcPr>
                  <w:p>
                    <w:pPr>
                      <w:rPr>
                        <w:color w:val="000000"/>
                        <w:sz w:val="20"/>
                      </w:rPr>
                    </w:pPr>
                    <w:r>
                      <w:rPr>
                        <w:sz w:val="20"/>
                      </w:rPr>
                      <w:t>VšĮ Vilniaus universiteto ligoninė Santaros klinikos</w:t>
                    </w:r>
                  </w:p>
                </w:tc>
                <w:tc>
                  <w:tcPr>
                    <w:tcW w:w="709" w:type="dxa"/>
                    <w:vMerge w:val="restart"/>
                  </w:tcPr>
                  <w:p>
                    <w:pPr>
                      <w:rPr>
                        <w:color w:val="000000"/>
                        <w:sz w:val="20"/>
                      </w:rPr>
                    </w:pPr>
                    <w:r>
                      <w:rPr>
                        <w:sz w:val="20"/>
                      </w:rPr>
                      <w:t>P</w:t>
                    </w:r>
                  </w:p>
                </w:tc>
                <w:tc>
                  <w:tcPr>
                    <w:tcW w:w="992" w:type="dxa"/>
                    <w:vMerge w:val="restart"/>
                    <w:tcBorders>
                      <w:left w:val="single" w:sz="4" w:space="0" w:color="auto"/>
                      <w:right w:val="single" w:sz="4" w:space="0" w:color="auto"/>
                    </w:tcBorders>
                  </w:tcPr>
                  <w:p>
                    <w:pPr>
                      <w:jc w:val="center"/>
                      <w:rPr>
                        <w:color w:val="000000"/>
                        <w:sz w:val="20"/>
                      </w:rPr>
                    </w:pPr>
                    <w:r>
                      <w:rPr>
                        <w:color w:val="000000"/>
                        <w:sz w:val="20"/>
                      </w:rPr>
                      <w:t>Taip</w:t>
                    </w:r>
                  </w:p>
                </w:tc>
                <w:tc>
                  <w:tcPr>
                    <w:tcW w:w="709" w:type="dxa"/>
                    <w:vMerge w:val="restart"/>
                    <w:tcBorders>
                      <w:left w:val="single" w:sz="4" w:space="0" w:color="auto"/>
                      <w:right w:val="single" w:sz="4" w:space="0" w:color="auto"/>
                    </w:tcBorders>
                  </w:tcPr>
                  <w:p>
                    <w:pPr>
                      <w:jc w:val="center"/>
                      <w:rPr>
                        <w:color w:val="000000"/>
                        <w:sz w:val="20"/>
                      </w:rPr>
                    </w:pPr>
                    <w:r>
                      <w:rPr>
                        <w:color w:val="000000"/>
                        <w:sz w:val="20"/>
                      </w:rPr>
                      <w:t>D</w:t>
                    </w:r>
                  </w:p>
                </w:tc>
                <w:tc>
                  <w:tcPr>
                    <w:tcW w:w="1276" w:type="dxa"/>
                    <w:tcBorders>
                      <w:left w:val="single" w:sz="4" w:space="0" w:color="auto"/>
                      <w:right w:val="single" w:sz="4" w:space="0" w:color="auto"/>
                    </w:tcBorders>
                    <w:vAlign w:val="center"/>
                  </w:tcPr>
                  <w:p>
                    <w:pPr>
                      <w:rPr>
                        <w:color w:val="000000"/>
                        <w:sz w:val="20"/>
                      </w:rPr>
                    </w:pPr>
                    <w:r>
                      <w:rPr>
                        <w:color w:val="000000"/>
                        <w:sz w:val="20"/>
                      </w:rPr>
                      <w:t>13 200</w:t>
                    </w:r>
                  </w:p>
                </w:tc>
                <w:tc>
                  <w:tcPr>
                    <w:tcW w:w="992" w:type="dxa"/>
                    <w:tcBorders>
                      <w:left w:val="single" w:sz="4" w:space="0" w:color="auto"/>
                      <w:right w:val="single" w:sz="4" w:space="0" w:color="auto"/>
                    </w:tcBorders>
                    <w:vAlign w:val="center"/>
                  </w:tcPr>
                  <w:p>
                    <w:pPr>
                      <w:rPr>
                        <w:color w:val="000000"/>
                        <w:sz w:val="20"/>
                      </w:rPr>
                    </w:pPr>
                    <w:r>
                      <w:rPr>
                        <w:color w:val="000000"/>
                        <w:sz w:val="20"/>
                      </w:rPr>
                      <w:t>EGADP</w:t>
                    </w:r>
                  </w:p>
                </w:tc>
                <w:tc>
                  <w:tcPr>
                    <w:tcW w:w="2551" w:type="dxa"/>
                    <w:vMerge w:val="restart"/>
                    <w:tcBorders>
                      <w:top w:val="single" w:sz="4" w:space="0" w:color="auto"/>
                      <w:left w:val="single" w:sz="4" w:space="0" w:color="auto"/>
                      <w:right w:val="single" w:sz="4" w:space="0" w:color="auto"/>
                    </w:tcBorders>
                    <w:shd w:val="clear" w:color="auto" w:fill="auto"/>
                  </w:tcPr>
                  <w:p>
                    <w:pPr>
                      <w:ind w:left="-57" w:right="-57"/>
                      <w:rPr>
                        <w:sz w:val="20"/>
                      </w:rPr>
                    </w:pPr>
                    <w:r>
                      <w:rPr>
                        <w:sz w:val="20"/>
                      </w:rPr>
                      <w:t>P – Pažangiosios terapijos centro pastato statybos darbų viešojo pirkimo procedūrų užbaigimas, vnt.</w:t>
                    </w:r>
                  </w:p>
                </w:tc>
                <w:tc>
                  <w:tcPr>
                    <w:tcW w:w="851"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(2022 m. IV ketv.)</w:t>
                    </w:r>
                  </w:p>
                </w:tc>
                <w:tc>
                  <w:tcPr>
                    <w:tcW w:w="992" w:type="dxa"/>
                    <w:vMerge w:val="restart"/>
                    <w:tcBorders>
                      <w:left w:val="single" w:sz="4" w:space="0" w:color="auto"/>
                      <w:right w:val="single" w:sz="4" w:space="0" w:color="auto"/>
                    </w:tcBorders>
                  </w:tcPr>
                  <w:p>
                    <w:pPr>
                      <w:jc w:val="center"/>
                      <w:rPr>
                        <w:color w:val="000000"/>
                        <w:sz w:val="20"/>
                      </w:rPr>
                    </w:pPr>
                    <w:r>
                      <w:rPr>
                        <w:color w:val="000000"/>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349"/>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tcBorders>
                      <w:left w:val="single" w:sz="4" w:space="0" w:color="auto"/>
                      <w:right w:val="single" w:sz="4" w:space="0" w:color="auto"/>
                    </w:tcBorders>
                    <w:vAlign w:val="center"/>
                  </w:tcPr>
                  <w:p>
                    <w:pPr>
                      <w:rPr>
                        <w:color w:val="000000"/>
                        <w:sz w:val="20"/>
                      </w:rPr>
                    </w:pPr>
                    <w:r>
                      <w:rPr>
                        <w:color w:val="000000"/>
                        <w:sz w:val="20"/>
                      </w:rPr>
                      <w:t>2 770</w:t>
                    </w:r>
                  </w:p>
                </w:tc>
                <w:tc>
                  <w:tcPr>
                    <w:tcW w:w="992" w:type="dxa"/>
                    <w:tcBorders>
                      <w:left w:val="single" w:sz="4" w:space="0" w:color="auto"/>
                      <w:right w:val="single" w:sz="4" w:space="0" w:color="auto"/>
                    </w:tcBorders>
                    <w:vAlign w:val="center"/>
                  </w:tcPr>
                  <w:p>
                    <w:pPr>
                      <w:rPr>
                        <w:color w:val="000000"/>
                        <w:sz w:val="20"/>
                      </w:rPr>
                    </w:pPr>
                    <w:r>
                      <w:rPr>
                        <w:color w:val="000000"/>
                        <w:sz w:val="20"/>
                      </w:rPr>
                      <w:t>PVM iš VB</w:t>
                    </w:r>
                  </w:p>
                </w:tc>
                <w:tc>
                  <w:tcPr>
                    <w:tcW w:w="2551" w:type="dxa"/>
                    <w:vMerge/>
                    <w:tcBorders>
                      <w:left w:val="single" w:sz="4" w:space="0" w:color="auto"/>
                      <w:right w:val="single" w:sz="4" w:space="0" w:color="auto"/>
                    </w:tcBorders>
                    <w:shd w:val="clear" w:color="auto" w:fill="auto"/>
                  </w:tcPr>
                  <w:p>
                    <w:pPr>
                      <w:ind w:left="-57" w:right="-57"/>
                      <w:rPr>
                        <w:color w:val="FF0000"/>
                        <w:sz w:val="20"/>
                      </w:rPr>
                    </w:pPr>
                  </w:p>
                </w:tc>
                <w:tc>
                  <w:tcPr>
                    <w:tcW w:w="851" w:type="dxa"/>
                    <w:vMerge/>
                    <w:tcBorders>
                      <w:left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230"/>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val="restart"/>
                    <w:tcBorders>
                      <w:left w:val="single" w:sz="4" w:space="0" w:color="auto"/>
                      <w:right w:val="single" w:sz="4" w:space="0" w:color="auto"/>
                    </w:tcBorders>
                    <w:vAlign w:val="center"/>
                  </w:tcPr>
                  <w:p>
                    <w:pPr>
                      <w:rPr>
                        <w:color w:val="000000"/>
                        <w:sz w:val="20"/>
                      </w:rPr>
                    </w:pPr>
                  </w:p>
                </w:tc>
                <w:tc>
                  <w:tcPr>
                    <w:tcW w:w="992" w:type="dxa"/>
                    <w:vMerge w:val="restart"/>
                    <w:tcBorders>
                      <w:left w:val="single" w:sz="4" w:space="0" w:color="auto"/>
                      <w:right w:val="single" w:sz="4" w:space="0" w:color="auto"/>
                    </w:tcBorders>
                    <w:vAlign w:val="center"/>
                  </w:tcPr>
                  <w:p>
                    <w:pPr>
                      <w:rPr>
                        <w:color w:val="000000"/>
                        <w:sz w:val="20"/>
                      </w:rPr>
                    </w:pPr>
                  </w:p>
                </w:tc>
                <w:tc>
                  <w:tcPr>
                    <w:tcW w:w="2551" w:type="dxa"/>
                    <w:vMerge/>
                    <w:tcBorders>
                      <w:left w:val="single" w:sz="4" w:space="0" w:color="auto"/>
                      <w:bottom w:val="single" w:sz="4" w:space="0" w:color="auto"/>
                      <w:right w:val="single" w:sz="4" w:space="0" w:color="auto"/>
                    </w:tcBorders>
                    <w:shd w:val="clear" w:color="auto" w:fill="auto"/>
                  </w:tcPr>
                  <w:p>
                    <w:pPr>
                      <w:ind w:left="-57" w:right="-57"/>
                      <w:rPr>
                        <w:color w:val="FF0000"/>
                        <w:sz w:val="20"/>
                      </w:rPr>
                    </w:pPr>
                  </w:p>
                </w:tc>
                <w:tc>
                  <w:tcPr>
                    <w:tcW w:w="851" w:type="dxa"/>
                    <w:vMerge/>
                    <w:tcBorders>
                      <w:left w:val="single" w:sz="4" w:space="0" w:color="auto"/>
                      <w:bottom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FF0000"/>
                        <w:sz w:val="20"/>
                      </w:rPr>
                    </w:pPr>
                    <w:r>
                      <w:rPr>
                        <w:sz w:val="20"/>
                      </w:rPr>
                      <w:t>P – Sukurtas pažangios terapijos centras, vnt.</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(2025 m. IV ketv.)</w:t>
                    </w: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61"/>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color w:val="FF0000"/>
                        <w:sz w:val="20"/>
                      </w:rPr>
                    </w:pPr>
                    <w:r>
                      <w:rPr>
                        <w:sz w:val="20"/>
                      </w:rPr>
                      <w:t>R – Naujos arba modernizuotos sveikatos priežiūros infrastruktūros talpumas, asmenys per metus</w:t>
                    </w:r>
                  </w:p>
                </w:tc>
                <w:tc>
                  <w:tcPr>
                    <w:tcW w:w="851" w:type="dxa"/>
                    <w:tcBorders>
                      <w:top w:val="single" w:sz="4" w:space="0" w:color="auto"/>
                      <w:left w:val="single" w:sz="4" w:space="0" w:color="auto"/>
                      <w:right w:val="single" w:sz="4" w:space="0" w:color="auto"/>
                    </w:tcBorders>
                    <w:shd w:val="clear" w:color="auto" w:fill="auto"/>
                  </w:tcPr>
                  <w:p>
                    <w:pPr>
                      <w:ind w:left="-57" w:right="-57"/>
                      <w:jc w:val="center"/>
                      <w:rPr>
                        <w:color w:val="FF0000"/>
                        <w:sz w:val="20"/>
                      </w:rPr>
                    </w:pPr>
                    <w:r>
                      <w:rPr>
                        <w:sz w:val="20"/>
                      </w:rPr>
                      <w:t>n/a</w:t>
                    </w:r>
                  </w:p>
                  <w:p>
                    <w:pPr>
                      <w:ind w:left="-57" w:right="-57"/>
                      <w:jc w:val="center"/>
                      <w:rPr>
                        <w:color w:val="FF0000"/>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520"/>
                </w:trPr>
                <w:tc>
                  <w:tcPr>
                    <w:tcW w:w="2410" w:type="dxa"/>
                    <w:vMerge w:val="restart"/>
                  </w:tcPr>
                  <w:p>
                    <w:pPr>
                      <w:rPr>
                        <w:color w:val="000000"/>
                        <w:sz w:val="20"/>
                      </w:rPr>
                    </w:pPr>
                    <w:r>
                      <w:rPr>
                        <w:sz w:val="20"/>
                      </w:rPr>
                      <w:t>3.2. Genomo tyrimams atlikti reikalingos įrangos įsigijimas ir tyrimų atlikimas</w:t>
                    </w:r>
                  </w:p>
                </w:tc>
                <w:tc>
                  <w:tcPr>
                    <w:tcW w:w="709" w:type="dxa"/>
                    <w:vMerge w:val="restart"/>
                  </w:tcPr>
                  <w:p>
                    <w:pPr>
                      <w:rPr>
                        <w:color w:val="000000"/>
                        <w:sz w:val="20"/>
                      </w:rPr>
                    </w:pPr>
                    <w:r>
                      <w:rPr>
                        <w:sz w:val="20"/>
                      </w:rPr>
                      <w:t>I</w:t>
                    </w:r>
                  </w:p>
                </w:tc>
                <w:tc>
                  <w:tcPr>
                    <w:tcW w:w="1559" w:type="dxa"/>
                    <w:vMerge w:val="restart"/>
                  </w:tcPr>
                  <w:p>
                    <w:pPr>
                      <w:rPr>
                        <w:color w:val="000000"/>
                        <w:sz w:val="20"/>
                      </w:rPr>
                    </w:pPr>
                    <w:r>
                      <w:rPr>
                        <w:sz w:val="20"/>
                      </w:rPr>
                      <w:t>ASPĮ</w:t>
                    </w:r>
                  </w:p>
                </w:tc>
                <w:tc>
                  <w:tcPr>
                    <w:tcW w:w="709" w:type="dxa"/>
                    <w:vMerge w:val="restart"/>
                  </w:tcPr>
                  <w:p>
                    <w:pPr>
                      <w:rPr>
                        <w:color w:val="000000"/>
                        <w:sz w:val="20"/>
                      </w:rPr>
                    </w:pPr>
                    <w:r>
                      <w:rPr>
                        <w:sz w:val="20"/>
                      </w:rPr>
                      <w:t>P</w:t>
                    </w:r>
                  </w:p>
                </w:tc>
                <w:tc>
                  <w:tcPr>
                    <w:tcW w:w="992" w:type="dxa"/>
                    <w:vMerge w:val="restart"/>
                  </w:tcPr>
                  <w:p>
                    <w:pPr>
                      <w:rPr>
                        <w:color w:val="000000"/>
                        <w:sz w:val="20"/>
                      </w:rPr>
                    </w:pPr>
                    <w:r>
                      <w:rPr>
                        <w:sz w:val="20"/>
                      </w:rPr>
                      <w:t>Taip</w:t>
                    </w:r>
                  </w:p>
                </w:tc>
                <w:tc>
                  <w:tcPr>
                    <w:tcW w:w="709" w:type="dxa"/>
                    <w:vMerge w:val="restart"/>
                  </w:tcPr>
                  <w:p>
                    <w:pPr>
                      <w:rPr>
                        <w:color w:val="000000"/>
                        <w:sz w:val="20"/>
                      </w:rPr>
                    </w:pPr>
                    <w:r>
                      <w:rPr>
                        <w:sz w:val="20"/>
                      </w:rPr>
                      <w:t>D</w:t>
                    </w:r>
                  </w:p>
                </w:tc>
                <w:tc>
                  <w:tcPr>
                    <w:tcW w:w="1276" w:type="dxa"/>
                  </w:tcPr>
                  <w:p>
                    <w:pPr>
                      <w:rPr>
                        <w:color w:val="000000"/>
                        <w:sz w:val="20"/>
                      </w:rPr>
                    </w:pPr>
                    <w:r>
                      <w:rPr>
                        <w:sz w:val="20"/>
                      </w:rPr>
                      <w:t>6 300</w:t>
                    </w:r>
                  </w:p>
                </w:tc>
                <w:tc>
                  <w:tcPr>
                    <w:tcW w:w="992" w:type="dxa"/>
                  </w:tcPr>
                  <w:p>
                    <w:pPr>
                      <w:rPr>
                        <w:color w:val="000000"/>
                        <w:sz w:val="20"/>
                      </w:rPr>
                    </w:pPr>
                    <w:r>
                      <w:rPr>
                        <w:sz w:val="20"/>
                      </w:rPr>
                      <w:t>EGADP</w:t>
                    </w:r>
                  </w:p>
                </w:tc>
                <w:tc>
                  <w:tcPr>
                    <w:tcW w:w="2551" w:type="dxa"/>
                    <w:vMerge w:val="restart"/>
                    <w:shd w:val="clear" w:color="auto" w:fill="auto"/>
                  </w:tcPr>
                  <w:p>
                    <w:pPr>
                      <w:ind w:left="-57" w:right="-57"/>
                      <w:rPr>
                        <w:sz w:val="20"/>
                      </w:rPr>
                    </w:pPr>
                    <w:r>
                      <w:rPr>
                        <w:sz w:val="20"/>
                      </w:rPr>
                      <w:t xml:space="preserve">P – </w:t>
                    </w:r>
                    <w:r>
                      <w:rPr>
                        <w:color w:val="000000"/>
                        <w:sz w:val="20"/>
                        <w:lang w:eastAsia="lt-LT"/>
                      </w:rPr>
                      <w:t>Patvirtinti teisės aktai dėl genomo tyrimų</w:t>
                    </w:r>
                    <w:r>
                      <w:rPr>
                        <w:sz w:val="20"/>
                      </w:rPr>
                      <w:t>, vnt.</w:t>
                    </w:r>
                  </w:p>
                </w:tc>
                <w:tc>
                  <w:tcPr>
                    <w:tcW w:w="851" w:type="dxa"/>
                    <w:vMerge w:val="restart"/>
                    <w:shd w:val="clear" w:color="auto" w:fill="auto"/>
                  </w:tcPr>
                  <w:p>
                    <w:pPr>
                      <w:ind w:left="-57" w:right="-57"/>
                      <w:jc w:val="center"/>
                      <w:rPr>
                        <w:sz w:val="20"/>
                      </w:rPr>
                    </w:pPr>
                    <w:r>
                      <w:rPr>
                        <w:sz w:val="20"/>
                      </w:rPr>
                      <w:t>1</w:t>
                    </w:r>
                  </w:p>
                  <w:p>
                    <w:pPr>
                      <w:ind w:left="-57" w:right="-57"/>
                      <w:jc w:val="center"/>
                      <w:rPr>
                        <w:sz w:val="20"/>
                      </w:rPr>
                    </w:pPr>
                    <w:r>
                      <w:rPr>
                        <w:sz w:val="20"/>
                      </w:rPr>
                      <w:t>(2023 m. II ketv.)</w:t>
                    </w:r>
                  </w:p>
                </w:tc>
                <w:tc>
                  <w:tcPr>
                    <w:tcW w:w="992" w:type="dxa"/>
                    <w:vMerge w:val="restart"/>
                  </w:tcPr>
                  <w:p>
                    <w:pPr>
                      <w:rPr>
                        <w:color w:val="000000"/>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230"/>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vAlign w:val="center"/>
                  </w:tcPr>
                  <w:p>
                    <w:pPr>
                      <w:rPr>
                        <w:color w:val="000000"/>
                        <w:sz w:val="20"/>
                      </w:rPr>
                    </w:pPr>
                  </w:p>
                </w:tc>
                <w:tc>
                  <w:tcPr>
                    <w:tcW w:w="709" w:type="dxa"/>
                    <w:vMerge/>
                    <w:vAlign w:val="center"/>
                  </w:tcPr>
                  <w:p>
                    <w:pPr>
                      <w:rPr>
                        <w:color w:val="000000"/>
                        <w:sz w:val="20"/>
                      </w:rPr>
                    </w:pPr>
                  </w:p>
                </w:tc>
                <w:tc>
                  <w:tcPr>
                    <w:tcW w:w="1276" w:type="dxa"/>
                    <w:vMerge w:val="restart"/>
                  </w:tcPr>
                  <w:p>
                    <w:pPr>
                      <w:rPr>
                        <w:color w:val="000000"/>
                        <w:sz w:val="20"/>
                      </w:rPr>
                    </w:pPr>
                    <w:r>
                      <w:rPr>
                        <w:sz w:val="20"/>
                      </w:rPr>
                      <w:t>1 320</w:t>
                    </w:r>
                  </w:p>
                </w:tc>
                <w:tc>
                  <w:tcPr>
                    <w:tcW w:w="992" w:type="dxa"/>
                    <w:vMerge w:val="restart"/>
                  </w:tcPr>
                  <w:p>
                    <w:pPr>
                      <w:rPr>
                        <w:color w:val="000000"/>
                        <w:sz w:val="20"/>
                      </w:rPr>
                    </w:pPr>
                    <w:r>
                      <w:rPr>
                        <w:iCs/>
                        <w:sz w:val="20"/>
                      </w:rPr>
                      <w:t>PVM iš VB</w:t>
                    </w:r>
                  </w:p>
                </w:tc>
                <w:tc>
                  <w:tcPr>
                    <w:tcW w:w="2551" w:type="dxa"/>
                    <w:vMerge/>
                    <w:tcBorders>
                      <w:bottom w:val="single" w:sz="4" w:space="0" w:color="auto"/>
                    </w:tcBorders>
                    <w:shd w:val="clear" w:color="auto" w:fill="auto"/>
                  </w:tcPr>
                  <w:p>
                    <w:pPr>
                      <w:ind w:left="-57" w:right="-57"/>
                      <w:rPr>
                        <w:sz w:val="20"/>
                      </w:rPr>
                    </w:pPr>
                  </w:p>
                </w:tc>
                <w:tc>
                  <w:tcPr>
                    <w:tcW w:w="851" w:type="dxa"/>
                    <w:vMerge/>
                    <w:tcBorders>
                      <w:bottom w:val="single" w:sz="4" w:space="0" w:color="auto"/>
                    </w:tcBorders>
                    <w:shd w:val="clear" w:color="auto" w:fill="auto"/>
                  </w:tcPr>
                  <w:p>
                    <w:pPr>
                      <w:ind w:left="-57" w:right="-57"/>
                      <w:jc w:val="center"/>
                      <w:rPr>
                        <w:sz w:val="20"/>
                      </w:rPr>
                    </w:pPr>
                  </w:p>
                </w:tc>
                <w:tc>
                  <w:tcPr>
                    <w:tcW w:w="992" w:type="dxa"/>
                    <w:vMerge/>
                    <w:tcBorders>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1"/>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 xml:space="preserve">P – </w:t>
                    </w:r>
                    <w:r>
                      <w:rPr>
                        <w:sz w:val="20"/>
                        <w:lang w:eastAsia="lt-LT"/>
                      </w:rPr>
                      <w:t>Atliktų viso žmogaus genomo sekos nustatymo tyrimų skaičius, vnt.</w:t>
                    </w:r>
                  </w:p>
                </w:tc>
                <w:tc>
                  <w:tcPr>
                    <w:tcW w:w="851" w:type="dxa"/>
                    <w:shd w:val="clear" w:color="auto" w:fill="auto"/>
                  </w:tcPr>
                  <w:p>
                    <w:pPr>
                      <w:jc w:val="center"/>
                      <w:rPr>
                        <w:sz w:val="20"/>
                      </w:rPr>
                    </w:pPr>
                    <w:r>
                      <w:rPr>
                        <w:sz w:val="20"/>
                      </w:rPr>
                      <w:t>750</w:t>
                    </w:r>
                  </w:p>
                  <w:p>
                    <w:pPr>
                      <w:jc w:val="center"/>
                      <w:rPr>
                        <w:sz w:val="20"/>
                      </w:rPr>
                    </w:pPr>
                    <w:r>
                      <w:rPr>
                        <w:sz w:val="20"/>
                      </w:rPr>
                      <w:t>(2025 m.</w:t>
                    </w:r>
                  </w:p>
                  <w:p>
                    <w:pPr>
                      <w:ind w:left="-57" w:right="-57"/>
                      <w:jc w:val="center"/>
                      <w:rPr>
                        <w:sz w:val="20"/>
                      </w:rPr>
                    </w:pPr>
                    <w:r>
                      <w:rPr>
                        <w:sz w:val="20"/>
                      </w:rPr>
                      <w:t>II ketv.)</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jc w:val="center"/>
                      <w:rPr>
                        <w:color w:val="000000"/>
                        <w:sz w:val="20"/>
                      </w:rPr>
                    </w:pPr>
                  </w:p>
                </w:tc>
              </w:tr>
              <w:tr>
                <w:trPr>
                  <w:trHeight w:val="841"/>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 xml:space="preserve">P – Atliktų viso žmogaus genomo sekos nustatymo tyrimų skaičius, vnt. </w:t>
                    </w:r>
                  </w:p>
                </w:tc>
                <w:tc>
                  <w:tcPr>
                    <w:tcW w:w="851" w:type="dxa"/>
                    <w:shd w:val="clear" w:color="auto" w:fill="auto"/>
                  </w:tcPr>
                  <w:p>
                    <w:pPr>
                      <w:ind w:left="-57" w:right="-57"/>
                      <w:jc w:val="center"/>
                      <w:rPr>
                        <w:sz w:val="20"/>
                      </w:rPr>
                    </w:pPr>
                    <w:r>
                      <w:rPr>
                        <w:sz w:val="20"/>
                      </w:rPr>
                      <w:t>1 570</w:t>
                    </w:r>
                  </w:p>
                  <w:p>
                    <w:pPr>
                      <w:ind w:left="-57" w:right="-57"/>
                      <w:jc w:val="center"/>
                      <w:rPr>
                        <w:sz w:val="20"/>
                      </w:rPr>
                    </w:pPr>
                    <w:r>
                      <w:rPr>
                        <w:sz w:val="20"/>
                      </w:rPr>
                      <w:t>(2026 m. I ketv.)</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jc w:val="center"/>
                      <w:rPr>
                        <w:color w:val="000000"/>
                        <w:sz w:val="20"/>
                      </w:rPr>
                    </w:pPr>
                  </w:p>
                </w:tc>
              </w:tr>
              <w:tr>
                <w:trPr>
                  <w:trHeight w:val="1176"/>
                </w:trPr>
                <w:tc>
                  <w:tcPr>
                    <w:tcW w:w="2410" w:type="dxa"/>
                    <w:vMerge w:val="restart"/>
                  </w:tcPr>
                  <w:p>
                    <w:pPr>
                      <w:rPr>
                        <w:iCs/>
                        <w:sz w:val="20"/>
                      </w:rPr>
                    </w:pPr>
                    <w:r>
                      <w:rPr>
                        <w:iCs/>
                        <w:sz w:val="20"/>
                      </w:rPr>
                      <w:t>3.3. Inovatyvių specializuotų sveikatos priežiūros paslaugų teikimo ir organizavimo modelių kūrimas ir išbandymas,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 xml:space="preserve">ASPĮ; </w:t>
                    </w:r>
                  </w:p>
                  <w:p>
                    <w:pPr>
                      <w:rPr>
                        <w:sz w:val="20"/>
                      </w:rPr>
                    </w:pPr>
                    <w:r>
                      <w:rPr>
                        <w:sz w:val="20"/>
                      </w:rPr>
                      <w:t>ESFA</w:t>
                    </w:r>
                  </w:p>
                  <w:p>
                    <w:pPr>
                      <w:rPr>
                        <w:sz w:val="20"/>
                      </w:rPr>
                    </w:pPr>
                  </w:p>
                </w:tc>
                <w:tc>
                  <w:tcPr>
                    <w:tcW w:w="709" w:type="dxa"/>
                    <w:vMerge w:val="restart"/>
                  </w:tcPr>
                  <w:p>
                    <w:pPr>
                      <w:rPr>
                        <w:sz w:val="20"/>
                      </w:rPr>
                    </w:pPr>
                    <w:r>
                      <w:rPr>
                        <w:sz w:val="20"/>
                      </w:rPr>
                      <w:t>P/Pj</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vMerge w:val="restart"/>
                  </w:tcPr>
                  <w:p>
                    <w:pPr>
                      <w:rPr>
                        <w:sz w:val="20"/>
                      </w:rPr>
                    </w:pPr>
                    <w:r>
                      <w:rPr>
                        <w:sz w:val="20"/>
                      </w:rPr>
                      <w:t>8 823,193</w:t>
                    </w:r>
                  </w:p>
                  <w:p>
                    <w:pPr>
                      <w:rPr>
                        <w:sz w:val="20"/>
                      </w:rPr>
                    </w:pPr>
                  </w:p>
                </w:tc>
                <w:tc>
                  <w:tcPr>
                    <w:tcW w:w="992" w:type="dxa"/>
                    <w:vMerge w:val="restart"/>
                  </w:tcPr>
                  <w:p>
                    <w:pPr>
                      <w:rPr>
                        <w:sz w:val="20"/>
                      </w:rPr>
                    </w:pPr>
                    <w:r>
                      <w:rPr>
                        <w:sz w:val="20"/>
                      </w:rPr>
                      <w:t>2021–2027 m. IP (ESF</w:t>
                    </w:r>
                    <w:r>
                      <w:rPr>
                        <w:sz w:val="20"/>
                        <w:lang w:val="en-US"/>
                      </w:rPr>
                      <w:t>+</w:t>
                    </w:r>
                    <w:r>
                      <w:rPr>
                        <w:sz w:val="20"/>
                      </w:rPr>
                      <w:t xml:space="preserve">) </w:t>
                    </w: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 xml:space="preserve">P </w:t>
                    </w:r>
                    <w:r>
                      <w:rPr>
                        <w:color w:val="000000"/>
                        <w:szCs w:val="24"/>
                      </w:rPr>
                      <w:t xml:space="preserve">– </w:t>
                    </w:r>
                    <w:r>
                      <w:rPr>
                        <w:sz w:val="20"/>
                      </w:rPr>
                      <w:t>Paramą gavusių nacionalinio, regionų ar vietos lygmens viešojo administravimo ar viešąsias paslaugas teikiančių įstaigų skaičius, subjektų skaičius</w:t>
                    </w:r>
                  </w:p>
                </w:tc>
                <w:tc>
                  <w:tcPr>
                    <w:tcW w:w="851" w:type="dxa"/>
                    <w:shd w:val="clear" w:color="auto" w:fill="auto"/>
                  </w:tcPr>
                  <w:p>
                    <w:pPr>
                      <w:ind w:left="-57" w:right="-57"/>
                      <w:jc w:val="center"/>
                      <w:rPr>
                        <w:sz w:val="20"/>
                      </w:rPr>
                    </w:pPr>
                    <w:r>
                      <w:rPr>
                        <w:sz w:val="20"/>
                      </w:rPr>
                      <w:t>15</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918"/>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P – Specialistai, dalyvavę kvalifikacijos tobulinimo ar perkvalifikavimo veiklose, asmenys</w:t>
                    </w:r>
                  </w:p>
                </w:tc>
                <w:tc>
                  <w:tcPr>
                    <w:tcW w:w="851" w:type="dxa"/>
                    <w:shd w:val="clear" w:color="auto" w:fill="auto"/>
                  </w:tcPr>
                  <w:p>
                    <w:pPr>
                      <w:ind w:left="-57" w:right="-57"/>
                      <w:jc w:val="center"/>
                      <w:rPr>
                        <w:sz w:val="20"/>
                      </w:rPr>
                    </w:pPr>
                    <w:r>
                      <w:rPr>
                        <w:sz w:val="20"/>
                      </w:rPr>
                      <w:t>600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92"/>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rPr>
                    </w:pPr>
                    <w:r>
                      <w:rPr>
                        <w:sz w:val="20"/>
                      </w:rPr>
                      <w:t>1 557,034</w:t>
                    </w:r>
                  </w:p>
                </w:tc>
                <w:tc>
                  <w:tcPr>
                    <w:tcW w:w="992" w:type="dxa"/>
                    <w:vMerge w:val="restart"/>
                  </w:tcPr>
                  <w:p>
                    <w:pPr>
                      <w:rPr>
                        <w:sz w:val="20"/>
                      </w:rPr>
                    </w:pPr>
                    <w:r>
                      <w:rPr>
                        <w:sz w:val="20"/>
                      </w:rPr>
                      <w:t xml:space="preserve">2021–2027 m. IP (BF) </w:t>
                    </w:r>
                  </w:p>
                </w:tc>
                <w:tc>
                  <w:tcPr>
                    <w:tcW w:w="2551" w:type="dxa"/>
                    <w:shd w:val="clear" w:color="auto" w:fill="FFFFFF" w:themeFill="background1"/>
                  </w:tcPr>
                  <w:p>
                    <w:pPr>
                      <w:ind w:left="-57" w:right="-57"/>
                      <w:rPr>
                        <w:sz w:val="20"/>
                      </w:rPr>
                    </w:pPr>
                    <w:r>
                      <w:rPr>
                        <w:sz w:val="20"/>
                      </w:rPr>
                      <w:t>R – Pacientų pasitenkinimas gautomis paslaugomis</w:t>
                    </w:r>
                    <w:r>
                      <w:t xml:space="preserve">, </w:t>
                    </w:r>
                    <w:r>
                      <w:rPr>
                        <w:sz w:val="20"/>
                      </w:rPr>
                      <w:t>proc.</w:t>
                    </w:r>
                  </w:p>
                </w:tc>
                <w:tc>
                  <w:tcPr>
                    <w:tcW w:w="851" w:type="dxa"/>
                    <w:tcBorders>
                      <w:top w:val="single" w:sz="4" w:space="0" w:color="auto"/>
                      <w:left w:val="single" w:sz="4" w:space="0" w:color="auto"/>
                    </w:tcBorders>
                  </w:tcPr>
                  <w:p>
                    <w:pPr>
                      <w:ind w:left="-57" w:right="-57"/>
                      <w:jc w:val="center"/>
                      <w:rPr>
                        <w:sz w:val="20"/>
                      </w:rPr>
                    </w:pPr>
                    <w:r>
                      <w:rPr>
                        <w:sz w:val="20"/>
                      </w:rPr>
                      <w:t>70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92"/>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FFFFFF" w:themeFill="background1"/>
                  </w:tcPr>
                  <w:p>
                    <w:pPr>
                      <w:ind w:left="-57" w:right="-57"/>
                      <w:rPr>
                        <w:sz w:val="20"/>
                      </w:rPr>
                    </w:pPr>
                    <w:r>
                      <w:rPr>
                        <w:sz w:val="20"/>
                      </w:rPr>
                      <w:t xml:space="preserve">R – </w:t>
                    </w:r>
                    <w:r>
                      <w:rPr>
                        <w:sz w:val="20"/>
                        <w:lang w:eastAsia="lt-LT"/>
                      </w:rPr>
                      <w:t>Specialistų, kurie po dalyvavimo veiklose įgijo ar patobulino kvalifikaciją, dalis, proc.</w:t>
                    </w:r>
                  </w:p>
                </w:tc>
                <w:tc>
                  <w:tcPr>
                    <w:tcW w:w="851" w:type="dxa"/>
                    <w:shd w:val="clear" w:color="auto" w:fill="FFFFFF" w:themeFill="background1"/>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1264"/>
                </w:trPr>
                <w:tc>
                  <w:tcPr>
                    <w:tcW w:w="2410" w:type="dxa"/>
                  </w:tcPr>
                  <w:p>
                    <w:pPr>
                      <w:rPr>
                        <w:iCs/>
                        <w:sz w:val="20"/>
                      </w:rPr>
                    </w:pPr>
                    <w:r>
                      <w:rPr>
                        <w:iCs/>
                        <w:sz w:val="20"/>
                      </w:rPr>
                      <w:t>3.4. Sudėtingų sveikatos priežiūros diagnostikos ir gydymo paslaugų infrastruktūros modernizavimas</w:t>
                    </w:r>
                  </w:p>
                </w:tc>
                <w:tc>
                  <w:tcPr>
                    <w:tcW w:w="709" w:type="dxa"/>
                  </w:tcPr>
                  <w:p>
                    <w:pPr>
                      <w:rPr>
                        <w:color w:val="000000"/>
                        <w:sz w:val="20"/>
                      </w:rPr>
                    </w:pPr>
                    <w:r>
                      <w:rPr>
                        <w:sz w:val="20"/>
                      </w:rPr>
                      <w:t>I</w:t>
                    </w:r>
                  </w:p>
                </w:tc>
                <w:tc>
                  <w:tcPr>
                    <w:tcW w:w="1559" w:type="dxa"/>
                  </w:tcPr>
                  <w:p>
                    <w:pPr>
                      <w:rPr>
                        <w:color w:val="000000"/>
                        <w:sz w:val="20"/>
                      </w:rPr>
                    </w:pPr>
                    <w:r>
                      <w:rPr>
                        <w:sz w:val="20"/>
                      </w:rPr>
                      <w:t>ASPĮ</w:t>
                    </w:r>
                  </w:p>
                </w:tc>
                <w:tc>
                  <w:tcPr>
                    <w:tcW w:w="709" w:type="dxa"/>
                  </w:tcPr>
                  <w:p>
                    <w:pPr>
                      <w:rPr>
                        <w:color w:val="000000"/>
                        <w:sz w:val="20"/>
                      </w:rPr>
                    </w:pPr>
                    <w:r>
                      <w:rPr>
                        <w:sz w:val="20"/>
                      </w:rPr>
                      <w:t>P</w:t>
                    </w:r>
                  </w:p>
                </w:tc>
                <w:tc>
                  <w:tcPr>
                    <w:tcW w:w="992" w:type="dxa"/>
                  </w:tcPr>
                  <w:p>
                    <w:pPr>
                      <w:rPr>
                        <w:color w:val="000000"/>
                        <w:sz w:val="20"/>
                      </w:rPr>
                    </w:pPr>
                    <w:r>
                      <w:rPr>
                        <w:sz w:val="20"/>
                      </w:rPr>
                      <w:t>Taip</w:t>
                    </w:r>
                  </w:p>
                </w:tc>
                <w:tc>
                  <w:tcPr>
                    <w:tcW w:w="709" w:type="dxa"/>
                  </w:tcPr>
                  <w:p>
                    <w:pPr>
                      <w:rPr>
                        <w:color w:val="000000"/>
                        <w:sz w:val="20"/>
                      </w:rPr>
                    </w:pPr>
                    <w:r>
                      <w:rPr>
                        <w:sz w:val="20"/>
                      </w:rPr>
                      <w:t>D</w:t>
                    </w:r>
                  </w:p>
                </w:tc>
                <w:tc>
                  <w:tcPr>
                    <w:tcW w:w="1276" w:type="dxa"/>
                  </w:tcPr>
                  <w:p>
                    <w:pPr>
                      <w:rPr>
                        <w:sz w:val="20"/>
                      </w:rPr>
                    </w:pPr>
                    <w:r>
                      <w:rPr>
                        <w:sz w:val="20"/>
                      </w:rPr>
                      <w:t>19 000</w:t>
                    </w:r>
                  </w:p>
                </w:tc>
                <w:tc>
                  <w:tcPr>
                    <w:tcW w:w="992" w:type="dxa"/>
                  </w:tcPr>
                  <w:p>
                    <w:pPr>
                      <w:rPr>
                        <w:sz w:val="20"/>
                      </w:rPr>
                    </w:pPr>
                    <w:r>
                      <w:rPr>
                        <w:sz w:val="20"/>
                      </w:rPr>
                      <w:t>VB</w:t>
                    </w:r>
                  </w:p>
                </w:tc>
                <w:tc>
                  <w:tcPr>
                    <w:tcW w:w="2551" w:type="dxa"/>
                    <w:shd w:val="clear" w:color="auto" w:fill="auto"/>
                  </w:tcPr>
                  <w:p>
                    <w:pPr>
                      <w:ind w:left="-57" w:right="-57"/>
                      <w:rPr>
                        <w:sz w:val="20"/>
                      </w:rPr>
                    </w:pPr>
                    <w:r>
                      <w:rPr>
                        <w:sz w:val="20"/>
                      </w:rPr>
                      <w:t>P – Modernizuotų asmens sveikatos priežiūros įstaigų skaičius</w:t>
                    </w:r>
                  </w:p>
                </w:tc>
                <w:tc>
                  <w:tcPr>
                    <w:tcW w:w="851" w:type="dxa"/>
                    <w:shd w:val="clear" w:color="auto" w:fill="auto"/>
                  </w:tcPr>
                  <w:p>
                    <w:pPr>
                      <w:ind w:left="-57" w:right="-57"/>
                      <w:jc w:val="center"/>
                      <w:rPr>
                        <w:sz w:val="20"/>
                      </w:rPr>
                    </w:pPr>
                    <w:r>
                      <w:rPr>
                        <w:sz w:val="20"/>
                      </w:rPr>
                      <w:t>6</w:t>
                    </w:r>
                  </w:p>
                  <w:p>
                    <w:pPr>
                      <w:ind w:left="-57" w:right="-57"/>
                      <w:jc w:val="center"/>
                      <w:rPr>
                        <w:sz w:val="20"/>
                      </w:rPr>
                    </w:pPr>
                    <w:r>
                      <w:rPr>
                        <w:sz w:val="20"/>
                      </w:rPr>
                      <w:t>(2030 m.)</w:t>
                    </w:r>
                  </w:p>
                </w:tc>
                <w:tc>
                  <w:tcPr>
                    <w:tcW w:w="992" w:type="dxa"/>
                  </w:tcPr>
                  <w:p>
                    <w:pPr>
                      <w:rPr>
                        <w:sz w:val="20"/>
                      </w:rPr>
                    </w:pPr>
                    <w:r>
                      <w:rPr>
                        <w:sz w:val="20"/>
                      </w:rPr>
                      <w:t>SAM</w:t>
                    </w:r>
                  </w:p>
                  <w:p>
                    <w:pPr>
                      <w:rPr>
                        <w:sz w:val="20"/>
                      </w:rPr>
                    </w:pPr>
                  </w:p>
                </w:tc>
                <w:tc>
                  <w:tcPr>
                    <w:tcW w:w="1276" w:type="dxa"/>
                    <w:tcBorders>
                      <w:left w:val="single" w:sz="4" w:space="0" w:color="auto"/>
                      <w:right w:val="single" w:sz="4" w:space="0" w:color="auto"/>
                    </w:tcBorders>
                  </w:tcPr>
                  <w:p>
                    <w:pPr>
                      <w:jc w:val="center"/>
                      <w:rPr>
                        <w:color w:val="000000"/>
                        <w:sz w:val="20"/>
                      </w:rPr>
                    </w:pPr>
                    <w:r>
                      <w:rPr>
                        <w:color w:val="000000"/>
                        <w:sz w:val="20"/>
                      </w:rPr>
                      <w:t>SAM</w:t>
                    </w:r>
                  </w:p>
                </w:tc>
              </w:tr>
              <w:tr>
                <w:trPr>
                  <w:trHeight w:val="414"/>
                </w:trPr>
                <w:tc>
                  <w:tcPr>
                    <w:tcW w:w="2410" w:type="dxa"/>
                    <w:vMerge w:val="restart"/>
                    <w:tcBorders>
                      <w:top w:val="single" w:sz="4" w:space="0" w:color="auto"/>
                      <w:left w:val="single" w:sz="4" w:space="0" w:color="auto"/>
                      <w:right w:val="single" w:sz="4" w:space="0" w:color="auto"/>
                    </w:tcBorders>
                    <w:shd w:val="clear" w:color="auto" w:fill="F2F2F2" w:themeFill="background1" w:themeFillShade="F2"/>
                  </w:tcPr>
                  <w:p>
                    <w:pPr>
                      <w:rPr>
                        <w:b/>
                        <w:bCs/>
                        <w:sz w:val="20"/>
                      </w:rPr>
                    </w:pPr>
                    <w:r>
                      <w:rPr>
                        <w:b/>
                        <w:bCs/>
                        <w:sz w:val="20"/>
                      </w:rPr>
                      <w:t>4. Sveikatos sektoriaus skaitmeninimas</w:t>
                    </w:r>
                  </w:p>
                  <w:p>
                    <w:pPr>
                      <w:rPr>
                        <w:sz w:val="20"/>
                      </w:rPr>
                    </w:pP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1559"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b/>
                        <w:bCs/>
                        <w:sz w:val="20"/>
                      </w:rPr>
                    </w:pPr>
                    <w:r>
                      <w:rPr>
                        <w:b/>
                        <w:bCs/>
                        <w:sz w:val="20"/>
                      </w:rPr>
                      <w:t>108 115,153</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w:t>
                    </w:r>
                  </w:p>
                </w:tc>
                <w:tc>
                  <w:tcPr>
                    <w:tcW w:w="2551"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both"/>
                      <w:rPr>
                        <w:sz w:val="20"/>
                      </w:rPr>
                    </w:pPr>
                    <w:r>
                      <w:rPr>
                        <w:sz w:val="20"/>
                      </w:rPr>
                      <w:t>R – Mirštamumas nuo miokardo infarkto per 30 dienų nuo hospitalizacijos, proc.</w:t>
                    </w:r>
                  </w:p>
                </w:tc>
                <w:tc>
                  <w:tcPr>
                    <w:tcW w:w="851"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sz w:val="20"/>
                      </w:rPr>
                    </w:pPr>
                    <w:r>
                      <w:rPr>
                        <w:sz w:val="20"/>
                      </w:rPr>
                      <w:t>9</w:t>
                    </w:r>
                  </w:p>
                  <w:p>
                    <w:pPr>
                      <w:ind w:left="-57" w:right="-57"/>
                      <w:jc w:val="center"/>
                      <w:rPr>
                        <w:sz w:val="20"/>
                      </w:rPr>
                    </w:pPr>
                    <w:r>
                      <w:rPr>
                        <w:sz w:val="20"/>
                      </w:rPr>
                      <w:t>(2030 m.)</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p>
                  <w:p>
                    <w:pPr>
                      <w:rPr>
                        <w:sz w:val="20"/>
                      </w:rPr>
                    </w:pPr>
                  </w:p>
                </w:tc>
                <w:tc>
                  <w:tcPr>
                    <w:tcW w:w="1276" w:type="dxa"/>
                    <w:vMerge w:val="restart"/>
                    <w:tcBorders>
                      <w:top w:val="single" w:sz="4" w:space="0" w:color="auto"/>
                      <w:left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1559"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89 346,491</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EGADP</w:t>
                    </w:r>
                  </w:p>
                </w:tc>
                <w:tc>
                  <w:tcPr>
                    <w:tcW w:w="2551" w:type="dxa"/>
                    <w:vMerge/>
                    <w:tcBorders>
                      <w:left w:val="single" w:sz="4" w:space="0" w:color="auto"/>
                      <w:right w:val="single" w:sz="4" w:space="0" w:color="auto"/>
                    </w:tcBorders>
                    <w:shd w:val="clear" w:color="auto" w:fill="F2F2F2" w:themeFill="background1" w:themeFillShade="F2"/>
                  </w:tcPr>
                  <w:p>
                    <w:pPr>
                      <w:ind w:left="-57" w:right="-57"/>
                      <w:jc w:val="both"/>
                      <w:rPr>
                        <w:sz w:val="20"/>
                      </w:rPr>
                    </w:pPr>
                  </w:p>
                </w:tc>
                <w:tc>
                  <w:tcPr>
                    <w:tcW w:w="851" w:type="dxa"/>
                    <w:vMerge/>
                    <w:tcBorders>
                      <w:left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jc w:val="center"/>
                      <w:rPr>
                        <w:color w:val="000000"/>
                        <w:sz w:val="20"/>
                      </w:rPr>
                    </w:pPr>
                  </w:p>
                </w:tc>
              </w:tr>
              <w:tr>
                <w:trPr>
                  <w:trHeight w:val="230"/>
                </w:trPr>
                <w:tc>
                  <w:tcPr>
                    <w:tcW w:w="2410"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1559"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18 768,662</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PVM iš VB</w:t>
                    </w:r>
                  </w:p>
                </w:tc>
                <w:tc>
                  <w:tcPr>
                    <w:tcW w:w="2551"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p>
                </w:tc>
                <w:tc>
                  <w:tcPr>
                    <w:tcW w:w="851"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410"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559"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r>
                      <w:rPr>
                        <w:sz w:val="20"/>
                      </w:rPr>
                      <w:t xml:space="preserve">R – Mirštamumas nuo išeminio galvos smegenų insulto per 30 dienų po hospitalizacijos, proc. </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12</w:t>
                    </w:r>
                  </w:p>
                  <w:p>
                    <w:pPr>
                      <w:ind w:left="-57" w:right="-57"/>
                      <w:jc w:val="center"/>
                      <w:rPr>
                        <w:sz w:val="20"/>
                      </w:rPr>
                    </w:pPr>
                    <w:r>
                      <w:rPr>
                        <w:sz w:val="20"/>
                      </w:rPr>
                      <w:t>(2030 m.)</w:t>
                    </w: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410"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559"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shd w:val="clear" w:color="auto" w:fill="F2F2F2" w:themeFill="background1" w:themeFillShade="F2"/>
                  </w:tcPr>
                  <w:p>
                    <w:pPr>
                      <w:rPr>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r>
                      <w:rPr>
                        <w:sz w:val="20"/>
                      </w:rPr>
                      <w:t>R – Gyventojų, dėl laukimo laiko (ilgų eilių) atidėjusių kreipimąsi dėl sveikatos priežiūros paslaugų, dalis,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(2030 m.)</w:t>
                    </w:r>
                  </w:p>
                  <w:p>
                    <w:pPr>
                      <w:ind w:left="-57" w:right="-57"/>
                      <w:jc w:val="center"/>
                      <w:rPr>
                        <w:sz w:val="20"/>
                      </w:rPr>
                    </w:pPr>
                  </w:p>
                  <w:p>
                    <w:pPr>
                      <w:ind w:left="-57" w:right="-57"/>
                      <w:jc w:val="cente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bottom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410" w:type="dxa"/>
                    <w:vMerge w:val="restart"/>
                  </w:tcPr>
                  <w:p>
                    <w:pPr>
                      <w:rPr>
                        <w:sz w:val="20"/>
                      </w:rPr>
                    </w:pPr>
                    <w:r>
                      <w:rPr>
                        <w:sz w:val="20"/>
                      </w:rPr>
                      <w:t>4.1. Teisės aktų ir kitų sveikatos skaitmeninimo srities dokumentų parengimas</w:t>
                    </w:r>
                  </w:p>
                </w:tc>
                <w:tc>
                  <w:tcPr>
                    <w:tcW w:w="709" w:type="dxa"/>
                    <w:vMerge w:val="restart"/>
                  </w:tcPr>
                  <w:p>
                    <w:pPr>
                      <w:rPr>
                        <w:sz w:val="20"/>
                      </w:rPr>
                    </w:pPr>
                    <w:r>
                      <w:rPr>
                        <w:sz w:val="20"/>
                      </w:rPr>
                      <w:t>R</w:t>
                    </w:r>
                  </w:p>
                </w:tc>
                <w:tc>
                  <w:tcPr>
                    <w:tcW w:w="1559" w:type="dxa"/>
                    <w:vMerge w:val="restart"/>
                  </w:tcPr>
                  <w:p>
                    <w:pPr>
                      <w:rPr>
                        <w:sz w:val="20"/>
                      </w:rPr>
                    </w:pPr>
                    <w:r>
                      <w:rPr>
                        <w:sz w:val="20"/>
                      </w:rPr>
                      <w:t>-</w:t>
                    </w:r>
                  </w:p>
                </w:tc>
                <w:tc>
                  <w:tcPr>
                    <w:tcW w:w="709" w:type="dxa"/>
                    <w:vMerge w:val="restart"/>
                  </w:tcPr>
                  <w:p>
                    <w:pPr>
                      <w:rPr>
                        <w:sz w:val="20"/>
                      </w:rPr>
                    </w:pPr>
                    <w:r>
                      <w:rPr>
                        <w:sz w:val="20"/>
                      </w:rPr>
                      <w:t>-</w:t>
                    </w:r>
                  </w:p>
                </w:tc>
                <w:tc>
                  <w:tcPr>
                    <w:tcW w:w="992" w:type="dxa"/>
                    <w:vMerge w:val="restart"/>
                  </w:tcPr>
                  <w:p>
                    <w:pPr>
                      <w:rPr>
                        <w:sz w:val="20"/>
                      </w:rPr>
                    </w:pPr>
                    <w:r>
                      <w:rPr>
                        <w:sz w:val="20"/>
                      </w:rPr>
                      <w:t>Taip</w:t>
                    </w:r>
                  </w:p>
                </w:tc>
                <w:tc>
                  <w:tcPr>
                    <w:tcW w:w="709" w:type="dxa"/>
                    <w:vMerge w:val="restart"/>
                  </w:tcPr>
                  <w:p>
                    <w:pPr>
                      <w:rPr>
                        <w:sz w:val="20"/>
                      </w:rPr>
                    </w:pPr>
                    <w:r>
                      <w:rPr>
                        <w:sz w:val="20"/>
                      </w:rPr>
                      <w:t>-</w:t>
                    </w:r>
                  </w:p>
                </w:tc>
                <w:tc>
                  <w:tcPr>
                    <w:tcW w:w="1276" w:type="dxa"/>
                    <w:vMerge w:val="restart"/>
                  </w:tcPr>
                  <w:p>
                    <w:pPr>
                      <w:rPr>
                        <w:sz w:val="20"/>
                      </w:rPr>
                    </w:pPr>
                    <w:r>
                      <w:rPr>
                        <w:sz w:val="20"/>
                      </w:rPr>
                      <w:t>-</w:t>
                    </w:r>
                  </w:p>
                </w:tc>
                <w:tc>
                  <w:tcPr>
                    <w:tcW w:w="992" w:type="dxa"/>
                    <w:vMerge w:val="restart"/>
                  </w:tcPr>
                  <w:p>
                    <w:pPr>
                      <w:rPr>
                        <w:sz w:val="20"/>
                      </w:rPr>
                    </w:pPr>
                    <w:r>
                      <w:rPr>
                        <w:sz w:val="20"/>
                      </w:rPr>
                      <w:t>-</w:t>
                    </w:r>
                  </w:p>
                </w:tc>
                <w:tc>
                  <w:tcPr>
                    <w:tcW w:w="2551" w:type="dxa"/>
                    <w:shd w:val="clear" w:color="auto" w:fill="auto"/>
                  </w:tcPr>
                  <w:p>
                    <w:pPr>
                      <w:ind w:left="-57" w:right="-57"/>
                      <w:jc w:val="both"/>
                      <w:rPr>
                        <w:sz w:val="20"/>
                      </w:rPr>
                    </w:pPr>
                    <w:r>
                      <w:rPr>
                        <w:sz w:val="20"/>
                      </w:rPr>
                      <w:t>P – Įsigalioję teisės aktai, reglamentuojantys pakartotinį sveikatos duomenų naudojimą, kompl.</w:t>
                    </w:r>
                  </w:p>
                </w:tc>
                <w:tc>
                  <w:tcPr>
                    <w:tcW w:w="851" w:type="dxa"/>
                    <w:tcBorders>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(2022 m. III ketv.)</w:t>
                    </w:r>
                  </w:p>
                  <w:p>
                    <w:pPr>
                      <w:ind w:right="-57"/>
                      <w:rPr>
                        <w:sz w:val="20"/>
                      </w:rPr>
                    </w:pPr>
                  </w:p>
                </w:tc>
                <w:tc>
                  <w:tcPr>
                    <w:tcW w:w="992" w:type="dxa"/>
                    <w:vMerge w:val="restart"/>
                    <w:tcBorders>
                      <w:left w:val="single" w:sz="4" w:space="0" w:color="auto"/>
                      <w:right w:val="single" w:sz="4" w:space="0" w:color="auto"/>
                    </w:tcBorders>
                    <w:shd w:val="clear" w:color="auto" w:fill="auto"/>
                  </w:tcPr>
                  <w:p>
                    <w:pPr>
                      <w:rPr>
                        <w:sz w:val="20"/>
                      </w:rPr>
                    </w:pP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p>
                    <w:pPr>
                      <w:rPr>
                        <w:color w:val="000000"/>
                        <w:sz w:val="20"/>
                      </w:rPr>
                    </w:pPr>
                  </w:p>
                </w:tc>
              </w:tr>
              <w:tr>
                <w:trPr>
                  <w:trHeight w:val="414"/>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rPr>
                    </w:pPr>
                    <w:r>
                      <w:rPr>
                        <w:sz w:val="20"/>
                      </w:rPr>
                      <w:t xml:space="preserve">P – Sudarytas  sveikatos priežiūros sistemos informacinių išteklių žemėlapis ir atlikta informacinių sistemų brandos analizė, įvertinant integralumą su kitomis informacinėmis sistemomis, siekiant sveikatos priežiūros sistemos skaitmeninimo, vnt.</w:t>
                    </w:r>
                  </w:p>
                </w:tc>
                <w:tc>
                  <w:tcPr>
                    <w:tcW w:w="851" w:type="dxa"/>
                    <w:tcBorders>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(2022 m. III ketv.)</w:t>
                    </w:r>
                  </w:p>
                </w:tc>
                <w:tc>
                  <w:tcPr>
                    <w:tcW w:w="992" w:type="dxa"/>
                    <w:vMerge/>
                    <w:tcBorders>
                      <w:left w:val="single" w:sz="4" w:space="0" w:color="auto"/>
                      <w:right w:val="single" w:sz="4" w:space="0" w:color="auto"/>
                    </w:tcBorders>
                    <w:shd w:val="clear" w:color="auto" w:fill="auto"/>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rPr>
                    </w:pPr>
                    <w:r>
                      <w:rPr>
                        <w:sz w:val="20"/>
                        <w:lang w:eastAsia="lt-LT"/>
                      </w:rPr>
                      <w:t xml:space="preserve">P </w:t>
                    </w:r>
                    <w:r>
                      <w:rPr>
                        <w:sz w:val="20"/>
                      </w:rPr>
                      <w:t>–</w:t>
                    </w:r>
                    <w:r>
                      <w:rPr>
                        <w:sz w:val="20"/>
                        <w:lang w:eastAsia="lt-LT"/>
                      </w:rPr>
                      <w:t xml:space="preserve"> Skaitmeninės sveikatos sistemos plėtros veiksmų planas, vnt.</w:t>
                    </w:r>
                  </w:p>
                </w:tc>
                <w:tc>
                  <w:tcPr>
                    <w:tcW w:w="851" w:type="dxa"/>
                    <w:tcBorders>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w:t>
                    </w:r>
                    <w:r>
                      <w:rPr>
                        <w:sz w:val="20"/>
                        <w:lang w:val="en-US"/>
                      </w:rPr>
                      <w:t>6</w:t>
                    </w:r>
                    <w:r>
                      <w:rPr>
                        <w:sz w:val="20"/>
                      </w:rPr>
                      <w:t xml:space="preserve"> m. II ketv.)</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414"/>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lang w:eastAsia="lt-LT"/>
                      </w:rPr>
                    </w:pPr>
                    <w:r>
                      <w:rPr>
                        <w:sz w:val="20"/>
                        <w:lang w:eastAsia="lt-LT"/>
                      </w:rPr>
                      <w:t xml:space="preserve">P </w:t>
                    </w:r>
                    <w:r>
                      <w:rPr>
                        <w:sz w:val="20"/>
                      </w:rPr>
                      <w:t xml:space="preserve">– </w:t>
                    </w:r>
                    <w:r>
                      <w:rPr>
                        <w:sz w:val="20"/>
                        <w:lang w:eastAsia="lt-LT"/>
                      </w:rPr>
                      <w:t xml:space="preserve"> Patvirtintas Skaitmeninės sveikatos sistemos plėtros veiksmų planas, vnt.</w:t>
                    </w:r>
                  </w:p>
                </w:tc>
                <w:tc>
                  <w:tcPr>
                    <w:tcW w:w="851" w:type="dxa"/>
                    <w:tcBorders>
                      <w:right w:val="single" w:sz="4" w:space="0" w:color="auto"/>
                    </w:tcBorders>
                    <w:shd w:val="clear" w:color="auto" w:fill="auto"/>
                  </w:tcPr>
                  <w:p>
                    <w:pPr>
                      <w:jc w:val="center"/>
                      <w:rPr>
                        <w:sz w:val="20"/>
                        <w:lang w:val="en-US"/>
                      </w:rPr>
                    </w:pPr>
                    <w:r>
                      <w:rPr>
                        <w:sz w:val="20"/>
                        <w:lang w:val="en-US"/>
                      </w:rPr>
                      <w:t>1</w:t>
                    </w:r>
                  </w:p>
                  <w:p>
                    <w:pPr>
                      <w:ind w:left="-57" w:right="-57"/>
                      <w:jc w:val="center"/>
                      <w:rPr>
                        <w:sz w:val="20"/>
                      </w:rPr>
                    </w:pPr>
                    <w:r>
                      <w:rPr>
                        <w:sz w:val="20"/>
                      </w:rPr>
                      <w:t>(2024 m. I ketv.)</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37"/>
                </w:trPr>
                <w:tc>
                  <w:tcPr>
                    <w:tcW w:w="2410" w:type="dxa"/>
                    <w:vMerge w:val="restart"/>
                    <w:shd w:val="clear" w:color="auto" w:fill="auto"/>
                  </w:tcPr>
                  <w:p>
                    <w:pPr>
                      <w:rPr>
                        <w:sz w:val="20"/>
                      </w:rPr>
                    </w:pPr>
                    <w:r>
                      <w:rPr>
                        <w:sz w:val="20"/>
                      </w:rPr>
                      <w:t>4.2. Sveikatos priežiūros specialistų kompetencijų platformos sukūrimas</w:t>
                    </w:r>
                  </w:p>
                </w:tc>
                <w:tc>
                  <w:tcPr>
                    <w:tcW w:w="709" w:type="dxa"/>
                    <w:vMerge w:val="restart"/>
                    <w:shd w:val="clear" w:color="auto" w:fill="auto"/>
                  </w:tcPr>
                  <w:p>
                    <w:pPr>
                      <w:rPr>
                        <w:sz w:val="20"/>
                      </w:rPr>
                    </w:pPr>
                    <w:r>
                      <w:rPr>
                        <w:sz w:val="20"/>
                      </w:rPr>
                      <w:t>I</w:t>
                    </w:r>
                  </w:p>
                </w:tc>
                <w:tc>
                  <w:tcPr>
                    <w:tcW w:w="1559" w:type="dxa"/>
                    <w:vMerge w:val="restart"/>
                    <w:shd w:val="clear" w:color="auto" w:fill="auto"/>
                  </w:tcPr>
                  <w:p>
                    <w:pPr>
                      <w:rPr>
                        <w:sz w:val="20"/>
                      </w:rPr>
                    </w:pPr>
                    <w:r>
                      <w:rPr>
                        <w:sz w:val="20"/>
                      </w:rPr>
                      <w:t>Valstybinė akreditavimo sveikatos priežiūros veiklai tarnyba prie Sveikatos apsaugos ministerijos (toliau – VASPVT)</w:t>
                    </w:r>
                  </w:p>
                </w:tc>
                <w:tc>
                  <w:tcPr>
                    <w:tcW w:w="709" w:type="dxa"/>
                    <w:vMerge w:val="restart"/>
                    <w:shd w:val="clear" w:color="auto" w:fill="auto"/>
                  </w:tcPr>
                  <w:p>
                    <w:pPr>
                      <w:rPr>
                        <w:sz w:val="20"/>
                      </w:rPr>
                    </w:pPr>
                    <w:r>
                      <w:rPr>
                        <w:sz w:val="20"/>
                      </w:rPr>
                      <w:t>P</w:t>
                    </w:r>
                  </w:p>
                </w:tc>
                <w:tc>
                  <w:tcPr>
                    <w:tcW w:w="992" w:type="dxa"/>
                    <w:vMerge w:val="restart"/>
                    <w:shd w:val="clear" w:color="auto" w:fill="auto"/>
                  </w:tcPr>
                  <w:p>
                    <w:pPr>
                      <w:rPr>
                        <w:sz w:val="20"/>
                      </w:rPr>
                    </w:pPr>
                    <w:r>
                      <w:rPr>
                        <w:sz w:val="20"/>
                      </w:rPr>
                      <w:t>Taip</w:t>
                    </w:r>
                  </w:p>
                </w:tc>
                <w:tc>
                  <w:tcPr>
                    <w:tcW w:w="709" w:type="dxa"/>
                    <w:vMerge w:val="restart"/>
                    <w:shd w:val="clear" w:color="auto" w:fill="auto"/>
                  </w:tcPr>
                  <w:p>
                    <w:pPr>
                      <w:rPr>
                        <w:sz w:val="20"/>
                      </w:rPr>
                    </w:pPr>
                    <w:r>
                      <w:rPr>
                        <w:sz w:val="20"/>
                      </w:rPr>
                      <w:t>D</w:t>
                    </w:r>
                  </w:p>
                </w:tc>
                <w:tc>
                  <w:tcPr>
                    <w:tcW w:w="1276" w:type="dxa"/>
                    <w:shd w:val="clear" w:color="auto" w:fill="auto"/>
                  </w:tcPr>
                  <w:p>
                    <w:pPr>
                      <w:rPr>
                        <w:sz w:val="20"/>
                      </w:rPr>
                    </w:pPr>
                    <w:r>
                      <w:rPr>
                        <w:sz w:val="20"/>
                      </w:rPr>
                      <w:t>2 011</w:t>
                    </w:r>
                  </w:p>
                </w:tc>
                <w:tc>
                  <w:tcPr>
                    <w:tcW w:w="992" w:type="dxa"/>
                    <w:shd w:val="clear" w:color="auto" w:fill="auto"/>
                  </w:tcPr>
                  <w:p>
                    <w:pPr>
                      <w:rPr>
                        <w:sz w:val="20"/>
                      </w:rPr>
                    </w:pPr>
                    <w:r>
                      <w:rPr>
                        <w:sz w:val="20"/>
                      </w:rPr>
                      <w:t>EGADP</w:t>
                    </w:r>
                  </w:p>
                </w:tc>
                <w:tc>
                  <w:tcPr>
                    <w:tcW w:w="2551" w:type="dxa"/>
                    <w:vMerge w:val="restart"/>
                    <w:shd w:val="clear" w:color="auto" w:fill="auto"/>
                  </w:tcPr>
                  <w:p>
                    <w:pPr>
                      <w:rPr>
                        <w:sz w:val="20"/>
                      </w:rPr>
                    </w:pPr>
                    <w:r>
                      <w:rPr>
                        <w:sz w:val="20"/>
                      </w:rPr>
                      <w:t xml:space="preserve">P – </w:t>
                    </w:r>
                    <w:r>
                      <w:rPr>
                        <w:sz w:val="20"/>
                        <w:lang w:eastAsia="lt-LT"/>
                      </w:rPr>
                      <w:t>Atviros viešųjų pirkimų procedūros, skirtos sveikatos priežiūros specialistų gebėjimų platformos informacinių technologijų priemonei įdiegti, užbaigimas, vnt.</w:t>
                    </w:r>
                  </w:p>
                </w:tc>
                <w:tc>
                  <w:tcPr>
                    <w:tcW w:w="851" w:type="dxa"/>
                    <w:vMerge w:val="restart"/>
                    <w:shd w:val="clear" w:color="auto" w:fill="auto"/>
                  </w:tcPr>
                  <w:p>
                    <w:pPr>
                      <w:ind w:left="-57" w:right="-57"/>
                      <w:jc w:val="center"/>
                      <w:rPr>
                        <w:sz w:val="20"/>
                      </w:rPr>
                    </w:pPr>
                    <w:r>
                      <w:rPr>
                        <w:sz w:val="20"/>
                      </w:rPr>
                      <w:t>1</w:t>
                    </w:r>
                  </w:p>
                  <w:p>
                    <w:pPr>
                      <w:ind w:left="-57" w:right="-57"/>
                      <w:jc w:val="center"/>
                      <w:rPr>
                        <w:sz w:val="20"/>
                      </w:rPr>
                    </w:pPr>
                    <w:r>
                      <w:rPr>
                        <w:sz w:val="20"/>
                      </w:rPr>
                      <w:t>(2022 m. IV ketv.)</w:t>
                    </w:r>
                  </w:p>
                  <w:p>
                    <w:pPr>
                      <w:ind w:left="-57" w:right="-57"/>
                      <w:jc w:val="center"/>
                      <w:rPr>
                        <w:sz w:val="20"/>
                      </w:rPr>
                    </w:pP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414"/>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val="restart"/>
                    <w:shd w:val="clear" w:color="auto" w:fill="auto"/>
                  </w:tcPr>
                  <w:p>
                    <w:pPr>
                      <w:rPr>
                        <w:sz w:val="20"/>
                      </w:rPr>
                    </w:pPr>
                    <w:r>
                      <w:rPr>
                        <w:sz w:val="20"/>
                      </w:rPr>
                      <w:t>422</w:t>
                    </w:r>
                  </w:p>
                </w:tc>
                <w:tc>
                  <w:tcPr>
                    <w:tcW w:w="992" w:type="dxa"/>
                    <w:vMerge w:val="restart"/>
                    <w:shd w:val="clear" w:color="auto" w:fill="auto"/>
                  </w:tcPr>
                  <w:p>
                    <w:pPr>
                      <w:rPr>
                        <w:sz w:val="20"/>
                      </w:rPr>
                    </w:pPr>
                    <w:r>
                      <w:rPr>
                        <w:iCs/>
                        <w:sz w:val="20"/>
                      </w:rPr>
                      <w:t>PVM iš VB</w:t>
                    </w:r>
                  </w:p>
                </w:tc>
                <w:tc>
                  <w:tcPr>
                    <w:tcW w:w="2551" w:type="dxa"/>
                    <w:vMerge/>
                    <w:shd w:val="clear" w:color="auto" w:fill="auto"/>
                  </w:tcPr>
                  <w:p>
                    <w:pPr>
                      <w:ind w:left="-57" w:right="-57"/>
                      <w:rPr>
                        <w:sz w:val="20"/>
                      </w:rPr>
                    </w:pPr>
                  </w:p>
                </w:tc>
                <w:tc>
                  <w:tcPr>
                    <w:tcW w:w="851" w:type="dxa"/>
                    <w:vMerge/>
                    <w:shd w:val="clear" w:color="auto" w:fill="CCC0D9" w:themeFill="accent4" w:themeFillTint="66"/>
                  </w:tcPr>
                  <w:p>
                    <w:pPr>
                      <w:ind w:left="-57" w:right="-57"/>
                      <w:jc w:val="center"/>
                      <w:rPr>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P – Sveikatos priežiūros specialistų kompetencijų platformos sukūrimas, vnt.</w:t>
                    </w:r>
                  </w:p>
                </w:tc>
                <w:tc>
                  <w:tcPr>
                    <w:tcW w:w="851" w:type="dxa"/>
                    <w:shd w:val="clear" w:color="auto" w:fill="auto"/>
                  </w:tcPr>
                  <w:p>
                    <w:pPr>
                      <w:ind w:left="-57" w:right="-57"/>
                      <w:jc w:val="center"/>
                      <w:rPr>
                        <w:sz w:val="20"/>
                      </w:rPr>
                    </w:pPr>
                    <w:r>
                      <w:rPr>
                        <w:sz w:val="20"/>
                      </w:rPr>
                      <w:t>1</w:t>
                    </w:r>
                  </w:p>
                  <w:p>
                    <w:pPr>
                      <w:ind w:left="-57" w:right="-57"/>
                      <w:jc w:val="center"/>
                      <w:rPr>
                        <w:sz w:val="20"/>
                      </w:rPr>
                    </w:pPr>
                    <w:r>
                      <w:rPr>
                        <w:sz w:val="20"/>
                      </w:rPr>
                      <w:t>(2024 m. IV ketv.)</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 xml:space="preserve">P – </w:t>
                    </w:r>
                    <w:r>
                      <w:rPr>
                        <w:sz w:val="20"/>
                        <w:lang w:eastAsia="lt-LT"/>
                      </w:rPr>
                      <w:t>Informacinės sistemos (platformos), skirtos sveikatos priežiūros specialistų licencijoms registruoti ir skaitmeninei stebėsenai vykdyti, sukūrimas, vnt.</w:t>
                    </w:r>
                  </w:p>
                </w:tc>
                <w:tc>
                  <w:tcPr>
                    <w:tcW w:w="851" w:type="dxa"/>
                    <w:shd w:val="clear" w:color="auto" w:fill="auto"/>
                  </w:tcPr>
                  <w:p>
                    <w:pPr>
                      <w:ind w:left="-57" w:right="-57"/>
                      <w:jc w:val="center"/>
                      <w:rPr>
                        <w:sz w:val="20"/>
                      </w:rPr>
                    </w:pPr>
                    <w:r>
                      <w:rPr>
                        <w:sz w:val="20"/>
                      </w:rPr>
                      <w:t>1</w:t>
                    </w:r>
                  </w:p>
                  <w:p>
                    <w:pPr>
                      <w:ind w:left="-57" w:right="-57"/>
                      <w:jc w:val="center"/>
                      <w:rPr>
                        <w:sz w:val="20"/>
                      </w:rPr>
                    </w:pPr>
                    <w:r>
                      <w:rPr>
                        <w:sz w:val="20"/>
                      </w:rPr>
                      <w:t>(2024 m. I ketv.)</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R – Sveikatos priežiūros specialistų, kurių licencija įregistruota ir jos priežiūra vykdoma skaitmeniniu būdu, dalis, proc.</w:t>
                    </w:r>
                  </w:p>
                </w:tc>
                <w:tc>
                  <w:tcPr>
                    <w:tcW w:w="851" w:type="dxa"/>
                    <w:shd w:val="clear" w:color="auto" w:fill="auto"/>
                  </w:tcPr>
                  <w:p>
                    <w:pPr>
                      <w:ind w:left="-57" w:right="-57"/>
                      <w:jc w:val="center"/>
                      <w:rPr>
                        <w:sz w:val="20"/>
                      </w:rPr>
                    </w:pPr>
                    <w:r>
                      <w:rPr>
                        <w:sz w:val="20"/>
                      </w:rPr>
                      <w:t>90</w:t>
                    </w:r>
                  </w:p>
                  <w:p>
                    <w:pPr>
                      <w:ind w:left="-57" w:right="-57"/>
                      <w:jc w:val="center"/>
                      <w:rPr>
                        <w:sz w:val="20"/>
                      </w:rPr>
                    </w:pPr>
                    <w:r>
                      <w:rPr>
                        <w:sz w:val="20"/>
                      </w:rPr>
                      <w:t>(2030 m.)</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R – Naujų ir patobulintų viešųjų skaitmeninių paslaugų, produktų ir procesų naudotojai, naudotojų skaičius per metus.</w:t>
                    </w:r>
                  </w:p>
                </w:tc>
                <w:tc>
                  <w:tcPr>
                    <w:tcW w:w="851" w:type="dxa"/>
                    <w:shd w:val="clear" w:color="auto" w:fill="auto"/>
                  </w:tcPr>
                  <w:p>
                    <w:pPr>
                      <w:ind w:left="-57" w:right="-57"/>
                      <w:jc w:val="center"/>
                      <w:rPr>
                        <w:sz w:val="20"/>
                      </w:rPr>
                    </w:pPr>
                    <w:r>
                      <w:rPr>
                        <w:sz w:val="20"/>
                      </w:rPr>
                      <w:t>n/a</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555"/>
                </w:trPr>
                <w:tc>
                  <w:tcPr>
                    <w:tcW w:w="2410" w:type="dxa"/>
                    <w:vMerge w:val="restart"/>
                  </w:tcPr>
                  <w:p>
                    <w:pPr>
                      <w:rPr>
                        <w:sz w:val="20"/>
                      </w:rPr>
                    </w:pPr>
                    <w:r>
                      <w:rPr>
                        <w:sz w:val="20"/>
                      </w:rPr>
                      <w:t>4.3. S</w:t>
                    </w:r>
                    <w:r>
                      <w:rPr>
                        <w:sz w:val="20"/>
                        <w:lang w:eastAsia="lt-LT"/>
                      </w:rPr>
                      <w:t>veikatos priežiūros paslaugų kokybės vertinimo modelio (rodiklių švieslentės) sukūrimas</w:t>
                    </w:r>
                  </w:p>
                </w:tc>
                <w:tc>
                  <w:tcPr>
                    <w:tcW w:w="709" w:type="dxa"/>
                    <w:vMerge w:val="restart"/>
                  </w:tcPr>
                  <w:p>
                    <w:pPr>
                      <w:rPr>
                        <w:sz w:val="20"/>
                      </w:rPr>
                    </w:pPr>
                    <w:r>
                      <w:rPr>
                        <w:sz w:val="20"/>
                      </w:rPr>
                      <w:t>I</w:t>
                    </w:r>
                  </w:p>
                </w:tc>
                <w:tc>
                  <w:tcPr>
                    <w:tcW w:w="1559" w:type="dxa"/>
                    <w:vMerge w:val="restart"/>
                  </w:tcPr>
                  <w:p>
                    <w:pPr>
                      <w:rPr>
                        <w:sz w:val="20"/>
                      </w:rPr>
                    </w:pPr>
                    <w:r>
                      <w:rPr>
                        <w:sz w:val="20"/>
                      </w:rPr>
                      <w:t>Valstybinė ligonių kasa prie Sveikatos apsaugos ministerijos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rPr>
                    </w:pPr>
                    <w:r>
                      <w:rPr>
                        <w:sz w:val="20"/>
                      </w:rPr>
                      <w:t>2 500</w:t>
                    </w:r>
                  </w:p>
                </w:tc>
                <w:tc>
                  <w:tcPr>
                    <w:tcW w:w="992" w:type="dxa"/>
                  </w:tcPr>
                  <w:p>
                    <w:pPr>
                      <w:rPr>
                        <w:sz w:val="20"/>
                      </w:rPr>
                    </w:pPr>
                    <w:r>
                      <w:rPr>
                        <w:sz w:val="20"/>
                      </w:rPr>
                      <w:t>EGADP</w:t>
                    </w:r>
                  </w:p>
                </w:tc>
                <w:tc>
                  <w:tcPr>
                    <w:tcW w:w="2551" w:type="dxa"/>
                    <w:vMerge w:val="restart"/>
                    <w:shd w:val="clear" w:color="auto" w:fill="auto"/>
                  </w:tcPr>
                  <w:p>
                    <w:pPr>
                      <w:ind w:left="-57" w:right="-57"/>
                      <w:jc w:val="both"/>
                      <w:rPr>
                        <w:sz w:val="20"/>
                      </w:rPr>
                    </w:pPr>
                    <w:r>
                      <w:rPr>
                        <w:sz w:val="20"/>
                      </w:rPr>
                      <w:t xml:space="preserve">R – </w:t>
                    </w:r>
                    <w:r>
                      <w:rPr>
                        <w:sz w:val="20"/>
                        <w:lang w:eastAsia="lt-LT"/>
                      </w:rPr>
                      <w:t>Sveikatos priežiūros įstaigų, įtrauktų į veiklos rezultatų rodiklių rinkiniu grindžiamą Lietuvos nacionalinės sveikatos sistemos švieslentę dalis, proc. (tarpinis)</w:t>
                    </w:r>
                  </w:p>
                </w:tc>
                <w:tc>
                  <w:tcPr>
                    <w:tcW w:w="851" w:type="dxa"/>
                    <w:vMerge w:val="restart"/>
                    <w:shd w:val="clear" w:color="auto" w:fill="auto"/>
                  </w:tcPr>
                  <w:p>
                    <w:pPr>
                      <w:jc w:val="center"/>
                      <w:rPr>
                        <w:sz w:val="20"/>
                      </w:rPr>
                    </w:pPr>
                    <w:r>
                      <w:rPr>
                        <w:sz w:val="20"/>
                      </w:rPr>
                      <w:t>70</w:t>
                    </w:r>
                  </w:p>
                  <w:p>
                    <w:pPr>
                      <w:jc w:val="center"/>
                      <w:rPr>
                        <w:sz w:val="20"/>
                      </w:rPr>
                    </w:pPr>
                    <w:r>
                      <w:rPr>
                        <w:sz w:val="20"/>
                      </w:rPr>
                      <w:t>(2023 m. II ketv.)</w:t>
                    </w:r>
                  </w:p>
                  <w:p>
                    <w:pPr>
                      <w:ind w:right="-57"/>
                      <w:rPr>
                        <w:sz w:val="20"/>
                      </w:rPr>
                    </w:pP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vAlign w:val="center"/>
                  </w:tcPr>
                  <w:p>
                    <w:pPr>
                      <w:rPr>
                        <w:color w:val="000000"/>
                        <w:sz w:val="20"/>
                      </w:rPr>
                    </w:pPr>
                  </w:p>
                </w:tc>
              </w:tr>
              <w:tr>
                <w:trPr>
                  <w:trHeight w:val="693"/>
                </w:trPr>
                <w:tc>
                  <w:tcPr>
                    <w:tcW w:w="2410" w:type="dxa"/>
                    <w:vMerge/>
                    <w:tcBorders>
                      <w:bottom w:val="single" w:sz="4" w:space="0" w:color="auto"/>
                    </w:tcBorders>
                  </w:tcPr>
                  <w:p>
                    <w:pPr>
                      <w:rPr>
                        <w:iCs/>
                        <w:sz w:val="20"/>
                      </w:rPr>
                    </w:pPr>
                  </w:p>
                </w:tc>
                <w:tc>
                  <w:tcPr>
                    <w:tcW w:w="709" w:type="dxa"/>
                    <w:vMerge/>
                    <w:tcBorders>
                      <w:bottom w:val="single" w:sz="4" w:space="0" w:color="auto"/>
                    </w:tcBorders>
                  </w:tcPr>
                  <w:p>
                    <w:pPr>
                      <w:rPr>
                        <w:sz w:val="20"/>
                      </w:rPr>
                    </w:pPr>
                  </w:p>
                </w:tc>
                <w:tc>
                  <w:tcPr>
                    <w:tcW w:w="1559" w:type="dxa"/>
                    <w:vMerge/>
                    <w:tcBorders>
                      <w:bottom w:val="single" w:sz="4" w:space="0" w:color="auto"/>
                    </w:tcBorders>
                  </w:tcPr>
                  <w:p>
                    <w:pPr>
                      <w:rPr>
                        <w:sz w:val="20"/>
                      </w:rPr>
                    </w:pPr>
                  </w:p>
                </w:tc>
                <w:tc>
                  <w:tcPr>
                    <w:tcW w:w="709" w:type="dxa"/>
                    <w:vMerge/>
                    <w:tcBorders>
                      <w:bottom w:val="single" w:sz="4" w:space="0" w:color="auto"/>
                    </w:tcBorders>
                  </w:tcPr>
                  <w:p>
                    <w:pPr>
                      <w:rPr>
                        <w:sz w:val="20"/>
                      </w:rPr>
                    </w:pPr>
                  </w:p>
                </w:tc>
                <w:tc>
                  <w:tcPr>
                    <w:tcW w:w="992" w:type="dxa"/>
                    <w:vMerge/>
                    <w:tcBorders>
                      <w:bottom w:val="single" w:sz="4" w:space="0" w:color="auto"/>
                    </w:tcBorders>
                  </w:tcPr>
                  <w:p>
                    <w:pPr>
                      <w:rPr>
                        <w:sz w:val="20"/>
                      </w:rPr>
                    </w:pPr>
                  </w:p>
                </w:tc>
                <w:tc>
                  <w:tcPr>
                    <w:tcW w:w="709" w:type="dxa"/>
                    <w:vMerge/>
                    <w:tcBorders>
                      <w:bottom w:val="single" w:sz="4" w:space="0" w:color="auto"/>
                    </w:tcBorders>
                  </w:tcPr>
                  <w:p>
                    <w:pPr>
                      <w:rPr>
                        <w:sz w:val="20"/>
                      </w:rPr>
                    </w:pPr>
                  </w:p>
                </w:tc>
                <w:tc>
                  <w:tcPr>
                    <w:tcW w:w="1276" w:type="dxa"/>
                    <w:vMerge w:val="restart"/>
                    <w:tcBorders>
                      <w:bottom w:val="single" w:sz="4" w:space="0" w:color="auto"/>
                    </w:tcBorders>
                  </w:tcPr>
                  <w:p>
                    <w:pPr>
                      <w:rPr>
                        <w:sz w:val="20"/>
                      </w:rPr>
                    </w:pPr>
                    <w:r>
                      <w:rPr>
                        <w:sz w:val="20"/>
                      </w:rPr>
                      <w:t>530</w:t>
                    </w:r>
                  </w:p>
                </w:tc>
                <w:tc>
                  <w:tcPr>
                    <w:tcW w:w="992" w:type="dxa"/>
                    <w:vMerge w:val="restart"/>
                    <w:tcBorders>
                      <w:bottom w:val="single" w:sz="4" w:space="0" w:color="auto"/>
                    </w:tcBorders>
                  </w:tcPr>
                  <w:p>
                    <w:pPr>
                      <w:rPr>
                        <w:sz w:val="20"/>
                      </w:rPr>
                    </w:pPr>
                    <w:r>
                      <w:rPr>
                        <w:iCs/>
                        <w:sz w:val="20"/>
                      </w:rPr>
                      <w:t>PVM iš VB</w:t>
                    </w:r>
                  </w:p>
                </w:tc>
                <w:tc>
                  <w:tcPr>
                    <w:tcW w:w="2551" w:type="dxa"/>
                    <w:vMerge/>
                    <w:tcBorders>
                      <w:bottom w:val="single" w:sz="4" w:space="0" w:color="auto"/>
                    </w:tcBorders>
                    <w:shd w:val="clear" w:color="auto" w:fill="auto"/>
                  </w:tcPr>
                  <w:p>
                    <w:pPr>
                      <w:ind w:left="-57" w:right="-57"/>
                      <w:rPr>
                        <w:sz w:val="20"/>
                      </w:rPr>
                    </w:pPr>
                  </w:p>
                </w:tc>
                <w:tc>
                  <w:tcPr>
                    <w:tcW w:w="851" w:type="dxa"/>
                    <w:vMerge/>
                    <w:tcBorders>
                      <w:bottom w:val="single" w:sz="4" w:space="0" w:color="auto"/>
                    </w:tcBorders>
                    <w:shd w:val="clear" w:color="auto" w:fill="auto"/>
                  </w:tcPr>
                  <w:p>
                    <w:pPr>
                      <w:ind w:left="-57" w:right="-57"/>
                      <w:jc w:val="center"/>
                      <w:rPr>
                        <w:sz w:val="20"/>
                      </w:rPr>
                    </w:pPr>
                  </w:p>
                </w:tc>
                <w:tc>
                  <w:tcPr>
                    <w:tcW w:w="992" w:type="dxa"/>
                    <w:vMerge/>
                    <w:tcBorders>
                      <w:bottom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414"/>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rPr>
                    </w:pPr>
                    <w:r>
                      <w:rPr>
                        <w:sz w:val="20"/>
                      </w:rPr>
                      <w:t xml:space="preserve">R – Sveikatos priežiūros įstaigų, įtrauktų į veiklos rezultatų rodiklių rinkiniu grindžiamą Lietuvos nacionalinės sveikatos sistemos švieslentę, dalis, proc. </w:t>
                    </w:r>
                  </w:p>
                </w:tc>
                <w:tc>
                  <w:tcPr>
                    <w:tcW w:w="851" w:type="dxa"/>
                    <w:shd w:val="clear" w:color="auto" w:fill="auto"/>
                  </w:tcPr>
                  <w:p>
                    <w:pPr>
                      <w:ind w:left="-57" w:right="-57"/>
                      <w:jc w:val="center"/>
                      <w:rPr>
                        <w:sz w:val="20"/>
                      </w:rPr>
                    </w:pPr>
                    <w:r>
                      <w:rPr>
                        <w:sz w:val="20"/>
                      </w:rPr>
                      <w:t>100</w:t>
                    </w:r>
                  </w:p>
                  <w:p>
                    <w:pPr>
                      <w:ind w:left="-57" w:right="-57"/>
                      <w:jc w:val="center"/>
                      <w:rPr>
                        <w:sz w:val="20"/>
                      </w:rPr>
                    </w:pPr>
                    <w:r>
                      <w:rPr>
                        <w:sz w:val="20"/>
                      </w:rPr>
                      <w:t>(2025 m. II ketv.)</w:t>
                    </w: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rPr>
                    </w:pPr>
                    <w:r>
                      <w:rPr>
                        <w:sz w:val="20"/>
                      </w:rPr>
                      <w:t>R – Naujų ir patobulintų viešųjų skaitmeninių paslaugų, produktų ir procesų naudotojai, naudotojų skaičius per metus.</w:t>
                    </w:r>
                  </w:p>
                </w:tc>
                <w:tc>
                  <w:tcPr>
                    <w:tcW w:w="851" w:type="dxa"/>
                    <w:shd w:val="clear" w:color="auto" w:fill="auto"/>
                  </w:tcPr>
                  <w:p>
                    <w:pPr>
                      <w:ind w:left="-57" w:right="-57"/>
                      <w:jc w:val="center"/>
                      <w:rPr>
                        <w:sz w:val="20"/>
                      </w:rPr>
                    </w:pPr>
                    <w:r>
                      <w:rPr>
                        <w:sz w:val="20"/>
                      </w:rPr>
                      <w:t>n/a</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6"/>
                </w:trPr>
                <w:tc>
                  <w:tcPr>
                    <w:tcW w:w="2410" w:type="dxa"/>
                    <w:vMerge w:val="restart"/>
                    <w:tcBorders>
                      <w:top w:val="single" w:sz="4" w:space="0" w:color="auto"/>
                      <w:left w:val="single" w:sz="4" w:space="0" w:color="auto"/>
                      <w:right w:val="single" w:sz="4" w:space="0" w:color="auto"/>
                    </w:tcBorders>
                  </w:tcPr>
                  <w:p>
                    <w:pPr>
                      <w:rPr>
                        <w:iCs/>
                        <w:sz w:val="20"/>
                      </w:rPr>
                    </w:pPr>
                    <w:r>
                      <w:rPr>
                        <w:iCs/>
                        <w:sz w:val="20"/>
                      </w:rPr>
                      <w:t>4.4. Sveikatos sektoriaus skaitmeninimo projektai</w:t>
                    </w:r>
                  </w:p>
                </w:tc>
                <w:tc>
                  <w:tcPr>
                    <w:tcW w:w="709" w:type="dxa"/>
                    <w:vMerge w:val="restart"/>
                    <w:tcBorders>
                      <w:top w:val="single" w:sz="4" w:space="0" w:color="auto"/>
                      <w:left w:val="single" w:sz="4" w:space="0" w:color="auto"/>
                      <w:right w:val="single" w:sz="4" w:space="0" w:color="auto"/>
                    </w:tcBorders>
                  </w:tcPr>
                  <w:p>
                    <w:pPr>
                      <w:rPr>
                        <w:sz w:val="20"/>
                      </w:rPr>
                    </w:pPr>
                    <w:r>
                      <w:rPr>
                        <w:sz w:val="20"/>
                      </w:rPr>
                      <w:t>I</w:t>
                    </w:r>
                  </w:p>
                </w:tc>
                <w:tc>
                  <w:tcPr>
                    <w:tcW w:w="1559" w:type="dxa"/>
                    <w:vMerge w:val="restart"/>
                    <w:tcBorders>
                      <w:top w:val="single" w:sz="4" w:space="0" w:color="auto"/>
                      <w:left w:val="single" w:sz="4" w:space="0" w:color="auto"/>
                      <w:right w:val="single" w:sz="4" w:space="0" w:color="auto"/>
                    </w:tcBorders>
                  </w:tcPr>
                  <w:p>
                    <w:pPr>
                      <w:rPr>
                        <w:sz w:val="20"/>
                      </w:rPr>
                    </w:pPr>
                    <w:r>
                      <w:rPr>
                        <w:sz w:val="20"/>
                      </w:rPr>
                      <w:t>VĮ Registrų centras, SAM pavaldžios įstaigos</w:t>
                    </w:r>
                  </w:p>
                </w:tc>
                <w:tc>
                  <w:tcPr>
                    <w:tcW w:w="709" w:type="dxa"/>
                    <w:vMerge w:val="restart"/>
                    <w:tcBorders>
                      <w:top w:val="single" w:sz="4" w:space="0" w:color="auto"/>
                      <w:left w:val="single" w:sz="4" w:space="0" w:color="auto"/>
                      <w:right w:val="single" w:sz="4" w:space="0" w:color="auto"/>
                    </w:tcBorders>
                  </w:tcPr>
                  <w:p>
                    <w:pPr>
                      <w:rPr>
                        <w:sz w:val="20"/>
                      </w:rPr>
                    </w:pPr>
                    <w:r>
                      <w:rPr>
                        <w:sz w:val="20"/>
                      </w:rPr>
                      <w:t>P</w:t>
                    </w:r>
                  </w:p>
                </w:tc>
                <w:tc>
                  <w:tcPr>
                    <w:tcW w:w="992" w:type="dxa"/>
                    <w:vMerge w:val="restart"/>
                    <w:tcBorders>
                      <w:top w:val="single" w:sz="4" w:space="0" w:color="auto"/>
                      <w:left w:val="single" w:sz="4" w:space="0" w:color="auto"/>
                      <w:right w:val="single" w:sz="4" w:space="0" w:color="auto"/>
                    </w:tcBorders>
                  </w:tcPr>
                  <w:p>
                    <w:pP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rPr>
                        <w:sz w:val="20"/>
                      </w:rPr>
                    </w:pPr>
                    <w:r>
                      <w:rPr>
                        <w:sz w:val="20"/>
                      </w:rPr>
                      <w:t>D</w:t>
                    </w:r>
                  </w:p>
                </w:tc>
                <w:tc>
                  <w:tcPr>
                    <w:tcW w:w="1276" w:type="dxa"/>
                    <w:tcBorders>
                      <w:top w:val="single" w:sz="4" w:space="0" w:color="auto"/>
                      <w:left w:val="single" w:sz="4" w:space="0" w:color="auto"/>
                      <w:bottom w:val="single" w:sz="4" w:space="0" w:color="auto"/>
                      <w:right w:val="single" w:sz="4" w:space="0" w:color="auto"/>
                    </w:tcBorders>
                  </w:tcPr>
                  <w:p>
                    <w:pPr>
                      <w:rPr>
                        <w:sz w:val="20"/>
                      </w:rPr>
                    </w:pPr>
                    <w:r>
                      <w:rPr>
                        <w:sz w:val="20"/>
                      </w:rPr>
                      <w:t>84 835,491</w:t>
                    </w: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EGADP</w:t>
                    </w: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Šalies gyventojų, kuriems teikiamos su sveikata susijusios elektroninės paslaugos, dalis,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98</w:t>
                    </w:r>
                  </w:p>
                  <w:p>
                    <w:pPr>
                      <w:ind w:left="-57" w:right="-57"/>
                      <w:jc w:val="center"/>
                      <w:rPr>
                        <w:sz w:val="20"/>
                      </w:rPr>
                    </w:pPr>
                    <w:r>
                      <w:rPr>
                        <w:sz w:val="20"/>
                      </w:rPr>
                      <w:t>(2030 m.)</w:t>
                    </w:r>
                  </w:p>
                  <w:p>
                    <w:pPr>
                      <w:ind w:left="-57" w:right="-57"/>
                      <w:jc w:val="center"/>
                      <w:rPr>
                        <w:sz w:val="20"/>
                      </w:rPr>
                    </w:pPr>
                  </w:p>
                </w:tc>
                <w:tc>
                  <w:tcPr>
                    <w:tcW w:w="992" w:type="dxa"/>
                    <w:vMerge w:val="restart"/>
                    <w:tcBorders>
                      <w:top w:val="single" w:sz="4" w:space="0" w:color="auto"/>
                      <w:left w:val="single" w:sz="4" w:space="0" w:color="auto"/>
                      <w:right w:val="single" w:sz="4" w:space="0" w:color="auto"/>
                    </w:tcBorders>
                  </w:tcPr>
                  <w:p>
                    <w:pPr>
                      <w:rPr>
                        <w:sz w:val="20"/>
                      </w:rPr>
                    </w:pPr>
                    <w:r>
                      <w:rPr>
                        <w:sz w:val="20"/>
                      </w:rPr>
                      <w:t>CPVA</w:t>
                    </w:r>
                  </w:p>
                </w:tc>
                <w:tc>
                  <w:tcPr>
                    <w:tcW w:w="1276" w:type="dxa"/>
                    <w:vMerge w:val="restart"/>
                    <w:tcBorders>
                      <w:top w:val="single" w:sz="4" w:space="0" w:color="auto"/>
                      <w:left w:val="single" w:sz="4" w:space="0" w:color="auto"/>
                      <w:right w:val="single" w:sz="4" w:space="0" w:color="auto"/>
                    </w:tcBorders>
                  </w:tcPr>
                  <w:p>
                    <w:pPr>
                      <w:rPr>
                        <w:color w:val="000000"/>
                        <w:sz w:val="20"/>
                      </w:rPr>
                    </w:pPr>
                    <w:r>
                      <w:rPr>
                        <w:color w:val="000000"/>
                        <w:sz w:val="20"/>
                      </w:rPr>
                      <w:t>SAM</w:t>
                    </w:r>
                  </w:p>
                </w:tc>
              </w:tr>
              <w:tr>
                <w:trPr>
                  <w:trHeight w:val="1150"/>
                </w:trPr>
                <w:tc>
                  <w:tcPr>
                    <w:tcW w:w="2410" w:type="dxa"/>
                    <w:vMerge/>
                    <w:tcBorders>
                      <w:left w:val="single" w:sz="4" w:space="0" w:color="auto"/>
                      <w:right w:val="single" w:sz="4" w:space="0" w:color="auto"/>
                    </w:tcBorders>
                  </w:tcPr>
                  <w:p>
                    <w:pPr>
                      <w:rPr>
                        <w:iCs/>
                        <w:sz w:val="20"/>
                      </w:rPr>
                    </w:pPr>
                  </w:p>
                </w:tc>
                <w:tc>
                  <w:tcPr>
                    <w:tcW w:w="709" w:type="dxa"/>
                    <w:vMerge/>
                    <w:tcBorders>
                      <w:left w:val="single" w:sz="4" w:space="0" w:color="auto"/>
                      <w:right w:val="single" w:sz="4" w:space="0" w:color="auto"/>
                    </w:tcBorders>
                  </w:tcPr>
                  <w:p>
                    <w:pPr>
                      <w:rPr>
                        <w:sz w:val="20"/>
                      </w:rPr>
                    </w:pPr>
                  </w:p>
                </w:tc>
                <w:tc>
                  <w:tcPr>
                    <w:tcW w:w="1559"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276" w:type="dxa"/>
                    <w:vMerge w:val="restart"/>
                    <w:tcBorders>
                      <w:top w:val="single" w:sz="4" w:space="0" w:color="auto"/>
                      <w:left w:val="single" w:sz="4" w:space="0" w:color="auto"/>
                      <w:right w:val="single" w:sz="4" w:space="0" w:color="auto"/>
                    </w:tcBorders>
                  </w:tcPr>
                  <w:p>
                    <w:pPr>
                      <w:rPr>
                        <w:sz w:val="20"/>
                      </w:rPr>
                    </w:pPr>
                    <w:r>
                      <w:rPr>
                        <w:sz w:val="20"/>
                      </w:rPr>
                      <w:t>17 816,662</w:t>
                    </w:r>
                  </w:p>
                </w:tc>
                <w:tc>
                  <w:tcPr>
                    <w:tcW w:w="992" w:type="dxa"/>
                    <w:vMerge w:val="restart"/>
                    <w:tcBorders>
                      <w:top w:val="single" w:sz="4" w:space="0" w:color="auto"/>
                      <w:left w:val="single" w:sz="4" w:space="0" w:color="auto"/>
                      <w:right w:val="single" w:sz="4" w:space="0" w:color="auto"/>
                    </w:tcBorders>
                  </w:tcPr>
                  <w:p>
                    <w:pPr>
                      <w:rPr>
                        <w:sz w:val="20"/>
                      </w:rPr>
                    </w:pPr>
                    <w:r>
                      <w:rPr>
                        <w:sz w:val="20"/>
                      </w:rPr>
                      <w:t>PVM iš VB</w:t>
                    </w: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R – Ambulatorinių ir stacionarinių asmens sveikatos priežiūros įstaigų, naudojančių e. sveikatos produktus, dalis, proc. (tarpinis)</w:t>
                    </w:r>
                  </w:p>
                </w:tc>
                <w:tc>
                  <w:tcPr>
                    <w:tcW w:w="851" w:type="dxa"/>
                    <w:tcBorders>
                      <w:top w:val="single" w:sz="4" w:space="0" w:color="auto"/>
                      <w:left w:val="single" w:sz="4" w:space="0" w:color="auto"/>
                      <w:right w:val="single" w:sz="4" w:space="0" w:color="auto"/>
                    </w:tcBorders>
                    <w:shd w:val="clear" w:color="auto" w:fill="auto"/>
                  </w:tcPr>
                  <w:p>
                    <w:pPr>
                      <w:jc w:val="center"/>
                      <w:rPr>
                        <w:sz w:val="20"/>
                      </w:rPr>
                    </w:pPr>
                    <w:r>
                      <w:rPr>
                        <w:sz w:val="20"/>
                      </w:rPr>
                      <w:t>60</w:t>
                    </w:r>
                  </w:p>
                  <w:p>
                    <w:pPr>
                      <w:jc w:val="center"/>
                      <w:rPr>
                        <w:sz w:val="20"/>
                      </w:rPr>
                    </w:pPr>
                    <w:r>
                      <w:rPr>
                        <w:sz w:val="20"/>
                      </w:rPr>
                      <w:t>(2023 m. IV ketv.)</w:t>
                    </w:r>
                  </w:p>
                  <w:p>
                    <w:pPr>
                      <w:ind w:left="-57" w:right="-57"/>
                      <w:rPr>
                        <w:sz w:val="20"/>
                      </w:rPr>
                    </w:pP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6"/>
                </w:trPr>
                <w:tc>
                  <w:tcPr>
                    <w:tcW w:w="2410" w:type="dxa"/>
                    <w:vMerge/>
                    <w:tcBorders>
                      <w:left w:val="single" w:sz="4" w:space="0" w:color="auto"/>
                      <w:bottom w:val="single" w:sz="4" w:space="0" w:color="auto"/>
                      <w:right w:val="single" w:sz="4" w:space="0" w:color="auto"/>
                    </w:tcBorders>
                  </w:tcPr>
                  <w:p>
                    <w:pPr>
                      <w:rPr>
                        <w:iCs/>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559"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Ambulatorinių ir stacionarinių asmens sveikatos priežiūros įstaigų, naudojančių e. sveikatos produktus, dalis,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jc w:val="center"/>
                      <w:rPr>
                        <w:sz w:val="20"/>
                      </w:rPr>
                    </w:pPr>
                    <w:r>
                      <w:rPr>
                        <w:sz w:val="20"/>
                      </w:rPr>
                      <w:t>70</w:t>
                    </w:r>
                  </w:p>
                  <w:p>
                    <w:pPr>
                      <w:ind w:left="-57" w:right="-57"/>
                      <w:jc w:val="center"/>
                      <w:rPr>
                        <w:sz w:val="20"/>
                      </w:rPr>
                    </w:pPr>
                    <w:r>
                      <w:rPr>
                        <w:sz w:val="20"/>
                      </w:rPr>
                      <w:t>(2025 m. IV ketv.)</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6"/>
                </w:trPr>
                <w:tc>
                  <w:tcPr>
                    <w:tcW w:w="2410" w:type="dxa"/>
                    <w:vMerge/>
                    <w:tcBorders>
                      <w:left w:val="single" w:sz="4" w:space="0" w:color="auto"/>
                      <w:bottom w:val="single" w:sz="4" w:space="0" w:color="auto"/>
                      <w:right w:val="single" w:sz="4" w:space="0" w:color="auto"/>
                    </w:tcBorders>
                  </w:tcPr>
                  <w:p>
                    <w:pPr>
                      <w:rPr>
                        <w:iCs/>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559"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 xml:space="preserve">R – Ambulatorinių ir stacionarinių asmens sveikatos priežiūros įstaigų, naudojančių e. sveikatos produktus, dalis, proc. </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98</w:t>
                    </w:r>
                  </w:p>
                  <w:p>
                    <w:pPr>
                      <w:ind w:left="-57" w:right="-57"/>
                      <w:jc w:val="center"/>
                      <w:rPr>
                        <w:sz w:val="20"/>
                      </w:rPr>
                    </w:pPr>
                    <w:r>
                      <w:rPr>
                        <w:sz w:val="20"/>
                      </w:rPr>
                      <w:t>(2030 m.)</w:t>
                    </w:r>
                  </w:p>
                  <w:p>
                    <w:pPr>
                      <w:ind w:left="-57" w:right="-57"/>
                      <w:jc w:val="center"/>
                      <w:rPr>
                        <w:sz w:val="20"/>
                      </w:rPr>
                    </w:pP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6"/>
                </w:trPr>
                <w:tc>
                  <w:tcPr>
                    <w:tcW w:w="2410" w:type="dxa"/>
                    <w:vMerge/>
                    <w:tcBorders>
                      <w:left w:val="single" w:sz="4" w:space="0" w:color="auto"/>
                      <w:bottom w:val="single" w:sz="4" w:space="0" w:color="auto"/>
                      <w:right w:val="single" w:sz="4" w:space="0" w:color="auto"/>
                    </w:tcBorders>
                  </w:tcPr>
                  <w:p>
                    <w:pPr>
                      <w:rPr>
                        <w:iCs/>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559"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Naujų ir patobulintų viešųjų skaitmeninių paslaugų, produktų ir procesų naudotojai, naudotojų skaičius per metus.</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n/a</w:t>
                    </w:r>
                  </w:p>
                </w:tc>
                <w:tc>
                  <w:tcPr>
                    <w:tcW w:w="992"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414"/>
                </w:trPr>
                <w:tc>
                  <w:tcPr>
                    <w:tcW w:w="2410" w:type="dxa"/>
                    <w:shd w:val="clear" w:color="auto" w:fill="F2F2F2" w:themeFill="background1" w:themeFillShade="F2"/>
                  </w:tcPr>
                  <w:p>
                    <w:pPr>
                      <w:rPr>
                        <w:b/>
                        <w:bCs/>
                        <w:iCs/>
                        <w:sz w:val="20"/>
                      </w:rPr>
                    </w:pPr>
                    <w:r>
                      <w:rPr>
                        <w:b/>
                        <w:bCs/>
                        <w:sz w:val="20"/>
                      </w:rPr>
                      <w:t>5. Pažangos priemonėje planuojamų veiklų investavimo krypčių ir pagrįstumo vertinimas</w:t>
                    </w:r>
                  </w:p>
                </w:tc>
                <w:tc>
                  <w:tcPr>
                    <w:tcW w:w="709" w:type="dxa"/>
                    <w:shd w:val="clear" w:color="auto" w:fill="F2F2F2" w:themeFill="background1" w:themeFillShade="F2"/>
                  </w:tcPr>
                  <w:p>
                    <w:pPr>
                      <w:rPr>
                        <w:sz w:val="20"/>
                      </w:rPr>
                    </w:pPr>
                    <w:r>
                      <w:rPr>
                        <w:sz w:val="20"/>
                      </w:rPr>
                      <w:t>A</w:t>
                    </w:r>
                  </w:p>
                </w:tc>
                <w:tc>
                  <w:tcPr>
                    <w:tcW w:w="1559" w:type="dxa"/>
                    <w:shd w:val="clear" w:color="auto" w:fill="F2F2F2" w:themeFill="background1" w:themeFillShade="F2"/>
                  </w:tcPr>
                  <w:p>
                    <w:pPr>
                      <w:rPr>
                        <w:sz w:val="20"/>
                      </w:rPr>
                    </w:pPr>
                    <w:r>
                      <w:rPr>
                        <w:sz w:val="20"/>
                      </w:rPr>
                      <w:t>SAM</w:t>
                    </w:r>
                  </w:p>
                </w:tc>
                <w:tc>
                  <w:tcPr>
                    <w:tcW w:w="709" w:type="dxa"/>
                    <w:shd w:val="clear" w:color="auto" w:fill="F2F2F2" w:themeFill="background1" w:themeFillShade="F2"/>
                  </w:tcPr>
                  <w:p>
                    <w:pPr>
                      <w:rPr>
                        <w:sz w:val="20"/>
                      </w:rPr>
                    </w:pPr>
                    <w:r>
                      <w:rPr>
                        <w:sz w:val="20"/>
                      </w:rPr>
                      <w:t>P</w:t>
                    </w:r>
                  </w:p>
                </w:tc>
                <w:tc>
                  <w:tcPr>
                    <w:tcW w:w="992" w:type="dxa"/>
                    <w:shd w:val="clear" w:color="auto" w:fill="F2F2F2" w:themeFill="background1" w:themeFillShade="F2"/>
                  </w:tcPr>
                  <w:p>
                    <w:pPr>
                      <w:rPr>
                        <w:sz w:val="20"/>
                      </w:rPr>
                    </w:pPr>
                    <w:r>
                      <w:rPr>
                        <w:sz w:val="20"/>
                      </w:rPr>
                      <w:t>Ne</w:t>
                    </w:r>
                  </w:p>
                </w:tc>
                <w:tc>
                  <w:tcPr>
                    <w:tcW w:w="709" w:type="dxa"/>
                    <w:shd w:val="clear" w:color="auto" w:fill="F2F2F2" w:themeFill="background1" w:themeFillShade="F2"/>
                  </w:tcPr>
                  <w:p>
                    <w:pPr>
                      <w:rPr>
                        <w:sz w:val="20"/>
                      </w:rPr>
                    </w:pPr>
                    <w:r>
                      <w:rPr>
                        <w:sz w:val="20"/>
                      </w:rPr>
                      <w:t>D</w:t>
                    </w:r>
                  </w:p>
                </w:tc>
                <w:tc>
                  <w:tcPr>
                    <w:tcW w:w="1276" w:type="dxa"/>
                    <w:shd w:val="clear" w:color="auto" w:fill="F2F2F2" w:themeFill="background1" w:themeFillShade="F2"/>
                  </w:tcPr>
                  <w:p>
                    <w:pPr>
                      <w:rPr>
                        <w:b/>
                        <w:bCs/>
                        <w:sz w:val="20"/>
                      </w:rPr>
                    </w:pPr>
                    <w:r>
                      <w:rPr>
                        <w:b/>
                        <w:bCs/>
                        <w:sz w:val="20"/>
                        <w:lang w:val="en-US"/>
                      </w:rPr>
                      <w:t>169,719</w:t>
                    </w:r>
                  </w:p>
                </w:tc>
                <w:tc>
                  <w:tcPr>
                    <w:tcW w:w="992" w:type="dxa"/>
                    <w:shd w:val="clear" w:color="auto" w:fill="F2F2F2" w:themeFill="background1" w:themeFillShade="F2"/>
                  </w:tcPr>
                  <w:p>
                    <w:pPr>
                      <w:rPr>
                        <w:sz w:val="20"/>
                      </w:rPr>
                    </w:pPr>
                    <w:r>
                      <w:rPr>
                        <w:sz w:val="20"/>
                      </w:rPr>
                      <w:t>VB</w:t>
                    </w:r>
                  </w:p>
                </w:tc>
                <w:tc>
                  <w:tcPr>
                    <w:tcW w:w="2551" w:type="dxa"/>
                    <w:shd w:val="clear" w:color="auto" w:fill="F2F2F2" w:themeFill="background1" w:themeFillShade="F2"/>
                  </w:tcPr>
                  <w:p>
                    <w:pPr>
                      <w:ind w:left="-57" w:right="-57"/>
                      <w:rPr>
                        <w:color w:val="FF0000"/>
                        <w:sz w:val="20"/>
                      </w:rPr>
                    </w:pPr>
                    <w:r>
                      <w:rPr>
                        <w:sz w:val="20"/>
                      </w:rPr>
                      <w:t xml:space="preserve">P – Atliktų sveikatos sektoriaus analizių skaičius </w:t>
                    </w:r>
                  </w:p>
                </w:tc>
                <w:tc>
                  <w:tcPr>
                    <w:tcW w:w="851" w:type="dxa"/>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(2022 m.)</w:t>
                    </w:r>
                  </w:p>
                  <w:p>
                    <w:pPr>
                      <w:ind w:left="-57" w:right="-57"/>
                      <w:jc w:val="center"/>
                      <w:rPr>
                        <w:sz w:val="20"/>
                      </w:rPr>
                    </w:pPr>
                  </w:p>
                  <w:p>
                    <w:pPr>
                      <w:ind w:left="-57" w:right="-57"/>
                      <w:jc w:val="center"/>
                      <w:rPr>
                        <w:sz w:val="20"/>
                      </w:rPr>
                    </w:pPr>
                  </w:p>
                </w:tc>
                <w:tc>
                  <w:tcPr>
                    <w:tcW w:w="992" w:type="dxa"/>
                    <w:shd w:val="clear" w:color="auto" w:fill="F2F2F2" w:themeFill="background1" w:themeFillShade="F2"/>
                  </w:tcPr>
                  <w:p>
                    <w:pPr>
                      <w:rPr>
                        <w:sz w:val="20"/>
                      </w:rPr>
                    </w:pPr>
                    <w:r>
                      <w:rPr>
                        <w:sz w:val="20"/>
                      </w:rPr>
                      <w:t>SAM</w:t>
                    </w:r>
                  </w:p>
                </w:tc>
                <w:tc>
                  <w:tcPr>
                    <w:tcW w:w="1276" w:type="dxa"/>
                    <w:tcBorders>
                      <w:left w:val="single" w:sz="4" w:space="0" w:color="auto"/>
                      <w:right w:val="single" w:sz="4" w:space="0" w:color="auto"/>
                    </w:tcBorders>
                    <w:shd w:val="clear" w:color="auto" w:fill="F2F2F2" w:themeFill="background1" w:themeFillShade="F2"/>
                  </w:tcPr>
                  <w:p>
                    <w:pPr>
                      <w:jc w:val="center"/>
                      <w:rPr>
                        <w:color w:val="000000"/>
                        <w:sz w:val="20"/>
                      </w:rPr>
                    </w:pPr>
                    <w:r>
                      <w:rPr>
                        <w:color w:val="000000"/>
                        <w:sz w:val="20"/>
                      </w:rPr>
                      <w:t>-</w:t>
                    </w:r>
                  </w:p>
                </w:tc>
              </w:tr>
              <w:tr>
                <w:trPr>
                  <w:trHeight w:val="414"/>
                </w:trPr>
                <w:tc>
                  <w:tcPr>
                    <w:tcW w:w="2410" w:type="dxa"/>
                    <w:vMerge w:val="restart"/>
                    <w:shd w:val="clear" w:color="auto" w:fill="F2F2F2" w:themeFill="background1" w:themeFillShade="F2"/>
                  </w:tcPr>
                  <w:p>
                    <w:pPr>
                      <w:ind w:firstLine="53"/>
                      <w:rPr>
                        <w:iCs/>
                        <w:sz w:val="20"/>
                      </w:rPr>
                    </w:pPr>
                    <w:r>
                      <w:rPr>
                        <w:b/>
                        <w:bCs/>
                        <w:iCs/>
                        <w:sz w:val="20"/>
                      </w:rPr>
                      <w:t>6. Bazinių sveikatos priežiūros paslaugų užtikrinimas</w:t>
                    </w:r>
                  </w:p>
                </w:tc>
                <w:tc>
                  <w:tcPr>
                    <w:tcW w:w="709" w:type="dxa"/>
                    <w:vMerge w:val="restart"/>
                    <w:shd w:val="clear" w:color="auto" w:fill="F2F2F2" w:themeFill="background1" w:themeFillShade="F2"/>
                  </w:tcPr>
                  <w:p>
                    <w:pPr>
                      <w:rPr>
                        <w:sz w:val="20"/>
                      </w:rPr>
                    </w:pPr>
                    <w:r>
                      <w:rPr>
                        <w:sz w:val="20"/>
                      </w:rPr>
                      <w:t>-</w:t>
                    </w:r>
                  </w:p>
                </w:tc>
                <w:tc>
                  <w:tcPr>
                    <w:tcW w:w="1559"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sz w:val="20"/>
                      </w:rPr>
                    </w:pPr>
                    <w:r>
                      <w:rPr>
                        <w:b/>
                        <w:bCs/>
                        <w:sz w:val="20"/>
                      </w:rPr>
                      <w:t>191 754,999</w:t>
                    </w:r>
                  </w:p>
                </w:tc>
                <w:tc>
                  <w:tcPr>
                    <w:tcW w:w="992" w:type="dxa"/>
                    <w:shd w:val="clear" w:color="auto" w:fill="F2F2F2" w:themeFill="background1" w:themeFillShade="F2"/>
                  </w:tcPr>
                  <w:p>
                    <w:pPr>
                      <w:rPr>
                        <w:sz w:val="20"/>
                      </w:rPr>
                    </w:pPr>
                    <w:r>
                      <w:rPr>
                        <w:sz w:val="20"/>
                      </w:rPr>
                      <w:t>-</w:t>
                    </w:r>
                  </w:p>
                </w:tc>
                <w:tc>
                  <w:tcPr>
                    <w:tcW w:w="2551" w:type="dxa"/>
                    <w:shd w:val="clear" w:color="auto" w:fill="F2F2F2" w:themeFill="background1" w:themeFillShade="F2"/>
                  </w:tcPr>
                  <w:p>
                    <w:pPr>
                      <w:ind w:left="-57" w:right="-57"/>
                      <w:rPr>
                        <w:sz w:val="20"/>
                      </w:rPr>
                    </w:pPr>
                    <w:r>
                      <w:rPr>
                        <w:sz w:val="20"/>
                      </w:rPr>
                      <w:t xml:space="preserve">R </w:t>
                    </w:r>
                    <w:r>
                      <w:rPr>
                        <w:szCs w:val="24"/>
                      </w:rPr>
                      <w:t>–</w:t>
                    </w:r>
                    <w:r>
                      <w:rPr>
                        <w:sz w:val="20"/>
                      </w:rPr>
                      <w:t xml:space="preserve"> Šeimos gydytojo ir jo komandos narių suteiktų sveikatos priežiūros paslaugų santykis</w:t>
                    </w:r>
                  </w:p>
                </w:tc>
                <w:tc>
                  <w:tcPr>
                    <w:tcW w:w="851" w:type="dxa"/>
                    <w:shd w:val="clear" w:color="auto" w:fill="F2F2F2" w:themeFill="background1" w:themeFillShade="F2"/>
                  </w:tcPr>
                  <w:p>
                    <w:pPr>
                      <w:ind w:left="-57" w:right="-57"/>
                      <w:jc w:val="center"/>
                      <w:rPr>
                        <w:sz w:val="20"/>
                      </w:rPr>
                    </w:pPr>
                    <w:r>
                      <w:rPr>
                        <w:sz w:val="20"/>
                      </w:rPr>
                      <w:t>40/60</w:t>
                    </w:r>
                  </w:p>
                  <w:p>
                    <w:pPr>
                      <w:ind w:left="-57" w:right="-57"/>
                      <w:jc w:val="center"/>
                      <w:rPr>
                        <w:sz w:val="20"/>
                      </w:rPr>
                    </w:pPr>
                    <w:r>
                      <w:rPr>
                        <w:sz w:val="20"/>
                      </w:rPr>
                      <w:t>(2026 m.)</w:t>
                    </w:r>
                  </w:p>
                </w:tc>
                <w:tc>
                  <w:tcPr>
                    <w:tcW w:w="992" w:type="dxa"/>
                    <w:vMerge w:val="restart"/>
                    <w:shd w:val="clear" w:color="auto" w:fill="F2F2F2" w:themeFill="background1" w:themeFillShade="F2"/>
                  </w:tcPr>
                  <w:p>
                    <w:pPr>
                      <w:rPr>
                        <w:sz w:val="20"/>
                      </w:rPr>
                    </w:pP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16 079,260</w:t>
                    </w:r>
                  </w:p>
                </w:tc>
                <w:tc>
                  <w:tcPr>
                    <w:tcW w:w="992" w:type="dxa"/>
                    <w:shd w:val="clear" w:color="auto" w:fill="F2F2F2" w:themeFill="background1" w:themeFillShade="F2"/>
                  </w:tcPr>
                  <w:p>
                    <w:pPr>
                      <w:rPr>
                        <w:sz w:val="20"/>
                      </w:rPr>
                    </w:pPr>
                    <w:r>
                      <w:rPr>
                        <w:sz w:val="20"/>
                      </w:rPr>
                      <w:t>2021–2027 m. IP (ERPF, Sostinės regionas)</w:t>
                    </w:r>
                  </w:p>
                </w:tc>
                <w:tc>
                  <w:tcPr>
                    <w:tcW w:w="2551" w:type="dxa"/>
                    <w:shd w:val="clear" w:color="auto" w:fill="F2F2F2" w:themeFill="background1" w:themeFillShade="F2"/>
                  </w:tcPr>
                  <w:p>
                    <w:pPr>
                      <w:ind w:left="-57" w:right="-57"/>
                      <w:rPr>
                        <w:sz w:val="20"/>
                      </w:rPr>
                    </w:pPr>
                    <w:r>
                      <w:rPr>
                        <w:sz w:val="20"/>
                      </w:rPr>
                      <w:t xml:space="preserve">R </w:t>
                    </w:r>
                    <w:r>
                      <w:rPr>
                        <w:szCs w:val="24"/>
                      </w:rPr>
                      <w:t>–</w:t>
                    </w:r>
                    <w:r>
                      <w:rPr>
                        <w:sz w:val="20"/>
                      </w:rPr>
                      <w:t xml:space="preserve"> Asmenų, kuriems onkologinė liga diagnozuota ankstyvoje stadijoje (I–II st.), dalis, proc.</w:t>
                    </w:r>
                  </w:p>
                </w:tc>
                <w:tc>
                  <w:tcPr>
                    <w:tcW w:w="851" w:type="dxa"/>
                    <w:shd w:val="clear" w:color="auto" w:fill="F2F2F2" w:themeFill="background1" w:themeFillShade="F2"/>
                  </w:tcPr>
                  <w:p>
                    <w:pPr>
                      <w:ind w:left="-57" w:right="-57"/>
                      <w:jc w:val="center"/>
                      <w:rPr>
                        <w:sz w:val="20"/>
                      </w:rPr>
                    </w:pPr>
                    <w:r>
                      <w:rPr>
                        <w:sz w:val="20"/>
                      </w:rPr>
                      <w:t>60,0</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 xml:space="preserve">16 079,260 </w:t>
                    </w:r>
                  </w:p>
                </w:tc>
                <w:tc>
                  <w:tcPr>
                    <w:tcW w:w="992" w:type="dxa"/>
                    <w:shd w:val="clear" w:color="auto" w:fill="F2F2F2" w:themeFill="background1" w:themeFillShade="F2"/>
                  </w:tcPr>
                  <w:p>
                    <w:pPr>
                      <w:rPr>
                        <w:sz w:val="20"/>
                      </w:rPr>
                    </w:pPr>
                    <w:r>
                      <w:rPr>
                        <w:sz w:val="20"/>
                      </w:rPr>
                      <w:t>2021–2027 m. IP (BF, Sostinės regionas)</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Gyventojų, dėl laukimo laiko (ilgų eilių) atidėjusių kreipimąsi dėl sveikatos priežiūros paslaugų, dalis,  proc.</w:t>
                    </w:r>
                  </w:p>
                </w:tc>
                <w:tc>
                  <w:tcPr>
                    <w:tcW w:w="851" w:type="dxa"/>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575"/>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 xml:space="preserve">95 490,258 </w:t>
                    </w:r>
                  </w:p>
                </w:tc>
                <w:tc>
                  <w:tcPr>
                    <w:tcW w:w="992" w:type="dxa"/>
                    <w:shd w:val="clear" w:color="auto" w:fill="F2F2F2" w:themeFill="background1" w:themeFillShade="F2"/>
                  </w:tcPr>
                  <w:p>
                    <w:pPr>
                      <w:rPr>
                        <w:sz w:val="20"/>
                      </w:rPr>
                    </w:pPr>
                    <w:r>
                      <w:rPr>
                        <w:sz w:val="20"/>
                      </w:rPr>
                      <w:t>2021–2027 m. IP (ERPF, VVL regionas)</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Stacionarinio aktyviojo gydymo atvejų skaičiaus sumažėjimas lyginant su 2019 m., atvejų skaičius</w:t>
                    </w:r>
                  </w:p>
                </w:tc>
                <w:tc>
                  <w:tcPr>
                    <w:tcW w:w="851" w:type="dxa"/>
                    <w:shd w:val="clear" w:color="auto" w:fill="F2F2F2" w:themeFill="background1" w:themeFillShade="F2"/>
                  </w:tcPr>
                  <w:p>
                    <w:pPr>
                      <w:ind w:left="-57" w:right="-57"/>
                      <w:jc w:val="center"/>
                      <w:rPr>
                        <w:sz w:val="20"/>
                      </w:rPr>
                    </w:pPr>
                    <w:r>
                      <w:rPr>
                        <w:sz w:val="20"/>
                      </w:rPr>
                      <w:t>431 714</w:t>
                    </w:r>
                  </w:p>
                  <w:p>
                    <w:pPr>
                      <w:ind w:left="-57" w:right="-57"/>
                      <w:jc w:val="center"/>
                      <w:rPr>
                        <w:sz w:val="20"/>
                      </w:rPr>
                    </w:pPr>
                    <w:r>
                      <w:rPr>
                        <w:sz w:val="20"/>
                      </w:rPr>
                      <w:t>(2030 m.)</w:t>
                    </w:r>
                  </w:p>
                  <w:p>
                    <w:pPr>
                      <w:ind w:left="-57" w:right="-57"/>
                      <w:jc w:val="center"/>
                      <w:rPr>
                        <w:sz w:val="20"/>
                      </w:rPr>
                    </w:pPr>
                  </w:p>
                  <w:p>
                    <w:pPr>
                      <w:ind w:left="-57" w:right="-57"/>
                      <w:jc w:val="center"/>
                      <w:rPr>
                        <w:sz w:val="20"/>
                      </w:rPr>
                    </w:pPr>
                  </w:p>
                  <w:p>
                    <w:pPr>
                      <w:ind w:right="-57"/>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575"/>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33 366,750</w:t>
                    </w:r>
                  </w:p>
                </w:tc>
                <w:tc>
                  <w:tcPr>
                    <w:tcW w:w="992" w:type="dxa"/>
                    <w:shd w:val="clear" w:color="auto" w:fill="F2F2F2" w:themeFill="background1" w:themeFillShade="F2"/>
                  </w:tcPr>
                  <w:p>
                    <w:pPr>
                      <w:rPr>
                        <w:sz w:val="20"/>
                      </w:rPr>
                    </w:pPr>
                    <w:r>
                      <w:rPr>
                        <w:sz w:val="20"/>
                      </w:rPr>
                      <w:t>2021–2027 m. IP (ESF+, VVL regionas)</w:t>
                    </w:r>
                  </w:p>
                </w:tc>
                <w:tc>
                  <w:tcPr>
                    <w:tcW w:w="2551" w:type="dxa"/>
                    <w:shd w:val="clear" w:color="auto" w:fill="F2F2F2" w:themeFill="background1" w:themeFillShade="F2"/>
                  </w:tcPr>
                  <w:p>
                    <w:pPr>
                      <w:ind w:left="-57" w:right="-57"/>
                      <w:rPr>
                        <w:sz w:val="20"/>
                      </w:rPr>
                    </w:pPr>
                    <w:r>
                      <w:rPr>
                        <w:sz w:val="20"/>
                      </w:rPr>
                      <w:t>R – Dienos stacionaro atvejų skaičiaus padidėjimas lyginant su 2019 m., atvejų skaičius</w:t>
                    </w:r>
                  </w:p>
                  <w:p>
                    <w:pPr>
                      <w:ind w:right="-57"/>
                      <w:rPr>
                        <w:sz w:val="20"/>
                      </w:rPr>
                    </w:pPr>
                  </w:p>
                </w:tc>
                <w:tc>
                  <w:tcPr>
                    <w:tcW w:w="851" w:type="dxa"/>
                    <w:shd w:val="clear" w:color="auto" w:fill="F2F2F2" w:themeFill="background1" w:themeFillShade="F2"/>
                  </w:tcPr>
                  <w:p>
                    <w:pPr>
                      <w:ind w:left="-57" w:right="-57"/>
                      <w:jc w:val="center"/>
                      <w:rPr>
                        <w:sz w:val="20"/>
                      </w:rPr>
                    </w:pPr>
                    <w:r>
                      <w:rPr>
                        <w:sz w:val="20"/>
                      </w:rPr>
                      <w:t>362 243</w:t>
                    </w:r>
                  </w:p>
                  <w:p>
                    <w:pPr>
                      <w:ind w:left="-57" w:right="-57"/>
                      <w:jc w:val="center"/>
                      <w:rPr>
                        <w:sz w:val="20"/>
                      </w:rPr>
                    </w:pPr>
                    <w:r>
                      <w:rPr>
                        <w:sz w:val="20"/>
                      </w:rPr>
                      <w:t>(2030 m.)</w:t>
                    </w:r>
                  </w:p>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 xml:space="preserve">22 739,471 </w:t>
                    </w:r>
                  </w:p>
                </w:tc>
                <w:tc>
                  <w:tcPr>
                    <w:tcW w:w="992" w:type="dxa"/>
                    <w:shd w:val="clear" w:color="auto" w:fill="F2F2F2" w:themeFill="background1" w:themeFillShade="F2"/>
                  </w:tcPr>
                  <w:p>
                    <w:pPr>
                      <w:rPr>
                        <w:sz w:val="20"/>
                      </w:rPr>
                    </w:pPr>
                    <w:r>
                      <w:rPr>
                        <w:sz w:val="20"/>
                      </w:rPr>
                      <w:t>2021–2027 m. IP (BF, VVL regionas)</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Dienos chirurgijos atvejų skaičiaus padidėjimas lyginant su 2019 m., atvejų skaičius</w:t>
                    </w:r>
                  </w:p>
                </w:tc>
                <w:tc>
                  <w:tcPr>
                    <w:tcW w:w="851" w:type="dxa"/>
                    <w:shd w:val="clear" w:color="auto" w:fill="F2F2F2" w:themeFill="background1" w:themeFillShade="F2"/>
                  </w:tcPr>
                  <w:p>
                    <w:pPr>
                      <w:ind w:left="-57" w:right="-57"/>
                      <w:jc w:val="center"/>
                      <w:rPr>
                        <w:sz w:val="20"/>
                      </w:rPr>
                    </w:pPr>
                    <w:r>
                      <w:rPr>
                        <w:sz w:val="20"/>
                      </w:rPr>
                      <w:t>73 020</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817"/>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8 000</w:t>
                    </w:r>
                  </w:p>
                </w:tc>
                <w:tc>
                  <w:tcPr>
                    <w:tcW w:w="992" w:type="dxa"/>
                    <w:shd w:val="clear" w:color="auto" w:fill="F2F2F2" w:themeFill="background1" w:themeFillShade="F2"/>
                  </w:tcPr>
                  <w:p>
                    <w:pPr>
                      <w:rPr>
                        <w:sz w:val="20"/>
                      </w:rPr>
                    </w:pPr>
                    <w:r>
                      <w:rPr>
                        <w:sz w:val="20"/>
                      </w:rPr>
                      <w:t>VB</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Aktyviojo gydymo lovų užimtumas, proc.</w:t>
                    </w:r>
                  </w:p>
                </w:tc>
                <w:tc>
                  <w:tcPr>
                    <w:tcW w:w="851" w:type="dxa"/>
                    <w:shd w:val="clear" w:color="auto" w:fill="F2F2F2" w:themeFill="background1" w:themeFillShade="F2"/>
                  </w:tcPr>
                  <w:p>
                    <w:pPr>
                      <w:ind w:left="-57" w:right="-57"/>
                      <w:jc w:val="center"/>
                      <w:rPr>
                        <w:sz w:val="20"/>
                      </w:rPr>
                    </w:pPr>
                    <w:r>
                      <w:rPr>
                        <w:sz w:val="20"/>
                      </w:rPr>
                      <w:t>82</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val="restart"/>
                  </w:tcPr>
                  <w:p>
                    <w:pPr>
                      <w:rPr>
                        <w:iCs/>
                        <w:sz w:val="20"/>
                      </w:rPr>
                    </w:pPr>
                    <w:r>
                      <w:rPr>
                        <w:sz w:val="20"/>
                      </w:rPr>
                      <w:t>6.1. Teisės aktų ir kitų dokumentų, reglamentuojančių bazinių sveikatos priežiūros paslaugų teikimo ir organizavimo reikalavimus</w:t>
                    </w:r>
                    <w:r>
                      <w:rPr>
                        <w:i/>
                        <w:iCs/>
                        <w:sz w:val="20"/>
                      </w:rPr>
                      <w:t xml:space="preserve">, </w:t>
                    </w:r>
                    <w:r>
                      <w:rPr>
                        <w:sz w:val="20"/>
                      </w:rPr>
                      <w:t>rengimas</w:t>
                    </w:r>
                  </w:p>
                </w:tc>
                <w:tc>
                  <w:tcPr>
                    <w:tcW w:w="709" w:type="dxa"/>
                    <w:vMerge w:val="restart"/>
                  </w:tcPr>
                  <w:p>
                    <w:pPr>
                      <w:rPr>
                        <w:sz w:val="20"/>
                      </w:rPr>
                    </w:pPr>
                    <w:r>
                      <w:rPr>
                        <w:sz w:val="20"/>
                      </w:rPr>
                      <w:t>R</w:t>
                    </w:r>
                  </w:p>
                </w:tc>
                <w:tc>
                  <w:tcPr>
                    <w:tcW w:w="1559" w:type="dxa"/>
                    <w:vMerge w:val="restart"/>
                  </w:tcPr>
                  <w:p>
                    <w:pPr>
                      <w:rPr>
                        <w:sz w:val="20"/>
                      </w:rPr>
                    </w:pPr>
                    <w:r>
                      <w:rPr>
                        <w:sz w:val="20"/>
                      </w:rPr>
                      <w:t>-</w:t>
                    </w:r>
                  </w:p>
                </w:tc>
                <w:tc>
                  <w:tcPr>
                    <w:tcW w:w="709" w:type="dxa"/>
                    <w:vMerge w:val="restart"/>
                  </w:tcPr>
                  <w:p>
                    <w:pPr>
                      <w:rPr>
                        <w:sz w:val="20"/>
                      </w:rPr>
                    </w:pPr>
                    <w:r>
                      <w:rPr>
                        <w:sz w:val="20"/>
                      </w:rPr>
                      <w:t>-</w:t>
                    </w:r>
                  </w:p>
                </w:tc>
                <w:tc>
                  <w:tcPr>
                    <w:tcW w:w="992" w:type="dxa"/>
                    <w:vMerge w:val="restart"/>
                  </w:tcPr>
                  <w:p>
                    <w:pPr>
                      <w:rPr>
                        <w:sz w:val="20"/>
                      </w:rPr>
                    </w:pPr>
                    <w:r>
                      <w:rPr>
                        <w:sz w:val="20"/>
                      </w:rPr>
                      <w:t>Taip</w:t>
                    </w:r>
                  </w:p>
                </w:tc>
                <w:tc>
                  <w:tcPr>
                    <w:tcW w:w="709" w:type="dxa"/>
                    <w:vMerge w:val="restart"/>
                  </w:tcPr>
                  <w:p>
                    <w:pPr>
                      <w:rPr>
                        <w:sz w:val="20"/>
                      </w:rPr>
                    </w:pPr>
                    <w:r>
                      <w:rPr>
                        <w:sz w:val="20"/>
                      </w:rPr>
                      <w:t>-</w:t>
                    </w:r>
                  </w:p>
                </w:tc>
                <w:tc>
                  <w:tcPr>
                    <w:tcW w:w="1276" w:type="dxa"/>
                    <w:vMerge w:val="restart"/>
                  </w:tcPr>
                  <w:p>
                    <w:pPr>
                      <w:rPr>
                        <w:sz w:val="20"/>
                      </w:rPr>
                    </w:pPr>
                    <w:r>
                      <w:rPr>
                        <w:sz w:val="20"/>
                      </w:rPr>
                      <w:t>-</w:t>
                    </w:r>
                  </w:p>
                </w:tc>
                <w:tc>
                  <w:tcPr>
                    <w:tcW w:w="992" w:type="dxa"/>
                    <w:vMerge w:val="restart"/>
                  </w:tcPr>
                  <w:p>
                    <w:pPr>
                      <w:rPr>
                        <w:sz w:val="20"/>
                      </w:rPr>
                    </w:pPr>
                    <w:r>
                      <w:rPr>
                        <w:sz w:val="20"/>
                      </w:rPr>
                      <w:t>-</w:t>
                    </w:r>
                  </w:p>
                </w:tc>
                <w:tc>
                  <w:tcPr>
                    <w:tcW w:w="2551" w:type="dxa"/>
                  </w:tcPr>
                  <w:p>
                    <w:pPr>
                      <w:ind w:left="-57" w:right="-57"/>
                      <w:jc w:val="both"/>
                      <w:rPr>
                        <w:sz w:val="20"/>
                      </w:rPr>
                    </w:pPr>
                    <w:r>
                      <w:rPr>
                        <w:sz w:val="20"/>
                      </w:rPr>
                      <w:t xml:space="preserve">P – Įsigalioję teisės aktai dėl kompetencijos centrų ir regioninio bendradarbiavimo modeliu pagrįsto asmens sveikatos priežiūros įstaigų tinklo sukūrimo ir reglamentavimo, kompl. </w:t>
                    </w:r>
                  </w:p>
                </w:tc>
                <w:tc>
                  <w:tcPr>
                    <w:tcW w:w="851" w:type="dxa"/>
                  </w:tcPr>
                  <w:p>
                    <w:pPr>
                      <w:ind w:left="-57" w:right="-57"/>
                      <w:jc w:val="center"/>
                      <w:rPr>
                        <w:sz w:val="20"/>
                      </w:rPr>
                    </w:pPr>
                    <w:r>
                      <w:rPr>
                        <w:sz w:val="20"/>
                      </w:rPr>
                      <w:t>1</w:t>
                    </w:r>
                  </w:p>
                  <w:p>
                    <w:pPr>
                      <w:ind w:left="-57" w:right="-57"/>
                      <w:jc w:val="center"/>
                      <w:rPr>
                        <w:sz w:val="20"/>
                      </w:rPr>
                    </w:pPr>
                    <w:r>
                      <w:rPr>
                        <w:sz w:val="20"/>
                      </w:rPr>
                      <w:t>(2023 m. III ketv.)</w:t>
                    </w:r>
                  </w:p>
                  <w:p>
                    <w:pPr>
                      <w:ind w:left="-57" w:right="-57"/>
                      <w:jc w:val="center"/>
                      <w:rPr>
                        <w:i/>
                        <w:iCs/>
                        <w:sz w:val="20"/>
                      </w:rPr>
                    </w:pPr>
                  </w:p>
                  <w:p>
                    <w:pPr>
                      <w:ind w:left="-57" w:right="-57"/>
                      <w:jc w:val="center"/>
                      <w:rPr>
                        <w:i/>
                        <w:iCs/>
                        <w:sz w:val="20"/>
                      </w:rPr>
                    </w:pPr>
                  </w:p>
                  <w:p>
                    <w:pPr>
                      <w:ind w:left="-57" w:right="-57"/>
                      <w:jc w:val="center"/>
                      <w:rPr>
                        <w:sz w:val="20"/>
                      </w:rPr>
                    </w:pPr>
                  </w:p>
                </w:tc>
                <w:tc>
                  <w:tcPr>
                    <w:tcW w:w="992" w:type="dxa"/>
                  </w:tcPr>
                  <w:p>
                    <w:pPr>
                      <w:rPr>
                        <w:sz w:val="20"/>
                      </w:rPr>
                    </w:pPr>
                    <w:r>
                      <w:rPr>
                        <w:sz w:val="20"/>
                      </w:rPr>
                      <w:t>-</w:t>
                    </w:r>
                  </w:p>
                </w:tc>
                <w:tc>
                  <w:tcPr>
                    <w:tcW w:w="1276" w:type="dxa"/>
                    <w:vMerge w:val="restart"/>
                    <w:tcBorders>
                      <w:left w:val="single" w:sz="4" w:space="0" w:color="auto"/>
                      <w:right w:val="single" w:sz="4" w:space="0" w:color="auto"/>
                    </w:tcBorders>
                  </w:tcPr>
                  <w:p>
                    <w:pPr>
                      <w:jc w:val="center"/>
                      <w:rPr>
                        <w:sz w:val="20"/>
                      </w:rPr>
                    </w:pPr>
                    <w:r>
                      <w:rPr>
                        <w:sz w:val="20"/>
                      </w:rPr>
                      <w:t>SAM</w:t>
                    </w: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tcPr>
                  <w:p>
                    <w:pPr>
                      <w:ind w:left="-57" w:right="-57"/>
                      <w:jc w:val="both"/>
                      <w:rPr>
                        <w:sz w:val="20"/>
                      </w:rPr>
                    </w:pPr>
                    <w:r>
                      <w:rPr>
                        <w:sz w:val="20"/>
                      </w:rPr>
                      <w:t>P – Sprendimo dėl reguliavimo, investavimo ir komunikacijos veiksmų, siekiant sukurti tvarų sveikatos priežiūros įstaigų tinklą, priėmimas</w:t>
                    </w:r>
                  </w:p>
                </w:tc>
                <w:tc>
                  <w:tcPr>
                    <w:tcW w:w="851" w:type="dxa"/>
                  </w:tcPr>
                  <w:p>
                    <w:pPr>
                      <w:ind w:left="-57" w:right="-57"/>
                      <w:jc w:val="center"/>
                      <w:rPr>
                        <w:sz w:val="20"/>
                      </w:rPr>
                    </w:pPr>
                    <w:r>
                      <w:rPr>
                        <w:sz w:val="20"/>
                      </w:rPr>
                      <w:t>1</w:t>
                    </w:r>
                  </w:p>
                  <w:p>
                    <w:pPr>
                      <w:ind w:left="-57" w:right="-57"/>
                      <w:jc w:val="center"/>
                      <w:rPr>
                        <w:sz w:val="20"/>
                      </w:rPr>
                    </w:pPr>
                    <w:r>
                      <w:rPr>
                        <w:sz w:val="20"/>
                      </w:rPr>
                      <w:t>(2023 m. I ketv.)</w:t>
                    </w:r>
                  </w:p>
                </w:tc>
                <w:tc>
                  <w:tcPr>
                    <w:tcW w:w="992" w:type="dxa"/>
                  </w:tcPr>
                  <w:p>
                    <w:pPr>
                      <w:rPr>
                        <w:sz w:val="20"/>
                      </w:rPr>
                    </w:pPr>
                    <w:r>
                      <w:rPr>
                        <w:sz w:val="20"/>
                      </w:rPr>
                      <w:t>-</w:t>
                    </w:r>
                  </w:p>
                </w:tc>
                <w:tc>
                  <w:tcPr>
                    <w:tcW w:w="1276" w:type="dxa"/>
                    <w:vMerge/>
                    <w:tcBorders>
                      <w:left w:val="single" w:sz="4" w:space="0" w:color="auto"/>
                      <w:right w:val="single" w:sz="4" w:space="0" w:color="auto"/>
                    </w:tcBorders>
                  </w:tcPr>
                  <w:p>
                    <w:pPr>
                      <w:jc w:val="center"/>
                      <w:rPr>
                        <w:sz w:val="20"/>
                      </w:rPr>
                    </w:pP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tcPr>
                  <w:p>
                    <w:pPr>
                      <w:ind w:left="-57" w:right="-57"/>
                      <w:jc w:val="both"/>
                      <w:rPr>
                        <w:sz w:val="20"/>
                      </w:rPr>
                    </w:pPr>
                    <w:r>
                      <w:rPr>
                        <w:sz w:val="20"/>
                      </w:rPr>
                      <w:t>P – Patvirtintas atnaujintas Šeimos medicinos plėtros 2016–2025 m. veiksmų planas</w:t>
                    </w:r>
                  </w:p>
                </w:tc>
                <w:tc>
                  <w:tcPr>
                    <w:tcW w:w="851" w:type="dxa"/>
                  </w:tcPr>
                  <w:p>
                    <w:pPr>
                      <w:ind w:left="-57" w:right="-57"/>
                      <w:jc w:val="center"/>
                      <w:rPr>
                        <w:sz w:val="20"/>
                      </w:rPr>
                    </w:pPr>
                    <w:r>
                      <w:rPr>
                        <w:sz w:val="20"/>
                      </w:rPr>
                      <w:t>1</w:t>
                    </w:r>
                  </w:p>
                  <w:p>
                    <w:pPr>
                      <w:ind w:left="-57" w:right="-57"/>
                      <w:jc w:val="center"/>
                      <w:rPr>
                        <w:sz w:val="20"/>
                      </w:rPr>
                    </w:pPr>
                    <w:r>
                      <w:rPr>
                        <w:sz w:val="20"/>
                      </w:rPr>
                      <w:t>(2022 m. IV ketv.)</w:t>
                    </w:r>
                  </w:p>
                </w:tc>
                <w:tc>
                  <w:tcPr>
                    <w:tcW w:w="992" w:type="dxa"/>
                  </w:tcPr>
                  <w:p>
                    <w:pPr>
                      <w:rPr>
                        <w:sz w:val="20"/>
                      </w:rPr>
                    </w:pPr>
                    <w:r>
                      <w:rPr>
                        <w:sz w:val="20"/>
                      </w:rPr>
                      <w:t>-</w:t>
                    </w:r>
                  </w:p>
                </w:tc>
                <w:tc>
                  <w:tcPr>
                    <w:tcW w:w="1276" w:type="dxa"/>
                    <w:vMerge/>
                    <w:tcBorders>
                      <w:left w:val="single" w:sz="4" w:space="0" w:color="auto"/>
                      <w:right w:val="single" w:sz="4" w:space="0" w:color="auto"/>
                    </w:tcBorders>
                  </w:tcPr>
                  <w:p>
                    <w:pPr>
                      <w:jc w:val="center"/>
                      <w:rPr>
                        <w:sz w:val="20"/>
                      </w:rPr>
                    </w:pPr>
                  </w:p>
                </w:tc>
              </w:tr>
              <w:tr>
                <w:trPr>
                  <w:trHeight w:val="920"/>
                </w:trPr>
                <w:tc>
                  <w:tcPr>
                    <w:tcW w:w="2410" w:type="dxa"/>
                    <w:vMerge w:val="restart"/>
                  </w:tcPr>
                  <w:p>
                    <w:pPr>
                      <w:rPr>
                        <w:sz w:val="20"/>
                      </w:rPr>
                    </w:pPr>
                    <w:r>
                      <w:rPr>
                        <w:sz w:val="20"/>
                      </w:rPr>
                      <w:t>6.2. Sveikatos centro pirminės ambulatorinės asmens sveikatos priežiūros paslaugoms teikti reikiamos infrastruktūros modernizavimas,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5 700,000</w:t>
                    </w:r>
                  </w:p>
                </w:tc>
                <w:tc>
                  <w:tcPr>
                    <w:tcW w:w="992" w:type="dxa"/>
                  </w:tcPr>
                  <w:p>
                    <w:pPr>
                      <w:rPr>
                        <w:sz w:val="20"/>
                      </w:rPr>
                    </w:pPr>
                    <w:r>
                      <w:rPr>
                        <w:sz w:val="20"/>
                      </w:rPr>
                      <w:t>2021–2027 m. IP (ERPF)</w:t>
                    </w:r>
                  </w:p>
                </w:tc>
                <w:tc>
                  <w:tcPr>
                    <w:tcW w:w="2551" w:type="dxa"/>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358 500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46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5 700,000</w:t>
                    </w:r>
                  </w:p>
                </w:tc>
                <w:tc>
                  <w:tcPr>
                    <w:tcW w:w="992" w:type="dxa"/>
                    <w:vMerge w:val="restart"/>
                  </w:tcPr>
                  <w:p>
                    <w:pPr>
                      <w:rPr>
                        <w:sz w:val="20"/>
                      </w:rPr>
                    </w:pPr>
                    <w:r>
                      <w:rPr>
                        <w:sz w:val="20"/>
                      </w:rPr>
                      <w:t>2021–2027 m. IP (BF)</w:t>
                    </w:r>
                  </w:p>
                </w:tc>
                <w:tc>
                  <w:tcPr>
                    <w:tcW w:w="2551" w:type="dxa"/>
                  </w:tcPr>
                  <w:p>
                    <w:pPr>
                      <w:ind w:left="-57" w:right="-57"/>
                      <w:rPr>
                        <w:sz w:val="20"/>
                      </w:rPr>
                    </w:pPr>
                    <w:r>
                      <w:rPr>
                        <w:sz w:val="20"/>
                      </w:rPr>
                      <w:t>R – Naujos arba modernizuotos sveikatos priežiūros infrastruktūros naudotojų skaičius per metus</w:t>
                    </w:r>
                  </w:p>
                </w:tc>
                <w:tc>
                  <w:tcPr>
                    <w:tcW w:w="851" w:type="dxa"/>
                  </w:tcPr>
                  <w:p>
                    <w:pPr>
                      <w:ind w:left="-57" w:right="-57"/>
                      <w:jc w:val="center"/>
                      <w:rPr>
                        <w:sz w:val="20"/>
                      </w:rPr>
                    </w:pPr>
                    <w:r>
                      <w:rPr>
                        <w:sz w:val="20"/>
                      </w:rPr>
                      <w:t>295 085</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46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986"/>
                </w:trPr>
                <w:tc>
                  <w:tcPr>
                    <w:tcW w:w="2410" w:type="dxa"/>
                    <w:vMerge w:val="restart"/>
                  </w:tcPr>
                  <w:p>
                    <w:pPr>
                      <w:rPr>
                        <w:sz w:val="20"/>
                      </w:rPr>
                    </w:pPr>
                    <w:r>
                      <w:rPr>
                        <w:sz w:val="20"/>
                      </w:rPr>
                      <w:t>6.3.</w:t>
                    </w:r>
                    <w:r>
                      <w:t xml:space="preserve"> </w:t>
                    </w:r>
                    <w:r>
                      <w:rPr>
                        <w:sz w:val="20"/>
                      </w:rPr>
                      <w:t>Sveikatos centro antrinio lygio ambulatorinės specializuotos asmens sveikatos priežiūros, ambulatorinės chirurgijos, dienos chirurgijos, dienos stacionaro bei skubiosios pagalbos paslaugoms teikti reikiamos infrastruktūros modernizavimas,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7 603,764</w:t>
                    </w:r>
                  </w:p>
                </w:tc>
                <w:tc>
                  <w:tcPr>
                    <w:tcW w:w="992" w:type="dxa"/>
                  </w:tcPr>
                  <w:p>
                    <w:pPr>
                      <w:rPr>
                        <w:sz w:val="20"/>
                      </w:rPr>
                    </w:pPr>
                    <w:r>
                      <w:rPr>
                        <w:sz w:val="20"/>
                      </w:rPr>
                      <w:t>2021–2027 m. IP (ERPF)</w:t>
                    </w:r>
                  </w:p>
                </w:tc>
                <w:tc>
                  <w:tcPr>
                    <w:tcW w:w="2551" w:type="dxa"/>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53 500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7 603,764</w:t>
                    </w:r>
                  </w:p>
                </w:tc>
                <w:tc>
                  <w:tcPr>
                    <w:tcW w:w="992" w:type="dxa"/>
                    <w:vMerge w:val="restart"/>
                  </w:tcPr>
                  <w:p>
                    <w:pPr>
                      <w:rPr>
                        <w:sz w:val="20"/>
                      </w:rPr>
                    </w:pPr>
                    <w:r>
                      <w:rPr>
                        <w:sz w:val="20"/>
                      </w:rPr>
                      <w:t>2021–2027 m. IP (BF)</w:t>
                    </w:r>
                  </w:p>
                </w:tc>
                <w:tc>
                  <w:tcPr>
                    <w:tcW w:w="2551" w:type="dxa"/>
                  </w:tcPr>
                  <w:p>
                    <w:pPr>
                      <w:ind w:left="-57" w:right="-57"/>
                      <w:rPr>
                        <w:sz w:val="20"/>
                      </w:rPr>
                    </w:pPr>
                    <w:r>
                      <w:rPr>
                        <w:sz w:val="20"/>
                      </w:rPr>
                      <w:t>R – Naujos arba modernizuotos sveikatos priežiūros infrastruktūros naudotojų skaičius per metus</w:t>
                    </w:r>
                  </w:p>
                </w:tc>
                <w:tc>
                  <w:tcPr>
                    <w:tcW w:w="851" w:type="dxa"/>
                  </w:tcPr>
                  <w:p>
                    <w:pPr>
                      <w:ind w:left="-57" w:right="-57"/>
                      <w:jc w:val="center"/>
                      <w:rPr>
                        <w:sz w:val="20"/>
                      </w:rPr>
                    </w:pPr>
                    <w:r>
                      <w:rPr>
                        <w:sz w:val="20"/>
                      </w:rPr>
                      <w:t>44 100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Borders>
                      <w:bottom w:val="single" w:sz="4" w:space="0" w:color="auto"/>
                    </w:tcBorders>
                  </w:tcPr>
                  <w:p>
                    <w:pPr>
                      <w:rPr>
                        <w:sz w:val="20"/>
                        <w:lang w:val="en-US"/>
                      </w:rPr>
                    </w:pPr>
                  </w:p>
                </w:tc>
                <w:tc>
                  <w:tcPr>
                    <w:tcW w:w="992" w:type="dxa"/>
                    <w:vMerge/>
                    <w:tcBorders>
                      <w:bottom w:val="single" w:sz="4" w:space="0" w:color="auto"/>
                    </w:tcBorders>
                  </w:tcPr>
                  <w:p>
                    <w:pPr>
                      <w:rPr>
                        <w:sz w:val="20"/>
                      </w:rPr>
                    </w:pPr>
                  </w:p>
                </w:tc>
                <w:tc>
                  <w:tcPr>
                    <w:tcW w:w="2551" w:type="dxa"/>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920"/>
                </w:trPr>
                <w:tc>
                  <w:tcPr>
                    <w:tcW w:w="2410" w:type="dxa"/>
                    <w:vMerge w:val="restart"/>
                  </w:tcPr>
                  <w:p>
                    <w:pPr>
                      <w:rPr>
                        <w:sz w:val="20"/>
                      </w:rPr>
                    </w:pPr>
                    <w:r>
                      <w:rPr>
                        <w:sz w:val="20"/>
                      </w:rPr>
                      <w:t>6.4. Sveikatos centro pirminės ambulatorinės asmens sveikatos priežiūros paslaugoms teikti reikiamos infrastruktūros modernizavimas,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31 110,000</w:t>
                    </w:r>
                  </w:p>
                </w:tc>
                <w:tc>
                  <w:tcPr>
                    <w:tcW w:w="992" w:type="dxa"/>
                  </w:tcPr>
                  <w:p>
                    <w:pPr>
                      <w:rPr>
                        <w:sz w:val="20"/>
                      </w:rPr>
                    </w:pPr>
                    <w:r>
                      <w:rPr>
                        <w:sz w:val="20"/>
                      </w:rPr>
                      <w:t>2021–2027 m. IP (ERPF)</w:t>
                    </w:r>
                  </w:p>
                </w:tc>
                <w:tc>
                  <w:tcPr>
                    <w:tcW w:w="2551" w:type="dxa"/>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1 113 600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46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rPr>
                      <w:t>5 490,000</w:t>
                    </w:r>
                  </w:p>
                </w:tc>
                <w:tc>
                  <w:tcPr>
                    <w:tcW w:w="992" w:type="dxa"/>
                    <w:vMerge w:val="restart"/>
                  </w:tcPr>
                  <w:p>
                    <w:pPr>
                      <w:rPr>
                        <w:sz w:val="20"/>
                      </w:rPr>
                    </w:pPr>
                    <w:r>
                      <w:rPr>
                        <w:sz w:val="20"/>
                      </w:rPr>
                      <w:t>2021–2027 m. IP (BF)</w:t>
                    </w:r>
                  </w:p>
                </w:tc>
                <w:tc>
                  <w:tcPr>
                    <w:tcW w:w="2551" w:type="dxa"/>
                  </w:tcPr>
                  <w:p>
                    <w:pPr>
                      <w:ind w:left="-57" w:right="-57"/>
                      <w:rPr>
                        <w:sz w:val="20"/>
                      </w:rPr>
                    </w:pPr>
                    <w:r>
                      <w:rPr>
                        <w:sz w:val="20"/>
                      </w:rPr>
                      <w:t>R – Naujos arba modernizuotos sveikatos priežiūros infrastruktūros naudotojų skaičius per metus</w:t>
                    </w:r>
                  </w:p>
                </w:tc>
                <w:tc>
                  <w:tcPr>
                    <w:tcW w:w="851" w:type="dxa"/>
                  </w:tcPr>
                  <w:p>
                    <w:pPr>
                      <w:ind w:left="-57" w:right="-57"/>
                      <w:jc w:val="center"/>
                      <w:rPr>
                        <w:sz w:val="20"/>
                      </w:rPr>
                    </w:pPr>
                    <w:r>
                      <w:rPr>
                        <w:sz w:val="20"/>
                      </w:rPr>
                      <w:t>917 565</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46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1120"/>
                </w:trPr>
                <w:tc>
                  <w:tcPr>
                    <w:tcW w:w="2410" w:type="dxa"/>
                    <w:vMerge w:val="restart"/>
                  </w:tcPr>
                  <w:p>
                    <w:pPr>
                      <w:rPr>
                        <w:sz w:val="20"/>
                      </w:rPr>
                    </w:pPr>
                    <w:r>
                      <w:rPr>
                        <w:sz w:val="20"/>
                      </w:rPr>
                      <w:t>6.5. Sveikatos centro antrinio lygio ambulatorinės specializuotos asmens sveikatos priežiūros, ambulatorinės chirurgijos, dienos chirurgijos, dienos stacionaro bei skubiosios pagalbos paslaugoms teikti reikiamos infrastruktūros modernizavimas,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50 398,601</w:t>
                    </w:r>
                  </w:p>
                </w:tc>
                <w:tc>
                  <w:tcPr>
                    <w:tcW w:w="992" w:type="dxa"/>
                  </w:tcPr>
                  <w:p>
                    <w:pPr>
                      <w:rPr>
                        <w:sz w:val="20"/>
                      </w:rPr>
                    </w:pPr>
                    <w:r>
                      <w:rPr>
                        <w:sz w:val="20"/>
                      </w:rPr>
                      <w:t>2021–2027 m. IP (ERPF)</w:t>
                    </w:r>
                  </w:p>
                </w:tc>
                <w:tc>
                  <w:tcPr>
                    <w:tcW w:w="2551" w:type="dxa"/>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 </w:t>
                    </w:r>
                  </w:p>
                </w:tc>
                <w:tc>
                  <w:tcPr>
                    <w:tcW w:w="851" w:type="dxa"/>
                  </w:tcPr>
                  <w:p>
                    <w:pPr>
                      <w:ind w:left="-57" w:right="-57"/>
                      <w:jc w:val="center"/>
                      <w:rPr>
                        <w:sz w:val="20"/>
                      </w:rPr>
                    </w:pPr>
                    <w:r>
                      <w:rPr>
                        <w:sz w:val="20"/>
                      </w:rPr>
                      <w:t>166 400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8 893,871</w:t>
                    </w:r>
                  </w:p>
                </w:tc>
                <w:tc>
                  <w:tcPr>
                    <w:tcW w:w="992" w:type="dxa"/>
                    <w:vMerge w:val="restart"/>
                  </w:tcPr>
                  <w:p>
                    <w:pPr>
                      <w:rPr>
                        <w:sz w:val="20"/>
                      </w:rPr>
                    </w:pPr>
                    <w:r>
                      <w:rPr>
                        <w:sz w:val="20"/>
                      </w:rPr>
                      <w:t>2021–2027 m. IP (BF)</w:t>
                    </w: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w:t>
                    </w:r>
                  </w:p>
                </w:tc>
                <w:tc>
                  <w:tcPr>
                    <w:tcW w:w="851" w:type="dxa"/>
                    <w:shd w:val="clear" w:color="auto" w:fill="auto"/>
                  </w:tcPr>
                  <w:p>
                    <w:pPr>
                      <w:ind w:left="-57" w:right="-57"/>
                      <w:jc w:val="center"/>
                      <w:rPr>
                        <w:sz w:val="20"/>
                        <w:lang w:val="en-US"/>
                      </w:rPr>
                    </w:pPr>
                    <w:r>
                      <w:rPr>
                        <w:sz w:val="20"/>
                        <w:lang w:val="en-US"/>
                      </w:rPr>
                      <w:t>137 100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Borders>
                      <w:bottom w:val="single" w:sz="4" w:space="0" w:color="auto"/>
                    </w:tcBorders>
                  </w:tcPr>
                  <w:p>
                    <w:pPr>
                      <w:rPr>
                        <w:sz w:val="20"/>
                        <w:lang w:val="en-US"/>
                      </w:rPr>
                    </w:pPr>
                  </w:p>
                </w:tc>
                <w:tc>
                  <w:tcPr>
                    <w:tcW w:w="992" w:type="dxa"/>
                    <w:vMerge/>
                    <w:tcBorders>
                      <w:bottom w:val="single" w:sz="4" w:space="0" w:color="auto"/>
                    </w:tcBorders>
                  </w:tcPr>
                  <w:p>
                    <w:pPr>
                      <w:rPr>
                        <w:sz w:val="20"/>
                      </w:rPr>
                    </w:pPr>
                  </w:p>
                </w:tc>
                <w:tc>
                  <w:tcPr>
                    <w:tcW w:w="2551" w:type="dxa"/>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58"/>
                </w:trPr>
                <w:tc>
                  <w:tcPr>
                    <w:tcW w:w="2410" w:type="dxa"/>
                    <w:vMerge w:val="restart"/>
                  </w:tcPr>
                  <w:p>
                    <w:pPr>
                      <w:rPr>
                        <w:sz w:val="20"/>
                      </w:rPr>
                    </w:pPr>
                    <w:r>
                      <w:rPr>
                        <w:sz w:val="20"/>
                      </w:rPr>
                      <w:t>6.6. Dienos stacionaro ir dienos chirurgijos paslaugų plėtra regiono lygiu, Sostinės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tc>
                <w:tc>
                  <w:tcPr>
                    <w:tcW w:w="709" w:type="dxa"/>
                    <w:vMerge w:val="restart"/>
                  </w:tcPr>
                  <w:p>
                    <w:pPr>
                      <w:rPr>
                        <w:sz w:val="20"/>
                      </w:rPr>
                    </w:pPr>
                    <w:r>
                      <w:rPr>
                        <w:sz w:val="20"/>
                      </w:rPr>
                      <w:t>K</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2 775,496</w:t>
                    </w:r>
                  </w:p>
                </w:tc>
                <w:tc>
                  <w:tcPr>
                    <w:tcW w:w="992" w:type="dxa"/>
                  </w:tcPr>
                  <w:p>
                    <w:pPr>
                      <w:rPr>
                        <w:sz w:val="20"/>
                      </w:rPr>
                    </w:pPr>
                    <w:r>
                      <w:rPr>
                        <w:sz w:val="20"/>
                      </w:rPr>
                      <w:t>2021–2027 m. IP (ERPF)</w:t>
                    </w:r>
                  </w:p>
                  <w:p>
                    <w:pPr>
                      <w:rPr>
                        <w:sz w:val="20"/>
                      </w:rPr>
                    </w:pPr>
                  </w:p>
                </w:tc>
                <w:tc>
                  <w:tcPr>
                    <w:tcW w:w="2551" w:type="dxa"/>
                    <w:shd w:val="clear" w:color="auto" w:fill="auto"/>
                  </w:tcPr>
                  <w:p>
                    <w:pPr>
                      <w:ind w:left="-57" w:right="-57"/>
                      <w:rPr>
                        <w:sz w:val="20"/>
                      </w:rPr>
                    </w:pPr>
                    <w:r>
                      <w:rPr>
                        <w:sz w:val="20"/>
                      </w:rPr>
                      <w:t xml:space="preserve">P </w:t>
                    </w:r>
                    <w:r>
                      <w:rPr>
                        <w:color w:val="000000"/>
                        <w:szCs w:val="24"/>
                      </w:rPr>
                      <w:t xml:space="preserve">– </w:t>
                    </w:r>
                    <w:r>
                      <w:rPr>
                        <w:sz w:val="20"/>
                      </w:rPr>
                      <w:t xml:space="preserve">Naujos arba modernizuotos sveikatos priežiūros infrastruktūros talpumas, asmenys per metus </w:t>
                    </w:r>
                  </w:p>
                </w:tc>
                <w:tc>
                  <w:tcPr>
                    <w:tcW w:w="851" w:type="dxa"/>
                    <w:shd w:val="clear" w:color="auto" w:fill="auto"/>
                  </w:tcPr>
                  <w:p>
                    <w:pPr>
                      <w:ind w:left="-57" w:right="-57"/>
                      <w:jc w:val="center"/>
                      <w:rPr>
                        <w:sz w:val="20"/>
                      </w:rPr>
                    </w:pPr>
                    <w:r>
                      <w:rPr>
                        <w:sz w:val="20"/>
                      </w:rPr>
                      <w:t>10 090</w:t>
                    </w:r>
                  </w:p>
                  <w:p>
                    <w:pPr>
                      <w:ind w:left="-57" w:right="-57"/>
                      <w:jc w:val="center"/>
                      <w:rPr>
                        <w:sz w:val="20"/>
                      </w:rPr>
                    </w:pPr>
                    <w:r>
                      <w:rPr>
                        <w:sz w:val="20"/>
                      </w:rPr>
                      <w:t>(2029 m.)</w:t>
                    </w:r>
                  </w:p>
                  <w:p>
                    <w:pPr>
                      <w:ind w:right="-57"/>
                      <w:rPr>
                        <w:sz w:val="20"/>
                      </w:rPr>
                    </w:pP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928"/>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2 775,496</w:t>
                    </w:r>
                  </w:p>
                  <w:p>
                    <w:pPr>
                      <w:rPr>
                        <w:sz w:val="20"/>
                      </w:rPr>
                    </w:pPr>
                  </w:p>
                </w:tc>
                <w:tc>
                  <w:tcPr>
                    <w:tcW w:w="992" w:type="dxa"/>
                    <w:vMerge w:val="restart"/>
                  </w:tcPr>
                  <w:p>
                    <w:pPr>
                      <w:rPr>
                        <w:sz w:val="20"/>
                      </w:rPr>
                    </w:pPr>
                    <w:r>
                      <w:rPr>
                        <w:sz w:val="20"/>
                      </w:rPr>
                      <w:t>2021–2027 m. IP (BF)</w:t>
                    </w:r>
                  </w:p>
                  <w:p>
                    <w:pPr>
                      <w:rPr>
                        <w:sz w:val="20"/>
                      </w:rPr>
                    </w:pPr>
                  </w:p>
                  <w:p>
                    <w:pPr>
                      <w:rPr>
                        <w:sz w:val="20"/>
                      </w:rPr>
                    </w:pP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shd w:val="clear" w:color="auto" w:fill="auto"/>
                  </w:tcPr>
                  <w:p>
                    <w:pPr>
                      <w:ind w:left="-57" w:right="-57"/>
                      <w:jc w:val="center"/>
                      <w:rPr>
                        <w:sz w:val="20"/>
                      </w:rPr>
                    </w:pPr>
                    <w:r>
                      <w:rPr>
                        <w:sz w:val="20"/>
                      </w:rPr>
                      <w:t>9 890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477"/>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Išvengiamų hospitalizacijų skaičius 1000 gyventojų</w:t>
                    </w:r>
                  </w:p>
                  <w:p>
                    <w:pPr>
                      <w:ind w:left="-57" w:right="-57"/>
                      <w:rPr>
                        <w:sz w:val="20"/>
                      </w:rPr>
                    </w:pP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869"/>
                </w:trPr>
                <w:tc>
                  <w:tcPr>
                    <w:tcW w:w="2410" w:type="dxa"/>
                    <w:vMerge w:val="restart"/>
                  </w:tcPr>
                  <w:p>
                    <w:pPr>
                      <w:rPr>
                        <w:iCs/>
                        <w:sz w:val="20"/>
                      </w:rPr>
                    </w:pPr>
                    <w:r>
                      <w:rPr>
                        <w:sz w:val="20"/>
                      </w:rPr>
                      <w:t>6.7. Dienos stacionaro ir dienos chirurgijos paslaugų plėtra regiono lygiu,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tc>
                <w:tc>
                  <w:tcPr>
                    <w:tcW w:w="709" w:type="dxa"/>
                    <w:vMerge w:val="restart"/>
                  </w:tcPr>
                  <w:p>
                    <w:pPr>
                      <w:rPr>
                        <w:sz w:val="20"/>
                      </w:rPr>
                    </w:pPr>
                    <w:r>
                      <w:rPr>
                        <w:sz w:val="20"/>
                      </w:rPr>
                      <w:t>K</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rPr>
                    </w:pPr>
                    <w:r>
                      <w:rPr>
                        <w:sz w:val="20"/>
                      </w:rPr>
                      <w:t>13 981,657</w:t>
                    </w:r>
                  </w:p>
                </w:tc>
                <w:tc>
                  <w:tcPr>
                    <w:tcW w:w="992" w:type="dxa"/>
                  </w:tcPr>
                  <w:p>
                    <w:pPr>
                      <w:rPr>
                        <w:sz w:val="20"/>
                      </w:rPr>
                    </w:pPr>
                    <w:r>
                      <w:rPr>
                        <w:sz w:val="20"/>
                      </w:rPr>
                      <w:t>2021–2027 m. IP (ERPF)</w:t>
                    </w:r>
                  </w:p>
                  <w:p>
                    <w:pPr>
                      <w:rPr>
                        <w:sz w:val="20"/>
                      </w:rPr>
                    </w:pPr>
                  </w:p>
                </w:tc>
                <w:tc>
                  <w:tcPr>
                    <w:tcW w:w="2551" w:type="dxa"/>
                    <w:shd w:val="clear" w:color="auto" w:fill="auto"/>
                  </w:tcPr>
                  <w:p>
                    <w:pPr>
                      <w:ind w:left="-57" w:right="-57"/>
                      <w:rPr>
                        <w:sz w:val="20"/>
                      </w:rPr>
                    </w:pPr>
                    <w:r>
                      <w:rPr>
                        <w:sz w:val="20"/>
                      </w:rPr>
                      <w:t xml:space="preserve">P </w:t>
                    </w:r>
                    <w:r>
                      <w:rPr>
                        <w:color w:val="000000"/>
                        <w:szCs w:val="24"/>
                      </w:rPr>
                      <w:t xml:space="preserve">– </w:t>
                    </w:r>
                    <w:r>
                      <w:rPr>
                        <w:sz w:val="20"/>
                      </w:rPr>
                      <w:t>Naujos arba modernizuotos sveikatos priežiūros infrastruktūros talpumas, asmenys per metus</w:t>
                    </w:r>
                  </w:p>
                </w:tc>
                <w:tc>
                  <w:tcPr>
                    <w:tcW w:w="851" w:type="dxa"/>
                    <w:shd w:val="clear" w:color="auto" w:fill="auto"/>
                  </w:tcPr>
                  <w:p>
                    <w:pPr>
                      <w:ind w:left="-57" w:right="-57"/>
                      <w:jc w:val="center"/>
                      <w:rPr>
                        <w:sz w:val="20"/>
                      </w:rPr>
                    </w:pPr>
                    <w:r>
                      <w:rPr>
                        <w:sz w:val="20"/>
                      </w:rPr>
                      <w:t>29 910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1019"/>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rPr>
                    </w:pPr>
                    <w:r>
                      <w:rPr>
                        <w:sz w:val="20"/>
                      </w:rPr>
                      <w:t>2 467,350</w:t>
                    </w:r>
                  </w:p>
                </w:tc>
                <w:tc>
                  <w:tcPr>
                    <w:tcW w:w="992" w:type="dxa"/>
                    <w:vMerge w:val="restart"/>
                  </w:tcPr>
                  <w:p>
                    <w:pPr>
                      <w:rPr>
                        <w:sz w:val="20"/>
                      </w:rPr>
                    </w:pPr>
                    <w:r>
                      <w:rPr>
                        <w:sz w:val="20"/>
                      </w:rPr>
                      <w:t xml:space="preserve">2021–2027 m.  IP (BF)</w:t>
                    </w:r>
                  </w:p>
                  <w:p>
                    <w:pPr>
                      <w:rPr>
                        <w:sz w:val="20"/>
                      </w:rPr>
                    </w:pPr>
                  </w:p>
                  <w:p>
                    <w:pPr>
                      <w:rPr>
                        <w:sz w:val="20"/>
                      </w:rPr>
                    </w:pP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shd w:val="clear" w:color="auto" w:fill="auto"/>
                  </w:tcPr>
                  <w:p>
                    <w:pPr>
                      <w:ind w:left="-57" w:right="-57"/>
                      <w:jc w:val="center"/>
                      <w:rPr>
                        <w:sz w:val="20"/>
                      </w:rPr>
                    </w:pPr>
                    <w:r>
                      <w:rPr>
                        <w:sz w:val="20"/>
                      </w:rPr>
                      <w:t>29 310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63"/>
                </w:trPr>
                <w:tc>
                  <w:tcPr>
                    <w:tcW w:w="2410" w:type="dxa"/>
                    <w:vMerge/>
                    <w:tcBorders>
                      <w:bottom w:val="single" w:sz="4" w:space="0" w:color="auto"/>
                    </w:tcBorders>
                  </w:tcPr>
                  <w:p>
                    <w:pPr>
                      <w:rPr>
                        <w:iCs/>
                        <w:sz w:val="20"/>
                      </w:rPr>
                    </w:pPr>
                  </w:p>
                </w:tc>
                <w:tc>
                  <w:tcPr>
                    <w:tcW w:w="709" w:type="dxa"/>
                    <w:vMerge/>
                    <w:tcBorders>
                      <w:bottom w:val="single" w:sz="4" w:space="0" w:color="auto"/>
                    </w:tcBorders>
                  </w:tcPr>
                  <w:p>
                    <w:pPr>
                      <w:rPr>
                        <w:sz w:val="20"/>
                      </w:rPr>
                    </w:pPr>
                  </w:p>
                </w:tc>
                <w:tc>
                  <w:tcPr>
                    <w:tcW w:w="1559" w:type="dxa"/>
                    <w:vMerge/>
                    <w:tcBorders>
                      <w:bottom w:val="single" w:sz="4" w:space="0" w:color="auto"/>
                    </w:tcBorders>
                  </w:tcPr>
                  <w:p>
                    <w:pPr>
                      <w:rPr>
                        <w:sz w:val="20"/>
                      </w:rPr>
                    </w:pPr>
                  </w:p>
                </w:tc>
                <w:tc>
                  <w:tcPr>
                    <w:tcW w:w="709" w:type="dxa"/>
                    <w:vMerge/>
                    <w:tcBorders>
                      <w:bottom w:val="single" w:sz="4" w:space="0" w:color="auto"/>
                    </w:tcBorders>
                  </w:tcPr>
                  <w:p>
                    <w:pPr>
                      <w:rPr>
                        <w:sz w:val="20"/>
                      </w:rPr>
                    </w:pPr>
                  </w:p>
                </w:tc>
                <w:tc>
                  <w:tcPr>
                    <w:tcW w:w="992" w:type="dxa"/>
                    <w:vMerge/>
                    <w:tcBorders>
                      <w:bottom w:val="single" w:sz="4" w:space="0" w:color="auto"/>
                    </w:tcBorders>
                  </w:tcPr>
                  <w:p>
                    <w:pPr>
                      <w:rPr>
                        <w:sz w:val="20"/>
                      </w:rPr>
                    </w:pPr>
                  </w:p>
                </w:tc>
                <w:tc>
                  <w:tcPr>
                    <w:tcW w:w="709" w:type="dxa"/>
                    <w:vMerge/>
                    <w:tcBorders>
                      <w:bottom w:val="single" w:sz="4" w:space="0" w:color="auto"/>
                    </w:tcBorders>
                  </w:tcPr>
                  <w:p>
                    <w:pPr>
                      <w:rPr>
                        <w:sz w:val="20"/>
                      </w:rPr>
                    </w:pPr>
                  </w:p>
                </w:tc>
                <w:tc>
                  <w:tcPr>
                    <w:tcW w:w="1276" w:type="dxa"/>
                    <w:vMerge/>
                    <w:tcBorders>
                      <w:bottom w:val="single" w:sz="4" w:space="0" w:color="auto"/>
                    </w:tcBorders>
                  </w:tcPr>
                  <w:p>
                    <w:pPr>
                      <w:rPr>
                        <w:sz w:val="20"/>
                      </w:rPr>
                    </w:pPr>
                  </w:p>
                </w:tc>
                <w:tc>
                  <w:tcPr>
                    <w:tcW w:w="992" w:type="dxa"/>
                    <w:vMerge/>
                    <w:tcBorders>
                      <w:bottom w:val="single" w:sz="4" w:space="0" w:color="auto"/>
                    </w:tcBorders>
                  </w:tcPr>
                  <w:p>
                    <w:pPr>
                      <w:rPr>
                        <w:sz w:val="20"/>
                      </w:rPr>
                    </w:pPr>
                  </w:p>
                </w:tc>
                <w:tc>
                  <w:tcPr>
                    <w:tcW w:w="2551" w:type="dxa"/>
                    <w:tcBorders>
                      <w:bottom w:val="single" w:sz="4" w:space="0" w:color="auto"/>
                    </w:tcBorders>
                    <w:shd w:val="clear" w:color="auto" w:fill="auto"/>
                  </w:tcPr>
                  <w:p>
                    <w:pPr>
                      <w:ind w:left="-57" w:right="-57"/>
                      <w:rPr>
                        <w:sz w:val="20"/>
                      </w:rPr>
                    </w:pPr>
                    <w:r>
                      <w:rPr>
                        <w:sz w:val="20"/>
                      </w:rPr>
                      <w:t xml:space="preserve">R </w:t>
                    </w:r>
                    <w:r>
                      <w:rPr>
                        <w:color w:val="000000"/>
                        <w:szCs w:val="24"/>
                      </w:rPr>
                      <w:t>–</w:t>
                    </w:r>
                    <w:r>
                      <w:rPr>
                        <w:sz w:val="20"/>
                      </w:rPr>
                      <w:t xml:space="preserve"> Išvengiamų hospitalizacijų skaičius 1000 gyventojų</w:t>
                    </w:r>
                  </w:p>
                  <w:p>
                    <w:pPr>
                      <w:ind w:left="-57" w:right="-57"/>
                      <w:rPr>
                        <w:sz w:val="20"/>
                      </w:rPr>
                    </w:pPr>
                  </w:p>
                </w:tc>
                <w:tc>
                  <w:tcPr>
                    <w:tcW w:w="851" w:type="dxa"/>
                    <w:tcBorders>
                      <w:bottom w:val="single" w:sz="4" w:space="0" w:color="auto"/>
                    </w:tcBorders>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Borders>
                      <w:bottom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857"/>
                </w:trPr>
                <w:tc>
                  <w:tcPr>
                    <w:tcW w:w="2410" w:type="dxa"/>
                    <w:vMerge w:val="restart"/>
                  </w:tcPr>
                  <w:p>
                    <w:pPr>
                      <w:rPr>
                        <w:sz w:val="20"/>
                      </w:rPr>
                    </w:pPr>
                    <w:r>
                      <w:rPr>
                        <w:sz w:val="20"/>
                      </w:rPr>
                      <w:t>6.8. Inovatyvių pirminės sveikatos priežiūros paslaugų teikimo ir organizavimo modelių kūrimas ir išbandymas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administracijos,ASPĮ, SAM</w:t>
                    </w:r>
                  </w:p>
                </w:tc>
                <w:tc>
                  <w:tcPr>
                    <w:tcW w:w="709" w:type="dxa"/>
                    <w:vMerge w:val="restart"/>
                  </w:tcPr>
                  <w:p>
                    <w:pPr>
                      <w:rPr>
                        <w:sz w:val="20"/>
                      </w:rPr>
                    </w:pPr>
                    <w:r>
                      <w:rPr>
                        <w:sz w:val="20"/>
                      </w:rPr>
                      <w:t>P/K</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Borders>
                      <w:bottom w:val="single" w:sz="4" w:space="0" w:color="auto"/>
                    </w:tcBorders>
                  </w:tcPr>
                  <w:p>
                    <w:pPr>
                      <w:rPr>
                        <w:sz w:val="20"/>
                        <w:lang w:val="en-US"/>
                      </w:rPr>
                    </w:pPr>
                    <w:r>
                      <w:rPr>
                        <w:sz w:val="20"/>
                        <w:lang w:val="en-US"/>
                      </w:rPr>
                      <w:t>33 366,750</w:t>
                    </w:r>
                  </w:p>
                </w:tc>
                <w:tc>
                  <w:tcPr>
                    <w:tcW w:w="992" w:type="dxa"/>
                    <w:tcBorders>
                      <w:bottom w:val="single" w:sz="4" w:space="0" w:color="auto"/>
                    </w:tcBorders>
                  </w:tcPr>
                  <w:p>
                    <w:pPr>
                      <w:rPr>
                        <w:sz w:val="20"/>
                      </w:rPr>
                    </w:pPr>
                    <w:r>
                      <w:rPr>
                        <w:sz w:val="20"/>
                      </w:rPr>
                      <w:t xml:space="preserve">2021–2027 m. IP (ESF+) </w:t>
                    </w:r>
                  </w:p>
                </w:tc>
                <w:tc>
                  <w:tcPr>
                    <w:tcW w:w="2551" w:type="dxa"/>
                    <w:tcBorders>
                      <w:top w:val="single" w:sz="4" w:space="0" w:color="auto"/>
                      <w:left w:val="single" w:sz="4" w:space="0" w:color="auto"/>
                      <w:right w:val="single" w:sz="4" w:space="0" w:color="auto"/>
                    </w:tcBorders>
                    <w:shd w:val="clear" w:color="auto" w:fill="auto"/>
                  </w:tcPr>
                  <w:p>
                    <w:pPr>
                      <w:ind w:left="-57" w:right="-57"/>
                      <w:rPr>
                        <w:color w:val="000000"/>
                        <w:sz w:val="20"/>
                      </w:rPr>
                    </w:pPr>
                    <w:r>
                      <w:rPr>
                        <w:color w:val="000000"/>
                        <w:sz w:val="20"/>
                      </w:rPr>
                      <w:t xml:space="preserve">P – </w:t>
                    </w:r>
                    <w:r>
                      <w:rPr>
                        <w:rFonts w:eastAsia="Calibri"/>
                        <w:sz w:val="20"/>
                        <w:lang w:eastAsia="lt-LT" w:bidi="lt-LT"/>
                      </w:rPr>
                      <w:t>Asmenys, dalyvavę veiklose, skirtose lėtinei ligai savarankiškai valdyti, asmenys</w:t>
                    </w:r>
                  </w:p>
                </w:tc>
                <w:tc>
                  <w:tcPr>
                    <w:tcW w:w="851" w:type="dxa"/>
                    <w:shd w:val="clear" w:color="auto" w:fill="auto"/>
                  </w:tcPr>
                  <w:p>
                    <w:pPr>
                      <w:ind w:left="-57" w:right="-57"/>
                      <w:jc w:val="center"/>
                      <w:rPr>
                        <w:sz w:val="20"/>
                      </w:rPr>
                    </w:pPr>
                    <w:r>
                      <w:rPr>
                        <w:sz w:val="20"/>
                      </w:rPr>
                      <w:t>25 000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23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rPr>
                    </w:pPr>
                    <w:r>
                      <w:rPr>
                        <w:sz w:val="20"/>
                        <w:lang w:val="en-US"/>
                      </w:rPr>
                      <w:t>5 888,250</w:t>
                    </w:r>
                  </w:p>
                </w:tc>
                <w:tc>
                  <w:tcPr>
                    <w:tcW w:w="992" w:type="dxa"/>
                    <w:vMerge w:val="restart"/>
                  </w:tcPr>
                  <w:p>
                    <w:pPr>
                      <w:rPr>
                        <w:sz w:val="20"/>
                      </w:rPr>
                    </w:pPr>
                    <w:r>
                      <w:rPr>
                        <w:sz w:val="20"/>
                      </w:rPr>
                      <w:t xml:space="preserve">2021–2027m.  IP (BF) </w:t>
                    </w:r>
                  </w:p>
                </w:tc>
                <w:tc>
                  <w:tcPr>
                    <w:tcW w:w="2551" w:type="dxa"/>
                    <w:shd w:val="clear" w:color="auto" w:fill="auto"/>
                  </w:tcPr>
                  <w:p>
                    <w:pPr>
                      <w:ind w:left="-57" w:right="-57"/>
                      <w:rPr>
                        <w:sz w:val="20"/>
                      </w:rPr>
                    </w:pPr>
                    <w:r>
                      <w:rPr>
                        <w:sz w:val="20"/>
                      </w:rPr>
                      <w:t>P – Specialistai, dalyvavę kvalifikacijos tobulinimo ar perkvalifikavimo veiklose, asmenys</w:t>
                    </w:r>
                  </w:p>
                </w:tc>
                <w:tc>
                  <w:tcPr>
                    <w:tcW w:w="851" w:type="dxa"/>
                    <w:shd w:val="clear" w:color="auto" w:fill="auto"/>
                  </w:tcPr>
                  <w:p>
                    <w:pPr>
                      <w:ind w:left="-57" w:right="-57"/>
                      <w:jc w:val="center"/>
                      <w:rPr>
                        <w:sz w:val="20"/>
                        <w:lang w:val="en-US"/>
                      </w:rPr>
                    </w:pPr>
                    <w:r>
                      <w:rPr>
                        <w:sz w:val="20"/>
                      </w:rPr>
                      <w:t>1 100</w:t>
                    </w:r>
                  </w:p>
                  <w:p>
                    <w:pPr>
                      <w:ind w:left="-57" w:right="-57"/>
                      <w:jc w:val="center"/>
                      <w:rPr>
                        <w:sz w:val="20"/>
                      </w:rPr>
                    </w:pPr>
                    <w:r>
                      <w:rPr>
                        <w:sz w:val="20"/>
                      </w:rPr>
                      <w:t>(2029 m.)</w:t>
                    </w: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color w:val="000000"/>
                        <w:sz w:val="20"/>
                      </w:rPr>
                    </w:pPr>
                    <w:r>
                      <w:rPr>
                        <w:color w:val="000000"/>
                        <w:sz w:val="20"/>
                      </w:rPr>
                      <w:t xml:space="preserve">P – Paramą gavusių nacionalinio, regionų ar vietos lygmens viešojo administravimo ar viešąsias paslaugas teikiančių įstaigų skaičius, subjektų skaičius </w:t>
                    </w:r>
                  </w:p>
                </w:tc>
                <w:tc>
                  <w:tcPr>
                    <w:tcW w:w="851" w:type="dxa"/>
                    <w:shd w:val="clear" w:color="auto" w:fill="auto"/>
                  </w:tcPr>
                  <w:p>
                    <w:pPr>
                      <w:ind w:left="-57" w:right="-57"/>
                      <w:jc w:val="center"/>
                      <w:rPr>
                        <w:sz w:val="20"/>
                      </w:rPr>
                    </w:pPr>
                  </w:p>
                  <w:p>
                    <w:pPr>
                      <w:ind w:left="-57" w:right="-57"/>
                      <w:jc w:val="center"/>
                      <w:rPr>
                        <w:sz w:val="20"/>
                      </w:rPr>
                    </w:pPr>
                    <w:r>
                      <w:rPr>
                        <w:sz w:val="20"/>
                      </w:rPr>
                      <w:t>138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575"/>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color w:val="000000"/>
                        <w:sz w:val="20"/>
                      </w:rPr>
                    </w:pPr>
                    <w:r>
                      <w:rPr>
                        <w:color w:val="000000"/>
                        <w:sz w:val="20"/>
                      </w:rPr>
                      <w:t xml:space="preserve">R – Asmenų, teigusių, kad pagerėjo jų gyvenimo kokybė po dalyvavimo veiklose, skirtose savarankiškam lėtinės ligos valdymui, dalis, proc. </w:t>
                    </w:r>
                  </w:p>
                </w:tc>
                <w:tc>
                  <w:tcPr>
                    <w:tcW w:w="851" w:type="dxa"/>
                    <w:shd w:val="clear" w:color="auto" w:fill="auto"/>
                  </w:tcPr>
                  <w:p>
                    <w:pPr>
                      <w:ind w:left="-57" w:right="-57"/>
                      <w:jc w:val="center"/>
                      <w:rPr>
                        <w:sz w:val="20"/>
                      </w:rPr>
                    </w:pPr>
                    <w:r>
                      <w:rPr>
                        <w:sz w:val="20"/>
                      </w:rPr>
                      <w:t>70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575"/>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color w:val="000000"/>
                        <w:sz w:val="20"/>
                      </w:rPr>
                    </w:pPr>
                    <w:r>
                      <w:rPr>
                        <w:sz w:val="20"/>
                      </w:rPr>
                      <w:t>R –</w:t>
                    </w:r>
                    <w:r>
                      <w:rPr>
                        <w:sz w:val="20"/>
                        <w:lang w:eastAsia="lt-LT"/>
                      </w:rPr>
                      <w:t xml:space="preserve"> Specialistų, kurie po dalyvavimo veiklose įgijo ar patobulino kvalifikaciją, dalis proc.</w:t>
                    </w:r>
                  </w:p>
                </w:tc>
                <w:tc>
                  <w:tcPr>
                    <w:tcW w:w="851" w:type="dxa"/>
                    <w:shd w:val="clear" w:color="auto" w:fill="auto"/>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b/>
                        <w:bCs/>
                        <w:color w:val="FF0000"/>
                        <w:sz w:val="20"/>
                      </w:rPr>
                    </w:pPr>
                    <w:r>
                      <w:rPr>
                        <w:color w:val="000000"/>
                        <w:sz w:val="20"/>
                      </w:rPr>
                      <w:t xml:space="preserve">R </w:t>
                    </w:r>
                    <w:r>
                      <w:rPr>
                        <w:color w:val="000000"/>
                        <w:szCs w:val="24"/>
                      </w:rPr>
                      <w:t>–</w:t>
                    </w:r>
                    <w:r>
                      <w:rPr>
                        <w:color w:val="000000"/>
                        <w:sz w:val="20"/>
                      </w:rPr>
                      <w:t xml:space="preserve"> Pacientų pasitenkinimas gautomis paslaugomis, proc. </w:t>
                    </w:r>
                  </w:p>
                </w:tc>
                <w:tc>
                  <w:tcPr>
                    <w:tcW w:w="851" w:type="dxa"/>
                    <w:shd w:val="clear" w:color="auto" w:fill="auto"/>
                  </w:tcPr>
                  <w:p>
                    <w:pPr>
                      <w:ind w:left="-57" w:right="-57"/>
                      <w:jc w:val="center"/>
                      <w:rPr>
                        <w:sz w:val="20"/>
                      </w:rPr>
                    </w:pPr>
                    <w:r>
                      <w:rPr>
                        <w:sz w:val="20"/>
                      </w:rPr>
                      <w:t>70</w:t>
                    </w:r>
                  </w:p>
                  <w:p>
                    <w:pPr>
                      <w:ind w:left="-57" w:right="-57"/>
                      <w:jc w:val="center"/>
                      <w:rPr>
                        <w:color w:val="FF0000"/>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14"/>
                </w:trPr>
                <w:tc>
                  <w:tcPr>
                    <w:tcW w:w="2410" w:type="dxa"/>
                  </w:tcPr>
                  <w:p>
                    <w:pPr>
                      <w:rPr>
                        <w:sz w:val="20"/>
                      </w:rPr>
                    </w:pPr>
                    <w:r>
                      <w:rPr>
                        <w:sz w:val="20"/>
                      </w:rPr>
                      <w:t>6.9. ASPĮ išlaidų, patirtų įgyvendinant pertvarką, kompensavimas</w:t>
                    </w:r>
                  </w:p>
                </w:tc>
                <w:tc>
                  <w:tcPr>
                    <w:tcW w:w="709" w:type="dxa"/>
                  </w:tcPr>
                  <w:p>
                    <w:pPr>
                      <w:rPr>
                        <w:sz w:val="20"/>
                      </w:rPr>
                    </w:pPr>
                    <w:r>
                      <w:rPr>
                        <w:sz w:val="20"/>
                      </w:rPr>
                      <w:t>I</w:t>
                    </w:r>
                  </w:p>
                </w:tc>
                <w:tc>
                  <w:tcPr>
                    <w:tcW w:w="1559" w:type="dxa"/>
                  </w:tcPr>
                  <w:p>
                    <w:pPr>
                      <w:rPr>
                        <w:sz w:val="20"/>
                      </w:rPr>
                    </w:pPr>
                    <w:r>
                      <w:rPr>
                        <w:sz w:val="20"/>
                      </w:rPr>
                      <w:t>ASPĮ</w:t>
                    </w:r>
                  </w:p>
                </w:tc>
                <w:tc>
                  <w:tcPr>
                    <w:tcW w:w="709" w:type="dxa"/>
                  </w:tcPr>
                  <w:p>
                    <w:pPr>
                      <w:rPr>
                        <w:sz w:val="20"/>
                      </w:rPr>
                    </w:pPr>
                    <w:r>
                      <w:rPr>
                        <w:sz w:val="20"/>
                      </w:rPr>
                      <w:t>P</w:t>
                    </w:r>
                  </w:p>
                </w:tc>
                <w:tc>
                  <w:tcPr>
                    <w:tcW w:w="992" w:type="dxa"/>
                  </w:tcPr>
                  <w:p>
                    <w:pPr>
                      <w:rPr>
                        <w:sz w:val="20"/>
                      </w:rPr>
                    </w:pPr>
                    <w:r>
                      <w:rPr>
                        <w:sz w:val="20"/>
                      </w:rPr>
                      <w:t>Taip</w:t>
                    </w:r>
                  </w:p>
                </w:tc>
                <w:tc>
                  <w:tcPr>
                    <w:tcW w:w="709" w:type="dxa"/>
                  </w:tcPr>
                  <w:p>
                    <w:pPr>
                      <w:rPr>
                        <w:sz w:val="20"/>
                      </w:rPr>
                    </w:pPr>
                    <w:r>
                      <w:rPr>
                        <w:sz w:val="20"/>
                      </w:rPr>
                      <w:t>D</w:t>
                    </w:r>
                  </w:p>
                </w:tc>
                <w:tc>
                  <w:tcPr>
                    <w:tcW w:w="1276" w:type="dxa"/>
                  </w:tcPr>
                  <w:p>
                    <w:pPr>
                      <w:rPr>
                        <w:sz w:val="20"/>
                      </w:rPr>
                    </w:pPr>
                    <w:r>
                      <w:rPr>
                        <w:sz w:val="20"/>
                        <w:lang w:val="en-US"/>
                      </w:rPr>
                      <w:t>8 000</w:t>
                    </w:r>
                  </w:p>
                </w:tc>
                <w:tc>
                  <w:tcPr>
                    <w:tcW w:w="992" w:type="dxa"/>
                  </w:tcPr>
                  <w:p>
                    <w:pPr>
                      <w:rPr>
                        <w:sz w:val="20"/>
                      </w:rPr>
                    </w:pPr>
                    <w:r>
                      <w:rPr>
                        <w:sz w:val="20"/>
                      </w:rPr>
                      <w:t>VB</w:t>
                    </w:r>
                  </w:p>
                </w:tc>
                <w:tc>
                  <w:tcPr>
                    <w:tcW w:w="2551" w:type="dxa"/>
                    <w:shd w:val="clear" w:color="auto" w:fill="auto"/>
                  </w:tcPr>
                  <w:p>
                    <w:pPr>
                      <w:ind w:left="-57" w:right="-57"/>
                      <w:rPr>
                        <w:sz w:val="20"/>
                      </w:rPr>
                    </w:pPr>
                    <w:r>
                      <w:rPr>
                        <w:sz w:val="20"/>
                      </w:rPr>
                      <w:t xml:space="preserve">P </w:t>
                    </w:r>
                    <w:r>
                      <w:rPr>
                        <w:color w:val="000000"/>
                        <w:szCs w:val="24"/>
                      </w:rPr>
                      <w:t>–</w:t>
                    </w:r>
                    <w:r>
                      <w:rPr>
                        <w:sz w:val="20"/>
                      </w:rPr>
                      <w:t xml:space="preserve"> Struktūrinius sveikatos priežiūros paslaugų teikimo pokyčius įgyvendinusių ASPĮ skaičius, vnt. </w:t>
                    </w:r>
                  </w:p>
                </w:tc>
                <w:tc>
                  <w:tcPr>
                    <w:tcW w:w="851" w:type="dxa"/>
                    <w:shd w:val="clear" w:color="auto" w:fill="auto"/>
                  </w:tcPr>
                  <w:p>
                    <w:pPr>
                      <w:ind w:left="-57" w:right="-57"/>
                      <w:jc w:val="center"/>
                      <w:rPr>
                        <w:sz w:val="20"/>
                      </w:rPr>
                    </w:pPr>
                    <w:r>
                      <w:rPr>
                        <w:sz w:val="20"/>
                      </w:rPr>
                      <w:t>250</w:t>
                    </w:r>
                  </w:p>
                  <w:p>
                    <w:pPr>
                      <w:ind w:left="-57" w:right="-57"/>
                      <w:jc w:val="center"/>
                      <w:rPr>
                        <w:sz w:val="20"/>
                      </w:rPr>
                    </w:pPr>
                    <w:r>
                      <w:rPr>
                        <w:sz w:val="20"/>
                      </w:rPr>
                      <w:t>(2030 m.)</w:t>
                    </w:r>
                  </w:p>
                </w:tc>
                <w:tc>
                  <w:tcPr>
                    <w:tcW w:w="992" w:type="dxa"/>
                  </w:tcPr>
                  <w:p>
                    <w:pPr>
                      <w:rPr>
                        <w:sz w:val="20"/>
                      </w:rPr>
                    </w:pPr>
                    <w:r>
                      <w:rPr>
                        <w:sz w:val="20"/>
                      </w:rPr>
                      <w:t>SAM</w:t>
                    </w:r>
                  </w:p>
                </w:tc>
                <w:tc>
                  <w:tcPr>
                    <w:tcW w:w="1276" w:type="dxa"/>
                    <w:tcBorders>
                      <w:left w:val="single" w:sz="4" w:space="0" w:color="auto"/>
                      <w:right w:val="single" w:sz="4" w:space="0" w:color="auto"/>
                    </w:tcBorders>
                  </w:tcPr>
                  <w:p>
                    <w:pPr>
                      <w:jc w:val="center"/>
                      <w:rPr>
                        <w:color w:val="000000"/>
                        <w:sz w:val="20"/>
                      </w:rPr>
                    </w:pPr>
                  </w:p>
                </w:tc>
              </w:tr>
              <w:tr>
                <w:trPr>
                  <w:trHeight w:val="414"/>
                </w:trPr>
                <w:tc>
                  <w:tcPr>
                    <w:tcW w:w="2410" w:type="dxa"/>
                    <w:vMerge w:val="restart"/>
                    <w:shd w:val="clear" w:color="auto" w:fill="F2F2F2" w:themeFill="background1" w:themeFillShade="F2"/>
                  </w:tcPr>
                  <w:p>
                    <w:pPr>
                      <w:rPr>
                        <w:sz w:val="20"/>
                      </w:rPr>
                    </w:pPr>
                    <w:r>
                      <w:rPr>
                        <w:b/>
                        <w:bCs/>
                        <w:sz w:val="20"/>
                      </w:rPr>
                      <w:t>7. Ambulatorinių psichikos sveikatos priežiūros paslaugų plėtra ir kokybės gerinimas</w:t>
                    </w:r>
                  </w:p>
                </w:tc>
                <w:tc>
                  <w:tcPr>
                    <w:tcW w:w="709" w:type="dxa"/>
                    <w:vMerge w:val="restart"/>
                    <w:shd w:val="clear" w:color="auto" w:fill="F2F2F2" w:themeFill="background1" w:themeFillShade="F2"/>
                  </w:tcPr>
                  <w:p>
                    <w:pPr>
                      <w:rPr>
                        <w:sz w:val="20"/>
                      </w:rPr>
                    </w:pPr>
                    <w:r>
                      <w:rPr>
                        <w:sz w:val="20"/>
                      </w:rPr>
                      <w:t>-</w:t>
                    </w:r>
                  </w:p>
                </w:tc>
                <w:tc>
                  <w:tcPr>
                    <w:tcW w:w="1559"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sz w:val="20"/>
                        <w:lang w:val="en-US"/>
                      </w:rPr>
                    </w:pPr>
                    <w:r>
                      <w:rPr>
                        <w:b/>
                        <w:bCs/>
                        <w:sz w:val="20"/>
                      </w:rPr>
                      <w:t>38 400</w:t>
                    </w:r>
                  </w:p>
                </w:tc>
                <w:tc>
                  <w:tcPr>
                    <w:tcW w:w="992" w:type="dxa"/>
                    <w:shd w:val="clear" w:color="auto" w:fill="F2F2F2" w:themeFill="background1" w:themeFillShade="F2"/>
                  </w:tcPr>
                  <w:p>
                    <w:pPr>
                      <w:rPr>
                        <w:sz w:val="20"/>
                      </w:rPr>
                    </w:pPr>
                    <w:r>
                      <w:rPr>
                        <w:sz w:val="20"/>
                      </w:rPr>
                      <w:t>-</w:t>
                    </w:r>
                  </w:p>
                </w:tc>
                <w:tc>
                  <w:tcPr>
                    <w:tcW w:w="2551" w:type="dxa"/>
                    <w:vMerge w:val="restart"/>
                    <w:shd w:val="clear" w:color="auto" w:fill="F2F2F2" w:themeFill="background1" w:themeFillShade="F2"/>
                  </w:tcPr>
                  <w:p>
                    <w:pPr>
                      <w:rPr>
                        <w:color w:val="FF0000"/>
                        <w:sz w:val="20"/>
                      </w:rPr>
                    </w:pPr>
                    <w:r>
                      <w:rPr>
                        <w:sz w:val="20"/>
                      </w:rPr>
                      <w:t xml:space="preserve">R </w:t>
                    </w:r>
                    <w:r>
                      <w:rPr>
                        <w:color w:val="000000"/>
                        <w:szCs w:val="24"/>
                      </w:rPr>
                      <w:t>–</w:t>
                    </w:r>
                    <w:r>
                      <w:rPr>
                        <w:sz w:val="20"/>
                      </w:rPr>
                      <w:t xml:space="preserve"> Asmenų, gavusių tęstines ambulatorines ir (ar) dienos stacionaro psichikos sveikatos paslaugas per 30 dienų nuo išrašymo iš stacionaro, dalis</w:t>
                      <w:tab/>
                    </w:r>
                  </w:p>
                </w:tc>
                <w:tc>
                  <w:tcPr>
                    <w:tcW w:w="851" w:type="dxa"/>
                    <w:vMerge w:val="restart"/>
                    <w:shd w:val="clear" w:color="auto" w:fill="F2F2F2" w:themeFill="background1" w:themeFillShade="F2"/>
                  </w:tcPr>
                  <w:p>
                    <w:pPr>
                      <w:jc w:val="center"/>
                      <w:rPr>
                        <w:sz w:val="20"/>
                      </w:rPr>
                    </w:pPr>
                    <w:r>
                      <w:rPr>
                        <w:sz w:val="20"/>
                      </w:rPr>
                      <w:t>80</w:t>
                    </w:r>
                  </w:p>
                  <w:p>
                    <w:pPr>
                      <w:ind w:left="-57" w:right="-57"/>
                      <w:jc w:val="center"/>
                      <w:rPr>
                        <w:i/>
                        <w:iCs/>
                        <w:sz w:val="20"/>
                      </w:rPr>
                    </w:pPr>
                    <w:r>
                      <w:rPr>
                        <w:sz w:val="20"/>
                      </w:rPr>
                      <w:t xml:space="preserve">(2030 m.) </w:t>
                    </w:r>
                  </w:p>
                </w:tc>
                <w:tc>
                  <w:tcPr>
                    <w:tcW w:w="992" w:type="dxa"/>
                    <w:vMerge w:val="restart"/>
                    <w:shd w:val="clear" w:color="auto" w:fill="F2F2F2" w:themeFill="background1" w:themeFillShade="F2"/>
                  </w:tcPr>
                  <w:p>
                    <w:pPr>
                      <w:rPr>
                        <w:i/>
                        <w:iCs/>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2 523,178</w:t>
                    </w:r>
                  </w:p>
                </w:tc>
                <w:tc>
                  <w:tcPr>
                    <w:tcW w:w="992" w:type="dxa"/>
                    <w:shd w:val="clear" w:color="auto" w:fill="F2F2F2" w:themeFill="background1" w:themeFillShade="F2"/>
                  </w:tcPr>
                  <w:p>
                    <w:pPr>
                      <w:rPr>
                        <w:sz w:val="20"/>
                      </w:rPr>
                    </w:pPr>
                    <w:r>
                      <w:rPr>
                        <w:sz w:val="20"/>
                      </w:rPr>
                      <w:t>2021–2027 m. IP (ERPF, Sostinės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2 523,178</w:t>
                    </w:r>
                  </w:p>
                </w:tc>
                <w:tc>
                  <w:tcPr>
                    <w:tcW w:w="992" w:type="dxa"/>
                    <w:shd w:val="clear" w:color="auto" w:fill="F2F2F2" w:themeFill="background1" w:themeFillShade="F2"/>
                  </w:tcPr>
                  <w:p>
                    <w:pPr>
                      <w:rPr>
                        <w:sz w:val="20"/>
                      </w:rPr>
                    </w:pPr>
                    <w:r>
                      <w:rPr>
                        <w:sz w:val="20"/>
                      </w:rPr>
                      <w:t>2021–2027 m. IP (BF, Sostinės regionas</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Stacionarinio aktyviojo gydymo atvejų skaičiaus sumažėjimas lyginant su 2019 m., atvejų skaičius </w:t>
                    </w:r>
                  </w:p>
                  <w:p>
                    <w:pPr>
                      <w:ind w:left="-57" w:right="-57"/>
                      <w:rPr>
                        <w:sz w:val="20"/>
                      </w:rPr>
                    </w:pPr>
                  </w:p>
                </w:tc>
                <w:tc>
                  <w:tcPr>
                    <w:tcW w:w="851" w:type="dxa"/>
                    <w:shd w:val="clear" w:color="auto" w:fill="F2F2F2" w:themeFill="background1" w:themeFillShade="F2"/>
                  </w:tcPr>
                  <w:p>
                    <w:pPr>
                      <w:ind w:left="-57" w:right="-57"/>
                      <w:jc w:val="center"/>
                      <w:rPr>
                        <w:sz w:val="20"/>
                      </w:rPr>
                    </w:pPr>
                    <w:r>
                      <w:rPr>
                        <w:sz w:val="20"/>
                      </w:rPr>
                      <w:t>431714</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575"/>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12 710,597</w:t>
                    </w:r>
                  </w:p>
                </w:tc>
                <w:tc>
                  <w:tcPr>
                    <w:tcW w:w="992" w:type="dxa"/>
                    <w:shd w:val="clear" w:color="auto" w:fill="F2F2F2" w:themeFill="background1" w:themeFillShade="F2"/>
                  </w:tcPr>
                  <w:p>
                    <w:pPr>
                      <w:rPr>
                        <w:sz w:val="20"/>
                      </w:rPr>
                    </w:pPr>
                    <w:r>
                      <w:rPr>
                        <w:sz w:val="20"/>
                      </w:rPr>
                      <w:t>2021–2027 m. IP (ERPF, VVL regionas)</w:t>
                    </w:r>
                  </w:p>
                </w:tc>
                <w:tc>
                  <w:tcPr>
                    <w:tcW w:w="2551" w:type="dxa"/>
                    <w:vMerge w:val="restart"/>
                    <w:shd w:val="clear" w:color="auto" w:fill="F2F2F2" w:themeFill="background1" w:themeFillShade="F2"/>
                  </w:tcPr>
                  <w:p>
                    <w:pPr>
                      <w:ind w:left="-57" w:right="-57"/>
                      <w:rPr>
                        <w:sz w:val="20"/>
                      </w:rPr>
                    </w:pPr>
                    <w:r>
                      <w:rPr>
                        <w:sz w:val="20"/>
                      </w:rPr>
                      <w:t>R – Dienos stacionaro atvejų skaičiaus padidėjimas lyginant su 2019 m., atvejų skaičius</w:t>
                    </w:r>
                  </w:p>
                  <w:p>
                    <w:pPr>
                      <w:ind w:left="-57" w:right="-57"/>
                      <w:rPr>
                        <w:sz w:val="20"/>
                      </w:rPr>
                    </w:pPr>
                  </w:p>
                </w:tc>
                <w:tc>
                  <w:tcPr>
                    <w:tcW w:w="851" w:type="dxa"/>
                    <w:vMerge w:val="restart"/>
                    <w:shd w:val="clear" w:color="auto" w:fill="F2F2F2" w:themeFill="background1" w:themeFillShade="F2"/>
                  </w:tcPr>
                  <w:p>
                    <w:pPr>
                      <w:ind w:left="-57" w:right="-57"/>
                      <w:jc w:val="center"/>
                      <w:rPr>
                        <w:sz w:val="20"/>
                      </w:rPr>
                    </w:pPr>
                    <w:r>
                      <w:rPr>
                        <w:sz w:val="20"/>
                      </w:rPr>
                      <w:t>362243</w:t>
                    </w:r>
                  </w:p>
                  <w:p>
                    <w:pPr>
                      <w:ind w:left="-57" w:right="-57"/>
                      <w:jc w:val="center"/>
                      <w:rPr>
                        <w:sz w:val="20"/>
                      </w:rPr>
                    </w:pPr>
                    <w:r>
                      <w:rPr>
                        <w:sz w:val="20"/>
                      </w:rPr>
                      <w:t>(2030 m.)</w:t>
                    </w:r>
                  </w:p>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575"/>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10 540</w:t>
                    </w:r>
                  </w:p>
                </w:tc>
                <w:tc>
                  <w:tcPr>
                    <w:tcW w:w="992" w:type="dxa"/>
                    <w:shd w:val="clear" w:color="auto" w:fill="F2F2F2" w:themeFill="background1" w:themeFillShade="F2"/>
                  </w:tcPr>
                  <w:p>
                    <w:pPr>
                      <w:rPr>
                        <w:sz w:val="20"/>
                      </w:rPr>
                    </w:pPr>
                    <w:r>
                      <w:rPr>
                        <w:sz w:val="20"/>
                      </w:rPr>
                      <w:t>2021–2027 m. IP (ESF</w:t>
                    </w:r>
                    <w:r>
                      <w:rPr>
                        <w:sz w:val="20"/>
                        <w:lang w:val="it-IT"/>
                      </w:rPr>
                      <w:t>+</w:t>
                    </w:r>
                    <w:r>
                      <w:rPr>
                        <w:sz w:val="20"/>
                      </w:rPr>
                      <w:t>, VVL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4 103,047</w:t>
                    </w:r>
                  </w:p>
                </w:tc>
                <w:tc>
                  <w:tcPr>
                    <w:tcW w:w="992" w:type="dxa"/>
                    <w:shd w:val="clear" w:color="auto" w:fill="F2F2F2" w:themeFill="background1" w:themeFillShade="F2"/>
                  </w:tcPr>
                  <w:p>
                    <w:pPr>
                      <w:rPr>
                        <w:sz w:val="20"/>
                      </w:rPr>
                    </w:pPr>
                    <w:r>
                      <w:rPr>
                        <w:sz w:val="20"/>
                      </w:rPr>
                      <w:t>2021–2027 m. IP (BF, VVL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6 000</w:t>
                    </w:r>
                  </w:p>
                </w:tc>
                <w:tc>
                  <w:tcPr>
                    <w:tcW w:w="992" w:type="dxa"/>
                    <w:shd w:val="clear" w:color="auto" w:fill="F2F2F2" w:themeFill="background1" w:themeFillShade="F2"/>
                  </w:tcPr>
                  <w:p>
                    <w:pPr>
                      <w:rPr>
                        <w:sz w:val="20"/>
                      </w:rPr>
                    </w:pPr>
                    <w:r>
                      <w:rPr>
                        <w:sz w:val="20"/>
                      </w:rPr>
                      <w:t>VB</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382"/>
                </w:trPr>
                <w:tc>
                  <w:tcPr>
                    <w:tcW w:w="2410" w:type="dxa"/>
                    <w:vMerge w:val="restart"/>
                  </w:tcPr>
                  <w:p>
                    <w:pPr>
                      <w:rPr>
                        <w:sz w:val="20"/>
                      </w:rPr>
                    </w:pPr>
                    <w:r>
                      <w:rPr>
                        <w:sz w:val="20"/>
                      </w:rPr>
                      <w:t>7.1. Ambulatorinių psichikos sveikatos paslaugų ir psichosocialinės reabilitacijos plėtrai reikalingos infrastruktūros įrengimas,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tc>
                <w:tc>
                  <w:tcPr>
                    <w:tcW w:w="709" w:type="dxa"/>
                    <w:vMerge w:val="restart"/>
                    <w:shd w:val="clear" w:color="auto" w:fill="auto"/>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2 523,178</w:t>
                    </w:r>
                  </w:p>
                  <w:p>
                    <w:pPr>
                      <w:rPr>
                        <w:sz w:val="20"/>
                        <w:lang w:val="en-US"/>
                      </w:rPr>
                    </w:pPr>
                  </w:p>
                </w:tc>
                <w:tc>
                  <w:tcPr>
                    <w:tcW w:w="992" w:type="dxa"/>
                  </w:tcPr>
                  <w:p>
                    <w:pPr>
                      <w:rPr>
                        <w:sz w:val="20"/>
                      </w:rPr>
                    </w:pPr>
                    <w:r>
                      <w:rPr>
                        <w:sz w:val="20"/>
                      </w:rPr>
                      <w:t>2021–2027 m. IP (ERPF)</w:t>
                    </w:r>
                  </w:p>
                </w:tc>
                <w:tc>
                  <w:tcPr>
                    <w:tcW w:w="2551" w:type="dxa"/>
                  </w:tcPr>
                  <w:p>
                    <w:pPr>
                      <w:ind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1 500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382"/>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shd w:val="clear" w:color="auto" w:fill="auto"/>
                  </w:tcPr>
                  <w:p>
                    <w:pPr>
                      <w:rPr>
                        <w:sz w:val="20"/>
                      </w:rPr>
                    </w:pPr>
                  </w:p>
                </w:tc>
                <w:tc>
                  <w:tcPr>
                    <w:tcW w:w="992" w:type="dxa"/>
                    <w:vMerge/>
                  </w:tcPr>
                  <w:p>
                    <w:pPr>
                      <w:rPr>
                        <w:sz w:val="20"/>
                      </w:rPr>
                    </w:pPr>
                  </w:p>
                </w:tc>
                <w:tc>
                  <w:tcPr>
                    <w:tcW w:w="709" w:type="dxa"/>
                    <w:vMerge/>
                  </w:tcPr>
                  <w:p>
                    <w:pPr>
                      <w:rPr>
                        <w:sz w:val="20"/>
                      </w:rPr>
                    </w:pPr>
                  </w:p>
                </w:tc>
                <w:tc>
                  <w:tcPr>
                    <w:tcW w:w="1276" w:type="dxa"/>
                  </w:tcPr>
                  <w:p>
                    <w:pPr>
                      <w:rPr>
                        <w:sz w:val="20"/>
                        <w:lang w:val="en-US"/>
                      </w:rPr>
                    </w:pPr>
                    <w:r>
                      <w:rPr>
                        <w:sz w:val="20"/>
                        <w:lang w:val="en-US"/>
                      </w:rPr>
                      <w:t>2 523,178</w:t>
                    </w:r>
                  </w:p>
                </w:tc>
                <w:tc>
                  <w:tcPr>
                    <w:tcW w:w="992" w:type="dxa"/>
                  </w:tcPr>
                  <w:p>
                    <w:pPr>
                      <w:rPr>
                        <w:sz w:val="20"/>
                      </w:rPr>
                    </w:pPr>
                    <w:r>
                      <w:rPr>
                        <w:sz w:val="20"/>
                      </w:rPr>
                      <w:t>2021–2027 m. IP (BF)</w:t>
                    </w:r>
                  </w:p>
                </w:tc>
                <w:tc>
                  <w:tcPr>
                    <w:tcW w:w="2551" w:type="dxa"/>
                  </w:tcPr>
                  <w:p>
                    <w:pPr>
                      <w:ind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tcPr>
                  <w:p>
                    <w:pPr>
                      <w:ind w:left="-57" w:right="-57"/>
                      <w:jc w:val="center"/>
                      <w:rPr>
                        <w:sz w:val="20"/>
                      </w:rPr>
                    </w:pPr>
                    <w:r>
                      <w:rPr>
                        <w:sz w:val="20"/>
                      </w:rPr>
                      <w:t>1 335</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1025"/>
                </w:trPr>
                <w:tc>
                  <w:tcPr>
                    <w:tcW w:w="2410" w:type="dxa"/>
                    <w:vMerge w:val="restart"/>
                  </w:tcPr>
                  <w:p>
                    <w:pPr>
                      <w:rPr>
                        <w:sz w:val="20"/>
                      </w:rPr>
                    </w:pPr>
                    <w:r>
                      <w:rPr>
                        <w:sz w:val="20"/>
                      </w:rPr>
                      <w:t>7.2. Ambulatorinių psichikos sveikatos paslaugų ir psichosocialinės reabilitacijos plėtrai reikalingos infrastruktūros įrengimas, Vidurio ir vakarų Lietuvos regionas</w:t>
                    </w:r>
                  </w:p>
                </w:tc>
                <w:tc>
                  <w:tcPr>
                    <w:tcW w:w="709" w:type="dxa"/>
                    <w:vMerge w:val="restart"/>
                  </w:tcPr>
                  <w:p>
                    <w:pPr>
                      <w:rPr>
                        <w:sz w:val="20"/>
                      </w:rPr>
                    </w:pPr>
                    <w:r>
                      <w:rPr>
                        <w:sz w:val="20"/>
                      </w:rPr>
                      <w:t>I</w:t>
                    </w:r>
                  </w:p>
                  <w:p>
                    <w:pPr>
                      <w:rPr>
                        <w:sz w:val="20"/>
                      </w:rPr>
                    </w:pPr>
                  </w:p>
                </w:tc>
                <w:tc>
                  <w:tcPr>
                    <w:tcW w:w="1559" w:type="dxa"/>
                    <w:vMerge w:val="restart"/>
                  </w:tcPr>
                  <w:p>
                    <w:pPr>
                      <w:rPr>
                        <w:sz w:val="20"/>
                      </w:rPr>
                    </w:pPr>
                    <w:r>
                      <w:rPr>
                        <w:sz w:val="20"/>
                      </w:rPr>
                      <w:t>ASPĮ</w:t>
                    </w:r>
                  </w:p>
                  <w:p>
                    <w:pPr>
                      <w:rPr>
                        <w:sz w:val="20"/>
                      </w:rPr>
                    </w:pPr>
                  </w:p>
                </w:tc>
                <w:tc>
                  <w:tcPr>
                    <w:tcW w:w="709" w:type="dxa"/>
                    <w:vMerge w:val="restart"/>
                    <w:shd w:val="clear" w:color="auto" w:fill="auto"/>
                  </w:tcPr>
                  <w:p>
                    <w:pPr>
                      <w:rPr>
                        <w:sz w:val="20"/>
                      </w:rPr>
                    </w:pPr>
                    <w:r>
                      <w:rPr>
                        <w:sz w:val="20"/>
                      </w:rPr>
                      <w:t>P</w:t>
                    </w:r>
                  </w:p>
                  <w:p>
                    <w:pPr>
                      <w:rPr>
                        <w:sz w:val="20"/>
                      </w:rPr>
                    </w:pPr>
                  </w:p>
                </w:tc>
                <w:tc>
                  <w:tcPr>
                    <w:tcW w:w="992" w:type="dxa"/>
                    <w:vMerge w:val="restart"/>
                  </w:tcPr>
                  <w:p>
                    <w:pPr>
                      <w:rPr>
                        <w:sz w:val="20"/>
                      </w:rPr>
                    </w:pPr>
                    <w:r>
                      <w:rPr>
                        <w:sz w:val="20"/>
                      </w:rPr>
                      <w:t>Taip</w:t>
                    </w:r>
                  </w:p>
                  <w:p>
                    <w:pPr>
                      <w:rPr>
                        <w:sz w:val="20"/>
                      </w:rPr>
                    </w:pPr>
                  </w:p>
                </w:tc>
                <w:tc>
                  <w:tcPr>
                    <w:tcW w:w="709" w:type="dxa"/>
                    <w:vMerge w:val="restart"/>
                  </w:tcPr>
                  <w:p>
                    <w:pPr>
                      <w:rPr>
                        <w:sz w:val="20"/>
                      </w:rPr>
                    </w:pPr>
                    <w:r>
                      <w:rPr>
                        <w:sz w:val="20"/>
                      </w:rPr>
                      <w:t>D</w:t>
                    </w:r>
                  </w:p>
                  <w:p>
                    <w:pPr>
                      <w:rPr>
                        <w:sz w:val="20"/>
                      </w:rPr>
                    </w:pPr>
                  </w:p>
                </w:tc>
                <w:tc>
                  <w:tcPr>
                    <w:tcW w:w="1276" w:type="dxa"/>
                  </w:tcPr>
                  <w:p>
                    <w:pPr>
                      <w:rPr>
                        <w:sz w:val="20"/>
                        <w:lang w:val="en-US"/>
                      </w:rPr>
                    </w:pPr>
                    <w:r>
                      <w:rPr>
                        <w:sz w:val="20"/>
                        <w:lang w:val="en-US"/>
                      </w:rPr>
                      <w:t>12 710,597</w:t>
                    </w:r>
                  </w:p>
                </w:tc>
                <w:tc>
                  <w:tcPr>
                    <w:tcW w:w="992" w:type="dxa"/>
                  </w:tcPr>
                  <w:p>
                    <w:pPr>
                      <w:rPr>
                        <w:sz w:val="20"/>
                      </w:rPr>
                    </w:pPr>
                    <w:r>
                      <w:rPr>
                        <w:sz w:val="20"/>
                      </w:rPr>
                      <w:t>2021–2027 m. IP (ERPF)</w:t>
                    </w:r>
                  </w:p>
                  <w:p>
                    <w:pPr>
                      <w:rPr>
                        <w:sz w:val="20"/>
                      </w:rPr>
                    </w:pPr>
                  </w:p>
                </w:tc>
                <w:tc>
                  <w:tcPr>
                    <w:tcW w:w="2551" w:type="dxa"/>
                  </w:tcPr>
                  <w:p>
                    <w:pPr>
                      <w:ind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4 450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972"/>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shd w:val="clear" w:color="auto" w:fill="auto"/>
                  </w:tcPr>
                  <w:p>
                    <w:pPr>
                      <w:rPr>
                        <w:sz w:val="20"/>
                      </w:rPr>
                    </w:pPr>
                  </w:p>
                </w:tc>
                <w:tc>
                  <w:tcPr>
                    <w:tcW w:w="992" w:type="dxa"/>
                    <w:vMerge/>
                  </w:tcPr>
                  <w:p>
                    <w:pPr>
                      <w:rPr>
                        <w:sz w:val="20"/>
                      </w:rPr>
                    </w:pPr>
                  </w:p>
                </w:tc>
                <w:tc>
                  <w:tcPr>
                    <w:tcW w:w="709" w:type="dxa"/>
                    <w:vMerge/>
                  </w:tcPr>
                  <w:p>
                    <w:pPr>
                      <w:rPr>
                        <w:sz w:val="20"/>
                      </w:rPr>
                    </w:pPr>
                  </w:p>
                </w:tc>
                <w:tc>
                  <w:tcPr>
                    <w:tcW w:w="1276" w:type="dxa"/>
                  </w:tcPr>
                  <w:p>
                    <w:pPr>
                      <w:rPr>
                        <w:sz w:val="20"/>
                        <w:lang w:val="en-US"/>
                      </w:rPr>
                    </w:pPr>
                    <w:r>
                      <w:rPr>
                        <w:sz w:val="20"/>
                        <w:lang w:val="en-US"/>
                      </w:rPr>
                      <w:t>2 243,047</w:t>
                    </w:r>
                  </w:p>
                  <w:p>
                    <w:pPr>
                      <w:rPr>
                        <w:sz w:val="20"/>
                      </w:rPr>
                    </w:pPr>
                  </w:p>
                </w:tc>
                <w:tc>
                  <w:tcPr>
                    <w:tcW w:w="992" w:type="dxa"/>
                  </w:tcPr>
                  <w:p>
                    <w:pPr>
                      <w:rPr>
                        <w:sz w:val="20"/>
                      </w:rPr>
                    </w:pPr>
                    <w:r>
                      <w:rPr>
                        <w:sz w:val="20"/>
                      </w:rPr>
                      <w:t>2021–2027 m. IP (BF)</w:t>
                    </w:r>
                  </w:p>
                  <w:p>
                    <w:pPr>
                      <w:rPr>
                        <w:sz w:val="20"/>
                      </w:rPr>
                    </w:pPr>
                  </w:p>
                </w:tc>
                <w:tc>
                  <w:tcPr>
                    <w:tcW w:w="2551" w:type="dxa"/>
                  </w:tcPr>
                  <w:p>
                    <w:pPr>
                      <w:ind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tcPr>
                  <w:p>
                    <w:pPr>
                      <w:ind w:left="-57" w:right="-57"/>
                      <w:jc w:val="center"/>
                      <w:rPr>
                        <w:sz w:val="20"/>
                      </w:rPr>
                    </w:pPr>
                    <w:r>
                      <w:rPr>
                        <w:sz w:val="20"/>
                      </w:rPr>
                      <w:t>3 965</w:t>
                    </w:r>
                  </w:p>
                  <w:p>
                    <w:pPr>
                      <w:ind w:left="-57" w:right="-57"/>
                      <w:jc w:val="center"/>
                      <w:rPr>
                        <w:sz w:val="20"/>
                      </w:rPr>
                    </w:pPr>
                    <w:r>
                      <w:rPr>
                        <w:sz w:val="20"/>
                      </w:rPr>
                      <w:t>(2029 m.)</w:t>
                    </w:r>
                  </w:p>
                  <w:p>
                    <w:pPr>
                      <w:rPr>
                        <w:sz w:val="20"/>
                      </w:rPr>
                    </w:pP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14"/>
                </w:trPr>
                <w:tc>
                  <w:tcPr>
                    <w:tcW w:w="2410" w:type="dxa"/>
                  </w:tcPr>
                  <w:p>
                    <w:pPr>
                      <w:rPr>
                        <w:sz w:val="22"/>
                        <w:szCs w:val="22"/>
                      </w:rPr>
                    </w:pPr>
                    <w:r>
                      <w:rPr>
                        <w:sz w:val="20"/>
                      </w:rPr>
                      <w:t xml:space="preserve">7.3. </w:t>
                    </w:r>
                    <w:r>
                      <w:rPr>
                        <w:color w:val="212121"/>
                        <w:sz w:val="20"/>
                      </w:rPr>
                      <w:t>Nemedikamentinių paslaugų prieinamumo ir žmogaus teisėms palankios aplinkos gerinimas teikiant stacionarines psichikos sveikatos priežiūros paslaugas</w:t>
                    </w:r>
                  </w:p>
                </w:tc>
                <w:tc>
                  <w:tcPr>
                    <w:tcW w:w="709" w:type="dxa"/>
                  </w:tcPr>
                  <w:p>
                    <w:pPr>
                      <w:rPr>
                        <w:sz w:val="22"/>
                        <w:szCs w:val="22"/>
                      </w:rPr>
                    </w:pPr>
                    <w:r>
                      <w:rPr>
                        <w:sz w:val="20"/>
                      </w:rPr>
                      <w:t>I</w:t>
                    </w:r>
                  </w:p>
                </w:tc>
                <w:tc>
                  <w:tcPr>
                    <w:tcW w:w="1559" w:type="dxa"/>
                  </w:tcPr>
                  <w:p>
                    <w:pPr>
                      <w:rPr>
                        <w:sz w:val="22"/>
                        <w:szCs w:val="22"/>
                      </w:rPr>
                    </w:pPr>
                    <w:r>
                      <w:rPr>
                        <w:sz w:val="20"/>
                      </w:rPr>
                      <w:t>ASPĮ</w:t>
                    </w:r>
                  </w:p>
                </w:tc>
                <w:tc>
                  <w:tcPr>
                    <w:tcW w:w="709" w:type="dxa"/>
                  </w:tcPr>
                  <w:p>
                    <w:pPr>
                      <w:rPr>
                        <w:sz w:val="22"/>
                        <w:szCs w:val="22"/>
                      </w:rPr>
                    </w:pPr>
                    <w:r>
                      <w:rPr>
                        <w:sz w:val="20"/>
                      </w:rPr>
                      <w:t>P</w:t>
                    </w:r>
                  </w:p>
                </w:tc>
                <w:tc>
                  <w:tcPr>
                    <w:tcW w:w="992" w:type="dxa"/>
                  </w:tcPr>
                  <w:p>
                    <w:pPr>
                      <w:rPr>
                        <w:sz w:val="22"/>
                        <w:szCs w:val="22"/>
                      </w:rPr>
                    </w:pPr>
                    <w:r>
                      <w:rPr>
                        <w:sz w:val="20"/>
                      </w:rPr>
                      <w:t>Taip</w:t>
                    </w:r>
                  </w:p>
                </w:tc>
                <w:tc>
                  <w:tcPr>
                    <w:tcW w:w="709" w:type="dxa"/>
                  </w:tcPr>
                  <w:p>
                    <w:pPr>
                      <w:rPr>
                        <w:sz w:val="22"/>
                        <w:szCs w:val="22"/>
                      </w:rPr>
                    </w:pPr>
                    <w:r>
                      <w:rPr>
                        <w:sz w:val="20"/>
                      </w:rPr>
                      <w:t>D</w:t>
                    </w:r>
                  </w:p>
                </w:tc>
                <w:tc>
                  <w:tcPr>
                    <w:tcW w:w="1276" w:type="dxa"/>
                  </w:tcPr>
                  <w:p>
                    <w:pPr>
                      <w:rPr>
                        <w:sz w:val="22"/>
                        <w:szCs w:val="22"/>
                        <w:lang w:val="en-US"/>
                      </w:rPr>
                    </w:pPr>
                    <w:r>
                      <w:rPr>
                        <w:sz w:val="20"/>
                      </w:rPr>
                      <w:t>6 000</w:t>
                    </w:r>
                  </w:p>
                </w:tc>
                <w:tc>
                  <w:tcPr>
                    <w:tcW w:w="992" w:type="dxa"/>
                  </w:tcPr>
                  <w:p>
                    <w:pPr>
                      <w:rPr>
                        <w:sz w:val="22"/>
                        <w:szCs w:val="22"/>
                      </w:rPr>
                    </w:pPr>
                    <w:r>
                      <w:rPr>
                        <w:sz w:val="20"/>
                      </w:rPr>
                      <w:t>VB</w:t>
                    </w:r>
                  </w:p>
                </w:tc>
                <w:tc>
                  <w:tcPr>
                    <w:tcW w:w="2551" w:type="dxa"/>
                    <w:shd w:val="clear" w:color="auto" w:fill="FFFFFF" w:themeFill="background1"/>
                  </w:tcPr>
                  <w:p>
                    <w:pPr>
                      <w:ind w:left="-57" w:right="-57"/>
                      <w:rPr>
                        <w:sz w:val="20"/>
                      </w:rPr>
                    </w:pPr>
                    <w:r>
                      <w:rPr>
                        <w:sz w:val="20"/>
                      </w:rPr>
                      <w:t xml:space="preserve">P </w:t>
                    </w:r>
                    <w:r>
                      <w:rPr>
                        <w:color w:val="000000"/>
                        <w:szCs w:val="24"/>
                      </w:rPr>
                      <w:t>–</w:t>
                    </w:r>
                    <w:r>
                      <w:rPr>
                        <w:sz w:val="20"/>
                      </w:rPr>
                      <w:t xml:space="preserve"> Modernizuotų asmens sveikatos priežiūros įstaigų skaičius</w:t>
                    </w:r>
                  </w:p>
                </w:tc>
                <w:tc>
                  <w:tcPr>
                    <w:tcW w:w="851" w:type="dxa"/>
                    <w:shd w:val="clear" w:color="auto" w:fill="FFFFFF" w:themeFill="background1"/>
                  </w:tcPr>
                  <w:p>
                    <w:pPr>
                      <w:ind w:left="-57" w:right="-57"/>
                      <w:jc w:val="center"/>
                      <w:rPr>
                        <w:sz w:val="20"/>
                      </w:rPr>
                    </w:pPr>
                    <w:r>
                      <w:rPr>
                        <w:sz w:val="20"/>
                      </w:rPr>
                      <w:t>7</w:t>
                    </w:r>
                  </w:p>
                  <w:p>
                    <w:pPr>
                      <w:ind w:left="-57" w:right="-57"/>
                      <w:jc w:val="center"/>
                      <w:rPr>
                        <w:sz w:val="20"/>
                      </w:rPr>
                    </w:pPr>
                    <w:r>
                      <w:rPr>
                        <w:sz w:val="20"/>
                      </w:rPr>
                      <w:t>(2030 m.)</w:t>
                    </w:r>
                  </w:p>
                  <w:p>
                    <w:pPr>
                      <w:ind w:left="-57" w:right="-57"/>
                      <w:jc w:val="center"/>
                      <w:rPr>
                        <w:sz w:val="20"/>
                      </w:rPr>
                    </w:pPr>
                  </w:p>
                  <w:p>
                    <w:pPr>
                      <w:ind w:left="-57" w:right="-57"/>
                      <w:jc w:val="center"/>
                      <w:rPr>
                        <w:sz w:val="22"/>
                        <w:szCs w:val="22"/>
                      </w:rPr>
                    </w:pPr>
                  </w:p>
                </w:tc>
                <w:tc>
                  <w:tcPr>
                    <w:tcW w:w="992" w:type="dxa"/>
                  </w:tcPr>
                  <w:p>
                    <w:pPr>
                      <w:rPr>
                        <w:sz w:val="20"/>
                      </w:rPr>
                    </w:pPr>
                    <w:r>
                      <w:rPr>
                        <w:sz w:val="20"/>
                      </w:rPr>
                      <w:t>CPVA</w:t>
                    </w:r>
                  </w:p>
                  <w:p>
                    <w:pPr>
                      <w:rPr>
                        <w:sz w:val="22"/>
                        <w:szCs w:val="22"/>
                      </w:rPr>
                    </w:pPr>
                  </w:p>
                </w:tc>
                <w:tc>
                  <w:tcPr>
                    <w:tcW w:w="1276" w:type="dxa"/>
                    <w:tcBorders>
                      <w:left w:val="single" w:sz="4" w:space="0" w:color="auto"/>
                      <w:right w:val="single" w:sz="4" w:space="0" w:color="auto"/>
                    </w:tcBorders>
                  </w:tcPr>
                  <w:p>
                    <w:pPr>
                      <w:rPr>
                        <w:color w:val="000000"/>
                        <w:sz w:val="22"/>
                        <w:szCs w:val="22"/>
                      </w:rPr>
                    </w:pPr>
                    <w:r>
                      <w:rPr>
                        <w:color w:val="000000"/>
                        <w:sz w:val="20"/>
                      </w:rPr>
                      <w:t>SAM</w:t>
                    </w:r>
                  </w:p>
                </w:tc>
              </w:tr>
              <w:tr>
                <w:trPr>
                  <w:trHeight w:val="1020"/>
                </w:trPr>
                <w:tc>
                  <w:tcPr>
                    <w:tcW w:w="2410" w:type="dxa"/>
                    <w:vMerge w:val="restart"/>
                    <w:tcBorders>
                      <w:top w:val="single" w:sz="4" w:space="0" w:color="auto"/>
                      <w:left w:val="single" w:sz="4" w:space="0" w:color="auto"/>
                      <w:right w:val="single" w:sz="4" w:space="0" w:color="auto"/>
                    </w:tcBorders>
                  </w:tcPr>
                  <w:p>
                    <w:pPr>
                      <w:rPr>
                        <w:sz w:val="20"/>
                      </w:rPr>
                    </w:pPr>
                    <w:r>
                      <w:rPr>
                        <w:sz w:val="20"/>
                      </w:rPr>
                      <w:t>7.4. Integruotų psichikos sveikatos paslaugų bei modelių išbandymas ir diegimas, Vidurio ir vakarų Lietuvos regionas</w:t>
                    </w:r>
                  </w:p>
                </w:tc>
                <w:tc>
                  <w:tcPr>
                    <w:tcW w:w="709" w:type="dxa"/>
                    <w:vMerge w:val="restart"/>
                    <w:tcBorders>
                      <w:top w:val="single" w:sz="4" w:space="0" w:color="auto"/>
                      <w:left w:val="single" w:sz="4" w:space="0" w:color="auto"/>
                      <w:right w:val="single" w:sz="4" w:space="0" w:color="auto"/>
                    </w:tcBorders>
                  </w:tcPr>
                  <w:p>
                    <w:pPr>
                      <w:rPr>
                        <w:sz w:val="20"/>
                      </w:rPr>
                    </w:pPr>
                    <w:r>
                      <w:rPr>
                        <w:sz w:val="20"/>
                      </w:rPr>
                      <w:t>I</w:t>
                    </w:r>
                  </w:p>
                </w:tc>
                <w:tc>
                  <w:tcPr>
                    <w:tcW w:w="1559" w:type="dxa"/>
                    <w:vMerge w:val="restart"/>
                    <w:tcBorders>
                      <w:top w:val="single" w:sz="4" w:space="0" w:color="auto"/>
                      <w:left w:val="single" w:sz="4" w:space="0" w:color="auto"/>
                      <w:right w:val="single" w:sz="4" w:space="0" w:color="auto"/>
                    </w:tcBorders>
                  </w:tcPr>
                  <w:p>
                    <w:pPr>
                      <w:rPr>
                        <w:sz w:val="20"/>
                      </w:rPr>
                    </w:pPr>
                    <w:r>
                      <w:rPr>
                        <w:sz w:val="20"/>
                      </w:rPr>
                      <w:t>ASPĮ, SAM,</w:t>
                    </w:r>
                  </w:p>
                  <w:p>
                    <w:pPr>
                      <w:rPr>
                        <w:sz w:val="20"/>
                      </w:rPr>
                    </w:pPr>
                    <w:r>
                      <w:rPr>
                        <w:sz w:val="20"/>
                      </w:rPr>
                      <w:t>VASPVT</w:t>
                    </w:r>
                  </w:p>
                  <w:p>
                    <w:pPr>
                      <w:rPr>
                        <w:sz w:val="20"/>
                      </w:rPr>
                    </w:pPr>
                    <w:r>
                      <w:rPr>
                        <w:sz w:val="20"/>
                      </w:rPr>
                      <w:t>Higienos institutas</w:t>
                    </w:r>
                  </w:p>
                </w:tc>
                <w:tc>
                  <w:tcPr>
                    <w:tcW w:w="709" w:type="dxa"/>
                    <w:vMerge w:val="restart"/>
                    <w:tcBorders>
                      <w:top w:val="single" w:sz="4" w:space="0" w:color="auto"/>
                      <w:left w:val="single" w:sz="4" w:space="0" w:color="auto"/>
                      <w:right w:val="single" w:sz="4" w:space="0" w:color="auto"/>
                    </w:tcBorders>
                  </w:tcPr>
                  <w:p>
                    <w:pPr>
                      <w:rPr>
                        <w:sz w:val="20"/>
                      </w:rPr>
                    </w:pPr>
                    <w:r>
                      <w:rPr>
                        <w:sz w:val="20"/>
                      </w:rPr>
                      <w:t>P</w:t>
                    </w:r>
                  </w:p>
                </w:tc>
                <w:tc>
                  <w:tcPr>
                    <w:tcW w:w="992" w:type="dxa"/>
                    <w:vMerge w:val="restart"/>
                    <w:tcBorders>
                      <w:top w:val="single" w:sz="4" w:space="0" w:color="auto"/>
                      <w:left w:val="single" w:sz="4" w:space="0" w:color="auto"/>
                      <w:right w:val="single" w:sz="4" w:space="0" w:color="auto"/>
                    </w:tcBorders>
                  </w:tcPr>
                  <w:p>
                    <w:pP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rPr>
                        <w:sz w:val="20"/>
                      </w:rPr>
                    </w:pPr>
                    <w:r>
                      <w:rPr>
                        <w:sz w:val="20"/>
                      </w:rPr>
                      <w:t>D</w:t>
                    </w:r>
                  </w:p>
                </w:tc>
                <w:tc>
                  <w:tcPr>
                    <w:tcW w:w="1276" w:type="dxa"/>
                    <w:tcBorders>
                      <w:top w:val="single" w:sz="4" w:space="0" w:color="auto"/>
                      <w:left w:val="single" w:sz="4" w:space="0" w:color="auto"/>
                      <w:right w:val="single" w:sz="4" w:space="0" w:color="auto"/>
                    </w:tcBorders>
                  </w:tcPr>
                  <w:p>
                    <w:pPr>
                      <w:rPr>
                        <w:sz w:val="20"/>
                        <w:lang w:val="en-US"/>
                      </w:rPr>
                    </w:pPr>
                    <w:r>
                      <w:rPr>
                        <w:sz w:val="20"/>
                        <w:lang w:val="en-US"/>
                      </w:rPr>
                      <w:t>10 540</w:t>
                    </w:r>
                  </w:p>
                  <w:p>
                    <w:pPr>
                      <w:rPr>
                        <w:sz w:val="20"/>
                        <w:lang w:val="en-US"/>
                      </w:rPr>
                    </w:pP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2021–2027 m. IP (ESF+) </w:t>
                    </w:r>
                  </w:p>
                </w:tc>
                <w:tc>
                  <w:tcPr>
                    <w:tcW w:w="2551" w:type="dxa"/>
                    <w:tcBorders>
                      <w:top w:val="single" w:sz="4" w:space="0" w:color="auto"/>
                      <w:left w:val="single" w:sz="4" w:space="0" w:color="auto"/>
                      <w:right w:val="single" w:sz="4" w:space="0" w:color="auto"/>
                    </w:tcBorders>
                    <w:shd w:val="clear" w:color="auto" w:fill="auto"/>
                  </w:tcPr>
                  <w:p>
                    <w:pPr>
                      <w:ind w:left="-57" w:right="-57"/>
                      <w:rPr>
                        <w:color w:val="000000"/>
                        <w:sz w:val="20"/>
                      </w:rPr>
                    </w:pPr>
                    <w:r>
                      <w:rPr>
                        <w:color w:val="000000"/>
                        <w:sz w:val="20"/>
                      </w:rPr>
                      <w:t xml:space="preserve">P – Tikslinių grupių asmenys, gavę naujas ar patobulintas psichikos sveikatos priežiūros paslaugas, asmenys </w:t>
                    </w:r>
                  </w:p>
                </w:tc>
                <w:tc>
                  <w:tcPr>
                    <w:tcW w:w="851" w:type="dxa"/>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10 500</w:t>
                    </w:r>
                  </w:p>
                  <w:p>
                    <w:pPr>
                      <w:ind w:left="-57" w:right="-57"/>
                      <w:jc w:val="center"/>
                      <w:rPr>
                        <w:sz w:val="20"/>
                      </w:rPr>
                    </w:pPr>
                    <w:r>
                      <w:rPr>
                        <w:sz w:val="20"/>
                      </w:rPr>
                      <w:t>(2029 m.)</w:t>
                    </w:r>
                  </w:p>
                </w:tc>
                <w:tc>
                  <w:tcPr>
                    <w:tcW w:w="992" w:type="dxa"/>
                    <w:vMerge w:val="restart"/>
                    <w:tcBorders>
                      <w:top w:val="single" w:sz="4" w:space="0" w:color="auto"/>
                      <w:left w:val="single" w:sz="4" w:space="0" w:color="auto"/>
                      <w:right w:val="single" w:sz="4" w:space="0" w:color="auto"/>
                    </w:tcBorders>
                  </w:tcPr>
                  <w:p>
                    <w:pPr>
                      <w:rPr>
                        <w:sz w:val="20"/>
                      </w:rPr>
                    </w:pPr>
                    <w:r>
                      <w:rPr>
                        <w:sz w:val="20"/>
                      </w:rPr>
                      <w:t>CPVA</w:t>
                    </w:r>
                  </w:p>
                </w:tc>
                <w:tc>
                  <w:tcPr>
                    <w:tcW w:w="1276" w:type="dxa"/>
                    <w:vMerge w:val="restart"/>
                    <w:tcBorders>
                      <w:top w:val="single" w:sz="4" w:space="0" w:color="auto"/>
                      <w:left w:val="single" w:sz="4" w:space="0" w:color="auto"/>
                      <w:right w:val="single" w:sz="4" w:space="0" w:color="auto"/>
                    </w:tcBorders>
                    <w:vAlign w:val="center"/>
                  </w:tcPr>
                  <w:p>
                    <w:pPr>
                      <w:rPr>
                        <w:color w:val="000000"/>
                        <w:sz w:val="20"/>
                      </w:rPr>
                    </w:pPr>
                  </w:p>
                </w:tc>
              </w:tr>
              <w:tr>
                <w:trPr>
                  <w:trHeight w:val="1283"/>
                </w:trPr>
                <w:tc>
                  <w:tcPr>
                    <w:tcW w:w="2410"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559"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276" w:type="dxa"/>
                    <w:vMerge w:val="restart"/>
                    <w:tcBorders>
                      <w:left w:val="single" w:sz="4" w:space="0" w:color="auto"/>
                      <w:right w:val="single" w:sz="4" w:space="0" w:color="auto"/>
                    </w:tcBorders>
                  </w:tcPr>
                  <w:p>
                    <w:pPr>
                      <w:rPr>
                        <w:sz w:val="20"/>
                        <w:lang w:val="en-US"/>
                      </w:rPr>
                    </w:pPr>
                    <w:r>
                      <w:rPr>
                        <w:sz w:val="20"/>
                        <w:lang w:val="en-US"/>
                      </w:rPr>
                      <w:t>1 860</w:t>
                    </w:r>
                  </w:p>
                </w:tc>
                <w:tc>
                  <w:tcPr>
                    <w:tcW w:w="992" w:type="dxa"/>
                    <w:vMerge w:val="restart"/>
                    <w:tcBorders>
                      <w:top w:val="single" w:sz="4" w:space="0" w:color="auto"/>
                      <w:left w:val="single" w:sz="4" w:space="0" w:color="auto"/>
                      <w:right w:val="single" w:sz="4" w:space="0" w:color="auto"/>
                    </w:tcBorders>
                  </w:tcPr>
                  <w:p>
                    <w:pPr>
                      <w:rPr>
                        <w:sz w:val="20"/>
                      </w:rPr>
                    </w:pPr>
                    <w:r>
                      <w:rPr>
                        <w:sz w:val="20"/>
                      </w:rPr>
                      <w:t>2021–2027 m. IP (BF)</w:t>
                    </w:r>
                  </w:p>
                </w:tc>
                <w:tc>
                  <w:tcPr>
                    <w:tcW w:w="2551" w:type="dxa"/>
                    <w:tcBorders>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R – Tikslinių grupių asmenų, kurių gyvenimo kokybė pagerėjo gavus naujas ar patobulintas psichikos sveikatos priežiūros paslaugas, dalis, proc.</w:t>
                    </w:r>
                  </w:p>
                </w:tc>
                <w:tc>
                  <w:tcPr>
                    <w:tcW w:w="851" w:type="dxa"/>
                    <w:tcBorders>
                      <w:left w:val="single" w:sz="4" w:space="0" w:color="auto"/>
                      <w:right w:val="single" w:sz="4" w:space="0" w:color="auto"/>
                    </w:tcBorders>
                    <w:shd w:val="clear" w:color="auto" w:fill="auto"/>
                  </w:tcPr>
                  <w:p>
                    <w:pPr>
                      <w:ind w:left="-57" w:right="-57"/>
                      <w:jc w:val="center"/>
                      <w:rPr>
                        <w:sz w:val="20"/>
                      </w:rPr>
                    </w:pPr>
                    <w:r>
                      <w:rPr>
                        <w:sz w:val="20"/>
                      </w:rPr>
                      <w:t>25</w:t>
                    </w:r>
                  </w:p>
                  <w:p>
                    <w:pPr>
                      <w:ind w:left="-57" w:right="-57"/>
                      <w:jc w:val="center"/>
                      <w:rPr>
                        <w:sz w:val="20"/>
                      </w:rPr>
                    </w:pPr>
                    <w:r>
                      <w:rPr>
                        <w:sz w:val="20"/>
                      </w:rPr>
                      <w:t>(2029 m.)</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64"/>
                </w:trPr>
                <w:tc>
                  <w:tcPr>
                    <w:tcW w:w="2410"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559"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tcPr>
                  <w:p>
                    <w:pPr>
                      <w:rPr>
                        <w:sz w:val="20"/>
                        <w:lang w:val="en-US"/>
                      </w:rPr>
                    </w:pPr>
                  </w:p>
                </w:tc>
                <w:tc>
                  <w:tcPr>
                    <w:tcW w:w="992" w:type="dxa"/>
                    <w:vMerge/>
                    <w:tcBorders>
                      <w:left w:val="single" w:sz="4" w:space="0" w:color="auto"/>
                      <w:right w:val="single" w:sz="4" w:space="0" w:color="auto"/>
                    </w:tcBorders>
                  </w:tcPr>
                  <w:p>
                    <w:pPr>
                      <w:rPr>
                        <w:sz w:val="20"/>
                      </w:rPr>
                    </w:pPr>
                  </w:p>
                </w:tc>
                <w:tc>
                  <w:tcPr>
                    <w:tcW w:w="2551" w:type="dxa"/>
                    <w:shd w:val="clear" w:color="auto" w:fill="auto"/>
                  </w:tcPr>
                  <w:p>
                    <w:pPr>
                      <w:ind w:left="-57" w:right="-57"/>
                      <w:rPr>
                        <w:color w:val="000000"/>
                        <w:sz w:val="20"/>
                      </w:rPr>
                    </w:pPr>
                    <w:r>
                      <w:rPr>
                        <w:color w:val="000000"/>
                        <w:sz w:val="20"/>
                      </w:rPr>
                      <w:t xml:space="preserve">P – Paramą gavusių nacionalinio, regionų ar vietos lygmens viešojo administravimo ar viešąsias paslaugas teikiančių įstaigų skaičius, subjektų skaičius </w:t>
                    </w:r>
                  </w:p>
                </w:tc>
                <w:tc>
                  <w:tcPr>
                    <w:tcW w:w="851" w:type="dxa"/>
                    <w:shd w:val="clear" w:color="auto" w:fill="auto"/>
                  </w:tcPr>
                  <w:p>
                    <w:pPr>
                      <w:ind w:left="-57" w:right="-57"/>
                      <w:jc w:val="center"/>
                      <w:rPr>
                        <w:sz w:val="20"/>
                      </w:rPr>
                    </w:pPr>
                    <w:r>
                      <w:rPr>
                        <w:sz w:val="20"/>
                      </w:rPr>
                      <w:t>45</w:t>
                    </w:r>
                  </w:p>
                  <w:p>
                    <w:pPr>
                      <w:ind w:left="-57" w:right="-57"/>
                      <w:jc w:val="center"/>
                      <w:rPr>
                        <w:sz w:val="20"/>
                      </w:rPr>
                    </w:pPr>
                    <w:r>
                      <w:rPr>
                        <w:sz w:val="20"/>
                      </w:rPr>
                      <w:t>(2029 m.)</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53"/>
                </w:trPr>
                <w:tc>
                  <w:tcPr>
                    <w:tcW w:w="2410"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559"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rPr>
                        <w:sz w:val="20"/>
                        <w:lang w:val="en-US"/>
                      </w:rPr>
                    </w:pPr>
                  </w:p>
                </w:tc>
                <w:tc>
                  <w:tcPr>
                    <w:tcW w:w="992" w:type="dxa"/>
                    <w:vMerge/>
                    <w:tcBorders>
                      <w:left w:val="single" w:sz="4" w:space="0" w:color="auto"/>
                      <w:bottom w:val="single" w:sz="4" w:space="0" w:color="auto"/>
                      <w:right w:val="single" w:sz="4" w:space="0" w:color="auto"/>
                    </w:tcBorders>
                  </w:tcPr>
                  <w:p>
                    <w:pPr>
                      <w:rPr>
                        <w:sz w:val="20"/>
                      </w:rPr>
                    </w:pPr>
                  </w:p>
                </w:tc>
                <w:tc>
                  <w:tcPr>
                    <w:tcW w:w="2551" w:type="dxa"/>
                    <w:shd w:val="clear" w:color="auto" w:fill="FFFFFF" w:themeFill="background1"/>
                  </w:tcPr>
                  <w:p>
                    <w:pPr>
                      <w:ind w:left="-57" w:right="-57"/>
                      <w:rPr>
                        <w:color w:val="000000"/>
                        <w:sz w:val="20"/>
                      </w:rPr>
                    </w:pPr>
                    <w:r>
                      <w:rPr>
                        <w:sz w:val="20"/>
                      </w:rPr>
                      <w:t>R – Pacientų pasitenkinimas gautomis paslaugomis</w:t>
                    </w:r>
                    <w:r>
                      <w:t xml:space="preserve">, </w:t>
                    </w:r>
                    <w:r>
                      <w:rPr>
                        <w:sz w:val="20"/>
                      </w:rPr>
                      <w:t>proc.</w:t>
                    </w:r>
                  </w:p>
                </w:tc>
                <w:tc>
                  <w:tcPr>
                    <w:tcW w:w="851" w:type="dxa"/>
                    <w:tcBorders>
                      <w:top w:val="single" w:sz="4" w:space="0" w:color="auto"/>
                      <w:left w:val="single" w:sz="4" w:space="0" w:color="auto"/>
                    </w:tcBorders>
                  </w:tcPr>
                  <w:p>
                    <w:pPr>
                      <w:ind w:left="-57" w:right="-57"/>
                      <w:jc w:val="center"/>
                      <w:rPr>
                        <w:sz w:val="20"/>
                      </w:rPr>
                    </w:pPr>
                    <w:r>
                      <w:rPr>
                        <w:sz w:val="20"/>
                      </w:rPr>
                      <w:t>70</w:t>
                    </w:r>
                  </w:p>
                  <w:p>
                    <w:pPr>
                      <w:ind w:left="-57" w:right="-57"/>
                      <w:jc w:val="center"/>
                      <w:rPr>
                        <w:sz w:val="20"/>
                      </w:rPr>
                    </w:pPr>
                    <w:r>
                      <w:rPr>
                        <w:sz w:val="20"/>
                      </w:rPr>
                      <w:t>(2029 m.)</w:t>
                    </w:r>
                  </w:p>
                </w:tc>
                <w:tc>
                  <w:tcPr>
                    <w:tcW w:w="992"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414"/>
                </w:trPr>
                <w:tc>
                  <w:tcPr>
                    <w:tcW w:w="2410" w:type="dxa"/>
                    <w:shd w:val="clear" w:color="auto" w:fill="F2F2F2" w:themeFill="background1" w:themeFillShade="F2"/>
                  </w:tcPr>
                  <w:p>
                    <w:pPr>
                      <w:rPr>
                        <w:i/>
                        <w:iCs/>
                        <w:sz w:val="20"/>
                      </w:rPr>
                    </w:pPr>
                    <w:r>
                      <w:rPr>
                        <w:b/>
                        <w:bCs/>
                        <w:sz w:val="20"/>
                      </w:rPr>
                      <w:t>8. Pacientų pavėžėjimo paslaugos modelio sukūrimas ir išbandymas</w:t>
                    </w:r>
                  </w:p>
                </w:tc>
                <w:tc>
                  <w:tcPr>
                    <w:tcW w:w="709" w:type="dxa"/>
                    <w:shd w:val="clear" w:color="auto" w:fill="F2F2F2" w:themeFill="background1" w:themeFillShade="F2"/>
                  </w:tcPr>
                  <w:p>
                    <w:pPr>
                      <w:rPr>
                        <w:sz w:val="20"/>
                      </w:rPr>
                    </w:pPr>
                    <w:r>
                      <w:rPr>
                        <w:sz w:val="20"/>
                      </w:rPr>
                      <w:t>-</w:t>
                    </w:r>
                  </w:p>
                </w:tc>
                <w:tc>
                  <w:tcPr>
                    <w:tcW w:w="1559" w:type="dxa"/>
                    <w:shd w:val="clear" w:color="auto" w:fill="F2F2F2" w:themeFill="background1" w:themeFillShade="F2"/>
                  </w:tcPr>
                  <w:p>
                    <w:pPr>
                      <w:rPr>
                        <w:sz w:val="20"/>
                      </w:rPr>
                    </w:pPr>
                    <w:r>
                      <w:rPr>
                        <w:sz w:val="20"/>
                      </w:rPr>
                      <w:t>-</w:t>
                    </w:r>
                  </w:p>
                </w:tc>
                <w:tc>
                  <w:tcPr>
                    <w:tcW w:w="709" w:type="dxa"/>
                    <w:shd w:val="clear" w:color="auto" w:fill="F2F2F2" w:themeFill="background1" w:themeFillShade="F2"/>
                  </w:tcPr>
                  <w:p>
                    <w:pPr>
                      <w:rPr>
                        <w:sz w:val="20"/>
                      </w:rPr>
                    </w:pPr>
                    <w:r>
                      <w:rPr>
                        <w:sz w:val="20"/>
                      </w:rPr>
                      <w:t>-</w:t>
                    </w:r>
                  </w:p>
                </w:tc>
                <w:tc>
                  <w:tcPr>
                    <w:tcW w:w="992" w:type="dxa"/>
                    <w:shd w:val="clear" w:color="auto" w:fill="F2F2F2" w:themeFill="background1" w:themeFillShade="F2"/>
                  </w:tcPr>
                  <w:p>
                    <w:pPr>
                      <w:rPr>
                        <w:sz w:val="20"/>
                      </w:rPr>
                    </w:pPr>
                    <w:r>
                      <w:rPr>
                        <w:sz w:val="20"/>
                      </w:rPr>
                      <w:t>-</w:t>
                    </w:r>
                  </w:p>
                </w:tc>
                <w:tc>
                  <w:tcPr>
                    <w:tcW w:w="709" w:type="dxa"/>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sz w:val="20"/>
                        <w:lang w:val="en-US"/>
                      </w:rPr>
                    </w:pPr>
                    <w:r>
                      <w:rPr>
                        <w:b/>
                        <w:bCs/>
                        <w:sz w:val="20"/>
                      </w:rPr>
                      <w:t>7 000</w:t>
                    </w:r>
                  </w:p>
                </w:tc>
                <w:tc>
                  <w:tcPr>
                    <w:tcW w:w="992" w:type="dxa"/>
                    <w:shd w:val="clear" w:color="auto" w:fill="F2F2F2" w:themeFill="background1" w:themeFillShade="F2"/>
                  </w:tcPr>
                  <w:p>
                    <w:pPr>
                      <w:rPr>
                        <w:sz w:val="20"/>
                      </w:rPr>
                    </w:pPr>
                    <w:r>
                      <w:rPr>
                        <w:sz w:val="20"/>
                      </w:rPr>
                      <w:t>VB</w:t>
                    </w:r>
                  </w:p>
                </w:tc>
                <w:tc>
                  <w:tcPr>
                    <w:tcW w:w="2551" w:type="dxa"/>
                    <w:shd w:val="clear" w:color="auto" w:fill="F2F2F2" w:themeFill="background1" w:themeFillShade="F2"/>
                  </w:tcPr>
                  <w:p>
                    <w:pPr>
                      <w:ind w:left="-57" w:right="-57"/>
                      <w:rPr>
                        <w:sz w:val="20"/>
                      </w:rPr>
                    </w:pPr>
                    <w:r>
                      <w:rPr>
                        <w:sz w:val="20"/>
                      </w:rPr>
                      <w:t>-</w:t>
                    </w:r>
                  </w:p>
                </w:tc>
                <w:tc>
                  <w:tcPr>
                    <w:tcW w:w="851" w:type="dxa"/>
                    <w:shd w:val="clear" w:color="auto" w:fill="F2F2F2" w:themeFill="background1" w:themeFillShade="F2"/>
                  </w:tcPr>
                  <w:p>
                    <w:pPr>
                      <w:ind w:left="-57" w:right="-57"/>
                      <w:jc w:val="center"/>
                      <w:rPr>
                        <w:i/>
                        <w:iCs/>
                        <w:sz w:val="20"/>
                      </w:rPr>
                    </w:pPr>
                    <w:r>
                      <w:rPr>
                        <w:sz w:val="20"/>
                      </w:rPr>
                      <w:t>-</w:t>
                    </w:r>
                  </w:p>
                </w:tc>
                <w:tc>
                  <w:tcPr>
                    <w:tcW w:w="992" w:type="dxa"/>
                    <w:shd w:val="clear" w:color="auto" w:fill="F2F2F2" w:themeFill="background1" w:themeFillShade="F2"/>
                  </w:tcPr>
                  <w:p>
                    <w:pPr>
                      <w:rPr>
                        <w:i/>
                        <w:iCs/>
                        <w:sz w:val="20"/>
                      </w:rPr>
                    </w:pPr>
                    <w:r>
                      <w:rPr>
                        <w:sz w:val="20"/>
                      </w:rPr>
                      <w:t>-</w:t>
                    </w:r>
                  </w:p>
                </w:tc>
                <w:tc>
                  <w:tcPr>
                    <w:tcW w:w="1276" w:type="dxa"/>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tcPr>
                  <w:p>
                    <w:pPr>
                      <w:rPr>
                        <w:sz w:val="20"/>
                      </w:rPr>
                    </w:pPr>
                    <w:r>
                      <w:rPr>
                        <w:sz w:val="20"/>
                      </w:rPr>
                      <w:t>8.1. Pavėžėjimo paslaugų organizavimą ir teikimą reglamentuojančių teisės aktų parengimas</w:t>
                    </w:r>
                  </w:p>
                </w:tc>
                <w:tc>
                  <w:tcPr>
                    <w:tcW w:w="709" w:type="dxa"/>
                  </w:tcPr>
                  <w:p>
                    <w:pPr>
                      <w:rPr>
                        <w:sz w:val="20"/>
                      </w:rPr>
                    </w:pPr>
                    <w:r>
                      <w:rPr>
                        <w:sz w:val="20"/>
                      </w:rPr>
                      <w:t>R</w:t>
                    </w:r>
                  </w:p>
                </w:tc>
                <w:tc>
                  <w:tcPr>
                    <w:tcW w:w="1559" w:type="dxa"/>
                  </w:tcPr>
                  <w:p>
                    <w:pPr>
                      <w:rPr>
                        <w:sz w:val="20"/>
                      </w:rPr>
                    </w:pPr>
                    <w:r>
                      <w:rPr>
                        <w:sz w:val="20"/>
                      </w:rPr>
                      <w:t>-</w:t>
                    </w:r>
                  </w:p>
                </w:tc>
                <w:tc>
                  <w:tcPr>
                    <w:tcW w:w="709" w:type="dxa"/>
                  </w:tcPr>
                  <w:p>
                    <w:pPr>
                      <w:rPr>
                        <w:sz w:val="20"/>
                      </w:rPr>
                    </w:pPr>
                    <w:r>
                      <w:rPr>
                        <w:sz w:val="20"/>
                      </w:rPr>
                      <w:t>-</w:t>
                    </w:r>
                  </w:p>
                </w:tc>
                <w:tc>
                  <w:tcPr>
                    <w:tcW w:w="992" w:type="dxa"/>
                  </w:tcPr>
                  <w:p>
                    <w:pPr>
                      <w:rPr>
                        <w:sz w:val="20"/>
                      </w:rPr>
                    </w:pPr>
                    <w:r>
                      <w:rPr>
                        <w:sz w:val="20"/>
                      </w:rPr>
                      <w:t>Taip</w:t>
                    </w:r>
                  </w:p>
                </w:tc>
                <w:tc>
                  <w:tcPr>
                    <w:tcW w:w="709" w:type="dxa"/>
                  </w:tcPr>
                  <w:p>
                    <w:pPr>
                      <w:rPr>
                        <w:sz w:val="20"/>
                      </w:rPr>
                    </w:pPr>
                    <w:r>
                      <w:rPr>
                        <w:sz w:val="20"/>
                      </w:rPr>
                      <w:t>-</w:t>
                    </w:r>
                  </w:p>
                </w:tc>
                <w:tc>
                  <w:tcPr>
                    <w:tcW w:w="1276" w:type="dxa"/>
                  </w:tcPr>
                  <w:p>
                    <w:pPr>
                      <w:rPr>
                        <w:sz w:val="20"/>
                        <w:lang w:val="en-US"/>
                      </w:rPr>
                    </w:pPr>
                    <w:r>
                      <w:rPr>
                        <w:sz w:val="20"/>
                        <w:lang w:val="en-US"/>
                      </w:rPr>
                      <w:t>-</w:t>
                    </w:r>
                  </w:p>
                </w:tc>
                <w:tc>
                  <w:tcPr>
                    <w:tcW w:w="992" w:type="dxa"/>
                  </w:tcPr>
                  <w:p>
                    <w:pPr>
                      <w:rPr>
                        <w:sz w:val="20"/>
                      </w:rPr>
                    </w:pPr>
                    <w:r>
                      <w:rPr>
                        <w:sz w:val="20"/>
                      </w:rPr>
                      <w:t>-</w:t>
                    </w:r>
                  </w:p>
                </w:tc>
                <w:tc>
                  <w:tcPr>
                    <w:tcW w:w="2551" w:type="dxa"/>
                  </w:tcPr>
                  <w:p>
                    <w:pPr>
                      <w:ind w:left="-57" w:right="-57"/>
                      <w:jc w:val="both"/>
                      <w:rPr>
                        <w:sz w:val="20"/>
                      </w:rPr>
                    </w:pPr>
                    <w:r>
                      <w:rPr>
                        <w:sz w:val="20"/>
                      </w:rPr>
                      <w:t xml:space="preserve">P – Įsigalioję teisės aktai, reglamentuojantys pavėžėjimo paslaugų teikimo ir organizavimo reikalavimus, kompl. </w:t>
                    </w:r>
                  </w:p>
                  <w:p>
                    <w:pPr>
                      <w:ind w:left="-57" w:right="-57"/>
                      <w:rPr>
                        <w:sz w:val="20"/>
                      </w:rPr>
                    </w:pPr>
                  </w:p>
                </w:tc>
                <w:tc>
                  <w:tcPr>
                    <w:tcW w:w="851" w:type="dxa"/>
                  </w:tcPr>
                  <w:p>
                    <w:pPr>
                      <w:ind w:left="-57" w:right="-57"/>
                      <w:jc w:val="center"/>
                      <w:rPr>
                        <w:sz w:val="20"/>
                      </w:rPr>
                    </w:pPr>
                    <w:r>
                      <w:rPr>
                        <w:sz w:val="20"/>
                      </w:rPr>
                      <w:t>1</w:t>
                    </w:r>
                  </w:p>
                  <w:p>
                    <w:pPr>
                      <w:ind w:left="-57" w:right="-57"/>
                      <w:jc w:val="center"/>
                      <w:rPr>
                        <w:sz w:val="20"/>
                      </w:rPr>
                    </w:pPr>
                    <w:r>
                      <w:rPr>
                        <w:sz w:val="20"/>
                      </w:rPr>
                      <w:t>(2024 m.)</w:t>
                    </w:r>
                  </w:p>
                  <w:p>
                    <w:pPr>
                      <w:ind w:left="-57" w:right="-57"/>
                      <w:jc w:val="center"/>
                      <w:rPr>
                        <w:i/>
                        <w:iCs/>
                        <w:color w:val="FF0000"/>
                        <w:sz w:val="20"/>
                      </w:rPr>
                    </w:pPr>
                  </w:p>
                </w:tc>
                <w:tc>
                  <w:tcPr>
                    <w:tcW w:w="992" w:type="dxa"/>
                  </w:tcPr>
                  <w:p>
                    <w:pPr>
                      <w:rPr>
                        <w:sz w:val="20"/>
                      </w:rPr>
                    </w:pPr>
                    <w:r>
                      <w:rPr>
                        <w:sz w:val="20"/>
                      </w:rPr>
                      <w:t>-</w:t>
                    </w:r>
                  </w:p>
                </w:tc>
                <w:tc>
                  <w:tcPr>
                    <w:tcW w:w="1276" w:type="dxa"/>
                    <w:tcBorders>
                      <w:left w:val="single" w:sz="4" w:space="0" w:color="auto"/>
                      <w:right w:val="single" w:sz="4" w:space="0" w:color="auto"/>
                    </w:tcBorders>
                  </w:tcPr>
                  <w:p>
                    <w:pPr>
                      <w:ind w:left="-57" w:right="-57"/>
                      <w:jc w:val="center"/>
                      <w:rPr>
                        <w:sz w:val="20"/>
                      </w:rPr>
                    </w:pPr>
                    <w:r>
                      <w:rPr>
                        <w:sz w:val="20"/>
                      </w:rPr>
                      <w:t>SAM, Vidaus reikalų ministerija (toliau –VRM),</w:t>
                    </w:r>
                  </w:p>
                  <w:p>
                    <w:pPr>
                      <w:jc w:val="center"/>
                      <w:rPr>
                        <w:color w:val="000000"/>
                        <w:sz w:val="20"/>
                      </w:rPr>
                    </w:pPr>
                    <w:r>
                      <w:rPr>
                        <w:sz w:val="20"/>
                      </w:rPr>
                      <w:t>savivaldybių administraci-jos</w:t>
                    </w:r>
                  </w:p>
                </w:tc>
              </w:tr>
              <w:tr>
                <w:trPr>
                  <w:trHeight w:val="414"/>
                </w:trPr>
                <w:tc>
                  <w:tcPr>
                    <w:tcW w:w="2410" w:type="dxa"/>
                    <w:vMerge w:val="restart"/>
                  </w:tcPr>
                  <w:p>
                    <w:pPr>
                      <w:rPr>
                        <w:sz w:val="20"/>
                      </w:rPr>
                    </w:pPr>
                    <w:r>
                      <w:rPr>
                        <w:sz w:val="20"/>
                      </w:rPr>
                      <w:t>8.2. Bandomojo pavėžėjimo paslaugų teikimo projekto įgyvendinimas</w:t>
                    </w:r>
                  </w:p>
                </w:tc>
                <w:tc>
                  <w:tcPr>
                    <w:tcW w:w="709" w:type="dxa"/>
                    <w:vMerge w:val="restart"/>
                  </w:tcPr>
                  <w:p>
                    <w:pPr>
                      <w:rPr>
                        <w:sz w:val="20"/>
                      </w:rPr>
                    </w:pPr>
                    <w:r>
                      <w:rPr>
                        <w:sz w:val="20"/>
                      </w:rPr>
                      <w:t>M</w:t>
                    </w:r>
                  </w:p>
                </w:tc>
                <w:tc>
                  <w:tcPr>
                    <w:tcW w:w="1559" w:type="dxa"/>
                    <w:vMerge w:val="restart"/>
                  </w:tcPr>
                  <w:p>
                    <w:pPr>
                      <w:rPr>
                        <w:sz w:val="20"/>
                      </w:rPr>
                    </w:pPr>
                    <w:r>
                      <w:rPr>
                        <w:sz w:val="20"/>
                      </w:rPr>
                      <w:t>V</w:t>
                    </w:r>
                    <w:r>
                      <w:rPr>
                        <w:sz w:val="18"/>
                        <w:szCs w:val="18"/>
                      </w:rPr>
                      <w:t>šĮ Kauno miesto greitosios medicinos pagalbos stotis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vMerge w:val="restart"/>
                  </w:tcPr>
                  <w:p>
                    <w:pPr>
                      <w:rPr>
                        <w:sz w:val="20"/>
                        <w:lang w:val="en-US"/>
                      </w:rPr>
                    </w:pPr>
                    <w:r>
                      <w:rPr>
                        <w:sz w:val="20"/>
                        <w:lang w:val="en-US"/>
                      </w:rPr>
                      <w:t>7 000</w:t>
                    </w:r>
                  </w:p>
                </w:tc>
                <w:tc>
                  <w:tcPr>
                    <w:tcW w:w="992" w:type="dxa"/>
                    <w:vMerge w:val="restart"/>
                  </w:tcPr>
                  <w:p>
                    <w:pPr>
                      <w:rPr>
                        <w:sz w:val="20"/>
                      </w:rPr>
                    </w:pPr>
                    <w:r>
                      <w:rPr>
                        <w:sz w:val="20"/>
                      </w:rPr>
                      <w:t>VB</w:t>
                    </w:r>
                  </w:p>
                </w:tc>
                <w:tc>
                  <w:tcPr>
                    <w:tcW w:w="2551" w:type="dxa"/>
                  </w:tcPr>
                  <w:p>
                    <w:pPr>
                      <w:ind w:left="-57" w:right="-57"/>
                      <w:rPr>
                        <w:sz w:val="20"/>
                      </w:rPr>
                    </w:pPr>
                    <w:r>
                      <w:rPr>
                        <w:sz w:val="20"/>
                      </w:rPr>
                      <w:t xml:space="preserve">P </w:t>
                    </w:r>
                    <w:r>
                      <w:rPr>
                        <w:color w:val="000000"/>
                        <w:szCs w:val="24"/>
                      </w:rPr>
                      <w:t xml:space="preserve">– </w:t>
                    </w:r>
                    <w:r>
                      <w:rPr>
                        <w:sz w:val="20"/>
                      </w:rPr>
                      <w:t xml:space="preserve">Sukurtas ir išbandytas pacientų pavėžėjimo paslaugų teikimo modelis, skaičius </w:t>
                    </w:r>
                  </w:p>
                </w:tc>
                <w:tc>
                  <w:tcPr>
                    <w:tcW w:w="851" w:type="dxa"/>
                  </w:tcPr>
                  <w:p>
                    <w:pPr>
                      <w:ind w:left="-57" w:right="-57"/>
                      <w:jc w:val="center"/>
                      <w:rPr>
                        <w:sz w:val="20"/>
                      </w:rPr>
                    </w:pPr>
                    <w:r>
                      <w:rPr>
                        <w:sz w:val="20"/>
                      </w:rPr>
                      <w:t>1</w:t>
                    </w:r>
                  </w:p>
                  <w:p>
                    <w:pPr>
                      <w:ind w:left="-57" w:right="-57"/>
                      <w:jc w:val="center"/>
                      <w:rPr>
                        <w:i/>
                        <w:iCs/>
                        <w:sz w:val="20"/>
                      </w:rPr>
                    </w:pPr>
                    <w:r>
                      <w:rPr>
                        <w:sz w:val="20"/>
                      </w:rPr>
                      <w:t>(2024 m.)</w:t>
                    </w:r>
                  </w:p>
                </w:tc>
                <w:tc>
                  <w:tcPr>
                    <w:tcW w:w="992" w:type="dxa"/>
                    <w:vMerge w:val="restart"/>
                  </w:tcPr>
                  <w:p>
                    <w:pPr>
                      <w:rPr>
                        <w:i/>
                        <w:iCs/>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sz w:val="20"/>
                      </w:rPr>
                      <w:t>VRM, savivaldybių administraci-jos</w:t>
                    </w: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tcPr>
                  <w:p>
                    <w:pPr>
                      <w:ind w:left="-57" w:right="-57"/>
                      <w:rPr>
                        <w:sz w:val="20"/>
                      </w:rPr>
                    </w:pPr>
                    <w:r>
                      <w:rPr>
                        <w:sz w:val="20"/>
                      </w:rPr>
                      <w:t xml:space="preserve">R </w:t>
                    </w:r>
                    <w:r>
                      <w:rPr>
                        <w:color w:val="000000"/>
                        <w:szCs w:val="24"/>
                      </w:rPr>
                      <w:t>–</w:t>
                    </w:r>
                    <w:r>
                      <w:rPr>
                        <w:sz w:val="20"/>
                      </w:rPr>
                      <w:t xml:space="preserve"> Suteiktų pavėžėjimo paslaugų skaičius pagal bandomąjį pavėžėjimo paslaugų teikimo modelį, skaičius</w:t>
                    </w:r>
                  </w:p>
                </w:tc>
                <w:tc>
                  <w:tcPr>
                    <w:tcW w:w="851" w:type="dxa"/>
                  </w:tcPr>
                  <w:p>
                    <w:pPr>
                      <w:ind w:left="-57" w:right="-57"/>
                      <w:jc w:val="center"/>
                      <w:rPr>
                        <w:sz w:val="20"/>
                      </w:rPr>
                    </w:pPr>
                    <w:r>
                      <w:rPr>
                        <w:sz w:val="20"/>
                      </w:rPr>
                      <w:t>40 000</w:t>
                    </w:r>
                  </w:p>
                  <w:p>
                    <w:pPr>
                      <w:ind w:left="-57" w:right="-57"/>
                      <w:jc w:val="center"/>
                      <w:rPr>
                        <w:sz w:val="20"/>
                      </w:rPr>
                    </w:pPr>
                    <w:r>
                      <w:rPr>
                        <w:sz w:val="20"/>
                      </w:rPr>
                      <w:t>(2024 m.)</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shd w:val="clear" w:color="auto" w:fill="F2F2F2" w:themeFill="background1" w:themeFillShade="F2"/>
                  </w:tcPr>
                  <w:p>
                    <w:pPr>
                      <w:rPr>
                        <w:sz w:val="20"/>
                      </w:rPr>
                    </w:pPr>
                    <w:r>
                      <w:rPr>
                        <w:b/>
                        <w:bCs/>
                        <w:sz w:val="20"/>
                      </w:rPr>
                      <w:t>9. Greitosios medicinos pagalbos tinklo veiklos efektyvumo didinimas</w:t>
                    </w:r>
                  </w:p>
                </w:tc>
                <w:tc>
                  <w:tcPr>
                    <w:tcW w:w="709" w:type="dxa"/>
                    <w:vMerge w:val="restart"/>
                    <w:shd w:val="clear" w:color="auto" w:fill="F2F2F2" w:themeFill="background1" w:themeFillShade="F2"/>
                  </w:tcPr>
                  <w:p>
                    <w:pPr>
                      <w:rPr>
                        <w:sz w:val="20"/>
                      </w:rPr>
                    </w:pPr>
                    <w:r>
                      <w:rPr>
                        <w:sz w:val="20"/>
                      </w:rPr>
                      <w:t>-</w:t>
                    </w:r>
                  </w:p>
                </w:tc>
                <w:tc>
                  <w:tcPr>
                    <w:tcW w:w="1559"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sz w:val="20"/>
                        <w:lang w:val="en-US"/>
                      </w:rPr>
                    </w:pPr>
                    <w:r>
                      <w:rPr>
                        <w:b/>
                        <w:bCs/>
                        <w:sz w:val="20"/>
                      </w:rPr>
                      <w:t>41 150</w:t>
                    </w:r>
                  </w:p>
                </w:tc>
                <w:tc>
                  <w:tcPr>
                    <w:tcW w:w="992" w:type="dxa"/>
                    <w:shd w:val="clear" w:color="auto" w:fill="F2F2F2" w:themeFill="background1" w:themeFillShade="F2"/>
                  </w:tcPr>
                  <w:p>
                    <w:pPr>
                      <w:rPr>
                        <w:sz w:val="20"/>
                      </w:rPr>
                    </w:pPr>
                    <w:r>
                      <w:rPr>
                        <w:sz w:val="20"/>
                      </w:rPr>
                      <w:t xml:space="preserve">- </w:t>
                    </w:r>
                  </w:p>
                </w:tc>
                <w:tc>
                  <w:tcPr>
                    <w:tcW w:w="2551" w:type="dxa"/>
                    <w:vMerge w:val="restart"/>
                    <w:shd w:val="clear" w:color="auto" w:fill="F2F2F2" w:themeFill="background1" w:themeFillShade="F2"/>
                  </w:tcPr>
                  <w:p>
                    <w:pPr>
                      <w:ind w:left="-57" w:right="-57"/>
                      <w:rPr>
                        <w:sz w:val="20"/>
                      </w:rPr>
                    </w:pPr>
                    <w:r>
                      <w:rPr>
                        <w:sz w:val="20"/>
                      </w:rPr>
                      <w:t>-</w:t>
                    </w:r>
                  </w:p>
                </w:tc>
                <w:tc>
                  <w:tcPr>
                    <w:tcW w:w="851" w:type="dxa"/>
                    <w:vMerge w:val="restart"/>
                    <w:shd w:val="clear" w:color="auto" w:fill="F2F2F2" w:themeFill="background1" w:themeFillShade="F2"/>
                  </w:tcPr>
                  <w:p>
                    <w:pPr>
                      <w:ind w:left="-57" w:right="-57"/>
                      <w:jc w:val="cente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765"/>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b/>
                        <w:bCs/>
                        <w:sz w:val="20"/>
                      </w:rPr>
                    </w:pPr>
                    <w:r>
                      <w:rPr>
                        <w:sz w:val="20"/>
                        <w:lang w:val="en-US"/>
                      </w:rPr>
                      <w:t>5 235</w:t>
                    </w:r>
                  </w:p>
                </w:tc>
                <w:tc>
                  <w:tcPr>
                    <w:tcW w:w="992" w:type="dxa"/>
                    <w:shd w:val="clear" w:color="auto" w:fill="F2F2F2" w:themeFill="background1" w:themeFillShade="F2"/>
                  </w:tcPr>
                  <w:p>
                    <w:pPr>
                      <w:rPr>
                        <w:sz w:val="20"/>
                      </w:rPr>
                    </w:pPr>
                    <w:r>
                      <w:rPr>
                        <w:sz w:val="20"/>
                      </w:rPr>
                      <w:t>2021–2027 m. IP (ERPF, Sostinės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21"/>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b/>
                        <w:bCs/>
                        <w:sz w:val="20"/>
                      </w:rPr>
                    </w:pPr>
                    <w:r>
                      <w:rPr>
                        <w:sz w:val="20"/>
                        <w:lang w:val="en-US"/>
                      </w:rPr>
                      <w:t>5 235</w:t>
                    </w:r>
                  </w:p>
                </w:tc>
                <w:tc>
                  <w:tcPr>
                    <w:tcW w:w="992" w:type="dxa"/>
                    <w:shd w:val="clear" w:color="auto" w:fill="F2F2F2" w:themeFill="background1" w:themeFillShade="F2"/>
                  </w:tcPr>
                  <w:p>
                    <w:pPr>
                      <w:rPr>
                        <w:sz w:val="20"/>
                      </w:rPr>
                    </w:pPr>
                    <w:r>
                      <w:rPr>
                        <w:sz w:val="20"/>
                      </w:rPr>
                      <w:t>2021–2027 m. IP (BF, Sostinės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21"/>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b/>
                        <w:bCs/>
                        <w:sz w:val="20"/>
                      </w:rPr>
                    </w:pPr>
                    <w:r>
                      <w:rPr>
                        <w:sz w:val="20"/>
                        <w:lang w:val="en-US"/>
                      </w:rPr>
                      <w:t>26 078</w:t>
                    </w:r>
                  </w:p>
                </w:tc>
                <w:tc>
                  <w:tcPr>
                    <w:tcW w:w="992" w:type="dxa"/>
                    <w:shd w:val="clear" w:color="auto" w:fill="F2F2F2" w:themeFill="background1" w:themeFillShade="F2"/>
                  </w:tcPr>
                  <w:p>
                    <w:pPr>
                      <w:rPr>
                        <w:sz w:val="20"/>
                      </w:rPr>
                    </w:pPr>
                    <w:r>
                      <w:rPr>
                        <w:sz w:val="20"/>
                      </w:rPr>
                      <w:t>2021–2027 m. IP (ERPF, VVL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b/>
                        <w:bCs/>
                        <w:sz w:val="20"/>
                      </w:rPr>
                    </w:pPr>
                    <w:r>
                      <w:rPr>
                        <w:sz w:val="20"/>
                        <w:lang w:val="en-US"/>
                      </w:rPr>
                      <w:t>4 602</w:t>
                    </w:r>
                  </w:p>
                </w:tc>
                <w:tc>
                  <w:tcPr>
                    <w:tcW w:w="992" w:type="dxa"/>
                    <w:shd w:val="clear" w:color="auto" w:fill="F2F2F2" w:themeFill="background1" w:themeFillShade="F2"/>
                  </w:tcPr>
                  <w:p>
                    <w:pPr>
                      <w:rPr>
                        <w:sz w:val="20"/>
                      </w:rPr>
                    </w:pPr>
                    <w:r>
                      <w:rPr>
                        <w:sz w:val="20"/>
                      </w:rPr>
                      <w:t>2021–2027 m. IP (BF, VVL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tcPr>
                  <w:p>
                    <w:pPr>
                      <w:rPr>
                        <w:sz w:val="20"/>
                      </w:rPr>
                    </w:pPr>
                    <w:r>
                      <w:rPr>
                        <w:sz w:val="20"/>
                      </w:rPr>
                      <w:t>9.1. Centralizuotą greitosios medicinos pagalbos teikimą reglamentuojančių teisės aktų parengimas</w:t>
                    </w:r>
                  </w:p>
                </w:tc>
                <w:tc>
                  <w:tcPr>
                    <w:tcW w:w="709" w:type="dxa"/>
                  </w:tcPr>
                  <w:p>
                    <w:pPr>
                      <w:rPr>
                        <w:sz w:val="20"/>
                      </w:rPr>
                    </w:pPr>
                    <w:r>
                      <w:rPr>
                        <w:sz w:val="20"/>
                      </w:rPr>
                      <w:t>R</w:t>
                    </w:r>
                  </w:p>
                </w:tc>
                <w:tc>
                  <w:tcPr>
                    <w:tcW w:w="1559" w:type="dxa"/>
                  </w:tcPr>
                  <w:p>
                    <w:pPr>
                      <w:rPr>
                        <w:sz w:val="20"/>
                      </w:rPr>
                    </w:pPr>
                    <w:r>
                      <w:rPr>
                        <w:sz w:val="20"/>
                      </w:rPr>
                      <w:t>-</w:t>
                    </w:r>
                  </w:p>
                </w:tc>
                <w:tc>
                  <w:tcPr>
                    <w:tcW w:w="709" w:type="dxa"/>
                  </w:tcPr>
                  <w:p>
                    <w:pPr>
                      <w:rPr>
                        <w:sz w:val="20"/>
                      </w:rPr>
                    </w:pPr>
                    <w:r>
                      <w:rPr>
                        <w:sz w:val="20"/>
                      </w:rPr>
                      <w:t>-</w:t>
                    </w:r>
                  </w:p>
                </w:tc>
                <w:tc>
                  <w:tcPr>
                    <w:tcW w:w="992" w:type="dxa"/>
                  </w:tcPr>
                  <w:p>
                    <w:pPr>
                      <w:rPr>
                        <w:sz w:val="20"/>
                      </w:rPr>
                    </w:pPr>
                    <w:r>
                      <w:rPr>
                        <w:sz w:val="20"/>
                      </w:rPr>
                      <w:t>Taip</w:t>
                    </w:r>
                  </w:p>
                </w:tc>
                <w:tc>
                  <w:tcPr>
                    <w:tcW w:w="709" w:type="dxa"/>
                  </w:tcPr>
                  <w:p>
                    <w:pPr>
                      <w:rPr>
                        <w:sz w:val="20"/>
                      </w:rPr>
                    </w:pPr>
                    <w:r>
                      <w:rPr>
                        <w:sz w:val="20"/>
                      </w:rPr>
                      <w:t>-</w:t>
                    </w:r>
                  </w:p>
                </w:tc>
                <w:tc>
                  <w:tcPr>
                    <w:tcW w:w="1276" w:type="dxa"/>
                  </w:tcPr>
                  <w:p>
                    <w:pPr>
                      <w:rPr>
                        <w:sz w:val="20"/>
                        <w:lang w:val="en-US"/>
                      </w:rPr>
                    </w:pPr>
                    <w:r>
                      <w:rPr>
                        <w:sz w:val="20"/>
                        <w:lang w:val="en-US"/>
                      </w:rPr>
                      <w:t>-</w:t>
                    </w:r>
                  </w:p>
                </w:tc>
                <w:tc>
                  <w:tcPr>
                    <w:tcW w:w="992" w:type="dxa"/>
                  </w:tcPr>
                  <w:p>
                    <w:pPr>
                      <w:rPr>
                        <w:sz w:val="20"/>
                      </w:rPr>
                    </w:pPr>
                    <w:r>
                      <w:rPr>
                        <w:sz w:val="20"/>
                      </w:rPr>
                      <w:t>-</w:t>
                    </w:r>
                  </w:p>
                </w:tc>
                <w:tc>
                  <w:tcPr>
                    <w:tcW w:w="2551" w:type="dxa"/>
                  </w:tcPr>
                  <w:p>
                    <w:pPr>
                      <w:ind w:left="-57" w:right="-57"/>
                      <w:rPr>
                        <w:sz w:val="20"/>
                      </w:rPr>
                    </w:pPr>
                    <w:r>
                      <w:rPr>
                        <w:sz w:val="20"/>
                      </w:rPr>
                      <w:t xml:space="preserve">P – </w:t>
                    </w:r>
                    <w:r>
                      <w:rPr>
                        <w:sz w:val="20"/>
                        <w:lang w:eastAsia="lt-LT"/>
                      </w:rPr>
                      <w:t>Lietuvos Respublikos sveikatos priežiūros įstaigų įstatymo, Lietuvos Respublikos sveikatos sistemos įstatymo ir susijusių teisės aktų pakeitimų įsigaliojimas</w:t>
                    </w:r>
                    <w:r>
                      <w:rPr>
                        <w:sz w:val="20"/>
                      </w:rPr>
                      <w:t xml:space="preserve">, kompl. </w:t>
                    </w:r>
                  </w:p>
                </w:tc>
                <w:tc>
                  <w:tcPr>
                    <w:tcW w:w="851" w:type="dxa"/>
                  </w:tcPr>
                  <w:p>
                    <w:pPr>
                      <w:ind w:left="-57" w:right="-57"/>
                      <w:jc w:val="center"/>
                      <w:rPr>
                        <w:sz w:val="20"/>
                      </w:rPr>
                    </w:pPr>
                    <w:r>
                      <w:rPr>
                        <w:sz w:val="20"/>
                      </w:rPr>
                      <w:t>1</w:t>
                    </w:r>
                  </w:p>
                  <w:p>
                    <w:pPr>
                      <w:ind w:left="-57" w:right="-57"/>
                      <w:jc w:val="center"/>
                      <w:rPr>
                        <w:sz w:val="20"/>
                      </w:rPr>
                    </w:pPr>
                    <w:r>
                      <w:rPr>
                        <w:sz w:val="20"/>
                      </w:rPr>
                      <w:t>(2022 m. IV ketv.)</w:t>
                    </w:r>
                  </w:p>
                </w:tc>
                <w:tc>
                  <w:tcPr>
                    <w:tcW w:w="992" w:type="dxa"/>
                  </w:tcPr>
                  <w:p>
                    <w:pPr>
                      <w:jc w:val="center"/>
                      <w:rPr>
                        <w:sz w:val="20"/>
                      </w:rPr>
                    </w:pPr>
                    <w:r>
                      <w:rPr>
                        <w:sz w:val="20"/>
                      </w:rPr>
                      <w:t>-</w:t>
                    </w:r>
                  </w:p>
                </w:tc>
                <w:tc>
                  <w:tcPr>
                    <w:tcW w:w="1276" w:type="dxa"/>
                    <w:tcBorders>
                      <w:left w:val="single" w:sz="4" w:space="0" w:color="auto"/>
                      <w:right w:val="single" w:sz="4" w:space="0" w:color="auto"/>
                    </w:tcBorders>
                  </w:tcPr>
                  <w:p>
                    <w:pPr>
                      <w:jc w:val="center"/>
                      <w:rPr>
                        <w:sz w:val="20"/>
                      </w:rPr>
                    </w:pPr>
                    <w:r>
                      <w:rPr>
                        <w:sz w:val="20"/>
                      </w:rPr>
                      <w:t>SAM</w:t>
                    </w:r>
                  </w:p>
                </w:tc>
              </w:tr>
              <w:tr>
                <w:trPr>
                  <w:trHeight w:val="1286"/>
                </w:trPr>
                <w:tc>
                  <w:tcPr>
                    <w:tcW w:w="2410" w:type="dxa"/>
                    <w:vMerge w:val="restart"/>
                  </w:tcPr>
                  <w:p>
                    <w:pPr>
                      <w:rPr>
                        <w:sz w:val="20"/>
                      </w:rPr>
                    </w:pPr>
                    <w:r>
                      <w:rPr>
                        <w:sz w:val="20"/>
                      </w:rPr>
                      <w:t>9.2. Greitosios medicinos pagalbos automobilių, įrangos įsigijimas ir greitosios medicinos pagalbos stočių infrastruktūros pritaikymas,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Greitosios medicinos pagalbos tarnyba (toliau –GMP tarnyba)</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5 235</w:t>
                    </w:r>
                  </w:p>
                </w:tc>
                <w:tc>
                  <w:tcPr>
                    <w:tcW w:w="992" w:type="dxa"/>
                  </w:tcPr>
                  <w:p>
                    <w:pPr>
                      <w:rPr>
                        <w:sz w:val="20"/>
                      </w:rPr>
                    </w:pPr>
                    <w:r>
                      <w:rPr>
                        <w:sz w:val="20"/>
                      </w:rPr>
                      <w:t>2021–2027 m. IP (ERPF)</w:t>
                    </w:r>
                  </w:p>
                </w:tc>
                <w:tc>
                  <w:tcPr>
                    <w:tcW w:w="2551" w:type="dxa"/>
                  </w:tcPr>
                  <w:p>
                    <w:pPr>
                      <w:ind w:left="-57" w:right="-57"/>
                      <w:rPr>
                        <w:sz w:val="20"/>
                      </w:rPr>
                    </w:pPr>
                    <w:r>
                      <w:rPr>
                        <w:sz w:val="20"/>
                      </w:rPr>
                      <w:t xml:space="preserve">P – Greitosios medicinos pagalbos paslaugų infrastruktūros, kuriai skirta parama, pajėgumas, asmenys per metus </w:t>
                    </w:r>
                  </w:p>
                </w:tc>
                <w:tc>
                  <w:tcPr>
                    <w:tcW w:w="851" w:type="dxa"/>
                  </w:tcPr>
                  <w:p>
                    <w:pPr>
                      <w:ind w:left="-57" w:right="-57"/>
                      <w:jc w:val="center"/>
                      <w:rPr>
                        <w:sz w:val="20"/>
                      </w:rPr>
                    </w:pPr>
                    <w:r>
                      <w:rPr>
                        <w:sz w:val="20"/>
                      </w:rPr>
                      <w:t>790 000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93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5 235</w:t>
                    </w:r>
                  </w:p>
                </w:tc>
                <w:tc>
                  <w:tcPr>
                    <w:tcW w:w="992" w:type="dxa"/>
                    <w:vMerge w:val="restart"/>
                  </w:tcPr>
                  <w:p>
                    <w:pPr>
                      <w:rPr>
                        <w:sz w:val="20"/>
                      </w:rPr>
                    </w:pPr>
                    <w:r>
                      <w:rPr>
                        <w:sz w:val="20"/>
                      </w:rPr>
                      <w:t>2021–2027 m. IP (BF)</w:t>
                    </w:r>
                  </w:p>
                </w:tc>
                <w:tc>
                  <w:tcPr>
                    <w:tcW w:w="2551" w:type="dxa"/>
                    <w:shd w:val="clear" w:color="auto" w:fill="FFFFFF" w:themeFill="background1"/>
                  </w:tcPr>
                  <w:p>
                    <w:pPr>
                      <w:ind w:left="-57" w:right="-57"/>
                      <w:rPr>
                        <w:sz w:val="20"/>
                      </w:rPr>
                    </w:pPr>
                    <w:r>
                      <w:rPr>
                        <w:sz w:val="20"/>
                      </w:rPr>
                      <w:t xml:space="preserve">R </w:t>
                    </w:r>
                    <w:r>
                      <w:rPr>
                        <w:color w:val="000000"/>
                        <w:szCs w:val="24"/>
                      </w:rPr>
                      <w:t>–</w:t>
                    </w:r>
                    <w:r>
                      <w:rPr>
                        <w:sz w:val="20"/>
                      </w:rPr>
                      <w:t xml:space="preserve"> Greitosios medicinos pagalbos skubių įvykdytų iškvietimų paslaugų, suteiktų per 15 min. (mieste), dalis, proc. </w:t>
                    </w:r>
                  </w:p>
                </w:tc>
                <w:tc>
                  <w:tcPr>
                    <w:tcW w:w="851" w:type="dxa"/>
                    <w:shd w:val="clear" w:color="auto" w:fill="FFFFFF" w:themeFill="background1"/>
                  </w:tcPr>
                  <w:p>
                    <w:pPr>
                      <w:ind w:left="-57" w:right="-57"/>
                      <w:jc w:val="center"/>
                      <w:rPr>
                        <w:sz w:val="20"/>
                      </w:rPr>
                    </w:pPr>
                    <w:r>
                      <w:rPr>
                        <w:sz w:val="20"/>
                      </w:rPr>
                      <w:t>98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93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FFFFFF" w:themeFill="background1"/>
                  </w:tcPr>
                  <w:p>
                    <w:pPr>
                      <w:ind w:left="-57" w:right="-57"/>
                      <w:rPr>
                        <w:sz w:val="20"/>
                      </w:rPr>
                    </w:pPr>
                    <w:r>
                      <w:rPr>
                        <w:sz w:val="20"/>
                      </w:rPr>
                      <w:t xml:space="preserve">R </w:t>
                    </w:r>
                    <w:r>
                      <w:rPr>
                        <w:color w:val="000000"/>
                        <w:szCs w:val="24"/>
                      </w:rPr>
                      <w:t>–</w:t>
                    </w:r>
                    <w:r>
                      <w:rPr>
                        <w:sz w:val="20"/>
                      </w:rPr>
                      <w:t xml:space="preserve"> Greitosios medicinos pagalbos skubių įvykdytų iškvietimų paslaugų, suteiktų per 25 min. (kaime), dalis, proc. </w:t>
                    </w:r>
                  </w:p>
                </w:tc>
                <w:tc>
                  <w:tcPr>
                    <w:tcW w:w="851" w:type="dxa"/>
                    <w:shd w:val="clear" w:color="auto" w:fill="FFFFFF" w:themeFill="background1"/>
                  </w:tcPr>
                  <w:p>
                    <w:pPr>
                      <w:ind w:left="-57" w:right="-57"/>
                      <w:jc w:val="center"/>
                      <w:rPr>
                        <w:sz w:val="20"/>
                      </w:rPr>
                    </w:pPr>
                    <w:r>
                      <w:rPr>
                        <w:sz w:val="20"/>
                      </w:rPr>
                      <w:t>98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645"/>
                </w:trPr>
                <w:tc>
                  <w:tcPr>
                    <w:tcW w:w="2410" w:type="dxa"/>
                    <w:vMerge w:val="restart"/>
                  </w:tcPr>
                  <w:p>
                    <w:pPr>
                      <w:rPr>
                        <w:sz w:val="20"/>
                      </w:rPr>
                    </w:pPr>
                    <w:r>
                      <w:rPr>
                        <w:sz w:val="20"/>
                      </w:rPr>
                      <w:t>9.3. Greitosios medicinos pagalbos automobilių, įrangos įsigijimas ir greitosios medicinos pagalbos stočių infrastruktūros pritaikymas,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GMP tarnyba</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26 078</w:t>
                    </w:r>
                  </w:p>
                </w:tc>
                <w:tc>
                  <w:tcPr>
                    <w:tcW w:w="992" w:type="dxa"/>
                  </w:tcPr>
                  <w:p>
                    <w:pPr>
                      <w:rPr>
                        <w:sz w:val="20"/>
                      </w:rPr>
                    </w:pPr>
                    <w:r>
                      <w:rPr>
                        <w:sz w:val="20"/>
                      </w:rPr>
                      <w:t>2021–2027 m. IP (ERPF)</w:t>
                    </w:r>
                  </w:p>
                </w:tc>
                <w:tc>
                  <w:tcPr>
                    <w:tcW w:w="2551" w:type="dxa"/>
                  </w:tcPr>
                  <w:p>
                    <w:pPr>
                      <w:ind w:left="-57" w:right="-57"/>
                      <w:rPr>
                        <w:sz w:val="20"/>
                      </w:rPr>
                    </w:pPr>
                    <w:r>
                      <w:rPr>
                        <w:sz w:val="20"/>
                      </w:rPr>
                      <w:t xml:space="preserve">P – Greitosios medicinos pagalbos paslaugų infrastruktūros, kuriai skirta parama, pajėgumas, asmenys per metus </w:t>
                    </w:r>
                  </w:p>
                </w:tc>
                <w:tc>
                  <w:tcPr>
                    <w:tcW w:w="851" w:type="dxa"/>
                  </w:tcPr>
                  <w:p>
                    <w:pPr>
                      <w:ind w:left="-57" w:right="-57"/>
                      <w:jc w:val="center"/>
                      <w:rPr>
                        <w:sz w:val="20"/>
                      </w:rPr>
                    </w:pPr>
                    <w:r>
                      <w:rPr>
                        <w:sz w:val="20"/>
                      </w:rPr>
                      <w:t xml:space="preserve">2 000 000 </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645"/>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4 602</w:t>
                    </w:r>
                  </w:p>
                </w:tc>
                <w:tc>
                  <w:tcPr>
                    <w:tcW w:w="992" w:type="dxa"/>
                    <w:vMerge w:val="restart"/>
                  </w:tcPr>
                  <w:p>
                    <w:pPr>
                      <w:rPr>
                        <w:sz w:val="20"/>
                      </w:rPr>
                    </w:pPr>
                    <w:r>
                      <w:rPr>
                        <w:sz w:val="20"/>
                      </w:rPr>
                      <w:t>2021–2027 m. IP (BF)</w:t>
                    </w:r>
                  </w:p>
                </w:tc>
                <w:tc>
                  <w:tcPr>
                    <w:tcW w:w="2551" w:type="dxa"/>
                    <w:tcBorders>
                      <w:bottom w:val="single" w:sz="4" w:space="0" w:color="auto"/>
                    </w:tcBorders>
                  </w:tcPr>
                  <w:p>
                    <w:pPr>
                      <w:ind w:left="-57" w:right="-57"/>
                      <w:rPr>
                        <w:sz w:val="20"/>
                      </w:rPr>
                    </w:pPr>
                    <w:r>
                      <w:rPr>
                        <w:sz w:val="20"/>
                      </w:rPr>
                      <w:t xml:space="preserve">R </w:t>
                    </w:r>
                    <w:r>
                      <w:rPr>
                        <w:color w:val="000000"/>
                        <w:szCs w:val="24"/>
                      </w:rPr>
                      <w:t>–</w:t>
                    </w:r>
                    <w:r>
                      <w:rPr>
                        <w:sz w:val="20"/>
                      </w:rPr>
                      <w:t xml:space="preserve"> Greitosios medicinos pagalbos skubių įvykdytų iškvietimų paslaugų, suteiktų per 15 min. (mieste), dalis, proc. </w:t>
                    </w:r>
                  </w:p>
                </w:tc>
                <w:tc>
                  <w:tcPr>
                    <w:tcW w:w="851" w:type="dxa"/>
                  </w:tcPr>
                  <w:p>
                    <w:pPr>
                      <w:ind w:left="-57" w:right="-57"/>
                      <w:jc w:val="center"/>
                      <w:rPr>
                        <w:sz w:val="20"/>
                      </w:rPr>
                    </w:pPr>
                    <w:r>
                      <w:rPr>
                        <w:sz w:val="20"/>
                      </w:rPr>
                      <w:t>98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FFFFFF" w:themeFill="background1"/>
                  </w:tcPr>
                  <w:p>
                    <w:pPr>
                      <w:ind w:left="-57" w:right="-57"/>
                      <w:rPr>
                        <w:sz w:val="20"/>
                      </w:rPr>
                    </w:pPr>
                    <w:r>
                      <w:rPr>
                        <w:sz w:val="20"/>
                      </w:rPr>
                      <w:t xml:space="preserve">R </w:t>
                    </w:r>
                    <w:r>
                      <w:rPr>
                        <w:color w:val="000000"/>
                        <w:szCs w:val="24"/>
                      </w:rPr>
                      <w:t>–</w:t>
                    </w:r>
                    <w:r>
                      <w:rPr>
                        <w:sz w:val="20"/>
                      </w:rPr>
                      <w:t xml:space="preserve"> Greitosios medicinos pagalbos skubių įvykdytų iškvietimų paslaugų, suteiktų per 25 min. (kaime), dalis, proc. </w:t>
                    </w:r>
                  </w:p>
                </w:tc>
                <w:tc>
                  <w:tcPr>
                    <w:tcW w:w="851" w:type="dxa"/>
                    <w:shd w:val="clear" w:color="auto" w:fill="FFFFFF" w:themeFill="background1"/>
                  </w:tcPr>
                  <w:p>
                    <w:pPr>
                      <w:ind w:left="-57" w:right="-57"/>
                      <w:jc w:val="center"/>
                      <w:rPr>
                        <w:sz w:val="20"/>
                      </w:rPr>
                    </w:pPr>
                    <w:r>
                      <w:rPr>
                        <w:sz w:val="20"/>
                      </w:rPr>
                      <w:t>98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shd w:val="clear" w:color="auto" w:fill="F2F2F2" w:themeFill="background1" w:themeFillShade="F2"/>
                  </w:tcPr>
                  <w:p>
                    <w:pPr>
                      <w:tabs>
                        <w:tab w:val="left" w:pos="860"/>
                      </w:tabs>
                      <w:rPr>
                        <w:sz w:val="20"/>
                      </w:rPr>
                    </w:pPr>
                    <w:r>
                      <w:rPr>
                        <w:b/>
                        <w:bCs/>
                        <w:sz w:val="20"/>
                      </w:rPr>
                      <w:t>10.</w:t>
                    </w:r>
                    <w:r>
                      <w:rPr>
                        <w:sz w:val="20"/>
                      </w:rPr>
                      <w:t xml:space="preserve"> </w:t>
                    </w:r>
                    <w:r>
                      <w:rPr>
                        <w:b/>
                        <w:sz w:val="20"/>
                      </w:rPr>
                      <w:t>Sveikatos priežiūros specialistų pasiūlos užtikrinimas</w:t>
                    </w:r>
                  </w:p>
                </w:tc>
                <w:tc>
                  <w:tcPr>
                    <w:tcW w:w="709" w:type="dxa"/>
                    <w:vMerge w:val="restart"/>
                    <w:shd w:val="clear" w:color="auto" w:fill="F2F2F2" w:themeFill="background1" w:themeFillShade="F2"/>
                  </w:tcPr>
                  <w:p>
                    <w:pPr>
                      <w:rPr>
                        <w:sz w:val="20"/>
                      </w:rPr>
                    </w:pPr>
                    <w:r>
                      <w:rPr>
                        <w:sz w:val="20"/>
                      </w:rPr>
                      <w:t>-</w:t>
                    </w:r>
                  </w:p>
                </w:tc>
                <w:tc>
                  <w:tcPr>
                    <w:tcW w:w="1559"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b/>
                        <w:bCs/>
                        <w:sz w:val="20"/>
                        <w:lang w:val="en-US"/>
                      </w:rPr>
                    </w:pPr>
                    <w:r>
                      <w:rPr>
                        <w:b/>
                        <w:bCs/>
                        <w:sz w:val="20"/>
                        <w:lang w:val="en-US"/>
                      </w:rPr>
                      <w:t>30 786,642</w:t>
                    </w:r>
                  </w:p>
                  <w:p>
                    <w:pPr>
                      <w:rPr>
                        <w:b/>
                        <w:bCs/>
                        <w:sz w:val="20"/>
                      </w:rPr>
                    </w:pPr>
                  </w:p>
                </w:tc>
                <w:tc>
                  <w:tcPr>
                    <w:tcW w:w="992" w:type="dxa"/>
                    <w:shd w:val="clear" w:color="auto" w:fill="F2F2F2" w:themeFill="background1" w:themeFillShade="F2"/>
                  </w:tcPr>
                  <w:p>
                    <w:pPr>
                      <w:rPr>
                        <w:sz w:val="20"/>
                      </w:rPr>
                    </w:pPr>
                    <w:r>
                      <w:rPr>
                        <w:sz w:val="20"/>
                      </w:rPr>
                      <w:t>-</w:t>
                    </w:r>
                  </w:p>
                </w:tc>
                <w:tc>
                  <w:tcPr>
                    <w:tcW w:w="2551" w:type="dxa"/>
                    <w:vMerge w:val="restart"/>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Gyventojų, dėl laukimo laiko (ilgų eilių) atidėjusių kreipimąsi dėl sveikatos priežiūros paslaugų, dalis, proc.</w:t>
                    </w:r>
                  </w:p>
                </w:tc>
                <w:tc>
                  <w:tcPr>
                    <w:tcW w:w="851" w:type="dxa"/>
                    <w:vMerge w:val="restart"/>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(2030 m.)</w:t>
                    </w:r>
                  </w:p>
                </w:tc>
                <w:tc>
                  <w:tcPr>
                    <w:tcW w:w="992" w:type="dxa"/>
                    <w:vMerge w:val="restart"/>
                    <w:shd w:val="clear" w:color="auto" w:fill="F2F2F2" w:themeFill="background1" w:themeFillShade="F2"/>
                  </w:tcPr>
                  <w:p>
                    <w:pPr>
                      <w:rPr>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CCC0D9" w:themeFill="accent4" w:themeFillTint="66"/>
                  </w:tcPr>
                  <w:p>
                    <w:pPr>
                      <w:tabs>
                        <w:tab w:val="left" w:pos="860"/>
                      </w:tabs>
                      <w:rPr>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rPr>
                    </w:pPr>
                    <w:r>
                      <w:rPr>
                        <w:sz w:val="20"/>
                      </w:rPr>
                      <w:t>26 168,646</w:t>
                    </w:r>
                  </w:p>
                </w:tc>
                <w:tc>
                  <w:tcPr>
                    <w:tcW w:w="992" w:type="dxa"/>
                    <w:shd w:val="clear" w:color="auto" w:fill="F2F2F2" w:themeFill="background1" w:themeFillShade="F2"/>
                  </w:tcPr>
                  <w:p>
                    <w:pPr>
                      <w:rPr>
                        <w:sz w:val="20"/>
                      </w:rPr>
                    </w:pPr>
                    <w:r>
                      <w:rPr>
                        <w:sz w:val="20"/>
                      </w:rPr>
                      <w:t>2021–2027 m. IP (ESF+, VVL regionas)</w:t>
                    </w:r>
                  </w:p>
                </w:tc>
                <w:tc>
                  <w:tcPr>
                    <w:tcW w:w="2551" w:type="dxa"/>
                    <w:vMerge/>
                    <w:shd w:val="clear" w:color="auto" w:fill="CCC0D9" w:themeFill="accent4" w:themeFillTint="66"/>
                  </w:tcPr>
                  <w:p>
                    <w:pPr>
                      <w:ind w:left="-57" w:right="-57"/>
                      <w:rPr>
                        <w:sz w:val="20"/>
                      </w:rPr>
                    </w:pPr>
                  </w:p>
                </w:tc>
                <w:tc>
                  <w:tcPr>
                    <w:tcW w:w="851" w:type="dxa"/>
                    <w:vMerge/>
                    <w:shd w:val="clear" w:color="auto" w:fill="CCC0D9" w:themeFill="accent4" w:themeFillTint="66"/>
                  </w:tcPr>
                  <w:p>
                    <w:pPr>
                      <w:ind w:left="-57" w:right="-57"/>
                      <w:jc w:val="center"/>
                      <w:rPr>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CCC0D9" w:themeFill="accent4" w:themeFillTint="66"/>
                  </w:tcPr>
                  <w:p>
                    <w:pPr>
                      <w:tabs>
                        <w:tab w:val="left" w:pos="860"/>
                      </w:tabs>
                      <w:rPr>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trike/>
                        <w:sz w:val="20"/>
                      </w:rPr>
                    </w:pPr>
                  </w:p>
                  <w:p>
                    <w:pPr>
                      <w:rPr>
                        <w:sz w:val="20"/>
                        <w:lang w:val="en-US"/>
                      </w:rPr>
                    </w:pPr>
                    <w:r>
                      <w:rPr>
                        <w:sz w:val="20"/>
                      </w:rPr>
                      <w:t>4 617,996</w:t>
                    </w:r>
                  </w:p>
                </w:tc>
                <w:tc>
                  <w:tcPr>
                    <w:tcW w:w="992" w:type="dxa"/>
                    <w:shd w:val="clear" w:color="auto" w:fill="F2F2F2" w:themeFill="background1" w:themeFillShade="F2"/>
                  </w:tcPr>
                  <w:p>
                    <w:pPr>
                      <w:rPr>
                        <w:sz w:val="20"/>
                      </w:rPr>
                    </w:pPr>
                    <w:r>
                      <w:rPr>
                        <w:sz w:val="20"/>
                      </w:rPr>
                      <w:t>2021–2027 m. IP (BF, VVL regionas)</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963"/>
                </w:trPr>
                <w:tc>
                  <w:tcPr>
                    <w:tcW w:w="2410" w:type="dxa"/>
                    <w:vMerge w:val="restart"/>
                    <w:shd w:val="clear" w:color="auto" w:fill="auto"/>
                  </w:tcPr>
                  <w:p>
                    <w:pPr>
                      <w:rPr>
                        <w:sz w:val="20"/>
                      </w:rPr>
                    </w:pPr>
                    <w:r>
                      <w:rPr>
                        <w:sz w:val="20"/>
                      </w:rPr>
                      <w:t>10.1. Sveikatos žmogiškųjų išteklių valdymo efektyvumo didinimas,</w:t>
                    </w:r>
                    <w:r>
                      <w:t xml:space="preserve"> </w:t>
                    </w:r>
                    <w:r>
                      <w:rPr>
                        <w:sz w:val="20"/>
                      </w:rPr>
                      <w:t xml:space="preserve">Vidurio ir vakarų Lietuvos regionas </w:t>
                    </w:r>
                  </w:p>
                </w:tc>
                <w:tc>
                  <w:tcPr>
                    <w:tcW w:w="709" w:type="dxa"/>
                    <w:vMerge w:val="restart"/>
                    <w:shd w:val="clear" w:color="auto" w:fill="auto"/>
                  </w:tcPr>
                  <w:p>
                    <w:pPr>
                      <w:rPr>
                        <w:sz w:val="20"/>
                      </w:rPr>
                    </w:pPr>
                    <w:r>
                      <w:rPr>
                        <w:sz w:val="20"/>
                      </w:rPr>
                      <w:t>M</w:t>
                    </w:r>
                  </w:p>
                  <w:p>
                    <w:pPr>
                      <w:rPr>
                        <w:sz w:val="20"/>
                      </w:rPr>
                    </w:pPr>
                  </w:p>
                </w:tc>
                <w:tc>
                  <w:tcPr>
                    <w:tcW w:w="1559" w:type="dxa"/>
                    <w:vMerge w:val="restart"/>
                    <w:shd w:val="clear" w:color="auto" w:fill="auto"/>
                  </w:tcPr>
                  <w:p>
                    <w:pPr>
                      <w:rPr>
                        <w:sz w:val="20"/>
                      </w:rPr>
                    </w:pPr>
                    <w:r>
                      <w:rPr>
                        <w:sz w:val="20"/>
                      </w:rPr>
                      <w:t>SAM</w:t>
                    </w:r>
                  </w:p>
                  <w:p>
                    <w:pPr>
                      <w:rPr>
                        <w:sz w:val="20"/>
                      </w:rPr>
                    </w:pPr>
                  </w:p>
                </w:tc>
                <w:tc>
                  <w:tcPr>
                    <w:tcW w:w="709" w:type="dxa"/>
                    <w:vMerge w:val="restart"/>
                    <w:shd w:val="clear" w:color="auto" w:fill="auto"/>
                  </w:tcPr>
                  <w:p>
                    <w:pPr>
                      <w:rPr>
                        <w:sz w:val="20"/>
                      </w:rPr>
                    </w:pPr>
                    <w:r>
                      <w:rPr>
                        <w:sz w:val="20"/>
                      </w:rPr>
                      <w:t>P</w:t>
                    </w:r>
                  </w:p>
                  <w:p>
                    <w:pPr>
                      <w:rPr>
                        <w:sz w:val="20"/>
                      </w:rPr>
                    </w:pPr>
                  </w:p>
                </w:tc>
                <w:tc>
                  <w:tcPr>
                    <w:tcW w:w="992" w:type="dxa"/>
                    <w:vMerge w:val="restart"/>
                    <w:shd w:val="clear" w:color="auto" w:fill="auto"/>
                  </w:tcPr>
                  <w:p>
                    <w:pPr>
                      <w:rPr>
                        <w:sz w:val="20"/>
                      </w:rPr>
                    </w:pPr>
                    <w:r>
                      <w:rPr>
                        <w:sz w:val="20"/>
                      </w:rPr>
                      <w:t>Taip</w:t>
                    </w:r>
                  </w:p>
                </w:tc>
                <w:tc>
                  <w:tcPr>
                    <w:tcW w:w="709" w:type="dxa"/>
                    <w:vMerge w:val="restart"/>
                    <w:shd w:val="clear" w:color="auto" w:fill="auto"/>
                  </w:tcPr>
                  <w:p>
                    <w:pPr>
                      <w:rPr>
                        <w:sz w:val="20"/>
                      </w:rPr>
                    </w:pPr>
                    <w:r>
                      <w:rPr>
                        <w:sz w:val="20"/>
                      </w:rPr>
                      <w:t>D</w:t>
                    </w:r>
                  </w:p>
                </w:tc>
                <w:tc>
                  <w:tcPr>
                    <w:tcW w:w="1276" w:type="dxa"/>
                    <w:shd w:val="clear" w:color="auto" w:fill="auto"/>
                  </w:tcPr>
                  <w:p>
                    <w:pPr>
                      <w:rPr>
                        <w:sz w:val="20"/>
                        <w:lang w:val="en-US"/>
                      </w:rPr>
                    </w:pPr>
                    <w:r>
                      <w:rPr>
                        <w:sz w:val="20"/>
                        <w:lang w:val="en-US"/>
                      </w:rPr>
                      <w:t>467,50</w:t>
                    </w:r>
                  </w:p>
                  <w:p>
                    <w:pPr>
                      <w:rPr>
                        <w:sz w:val="20"/>
                        <w:lang w:val="en-US"/>
                      </w:rPr>
                    </w:pPr>
                  </w:p>
                  <w:p>
                    <w:pPr>
                      <w:rPr>
                        <w:sz w:val="20"/>
                        <w:lang w:val="en-US"/>
                      </w:rPr>
                    </w:pPr>
                  </w:p>
                  <w:p>
                    <w:pPr>
                      <w:rPr>
                        <w:sz w:val="20"/>
                        <w:lang w:val="en-US"/>
                      </w:rPr>
                    </w:pPr>
                  </w:p>
                </w:tc>
                <w:tc>
                  <w:tcPr>
                    <w:tcW w:w="992" w:type="dxa"/>
                    <w:shd w:val="clear" w:color="auto" w:fill="auto"/>
                  </w:tcPr>
                  <w:p>
                    <w:pPr>
                      <w:rPr>
                        <w:sz w:val="20"/>
                      </w:rPr>
                    </w:pPr>
                    <w:r>
                      <w:rPr>
                        <w:sz w:val="20"/>
                      </w:rPr>
                      <w:t>2021–2027 m. IP (ESF+)</w:t>
                    </w:r>
                  </w:p>
                  <w:p>
                    <w:pPr>
                      <w:rPr>
                        <w:sz w:val="20"/>
                      </w:rPr>
                    </w:pPr>
                  </w:p>
                </w:tc>
                <w:tc>
                  <w:tcPr>
                    <w:tcW w:w="2551" w:type="dxa"/>
                    <w:vMerge w:val="restart"/>
                    <w:shd w:val="clear" w:color="auto" w:fill="auto"/>
                  </w:tcPr>
                  <w:p>
                    <w:pPr>
                      <w:ind w:left="-57" w:right="-57"/>
                      <w:rPr>
                        <w:sz w:val="20"/>
                      </w:rPr>
                    </w:pPr>
                    <w:r>
                      <w:rPr>
                        <w:sz w:val="20"/>
                      </w:rPr>
                      <w:t>P – Paramą gavusių nacionalinio, regionų ar vietos lygmens viešojo administravimo ar viešąsias paslaugas teikiančių įstaigų skaičius, subjektų skaičius</w:t>
                    </w:r>
                  </w:p>
                </w:tc>
                <w:tc>
                  <w:tcPr>
                    <w:tcW w:w="851" w:type="dxa"/>
                    <w:vMerge w:val="restart"/>
                    <w:shd w:val="clear" w:color="auto" w:fill="auto"/>
                  </w:tcPr>
                  <w:p>
                    <w:pPr>
                      <w:ind w:left="-57" w:right="-57"/>
                      <w:jc w:val="center"/>
                      <w:rPr>
                        <w:sz w:val="20"/>
                      </w:rPr>
                    </w:pPr>
                    <w:r>
                      <w:rPr>
                        <w:sz w:val="20"/>
                      </w:rPr>
                      <w:t>1</w:t>
                    </w:r>
                  </w:p>
                  <w:p>
                    <w:pPr>
                      <w:ind w:left="-57" w:right="-57"/>
                      <w:jc w:val="center"/>
                      <w:rPr>
                        <w:sz w:val="20"/>
                      </w:rPr>
                    </w:pPr>
                    <w:r>
                      <w:rPr>
                        <w:sz w:val="20"/>
                      </w:rPr>
                      <w:t>(2029 m.)</w:t>
                    </w: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rPr>
                        <w:sz w:val="20"/>
                      </w:rPr>
                    </w:pPr>
                  </w:p>
                </w:tc>
              </w:tr>
              <w:tr>
                <w:trPr>
                  <w:trHeight w:val="329"/>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val="restart"/>
                    <w:shd w:val="clear" w:color="auto" w:fill="auto"/>
                  </w:tcPr>
                  <w:p>
                    <w:pPr>
                      <w:rPr>
                        <w:sz w:val="20"/>
                        <w:lang w:val="en-US"/>
                      </w:rPr>
                    </w:pPr>
                    <w:r>
                      <w:rPr>
                        <w:sz w:val="20"/>
                        <w:lang w:val="en-US"/>
                      </w:rPr>
                      <w:t>82,50</w:t>
                    </w:r>
                  </w:p>
                </w:tc>
                <w:tc>
                  <w:tcPr>
                    <w:tcW w:w="992" w:type="dxa"/>
                    <w:vMerge w:val="restart"/>
                    <w:shd w:val="clear" w:color="auto" w:fill="auto"/>
                  </w:tcPr>
                  <w:p>
                    <w:pPr>
                      <w:rPr>
                        <w:sz w:val="20"/>
                      </w:rPr>
                    </w:pPr>
                    <w:r>
                      <w:rPr>
                        <w:sz w:val="20"/>
                      </w:rPr>
                      <w:t xml:space="preserve">2021–2027 m.  IP (BF)</w:t>
                    </w:r>
                  </w:p>
                  <w:p>
                    <w:pPr>
                      <w:rPr>
                        <w:sz w:val="20"/>
                      </w:rPr>
                    </w:pPr>
                  </w:p>
                </w:tc>
                <w:tc>
                  <w:tcPr>
                    <w:tcW w:w="2551" w:type="dxa"/>
                    <w:vMerge/>
                    <w:shd w:val="clear" w:color="auto" w:fill="auto"/>
                  </w:tcPr>
                  <w:p>
                    <w:pPr>
                      <w:ind w:left="-57" w:right="-57"/>
                      <w:jc w:val="both"/>
                      <w:rPr>
                        <w:sz w:val="20"/>
                      </w:rPr>
                    </w:pPr>
                  </w:p>
                </w:tc>
                <w:tc>
                  <w:tcPr>
                    <w:tcW w:w="851" w:type="dxa"/>
                    <w:vMerge/>
                    <w:shd w:val="clear" w:color="auto" w:fill="auto"/>
                  </w:tcPr>
                  <w:p>
                    <w:pPr>
                      <w:ind w:left="-57" w:right="-57"/>
                      <w:jc w:val="center"/>
                      <w:rPr>
                        <w:sz w:val="20"/>
                      </w:rPr>
                    </w:pP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tcPr>
                  <w:p>
                    <w:pPr>
                      <w:jc w:val="center"/>
                      <w:rPr>
                        <w:sz w:val="20"/>
                      </w:rPr>
                    </w:pPr>
                  </w:p>
                </w:tc>
              </w:tr>
              <w:tr>
                <w:trPr>
                  <w:trHeight w:val="987"/>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lang w:val="en-US"/>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P – Parengta ir patvirtinta ilgalaikė sveikatos žmogiškųjų išteklių valdymo strategija, vnt.</w:t>
                    </w:r>
                  </w:p>
                </w:tc>
                <w:tc>
                  <w:tcPr>
                    <w:tcW w:w="851" w:type="dxa"/>
                    <w:shd w:val="clear" w:color="auto" w:fill="auto"/>
                  </w:tcPr>
                  <w:p>
                    <w:pPr>
                      <w:jc w:val="center"/>
                      <w:rPr>
                        <w:sz w:val="20"/>
                      </w:rPr>
                    </w:pPr>
                    <w:r>
                      <w:rPr>
                        <w:sz w:val="20"/>
                      </w:rPr>
                      <w:t>1</w:t>
                    </w:r>
                  </w:p>
                  <w:p>
                    <w:pPr>
                      <w:ind w:left="-57" w:right="-57" w:firstLine="53"/>
                      <w:jc w:val="center"/>
                      <w:rPr>
                        <w:sz w:val="20"/>
                      </w:rPr>
                    </w:pPr>
                    <w:r>
                      <w:rPr>
                        <w:sz w:val="20"/>
                      </w:rPr>
                      <w:t>(2024 m.)</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tcPr>
                  <w:p>
                    <w:pPr>
                      <w:jc w:val="center"/>
                      <w:rPr>
                        <w:sz w:val="20"/>
                      </w:rPr>
                    </w:pPr>
                  </w:p>
                </w:tc>
              </w:tr>
              <w:tr>
                <w:trPr>
                  <w:trHeight w:val="1509"/>
                </w:trPr>
                <w:tc>
                  <w:tcPr>
                    <w:tcW w:w="2410" w:type="dxa"/>
                    <w:vMerge w:val="restart"/>
                    <w:tcBorders>
                      <w:bottom w:val="single" w:sz="4" w:space="0" w:color="auto"/>
                    </w:tcBorders>
                    <w:shd w:val="clear" w:color="auto" w:fill="auto"/>
                  </w:tcPr>
                  <w:p>
                    <w:pPr>
                      <w:rPr>
                        <w:sz w:val="20"/>
                      </w:rPr>
                    </w:pPr>
                    <w:r>
                      <w:rPr>
                        <w:sz w:val="20"/>
                      </w:rPr>
                      <w:t>10.2. Sveikatos priežiūros specialistų įgalinimo, pritraukimo ir išlaikymo sveikatos priežiūros įstaigoje modelio kūrimas ir diegimas, Vidurio ir vakarų Lietuvos regionas</w:t>
                    </w:r>
                  </w:p>
                </w:tc>
                <w:tc>
                  <w:tcPr>
                    <w:tcW w:w="709" w:type="dxa"/>
                    <w:vMerge w:val="restart"/>
                    <w:tcBorders>
                      <w:bottom w:val="single" w:sz="4" w:space="0" w:color="auto"/>
                    </w:tcBorders>
                    <w:shd w:val="clear" w:color="auto" w:fill="auto"/>
                  </w:tcPr>
                  <w:p>
                    <w:pPr>
                      <w:rPr>
                        <w:sz w:val="20"/>
                      </w:rPr>
                    </w:pPr>
                    <w:r>
                      <w:rPr>
                        <w:sz w:val="20"/>
                      </w:rPr>
                      <w:t>I</w:t>
                    </w:r>
                  </w:p>
                </w:tc>
                <w:tc>
                  <w:tcPr>
                    <w:tcW w:w="1559" w:type="dxa"/>
                    <w:vMerge w:val="restart"/>
                    <w:tcBorders>
                      <w:bottom w:val="single" w:sz="4" w:space="0" w:color="auto"/>
                    </w:tcBorders>
                    <w:shd w:val="clear" w:color="auto" w:fill="auto"/>
                  </w:tcPr>
                  <w:p>
                    <w:pPr>
                      <w:rPr>
                        <w:sz w:val="20"/>
                      </w:rPr>
                    </w:pPr>
                    <w:r>
                      <w:rPr>
                        <w:sz w:val="20"/>
                      </w:rPr>
                      <w:t>SAM</w:t>
                    </w:r>
                  </w:p>
                </w:tc>
                <w:tc>
                  <w:tcPr>
                    <w:tcW w:w="709" w:type="dxa"/>
                    <w:vMerge w:val="restart"/>
                    <w:tcBorders>
                      <w:bottom w:val="single" w:sz="4" w:space="0" w:color="auto"/>
                    </w:tcBorders>
                    <w:shd w:val="clear" w:color="auto" w:fill="auto"/>
                  </w:tcPr>
                  <w:p>
                    <w:pPr>
                      <w:rPr>
                        <w:sz w:val="20"/>
                      </w:rPr>
                    </w:pPr>
                    <w:r>
                      <w:rPr>
                        <w:sz w:val="20"/>
                      </w:rPr>
                      <w:t>P</w:t>
                    </w:r>
                  </w:p>
                </w:tc>
                <w:tc>
                  <w:tcPr>
                    <w:tcW w:w="992" w:type="dxa"/>
                    <w:vMerge w:val="restart"/>
                    <w:tcBorders>
                      <w:bottom w:val="single" w:sz="4" w:space="0" w:color="auto"/>
                    </w:tcBorders>
                    <w:shd w:val="clear" w:color="auto" w:fill="auto"/>
                  </w:tcPr>
                  <w:p>
                    <w:pPr>
                      <w:rPr>
                        <w:sz w:val="20"/>
                      </w:rPr>
                    </w:pPr>
                    <w:r>
                      <w:rPr>
                        <w:sz w:val="20"/>
                      </w:rPr>
                      <w:t>Taip</w:t>
                    </w:r>
                  </w:p>
                </w:tc>
                <w:tc>
                  <w:tcPr>
                    <w:tcW w:w="709" w:type="dxa"/>
                    <w:vMerge w:val="restart"/>
                    <w:tcBorders>
                      <w:bottom w:val="single" w:sz="4" w:space="0" w:color="auto"/>
                    </w:tcBorders>
                    <w:shd w:val="clear" w:color="auto" w:fill="auto"/>
                  </w:tcPr>
                  <w:p>
                    <w:pPr>
                      <w:rPr>
                        <w:sz w:val="20"/>
                      </w:rPr>
                    </w:pPr>
                    <w:r>
                      <w:rPr>
                        <w:sz w:val="20"/>
                      </w:rPr>
                      <w:t>D</w:t>
                    </w:r>
                  </w:p>
                </w:tc>
                <w:tc>
                  <w:tcPr>
                    <w:tcW w:w="1276" w:type="dxa"/>
                    <w:vMerge w:val="restart"/>
                    <w:tcBorders>
                      <w:bottom w:val="single" w:sz="4" w:space="0" w:color="auto"/>
                    </w:tcBorders>
                    <w:shd w:val="clear" w:color="auto" w:fill="auto"/>
                  </w:tcPr>
                  <w:p>
                    <w:pPr>
                      <w:rPr>
                        <w:sz w:val="20"/>
                        <w:lang w:val="en-US"/>
                      </w:rPr>
                    </w:pPr>
                    <w:r>
                      <w:rPr>
                        <w:sz w:val="20"/>
                        <w:lang w:val="en-US"/>
                      </w:rPr>
                      <w:t xml:space="preserve">1 880,455 </w:t>
                    </w:r>
                  </w:p>
                  <w:p>
                    <w:pPr>
                      <w:rPr>
                        <w:sz w:val="20"/>
                        <w:lang w:val="en-US"/>
                      </w:rPr>
                    </w:pPr>
                  </w:p>
                  <w:p>
                    <w:pPr>
                      <w:rPr>
                        <w:sz w:val="20"/>
                        <w:lang w:val="en-US"/>
                      </w:rPr>
                    </w:pPr>
                  </w:p>
                  <w:p>
                    <w:pPr>
                      <w:rPr>
                        <w:sz w:val="20"/>
                        <w:lang w:val="en-US"/>
                      </w:rPr>
                    </w:pPr>
                  </w:p>
                  <w:p>
                    <w:pPr>
                      <w:rPr>
                        <w:sz w:val="20"/>
                        <w:lang w:val="en-US"/>
                      </w:rPr>
                    </w:pPr>
                  </w:p>
                  <w:p>
                    <w:pPr>
                      <w:rPr>
                        <w:sz w:val="20"/>
                        <w:lang w:val="en-US"/>
                      </w:rPr>
                    </w:pPr>
                    <w:r>
                      <w:rPr>
                        <w:sz w:val="20"/>
                        <w:lang w:val="en-US"/>
                      </w:rPr>
                      <w:t>331,845</w:t>
                    </w:r>
                  </w:p>
                  <w:p>
                    <w:pPr>
                      <w:rPr>
                        <w:sz w:val="20"/>
                        <w:lang w:val="en-US"/>
                      </w:rPr>
                    </w:pPr>
                  </w:p>
                  <w:p>
                    <w:pPr>
                      <w:rPr>
                        <w:sz w:val="20"/>
                        <w:lang w:val="en-US"/>
                      </w:rPr>
                    </w:pPr>
                  </w:p>
                </w:tc>
                <w:tc>
                  <w:tcPr>
                    <w:tcW w:w="992" w:type="dxa"/>
                    <w:vMerge w:val="restart"/>
                    <w:tcBorders>
                      <w:bottom w:val="single" w:sz="4" w:space="0" w:color="auto"/>
                    </w:tcBorders>
                    <w:shd w:val="clear" w:color="auto" w:fill="auto"/>
                  </w:tcPr>
                  <w:p>
                    <w:pPr>
                      <w:rPr>
                        <w:sz w:val="20"/>
                      </w:rPr>
                    </w:pPr>
                    <w:r>
                      <w:rPr>
                        <w:sz w:val="20"/>
                      </w:rPr>
                      <w:t xml:space="preserve">2021–2027 m. IP (ESF+) </w:t>
                    </w:r>
                  </w:p>
                  <w:p>
                    <w:pPr>
                      <w:rPr>
                        <w:sz w:val="20"/>
                      </w:rPr>
                    </w:pPr>
                  </w:p>
                  <w:p>
                    <w:pPr>
                      <w:rPr>
                        <w:sz w:val="20"/>
                      </w:rPr>
                    </w:pPr>
                    <w:r>
                      <w:rPr>
                        <w:sz w:val="20"/>
                      </w:rPr>
                      <w:t>2021–2027 m. IP (BF)</w:t>
                    </w:r>
                  </w:p>
                  <w:p>
                    <w:pPr>
                      <w:rPr>
                        <w:sz w:val="20"/>
                      </w:rPr>
                    </w:pPr>
                  </w:p>
                  <w:p>
                    <w:pPr>
                      <w:rPr>
                        <w:sz w:val="20"/>
                      </w:rPr>
                    </w:pPr>
                  </w:p>
                </w:tc>
                <w:tc>
                  <w:tcPr>
                    <w:tcW w:w="2551" w:type="dxa"/>
                    <w:tcBorders>
                      <w:bottom w:val="single" w:sz="4" w:space="0" w:color="auto"/>
                    </w:tcBorders>
                    <w:shd w:val="clear" w:color="auto" w:fill="auto"/>
                  </w:tcPr>
                  <w:p>
                    <w:pPr>
                      <w:ind w:left="-57" w:right="-57"/>
                      <w:rPr>
                        <w:sz w:val="20"/>
                      </w:rPr>
                    </w:pPr>
                    <w:r>
                      <w:rPr>
                        <w:sz w:val="20"/>
                      </w:rPr>
                      <w:t xml:space="preserve">P </w:t>
                    </w:r>
                    <w:r>
                      <w:rPr>
                        <w:color w:val="000000"/>
                        <w:szCs w:val="24"/>
                      </w:rPr>
                      <w:t>–</w:t>
                    </w:r>
                    <w:r>
                      <w:rPr>
                        <w:sz w:val="20"/>
                      </w:rPr>
                      <w:t xml:space="preserve"> Sveikatos priežiūros įstaigos, įgyvendinusios sveikatos priežiūros specialistų įgalinimo, pritraukimo ir išlaikymo projektus, skaičius </w:t>
                    </w:r>
                  </w:p>
                </w:tc>
                <w:tc>
                  <w:tcPr>
                    <w:tcW w:w="851" w:type="dxa"/>
                    <w:tcBorders>
                      <w:bottom w:val="single" w:sz="4" w:space="0" w:color="auto"/>
                    </w:tcBorders>
                    <w:shd w:val="clear" w:color="auto" w:fill="auto"/>
                  </w:tcPr>
                  <w:p>
                    <w:pPr>
                      <w:tabs>
                        <w:tab w:val="left" w:pos="184"/>
                        <w:tab w:val="center" w:pos="317"/>
                      </w:tabs>
                      <w:ind w:left="-57" w:right="-57"/>
                      <w:jc w:val="center"/>
                      <w:rPr>
                        <w:sz w:val="20"/>
                        <w:lang w:val="en-US"/>
                      </w:rPr>
                    </w:pPr>
                    <w:r>
                      <w:rPr>
                        <w:sz w:val="20"/>
                      </w:rPr>
                      <w:t>6</w:t>
                    </w:r>
                  </w:p>
                  <w:p>
                    <w:pPr>
                      <w:ind w:left="-57" w:right="-57"/>
                      <w:jc w:val="center"/>
                      <w:rPr>
                        <w:sz w:val="20"/>
                      </w:rPr>
                    </w:pPr>
                    <w:r>
                      <w:rPr>
                        <w:sz w:val="20"/>
                      </w:rPr>
                      <w:t>(2029 m.)</w:t>
                    </w:r>
                  </w:p>
                </w:tc>
                <w:tc>
                  <w:tcPr>
                    <w:tcW w:w="992" w:type="dxa"/>
                    <w:vMerge w:val="restart"/>
                    <w:tcBorders>
                      <w:bottom w:val="single" w:sz="4" w:space="0" w:color="auto"/>
                    </w:tcBorders>
                    <w:shd w:val="clear" w:color="auto" w:fill="auto"/>
                  </w:tcPr>
                  <w:p>
                    <w:pPr>
                      <w:rPr>
                        <w:sz w:val="20"/>
                      </w:rPr>
                    </w:pPr>
                    <w:r>
                      <w:rPr>
                        <w:sz w:val="20"/>
                      </w:rPr>
                      <w:t>CPVA</w:t>
                    </w:r>
                  </w:p>
                  <w:p>
                    <w:pPr>
                      <w:rPr>
                        <w:sz w:val="20"/>
                      </w:rPr>
                    </w:pPr>
                  </w:p>
                </w:tc>
                <w:tc>
                  <w:tcPr>
                    <w:tcW w:w="1276" w:type="dxa"/>
                    <w:vMerge w:val="restart"/>
                    <w:tcBorders>
                      <w:left w:val="single" w:sz="4" w:space="0" w:color="auto"/>
                      <w:bottom w:val="single" w:sz="4" w:space="0" w:color="auto"/>
                      <w:right w:val="single" w:sz="4" w:space="0" w:color="auto"/>
                    </w:tcBorders>
                    <w:shd w:val="clear" w:color="auto" w:fill="auto"/>
                  </w:tcPr>
                  <w:p>
                    <w:pPr>
                      <w:jc w:val="center"/>
                      <w:rPr>
                        <w:sz w:val="20"/>
                      </w:rPr>
                    </w:pPr>
                    <w:r>
                      <w:rPr>
                        <w:sz w:val="20"/>
                      </w:rPr>
                      <w:t>SAM</w:t>
                    </w:r>
                  </w:p>
                </w:tc>
              </w:tr>
              <w:tr>
                <w:trPr>
                  <w:trHeight w:val="1306"/>
                </w:trPr>
                <w:tc>
                  <w:tcPr>
                    <w:tcW w:w="2410"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vMerge/>
                    <w:shd w:val="clear" w:color="auto" w:fill="CCC0D9" w:themeFill="accent4" w:themeFillTint="66"/>
                  </w:tcPr>
                  <w:p>
                    <w:pPr>
                      <w:rPr>
                        <w:sz w:val="20"/>
                        <w:lang w:val="en-US"/>
                      </w:rPr>
                    </w:pPr>
                  </w:p>
                </w:tc>
                <w:tc>
                  <w:tcPr>
                    <w:tcW w:w="992" w:type="dxa"/>
                    <w:vMerge/>
                    <w:shd w:val="clear" w:color="auto" w:fill="CCC0D9" w:themeFill="accent4" w:themeFillTint="66"/>
                  </w:tcPr>
                  <w:p>
                    <w:pPr>
                      <w:rPr>
                        <w:sz w:val="20"/>
                      </w:rPr>
                    </w:pP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Sveikatos priežiūros specialistų, kurie po dalyvavimo veiklose mažiausiai 2 metus dirbo sveikatos priežiūros įstaigose, dalis, proc.</w:t>
                    </w:r>
                  </w:p>
                </w:tc>
                <w:tc>
                  <w:tcPr>
                    <w:tcW w:w="851" w:type="dxa"/>
                    <w:shd w:val="clear" w:color="auto" w:fill="auto"/>
                  </w:tcPr>
                  <w:p>
                    <w:pPr>
                      <w:ind w:left="-57" w:right="-57"/>
                      <w:jc w:val="center"/>
                      <w:rPr>
                        <w:sz w:val="20"/>
                      </w:rPr>
                    </w:pPr>
                    <w:r>
                      <w:rPr>
                        <w:sz w:val="20"/>
                      </w:rPr>
                      <w:t>80</w:t>
                    </w:r>
                  </w:p>
                  <w:p>
                    <w:pPr>
                      <w:ind w:left="-57" w:right="-57"/>
                      <w:jc w:val="center"/>
                      <w:rPr>
                        <w:sz w:val="20"/>
                      </w:rPr>
                    </w:pPr>
                    <w:r>
                      <w:rPr>
                        <w:sz w:val="20"/>
                      </w:rPr>
                      <w:t>(2029 m.)</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tcPr>
                  <w:p>
                    <w:pPr>
                      <w:jc w:val="center"/>
                      <w:rPr>
                        <w:sz w:val="20"/>
                      </w:rPr>
                    </w:pPr>
                  </w:p>
                </w:tc>
              </w:tr>
              <w:tr>
                <w:trPr>
                  <w:trHeight w:val="946"/>
                </w:trPr>
                <w:tc>
                  <w:tcPr>
                    <w:tcW w:w="2410" w:type="dxa"/>
                    <w:vMerge w:val="restart"/>
                    <w:shd w:val="clear" w:color="auto" w:fill="auto"/>
                  </w:tcPr>
                  <w:p>
                    <w:pPr>
                      <w:rPr>
                        <w:sz w:val="20"/>
                      </w:rPr>
                    </w:pPr>
                    <w:r>
                      <w:rPr>
                        <w:sz w:val="20"/>
                      </w:rPr>
                      <w:t>10.3. Sveikatos priežiūros specialistų rengimas, pritraukimas, Vidurio ir vakarų Lietuvos regionas</w:t>
                    </w:r>
                  </w:p>
                </w:tc>
                <w:tc>
                  <w:tcPr>
                    <w:tcW w:w="709" w:type="dxa"/>
                    <w:vMerge w:val="restart"/>
                    <w:shd w:val="clear" w:color="auto" w:fill="auto"/>
                  </w:tcPr>
                  <w:p>
                    <w:pPr>
                      <w:rPr>
                        <w:sz w:val="20"/>
                      </w:rPr>
                    </w:pPr>
                    <w:r>
                      <w:rPr>
                        <w:sz w:val="20"/>
                      </w:rPr>
                      <w:t>I</w:t>
                    </w:r>
                  </w:p>
                </w:tc>
                <w:tc>
                  <w:tcPr>
                    <w:tcW w:w="1559" w:type="dxa"/>
                    <w:vMerge w:val="restart"/>
                    <w:shd w:val="clear" w:color="auto" w:fill="auto"/>
                  </w:tcPr>
                  <w:p>
                    <w:pPr>
                      <w:rPr>
                        <w:sz w:val="20"/>
                      </w:rPr>
                    </w:pPr>
                    <w:r>
                      <w:rPr>
                        <w:sz w:val="20"/>
                      </w:rPr>
                      <w:t>Savivaldybių administracijos / SAM</w:t>
                    </w:r>
                  </w:p>
                </w:tc>
                <w:tc>
                  <w:tcPr>
                    <w:tcW w:w="709" w:type="dxa"/>
                    <w:vMerge w:val="restart"/>
                    <w:shd w:val="clear" w:color="auto" w:fill="auto"/>
                  </w:tcPr>
                  <w:p>
                    <w:pPr>
                      <w:rPr>
                        <w:sz w:val="20"/>
                      </w:rPr>
                    </w:pPr>
                    <w:r>
                      <w:rPr>
                        <w:sz w:val="20"/>
                      </w:rPr>
                      <w:t>P</w:t>
                    </w:r>
                  </w:p>
                </w:tc>
                <w:tc>
                  <w:tcPr>
                    <w:tcW w:w="992" w:type="dxa"/>
                    <w:vMerge w:val="restart"/>
                    <w:shd w:val="clear" w:color="auto" w:fill="auto"/>
                  </w:tcPr>
                  <w:p>
                    <w:pPr>
                      <w:rPr>
                        <w:sz w:val="20"/>
                      </w:rPr>
                    </w:pPr>
                    <w:r>
                      <w:rPr>
                        <w:sz w:val="20"/>
                      </w:rPr>
                      <w:t>Taip</w:t>
                    </w:r>
                  </w:p>
                </w:tc>
                <w:tc>
                  <w:tcPr>
                    <w:tcW w:w="709" w:type="dxa"/>
                    <w:vMerge w:val="restart"/>
                    <w:shd w:val="clear" w:color="auto" w:fill="auto"/>
                  </w:tcPr>
                  <w:p>
                    <w:pPr>
                      <w:rPr>
                        <w:sz w:val="20"/>
                      </w:rPr>
                    </w:pPr>
                    <w:r>
                      <w:rPr>
                        <w:sz w:val="20"/>
                      </w:rPr>
                      <w:t>D</w:t>
                    </w:r>
                  </w:p>
                </w:tc>
                <w:tc>
                  <w:tcPr>
                    <w:tcW w:w="1276" w:type="dxa"/>
                    <w:tcBorders>
                      <w:bottom w:val="single" w:sz="4" w:space="0" w:color="auto"/>
                    </w:tcBorders>
                    <w:shd w:val="clear" w:color="auto" w:fill="auto"/>
                  </w:tcPr>
                  <w:p>
                    <w:pPr>
                      <w:rPr>
                        <w:sz w:val="20"/>
                        <w:lang w:val="en-US"/>
                      </w:rPr>
                    </w:pPr>
                    <w:r>
                      <w:rPr>
                        <w:sz w:val="20"/>
                        <w:lang w:val="en-US"/>
                      </w:rPr>
                      <w:t>23 820,691</w:t>
                    </w:r>
                  </w:p>
                </w:tc>
                <w:tc>
                  <w:tcPr>
                    <w:tcW w:w="992" w:type="dxa"/>
                    <w:tcBorders>
                      <w:bottom w:val="single" w:sz="4" w:space="0" w:color="auto"/>
                    </w:tcBorders>
                    <w:shd w:val="clear" w:color="auto" w:fill="auto"/>
                  </w:tcPr>
                  <w:p>
                    <w:pPr>
                      <w:rPr>
                        <w:sz w:val="20"/>
                      </w:rPr>
                    </w:pPr>
                    <w:r>
                      <w:rPr>
                        <w:sz w:val="20"/>
                      </w:rPr>
                      <w:t>2021–2027 m. IP (ESF+)</w:t>
                    </w:r>
                  </w:p>
                  <w:p>
                    <w:pPr>
                      <w:rPr>
                        <w:sz w:val="20"/>
                      </w:rPr>
                    </w:pPr>
                  </w:p>
                </w:tc>
                <w:tc>
                  <w:tcPr>
                    <w:tcW w:w="2551" w:type="dxa"/>
                    <w:shd w:val="clear" w:color="auto" w:fill="auto"/>
                  </w:tcPr>
                  <w:p>
                    <w:pPr>
                      <w:ind w:left="-57" w:right="-57"/>
                      <w:rPr>
                        <w:sz w:val="20"/>
                      </w:rPr>
                    </w:pPr>
                    <w:r>
                      <w:rPr>
                        <w:sz w:val="20"/>
                      </w:rPr>
                      <w:t xml:space="preserve">P – Asmenys, dalyvavę kvalifikacijos įgijimo veiklose, asmenys </w:t>
                    </w:r>
                  </w:p>
                  <w:p>
                    <w:pPr>
                      <w:ind w:left="-57" w:right="-57"/>
                      <w:rPr>
                        <w:sz w:val="20"/>
                      </w:rPr>
                    </w:pPr>
                  </w:p>
                </w:tc>
                <w:tc>
                  <w:tcPr>
                    <w:tcW w:w="851" w:type="dxa"/>
                    <w:shd w:val="clear" w:color="auto" w:fill="auto"/>
                  </w:tcPr>
                  <w:p>
                    <w:pPr>
                      <w:ind w:left="-57" w:right="-57"/>
                      <w:jc w:val="center"/>
                      <w:rPr>
                        <w:sz w:val="20"/>
                      </w:rPr>
                    </w:pPr>
                    <w:r>
                      <w:rPr>
                        <w:sz w:val="20"/>
                      </w:rPr>
                      <w:t>240</w:t>
                    </w:r>
                  </w:p>
                  <w:p>
                    <w:pPr>
                      <w:ind w:left="-57" w:right="-57"/>
                      <w:jc w:val="center"/>
                      <w:rPr>
                        <w:sz w:val="20"/>
                      </w:rPr>
                    </w:pPr>
                    <w:r>
                      <w:rPr>
                        <w:sz w:val="20"/>
                      </w:rPr>
                      <w:t>(2029 m.)</w:t>
                    </w: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jc w:val="center"/>
                      <w:rPr>
                        <w:sz w:val="20"/>
                      </w:rPr>
                    </w:pPr>
                    <w:r>
                      <w:rPr>
                        <w:sz w:val="20"/>
                      </w:rPr>
                      <w:t>SAM</w:t>
                    </w:r>
                  </w:p>
                </w:tc>
              </w:tr>
              <w:tr>
                <w:trPr>
                  <w:trHeight w:val="341"/>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val="restart"/>
                    <w:shd w:val="clear" w:color="auto" w:fill="auto"/>
                  </w:tcPr>
                  <w:p>
                    <w:pPr>
                      <w:rPr>
                        <w:sz w:val="20"/>
                        <w:lang w:val="en-US"/>
                      </w:rPr>
                    </w:pPr>
                    <w:r>
                      <w:rPr>
                        <w:sz w:val="20"/>
                        <w:lang w:val="en-US"/>
                      </w:rPr>
                      <w:t>4 203,651</w:t>
                    </w:r>
                  </w:p>
                  <w:p>
                    <w:pPr>
                      <w:rPr>
                        <w:sz w:val="20"/>
                        <w:lang w:val="en-US"/>
                      </w:rPr>
                    </w:pPr>
                  </w:p>
                </w:tc>
                <w:tc>
                  <w:tcPr>
                    <w:tcW w:w="992" w:type="dxa"/>
                    <w:vMerge w:val="restart"/>
                    <w:shd w:val="clear" w:color="auto" w:fill="auto"/>
                  </w:tcPr>
                  <w:p>
                    <w:pPr>
                      <w:rPr>
                        <w:sz w:val="20"/>
                      </w:rPr>
                    </w:pPr>
                    <w:r>
                      <w:rPr>
                        <w:sz w:val="20"/>
                      </w:rPr>
                      <w:t>2021–2027 m. IP (BF)</w:t>
                    </w:r>
                  </w:p>
                  <w:p>
                    <w:pPr>
                      <w:rPr>
                        <w:sz w:val="20"/>
                      </w:rPr>
                    </w:pP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Asmenų, kurie po dalyvavimo veiklose įgijo  kvalifikaciją, dalis, proc.</w:t>
                    </w:r>
                  </w:p>
                </w:tc>
                <w:tc>
                  <w:tcPr>
                    <w:tcW w:w="851" w:type="dxa"/>
                    <w:shd w:val="clear" w:color="auto" w:fill="auto"/>
                  </w:tcPr>
                  <w:p>
                    <w:pPr>
                      <w:ind w:left="-57" w:right="-57"/>
                      <w:jc w:val="center"/>
                      <w:rPr>
                        <w:sz w:val="20"/>
                      </w:rPr>
                    </w:pPr>
                    <w:r>
                      <w:rPr>
                        <w:sz w:val="20"/>
                      </w:rPr>
                      <w:t>80</w:t>
                    </w:r>
                  </w:p>
                  <w:p>
                    <w:pPr>
                      <w:ind w:left="-57" w:right="-57"/>
                      <w:jc w:val="center"/>
                      <w:rPr>
                        <w:sz w:val="20"/>
                      </w:rPr>
                    </w:pPr>
                    <w:r>
                      <w:rPr>
                        <w:sz w:val="20"/>
                      </w:rPr>
                      <w:t>(2029 m.)</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rPr>
                        <w:sz w:val="20"/>
                      </w:rPr>
                    </w:pPr>
                  </w:p>
                </w:tc>
              </w:tr>
              <w:tr>
                <w:trPr>
                  <w:trHeight w:val="339"/>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shd w:val="clear" w:color="auto" w:fill="auto"/>
                  </w:tcPr>
                  <w:p>
                    <w:pPr>
                      <w:rPr>
                        <w:sz w:val="20"/>
                        <w:lang w:val="en-US"/>
                      </w:rPr>
                    </w:pPr>
                  </w:p>
                </w:tc>
                <w:tc>
                  <w:tcPr>
                    <w:tcW w:w="992" w:type="dxa"/>
                    <w:vMerge/>
                    <w:shd w:val="clear" w:color="auto" w:fill="CCC0D9" w:themeFill="accent4" w:themeFillTint="66"/>
                  </w:tcPr>
                  <w:p>
                    <w:pPr>
                      <w:rPr>
                        <w:sz w:val="20"/>
                      </w:rPr>
                    </w:pPr>
                  </w:p>
                </w:tc>
                <w:tc>
                  <w:tcPr>
                    <w:tcW w:w="2551" w:type="dxa"/>
                    <w:shd w:val="clear" w:color="auto" w:fill="auto"/>
                  </w:tcPr>
                  <w:p>
                    <w:pPr>
                      <w:ind w:left="-57" w:right="-57"/>
                      <w:rPr>
                        <w:sz w:val="20"/>
                      </w:rPr>
                    </w:pPr>
                    <w:r>
                      <w:rPr>
                        <w:sz w:val="20"/>
                      </w:rPr>
                      <w:t>P – Specialistai, dalyvavę kvalifikacijos tobulinimo ar perkvalifikavimo veiklose, asmenys</w:t>
                    </w:r>
                  </w:p>
                </w:tc>
                <w:tc>
                  <w:tcPr>
                    <w:tcW w:w="851" w:type="dxa"/>
                    <w:shd w:val="clear" w:color="auto" w:fill="auto"/>
                  </w:tcPr>
                  <w:p>
                    <w:pPr>
                      <w:ind w:left="-57" w:right="-57"/>
                      <w:jc w:val="center"/>
                      <w:rPr>
                        <w:sz w:val="20"/>
                      </w:rPr>
                    </w:pPr>
                    <w:r>
                      <w:rPr>
                        <w:sz w:val="20"/>
                      </w:rPr>
                      <w:t>500</w:t>
                    </w:r>
                  </w:p>
                  <w:p>
                    <w:pPr>
                      <w:ind w:left="-57" w:right="-57"/>
                      <w:jc w:val="center"/>
                      <w:rPr>
                        <w:sz w:val="20"/>
                      </w:rPr>
                    </w:pPr>
                    <w:r>
                      <w:rPr>
                        <w:sz w:val="20"/>
                      </w:rPr>
                      <w:t>(2029 m.)</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vAlign w:val="center"/>
                  </w:tcPr>
                  <w:p>
                    <w:pPr>
                      <w:rPr>
                        <w:sz w:val="20"/>
                      </w:rPr>
                    </w:pPr>
                  </w:p>
                </w:tc>
              </w:tr>
              <w:tr>
                <w:trPr>
                  <w:trHeight w:val="339"/>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shd w:val="clear" w:color="auto" w:fill="auto"/>
                  </w:tcPr>
                  <w:p>
                    <w:pPr>
                      <w:rPr>
                        <w:sz w:val="20"/>
                        <w:lang w:val="en-US"/>
                      </w:rPr>
                    </w:pPr>
                  </w:p>
                </w:tc>
                <w:tc>
                  <w:tcPr>
                    <w:tcW w:w="992" w:type="dxa"/>
                    <w:vMerge/>
                    <w:shd w:val="clear" w:color="auto" w:fill="CCC0D9" w:themeFill="accent4" w:themeFillTint="66"/>
                  </w:tcPr>
                  <w:p>
                    <w:pPr>
                      <w:rPr>
                        <w:sz w:val="20"/>
                      </w:rPr>
                    </w:pPr>
                  </w:p>
                </w:tc>
                <w:tc>
                  <w:tcPr>
                    <w:tcW w:w="2551" w:type="dxa"/>
                    <w:shd w:val="clear" w:color="auto" w:fill="auto"/>
                  </w:tcPr>
                  <w:p>
                    <w:pPr>
                      <w:ind w:left="-57" w:right="-57"/>
                      <w:rPr>
                        <w:sz w:val="20"/>
                      </w:rPr>
                    </w:pPr>
                    <w:r>
                      <w:rPr>
                        <w:sz w:val="20"/>
                      </w:rPr>
                      <w:t xml:space="preserve">R – </w:t>
                    </w:r>
                    <w:r>
                      <w:rPr>
                        <w:sz w:val="20"/>
                        <w:lang w:eastAsia="lt-LT"/>
                      </w:rPr>
                      <w:t>Specialistų, kurie po dalyvavimo veiklose įgijo ar patobulino kvalifikaciją, dalis, proc.</w:t>
                    </w:r>
                  </w:p>
                </w:tc>
                <w:tc>
                  <w:tcPr>
                    <w:tcW w:w="851" w:type="dxa"/>
                    <w:shd w:val="clear" w:color="auto" w:fill="auto"/>
                  </w:tcPr>
                  <w:p>
                    <w:pPr>
                      <w:ind w:left="-57" w:right="-57"/>
                      <w:jc w:val="center"/>
                      <w:rPr>
                        <w:sz w:val="20"/>
                        <w:lang w:val="en-US"/>
                      </w:rPr>
                    </w:pPr>
                    <w:r>
                      <w:rPr>
                        <w:sz w:val="20"/>
                        <w:lang w:val="en-US"/>
                      </w:rPr>
                      <w:t>90</w:t>
                    </w:r>
                  </w:p>
                  <w:p>
                    <w:pPr>
                      <w:ind w:left="-57" w:right="-57"/>
                      <w:jc w:val="center"/>
                      <w:rPr>
                        <w:sz w:val="20"/>
                      </w:rPr>
                    </w:pPr>
                    <w:r>
                      <w:rPr>
                        <w:sz w:val="20"/>
                      </w:rPr>
                      <w:t>(2029 m.)</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vAlign w:val="center"/>
                  </w:tcPr>
                  <w:p>
                    <w:pPr>
                      <w:rPr>
                        <w:sz w:val="20"/>
                      </w:rPr>
                    </w:pPr>
                  </w:p>
                </w:tc>
              </w:tr>
              <w:tr>
                <w:trPr>
                  <w:trHeight w:val="414"/>
                </w:trPr>
                <w:tc>
                  <w:tcPr>
                    <w:tcW w:w="2410" w:type="dxa"/>
                    <w:vMerge/>
                    <w:shd w:val="clear" w:color="auto" w:fill="auto"/>
                  </w:tcPr>
                  <w:p>
                    <w:pPr>
                      <w:rPr>
                        <w:b/>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b/>
                        <w:bCs/>
                        <w:sz w:val="20"/>
                        <w:lang w:val="en-US"/>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P – Sveikatos priežiūros įstaigos, įgyvendinusios sveikatos priežiūros specialistų įgalinimo, pritraukimo ir išlaikymo projektus, skaičius</w:t>
                    </w:r>
                  </w:p>
                </w:tc>
                <w:tc>
                  <w:tcPr>
                    <w:tcW w:w="851" w:type="dxa"/>
                    <w:shd w:val="clear" w:color="auto" w:fill="auto"/>
                  </w:tcPr>
                  <w:p>
                    <w:pPr>
                      <w:ind w:left="-57" w:right="-57"/>
                      <w:jc w:val="center"/>
                      <w:rPr>
                        <w:sz w:val="20"/>
                        <w:lang w:val="en-US"/>
                      </w:rPr>
                    </w:pPr>
                    <w:r>
                      <w:rPr>
                        <w:sz w:val="20"/>
                      </w:rPr>
                      <w:t>98</w:t>
                    </w:r>
                  </w:p>
                  <w:p>
                    <w:pPr>
                      <w:ind w:left="-57" w:right="-57"/>
                      <w:jc w:val="center"/>
                      <w:rPr>
                        <w:sz w:val="20"/>
                      </w:rPr>
                    </w:pPr>
                    <w:r>
                      <w:rPr>
                        <w:sz w:val="20"/>
                      </w:rPr>
                      <w:t>(2029 m.)</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tcPr>
                  <w:p>
                    <w:pPr>
                      <w:jc w:val="center"/>
                      <w:rPr>
                        <w:color w:val="000000"/>
                        <w:sz w:val="20"/>
                      </w:rPr>
                    </w:pPr>
                  </w:p>
                </w:tc>
              </w:tr>
              <w:tr>
                <w:trPr>
                  <w:trHeight w:val="414"/>
                </w:trPr>
                <w:tc>
                  <w:tcPr>
                    <w:tcW w:w="2410" w:type="dxa"/>
                    <w:vMerge/>
                    <w:shd w:val="clear" w:color="auto" w:fill="auto"/>
                  </w:tcPr>
                  <w:p>
                    <w:pPr>
                      <w:rPr>
                        <w:b/>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b/>
                        <w:bCs/>
                        <w:sz w:val="20"/>
                        <w:lang w:val="en-US"/>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R – Sveikatos priežiūros specialistų, kurie po dalyvavimo veiklose mažiausiai 2 metus dirbo sveikatos priežiūros įstaigose, dalis, proc.</w:t>
                    </w:r>
                  </w:p>
                  <w:p>
                    <w:pPr>
                      <w:ind w:left="-57" w:right="-57"/>
                      <w:rPr>
                        <w:sz w:val="20"/>
                      </w:rPr>
                    </w:pPr>
                  </w:p>
                </w:tc>
                <w:tc>
                  <w:tcPr>
                    <w:tcW w:w="851" w:type="dxa"/>
                    <w:shd w:val="clear" w:color="auto" w:fill="auto"/>
                  </w:tcPr>
                  <w:p>
                    <w:pPr>
                      <w:ind w:left="-57" w:right="-57"/>
                      <w:jc w:val="center"/>
                      <w:rPr>
                        <w:sz w:val="20"/>
                      </w:rPr>
                    </w:pPr>
                    <w:r>
                      <w:rPr>
                        <w:sz w:val="20"/>
                      </w:rPr>
                      <w:t>80</w:t>
                    </w:r>
                  </w:p>
                  <w:p>
                    <w:pPr>
                      <w:ind w:left="-57" w:right="-57"/>
                      <w:jc w:val="center"/>
                      <w:rPr>
                        <w:sz w:val="20"/>
                      </w:rPr>
                    </w:pPr>
                    <w:r>
                      <w:rPr>
                        <w:sz w:val="20"/>
                      </w:rPr>
                      <w:t>(2029 m.)</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tcPr>
                  <w:p>
                    <w:pPr>
                      <w:jc w:val="center"/>
                      <w:rPr>
                        <w:color w:val="000000"/>
                        <w:sz w:val="20"/>
                      </w:rPr>
                    </w:pPr>
                  </w:p>
                </w:tc>
              </w:tr>
              <w:tr>
                <w:trPr>
                  <w:trHeight w:val="414"/>
                </w:trPr>
                <w:tc>
                  <w:tcPr>
                    <w:tcW w:w="2410" w:type="dxa"/>
                    <w:vMerge w:val="restart"/>
                    <w:shd w:val="clear" w:color="auto" w:fill="F2F2F2" w:themeFill="background1" w:themeFillShade="F2"/>
                  </w:tcPr>
                  <w:p>
                    <w:pPr>
                      <w:rPr>
                        <w:sz w:val="20"/>
                      </w:rPr>
                    </w:pPr>
                    <w:r>
                      <w:rPr>
                        <w:b/>
                        <w:sz w:val="20"/>
                      </w:rPr>
                      <w:t>11. Specialistų kvalifikacijos tobulinimas ir perkvalifikavimas</w:t>
                    </w:r>
                  </w:p>
                </w:tc>
                <w:tc>
                  <w:tcPr>
                    <w:tcW w:w="709" w:type="dxa"/>
                    <w:vMerge w:val="restart"/>
                    <w:shd w:val="clear" w:color="auto" w:fill="F2F2F2" w:themeFill="background1" w:themeFillShade="F2"/>
                  </w:tcPr>
                  <w:p>
                    <w:pPr>
                      <w:rPr>
                        <w:sz w:val="20"/>
                      </w:rPr>
                    </w:pPr>
                    <w:r>
                      <w:rPr>
                        <w:sz w:val="20"/>
                      </w:rPr>
                      <w:t>-</w:t>
                    </w:r>
                  </w:p>
                </w:tc>
                <w:tc>
                  <w:tcPr>
                    <w:tcW w:w="1559"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sz w:val="20"/>
                        <w:lang w:val="en-US"/>
                      </w:rPr>
                    </w:pPr>
                    <w:r>
                      <w:rPr>
                        <w:b/>
                        <w:bCs/>
                        <w:sz w:val="20"/>
                        <w:lang w:val="en-US"/>
                      </w:rPr>
                      <w:t>18 303,358</w:t>
                    </w:r>
                  </w:p>
                </w:tc>
                <w:tc>
                  <w:tcPr>
                    <w:tcW w:w="992" w:type="dxa"/>
                    <w:shd w:val="clear" w:color="auto" w:fill="F2F2F2" w:themeFill="background1" w:themeFillShade="F2"/>
                  </w:tcPr>
                  <w:p>
                    <w:pPr>
                      <w:rPr>
                        <w:sz w:val="20"/>
                      </w:rPr>
                    </w:pPr>
                    <w:r>
                      <w:rPr>
                        <w:sz w:val="20"/>
                      </w:rPr>
                      <w:t>-</w:t>
                    </w:r>
                  </w:p>
                </w:tc>
                <w:tc>
                  <w:tcPr>
                    <w:tcW w:w="2551" w:type="dxa"/>
                    <w:vMerge w:val="restart"/>
                    <w:shd w:val="clear" w:color="auto" w:fill="F2F2F2" w:themeFill="background1" w:themeFillShade="F2"/>
                  </w:tcPr>
                  <w:p>
                    <w:pPr>
                      <w:ind w:left="-57" w:right="-57"/>
                      <w:rPr>
                        <w:color w:val="FF0000"/>
                        <w:sz w:val="20"/>
                      </w:rPr>
                    </w:pPr>
                    <w:r>
                      <w:rPr>
                        <w:sz w:val="20"/>
                      </w:rPr>
                      <w:t xml:space="preserve">R </w:t>
                    </w:r>
                    <w:r>
                      <w:rPr>
                        <w:color w:val="000000"/>
                        <w:szCs w:val="24"/>
                      </w:rPr>
                      <w:t>–</w:t>
                    </w:r>
                    <w:r>
                      <w:rPr>
                        <w:sz w:val="20"/>
                      </w:rPr>
                      <w:t xml:space="preserve"> Slaugytojų, tenkančių vienam gydytojui, skaičius</w:t>
                    </w:r>
                  </w:p>
                </w:tc>
                <w:tc>
                  <w:tcPr>
                    <w:tcW w:w="851" w:type="dxa"/>
                    <w:vMerge w:val="restart"/>
                    <w:shd w:val="clear" w:color="auto" w:fill="F2F2F2" w:themeFill="background1" w:themeFillShade="F2"/>
                  </w:tcPr>
                  <w:p>
                    <w:pPr>
                      <w:ind w:left="-57" w:right="-57"/>
                      <w:jc w:val="center"/>
                      <w:rPr>
                        <w:sz w:val="20"/>
                      </w:rPr>
                    </w:pPr>
                    <w:r>
                      <w:rPr>
                        <w:sz w:val="20"/>
                      </w:rPr>
                      <w:t>2,5</w:t>
                    </w:r>
                  </w:p>
                  <w:p>
                    <w:pPr>
                      <w:ind w:left="-57" w:right="-57"/>
                      <w:jc w:val="center"/>
                      <w:rPr>
                        <w:color w:val="FF0000"/>
                        <w:sz w:val="20"/>
                      </w:rPr>
                    </w:pPr>
                    <w:r>
                      <w:rPr>
                        <w:sz w:val="20"/>
                      </w:rPr>
                      <w:t>(2030 m.)</w:t>
                    </w:r>
                  </w:p>
                </w:tc>
                <w:tc>
                  <w:tcPr>
                    <w:tcW w:w="992" w:type="dxa"/>
                    <w:vMerge w:val="restart"/>
                    <w:shd w:val="clear" w:color="auto" w:fill="F2F2F2" w:themeFill="background1" w:themeFillShade="F2"/>
                  </w:tcPr>
                  <w:p>
                    <w:pPr>
                      <w:rPr>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tcPr>
                  <w:p>
                    <w:pPr>
                      <w:jc w:val="center"/>
                      <w:rPr>
                        <w:color w:val="000000"/>
                        <w:sz w:val="20"/>
                      </w:rPr>
                    </w:pPr>
                    <w:r>
                      <w:rPr>
                        <w:color w:val="000000"/>
                        <w:sz w:val="20"/>
                      </w:rPr>
                      <w:t>-</w:t>
                    </w:r>
                  </w:p>
                </w:tc>
              </w:tr>
              <w:tr>
                <w:trPr>
                  <w:trHeight w:val="414"/>
                </w:trPr>
                <w:tc>
                  <w:tcPr>
                    <w:tcW w:w="2410" w:type="dxa"/>
                    <w:vMerge/>
                    <w:shd w:val="clear" w:color="auto" w:fill="CCC0D9" w:themeFill="accent4" w:themeFillTint="66"/>
                  </w:tcPr>
                  <w:p>
                    <w:pPr>
                      <w:rPr>
                        <w:b/>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lang w:val="en-US"/>
                      </w:rPr>
                    </w:pPr>
                    <w:r>
                      <w:rPr>
                        <w:sz w:val="20"/>
                        <w:lang w:val="en-US"/>
                      </w:rPr>
                      <w:t>9 148,854</w:t>
                    </w:r>
                  </w:p>
                </w:tc>
                <w:tc>
                  <w:tcPr>
                    <w:tcW w:w="992" w:type="dxa"/>
                    <w:shd w:val="clear" w:color="auto" w:fill="F2F2F2" w:themeFill="background1" w:themeFillShade="F2"/>
                  </w:tcPr>
                  <w:p>
                    <w:pPr>
                      <w:rPr>
                        <w:sz w:val="20"/>
                      </w:rPr>
                    </w:pPr>
                    <w:r>
                      <w:rPr>
                        <w:sz w:val="20"/>
                      </w:rPr>
                      <w:t xml:space="preserve">2021–2027 m. IP (ESF+, VVL regionas) </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CCC0D9" w:themeFill="accent4" w:themeFillTint="66"/>
                  </w:tcPr>
                  <w:p>
                    <w:pPr>
                      <w:rPr>
                        <w:b/>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lang w:val="en-US"/>
                      </w:rPr>
                    </w:pPr>
                    <w:r>
                      <w:rPr>
                        <w:sz w:val="20"/>
                        <w:lang w:val="en-US"/>
                      </w:rPr>
                      <w:t>1 614,504</w:t>
                    </w:r>
                  </w:p>
                </w:tc>
                <w:tc>
                  <w:tcPr>
                    <w:tcW w:w="992" w:type="dxa"/>
                    <w:shd w:val="clear" w:color="auto" w:fill="F2F2F2" w:themeFill="background1" w:themeFillShade="F2"/>
                  </w:tcPr>
                  <w:p>
                    <w:pPr>
                      <w:rPr>
                        <w:sz w:val="20"/>
                        <w:lang w:val="it-IT"/>
                      </w:rPr>
                    </w:pPr>
                    <w:r>
                      <w:rPr>
                        <w:sz w:val="20"/>
                      </w:rPr>
                      <w:t>2021–2027 m. IP (BF, VVL regionas)</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CCC0D9" w:themeFill="accent4" w:themeFillTint="66"/>
                  </w:tcPr>
                  <w:p>
                    <w:pPr>
                      <w:rPr>
                        <w:b/>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lang w:val="en-US"/>
                      </w:rPr>
                    </w:pPr>
                    <w:r>
                      <w:rPr>
                        <w:sz w:val="20"/>
                        <w:lang w:val="en-US"/>
                      </w:rPr>
                      <w:t>2 100</w:t>
                    </w:r>
                  </w:p>
                </w:tc>
                <w:tc>
                  <w:tcPr>
                    <w:tcW w:w="992" w:type="dxa"/>
                    <w:shd w:val="clear" w:color="auto" w:fill="F2F2F2" w:themeFill="background1" w:themeFillShade="F2"/>
                  </w:tcPr>
                  <w:p>
                    <w:pPr>
                      <w:rPr>
                        <w:sz w:val="20"/>
                      </w:rPr>
                    </w:pPr>
                    <w:r>
                      <w:rPr>
                        <w:sz w:val="20"/>
                      </w:rPr>
                      <w:t>EGADP</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CCC0D9" w:themeFill="accent4" w:themeFillTint="66"/>
                  </w:tcPr>
                  <w:p>
                    <w:pPr>
                      <w:rPr>
                        <w:b/>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lang w:val="en-US"/>
                      </w:rPr>
                    </w:pPr>
                    <w:r>
                      <w:rPr>
                        <w:sz w:val="20"/>
                        <w:lang w:val="en-US"/>
                      </w:rPr>
                      <w:t>440</w:t>
                    </w:r>
                  </w:p>
                </w:tc>
                <w:tc>
                  <w:tcPr>
                    <w:tcW w:w="992" w:type="dxa"/>
                    <w:shd w:val="clear" w:color="auto" w:fill="F2F2F2" w:themeFill="background1" w:themeFillShade="F2"/>
                  </w:tcPr>
                  <w:p>
                    <w:pPr>
                      <w:rPr>
                        <w:sz w:val="20"/>
                      </w:rPr>
                    </w:pPr>
                    <w:r>
                      <w:rPr>
                        <w:sz w:val="20"/>
                      </w:rPr>
                      <w:t>PVM iš VB</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CCC0D9" w:themeFill="accent4" w:themeFillTint="66"/>
                  </w:tcPr>
                  <w:p>
                    <w:pPr>
                      <w:rPr>
                        <w:b/>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lang w:val="en-US"/>
                      </w:rPr>
                    </w:pPr>
                    <w:r>
                      <w:rPr>
                        <w:sz w:val="20"/>
                        <w:lang w:val="en-US"/>
                      </w:rPr>
                      <w:t>5 000</w:t>
                    </w:r>
                  </w:p>
                </w:tc>
                <w:tc>
                  <w:tcPr>
                    <w:tcW w:w="992" w:type="dxa"/>
                    <w:shd w:val="clear" w:color="auto" w:fill="F2F2F2" w:themeFill="background1" w:themeFillShade="F2"/>
                  </w:tcPr>
                  <w:p>
                    <w:pPr>
                      <w:rPr>
                        <w:sz w:val="20"/>
                      </w:rPr>
                    </w:pPr>
                    <w:r>
                      <w:rPr>
                        <w:sz w:val="20"/>
                      </w:rPr>
                      <w:t>VB</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1198"/>
                </w:trPr>
                <w:tc>
                  <w:tcPr>
                    <w:tcW w:w="2410" w:type="dxa"/>
                    <w:shd w:val="clear" w:color="auto" w:fill="auto"/>
                  </w:tcPr>
                  <w:p>
                    <w:pPr>
                      <w:rPr>
                        <w:sz w:val="20"/>
                      </w:rPr>
                    </w:pPr>
                    <w:r>
                      <w:rPr>
                        <w:sz w:val="20"/>
                      </w:rPr>
                      <w:t xml:space="preserve">11.1. Sveikatos priežiūros  specialistų kvalifikaciją ir darbo sąlygas tobulinančių teisės aktų rengimas</w:t>
                    </w:r>
                  </w:p>
                </w:tc>
                <w:tc>
                  <w:tcPr>
                    <w:tcW w:w="709" w:type="dxa"/>
                    <w:shd w:val="clear" w:color="auto" w:fill="auto"/>
                  </w:tcPr>
                  <w:p>
                    <w:pPr>
                      <w:rPr>
                        <w:sz w:val="20"/>
                      </w:rPr>
                    </w:pPr>
                    <w:r>
                      <w:rPr>
                        <w:sz w:val="20"/>
                      </w:rPr>
                      <w:t>R</w:t>
                    </w:r>
                  </w:p>
                </w:tc>
                <w:tc>
                  <w:tcPr>
                    <w:tcW w:w="1559" w:type="dxa"/>
                    <w:shd w:val="clear" w:color="auto" w:fill="auto"/>
                  </w:tcPr>
                  <w:p>
                    <w:pPr>
                      <w:rPr>
                        <w:sz w:val="20"/>
                      </w:rPr>
                    </w:pPr>
                    <w:r>
                      <w:rPr>
                        <w:sz w:val="20"/>
                      </w:rPr>
                      <w:t>-</w:t>
                    </w:r>
                  </w:p>
                </w:tc>
                <w:tc>
                  <w:tcPr>
                    <w:tcW w:w="709" w:type="dxa"/>
                    <w:shd w:val="clear" w:color="auto" w:fill="auto"/>
                  </w:tcPr>
                  <w:p>
                    <w:pPr>
                      <w:rPr>
                        <w:sz w:val="20"/>
                      </w:rPr>
                    </w:pPr>
                    <w:r>
                      <w:rPr>
                        <w:sz w:val="20"/>
                      </w:rPr>
                      <w:t>-</w:t>
                    </w:r>
                  </w:p>
                </w:tc>
                <w:tc>
                  <w:tcPr>
                    <w:tcW w:w="992" w:type="dxa"/>
                    <w:shd w:val="clear" w:color="auto" w:fill="auto"/>
                  </w:tcPr>
                  <w:p>
                    <w:pPr>
                      <w:rPr>
                        <w:sz w:val="20"/>
                      </w:rPr>
                    </w:pPr>
                    <w:r>
                      <w:rPr>
                        <w:sz w:val="20"/>
                      </w:rPr>
                      <w:t>Taip</w:t>
                    </w:r>
                  </w:p>
                </w:tc>
                <w:tc>
                  <w:tcPr>
                    <w:tcW w:w="709" w:type="dxa"/>
                    <w:shd w:val="clear" w:color="auto" w:fill="auto"/>
                  </w:tcPr>
                  <w:p>
                    <w:pPr>
                      <w:rPr>
                        <w:sz w:val="20"/>
                      </w:rPr>
                    </w:pPr>
                    <w:r>
                      <w:rPr>
                        <w:sz w:val="20"/>
                      </w:rPr>
                      <w:t>-</w:t>
                    </w:r>
                  </w:p>
                </w:tc>
                <w:tc>
                  <w:tcPr>
                    <w:tcW w:w="1276" w:type="dxa"/>
                    <w:shd w:val="clear" w:color="auto" w:fill="auto"/>
                  </w:tcPr>
                  <w:p>
                    <w:pPr>
                      <w:rPr>
                        <w:sz w:val="20"/>
                        <w:lang w:val="en-US"/>
                      </w:rPr>
                    </w:pPr>
                    <w:r>
                      <w:rPr>
                        <w:sz w:val="20"/>
                        <w:lang w:val="en-US"/>
                      </w:rPr>
                      <w:t>-</w:t>
                    </w:r>
                  </w:p>
                </w:tc>
                <w:tc>
                  <w:tcPr>
                    <w:tcW w:w="992" w:type="dxa"/>
                    <w:shd w:val="clear" w:color="auto" w:fill="auto"/>
                  </w:tcPr>
                  <w:p>
                    <w:pPr>
                      <w:rPr>
                        <w:sz w:val="20"/>
                      </w:rPr>
                    </w:pPr>
                    <w:r>
                      <w:rPr>
                        <w:sz w:val="20"/>
                      </w:rPr>
                      <w:t>-</w:t>
                    </w:r>
                  </w:p>
                </w:tc>
                <w:tc>
                  <w:tcPr>
                    <w:tcW w:w="2551" w:type="dxa"/>
                    <w:shd w:val="clear" w:color="auto" w:fill="auto"/>
                  </w:tcPr>
                  <w:p>
                    <w:pPr>
                      <w:ind w:right="-57"/>
                      <w:rPr>
                        <w:sz w:val="20"/>
                      </w:rPr>
                    </w:pPr>
                    <w:r>
                      <w:rPr>
                        <w:sz w:val="20"/>
                      </w:rPr>
                      <w:t>P – Įsigalioję teisės aktai dėl sveikatos priežiūros specialistų darbo sąlygų gerinimo ir profesinės kvalifikacijos tobulinimo, kompl.</w:t>
                    </w:r>
                  </w:p>
                </w:tc>
                <w:tc>
                  <w:tcPr>
                    <w:tcW w:w="851" w:type="dxa"/>
                    <w:shd w:val="clear" w:color="auto" w:fill="auto"/>
                  </w:tcPr>
                  <w:p>
                    <w:pPr>
                      <w:ind w:left="-57" w:right="-57"/>
                      <w:jc w:val="center"/>
                      <w:rPr>
                        <w:sz w:val="20"/>
                      </w:rPr>
                    </w:pPr>
                    <w:r>
                      <w:rPr>
                        <w:sz w:val="20"/>
                      </w:rPr>
                      <w:t>1</w:t>
                    </w:r>
                  </w:p>
                  <w:p>
                    <w:pPr>
                      <w:ind w:left="-57" w:right="-57"/>
                      <w:jc w:val="center"/>
                      <w:rPr>
                        <w:sz w:val="20"/>
                      </w:rPr>
                    </w:pPr>
                    <w:r>
                      <w:rPr>
                        <w:sz w:val="20"/>
                      </w:rPr>
                      <w:t>(2023 m. II ketv.)</w:t>
                    </w:r>
                  </w:p>
                </w:tc>
                <w:tc>
                  <w:tcPr>
                    <w:tcW w:w="992" w:type="dxa"/>
                    <w:shd w:val="clear" w:color="auto" w:fill="auto"/>
                  </w:tcPr>
                  <w:p>
                    <w:pPr>
                      <w:rPr>
                        <w:sz w:val="20"/>
                      </w:rPr>
                    </w:pPr>
                    <w:r>
                      <w:rPr>
                        <w:sz w:val="20"/>
                      </w:rPr>
                      <w:t>-</w:t>
                    </w:r>
                  </w:p>
                </w:tc>
                <w:tc>
                  <w:tcPr>
                    <w:tcW w:w="1276" w:type="dxa"/>
                    <w:tcBorders>
                      <w:left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943"/>
                </w:trPr>
                <w:tc>
                  <w:tcPr>
                    <w:tcW w:w="2410" w:type="dxa"/>
                    <w:vMerge w:val="restart"/>
                    <w:shd w:val="clear" w:color="auto" w:fill="auto"/>
                  </w:tcPr>
                  <w:p>
                    <w:pPr>
                      <w:rPr>
                        <w:sz w:val="20"/>
                      </w:rPr>
                    </w:pPr>
                    <w:r>
                      <w:rPr>
                        <w:sz w:val="20"/>
                      </w:rPr>
                      <w:t xml:space="preserve">11.2. Sveikatos priežiūros  specialistų kvalifikacijos tobulinimas, Vidurio ir vakarų Lietuvos regionas</w:t>
                    </w:r>
                  </w:p>
                </w:tc>
                <w:tc>
                  <w:tcPr>
                    <w:tcW w:w="709" w:type="dxa"/>
                    <w:vMerge w:val="restart"/>
                    <w:shd w:val="clear" w:color="auto" w:fill="auto"/>
                  </w:tcPr>
                  <w:p>
                    <w:pPr>
                      <w:rPr>
                        <w:sz w:val="20"/>
                      </w:rPr>
                    </w:pPr>
                    <w:r>
                      <w:rPr>
                        <w:sz w:val="20"/>
                      </w:rPr>
                      <w:t>I</w:t>
                    </w:r>
                  </w:p>
                </w:tc>
                <w:tc>
                  <w:tcPr>
                    <w:tcW w:w="1559" w:type="dxa"/>
                    <w:vMerge w:val="restart"/>
                    <w:shd w:val="clear" w:color="auto" w:fill="auto"/>
                  </w:tcPr>
                  <w:p>
                    <w:pPr>
                      <w:rPr>
                        <w:sz w:val="20"/>
                      </w:rPr>
                    </w:pPr>
                    <w:r>
                      <w:rPr>
                        <w:sz w:val="20"/>
                      </w:rPr>
                      <w:t>SAM</w:t>
                    </w:r>
                  </w:p>
                </w:tc>
                <w:tc>
                  <w:tcPr>
                    <w:tcW w:w="709" w:type="dxa"/>
                    <w:vMerge w:val="restart"/>
                    <w:shd w:val="clear" w:color="auto" w:fill="auto"/>
                  </w:tcPr>
                  <w:p>
                    <w:pPr>
                      <w:rPr>
                        <w:sz w:val="20"/>
                      </w:rPr>
                    </w:pPr>
                    <w:r>
                      <w:rPr>
                        <w:sz w:val="20"/>
                      </w:rPr>
                      <w:t>P</w:t>
                    </w:r>
                  </w:p>
                </w:tc>
                <w:tc>
                  <w:tcPr>
                    <w:tcW w:w="992" w:type="dxa"/>
                    <w:vMerge w:val="restart"/>
                    <w:shd w:val="clear" w:color="auto" w:fill="auto"/>
                  </w:tcPr>
                  <w:p>
                    <w:pPr>
                      <w:rPr>
                        <w:sz w:val="20"/>
                      </w:rPr>
                    </w:pPr>
                    <w:r>
                      <w:rPr>
                        <w:sz w:val="20"/>
                      </w:rPr>
                      <w:t>Taip</w:t>
                    </w:r>
                  </w:p>
                </w:tc>
                <w:tc>
                  <w:tcPr>
                    <w:tcW w:w="709" w:type="dxa"/>
                    <w:vMerge w:val="restart"/>
                    <w:shd w:val="clear" w:color="auto" w:fill="auto"/>
                  </w:tcPr>
                  <w:p>
                    <w:pPr>
                      <w:rPr>
                        <w:sz w:val="20"/>
                      </w:rPr>
                    </w:pPr>
                    <w:r>
                      <w:rPr>
                        <w:sz w:val="20"/>
                      </w:rPr>
                      <w:t>D</w:t>
                    </w:r>
                  </w:p>
                </w:tc>
                <w:tc>
                  <w:tcPr>
                    <w:tcW w:w="1276" w:type="dxa"/>
                    <w:shd w:val="clear" w:color="auto" w:fill="auto"/>
                  </w:tcPr>
                  <w:p>
                    <w:pPr>
                      <w:rPr>
                        <w:sz w:val="20"/>
                        <w:lang w:val="en-US"/>
                      </w:rPr>
                    </w:pPr>
                    <w:r>
                      <w:rPr>
                        <w:sz w:val="20"/>
                        <w:lang w:val="en-US"/>
                      </w:rPr>
                      <w:t>9 148,854</w:t>
                    </w:r>
                  </w:p>
                </w:tc>
                <w:tc>
                  <w:tcPr>
                    <w:tcW w:w="992" w:type="dxa"/>
                    <w:shd w:val="clear" w:color="auto" w:fill="auto"/>
                  </w:tcPr>
                  <w:p>
                    <w:pPr>
                      <w:rPr>
                        <w:sz w:val="20"/>
                      </w:rPr>
                    </w:pPr>
                    <w:r>
                      <w:rPr>
                        <w:sz w:val="20"/>
                      </w:rPr>
                      <w:t xml:space="preserve">2021–2027 m. IP (ESF+) </w:t>
                    </w:r>
                  </w:p>
                </w:tc>
                <w:tc>
                  <w:tcPr>
                    <w:tcW w:w="2551" w:type="dxa"/>
                    <w:vMerge w:val="restart"/>
                    <w:shd w:val="clear" w:color="auto" w:fill="auto"/>
                  </w:tcPr>
                  <w:p>
                    <w:pPr>
                      <w:ind w:right="-57"/>
                      <w:rPr>
                        <w:sz w:val="20"/>
                      </w:rPr>
                    </w:pPr>
                    <w:r>
                      <w:rPr>
                        <w:sz w:val="20"/>
                      </w:rPr>
                      <w:t>P – Specialistai, dalyvavę kvalifikacijos tobulinimo ar perkvalifikavimo veiklose, asmenys</w:t>
                    </w:r>
                  </w:p>
                </w:tc>
                <w:tc>
                  <w:tcPr>
                    <w:tcW w:w="851" w:type="dxa"/>
                    <w:vMerge w:val="restart"/>
                    <w:shd w:val="clear" w:color="auto" w:fill="auto"/>
                  </w:tcPr>
                  <w:p>
                    <w:pPr>
                      <w:ind w:left="-57" w:right="-57"/>
                      <w:jc w:val="center"/>
                      <w:rPr>
                        <w:sz w:val="20"/>
                        <w:lang w:val="en-US"/>
                      </w:rPr>
                    </w:pPr>
                    <w:r>
                      <w:rPr>
                        <w:sz w:val="20"/>
                      </w:rPr>
                      <w:t>27 600</w:t>
                    </w:r>
                  </w:p>
                  <w:p>
                    <w:pPr>
                      <w:ind w:left="-57" w:right="-57"/>
                      <w:jc w:val="center"/>
                      <w:rPr>
                        <w:sz w:val="20"/>
                      </w:rPr>
                    </w:pPr>
                    <w:r>
                      <w:rPr>
                        <w:sz w:val="20"/>
                      </w:rPr>
                      <w:t>(2029 m.)</w:t>
                    </w:r>
                  </w:p>
                  <w:p>
                    <w:pPr>
                      <w:rPr>
                        <w:sz w:val="20"/>
                      </w:rPr>
                    </w:pP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230"/>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val="restart"/>
                    <w:shd w:val="clear" w:color="auto" w:fill="auto"/>
                  </w:tcPr>
                  <w:p>
                    <w:pPr>
                      <w:rPr>
                        <w:sz w:val="20"/>
                        <w:lang w:val="en-US"/>
                      </w:rPr>
                    </w:pPr>
                    <w:r>
                      <w:rPr>
                        <w:sz w:val="20"/>
                        <w:lang w:val="en-US"/>
                      </w:rPr>
                      <w:t>1 614,504</w:t>
                    </w:r>
                  </w:p>
                </w:tc>
                <w:tc>
                  <w:tcPr>
                    <w:tcW w:w="992" w:type="dxa"/>
                    <w:vMerge w:val="restart"/>
                    <w:shd w:val="clear" w:color="auto" w:fill="auto"/>
                  </w:tcPr>
                  <w:p>
                    <w:pPr>
                      <w:rPr>
                        <w:sz w:val="20"/>
                      </w:rPr>
                    </w:pPr>
                    <w:r>
                      <w:rPr>
                        <w:sz w:val="20"/>
                      </w:rPr>
                      <w:t>2021–2027 m. IP (BF)</w:t>
                    </w:r>
                  </w:p>
                  <w:p>
                    <w:pPr>
                      <w:rPr>
                        <w:sz w:val="20"/>
                      </w:rPr>
                    </w:pPr>
                  </w:p>
                </w:tc>
                <w:tc>
                  <w:tcPr>
                    <w:tcW w:w="2551" w:type="dxa"/>
                    <w:vMerge/>
                    <w:shd w:val="clear" w:color="auto" w:fill="auto"/>
                  </w:tcPr>
                  <w:p>
                    <w:pPr>
                      <w:ind w:right="-57"/>
                      <w:rPr>
                        <w:sz w:val="20"/>
                      </w:rPr>
                    </w:pPr>
                  </w:p>
                </w:tc>
                <w:tc>
                  <w:tcPr>
                    <w:tcW w:w="851" w:type="dxa"/>
                    <w:vMerge/>
                    <w:shd w:val="clear" w:color="auto" w:fill="auto"/>
                  </w:tcPr>
                  <w:p>
                    <w:pPr>
                      <w:ind w:left="-57" w:right="-57"/>
                      <w:jc w:val="center"/>
                      <w:rPr>
                        <w:sz w:val="20"/>
                      </w:rPr>
                    </w:pP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rPr>
                        <w:color w:val="000000"/>
                        <w:sz w:val="20"/>
                      </w:rPr>
                    </w:pPr>
                  </w:p>
                </w:tc>
              </w:tr>
              <w:tr>
                <w:trPr>
                  <w:trHeight w:val="833"/>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lang w:val="en-US"/>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R –</w:t>
                    </w:r>
                    <w:r>
                      <w:rPr>
                        <w:sz w:val="20"/>
                        <w:lang w:eastAsia="lt-LT"/>
                      </w:rPr>
                      <w:t xml:space="preserve"> Specialistų, kurie po dalyvavimo veiklose įgijo ar patobulino kvalifikaciją, dalis proc.</w:t>
                    </w:r>
                  </w:p>
                </w:tc>
                <w:tc>
                  <w:tcPr>
                    <w:tcW w:w="851" w:type="dxa"/>
                    <w:shd w:val="clear" w:color="auto" w:fill="auto"/>
                  </w:tcPr>
                  <w:p>
                    <w:pPr>
                      <w:ind w:left="-57" w:right="-57"/>
                      <w:jc w:val="center"/>
                      <w:rPr>
                        <w:sz w:val="20"/>
                      </w:rPr>
                    </w:pPr>
                    <w:r>
                      <w:rPr>
                        <w:sz w:val="20"/>
                      </w:rPr>
                      <w:t>90</w:t>
                    </w:r>
                  </w:p>
                  <w:p>
                    <w:pPr>
                      <w:ind w:left="-57" w:right="-57"/>
                      <w:jc w:val="center"/>
                      <w:rPr>
                        <w:sz w:val="20"/>
                      </w:rPr>
                    </w:pPr>
                    <w:r>
                      <w:rPr>
                        <w:sz w:val="20"/>
                      </w:rPr>
                      <w:t>(2029 m.)</w:t>
                    </w:r>
                  </w:p>
                  <w:p>
                    <w:pPr>
                      <w:jc w:val="center"/>
                      <w:rPr>
                        <w:b/>
                        <w:bCs/>
                        <w:sz w:val="20"/>
                      </w:rPr>
                    </w:pP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rPr>
                        <w:color w:val="000000"/>
                        <w:sz w:val="20"/>
                      </w:rPr>
                    </w:pPr>
                  </w:p>
                </w:tc>
              </w:tr>
              <w:tr>
                <w:trPr>
                  <w:trHeight w:val="414"/>
                </w:trPr>
                <w:tc>
                  <w:tcPr>
                    <w:tcW w:w="2410" w:type="dxa"/>
                    <w:shd w:val="clear" w:color="auto" w:fill="auto"/>
                  </w:tcPr>
                  <w:p>
                    <w:pPr>
                      <w:rPr>
                        <w:sz w:val="20"/>
                      </w:rPr>
                    </w:pPr>
                    <w:r>
                      <w:rPr>
                        <w:sz w:val="20"/>
                      </w:rPr>
                      <w:t>11.3. Sveikatos priežiūros specialistų kvalifikacijos tobulinimas</w:t>
                    </w:r>
                  </w:p>
                </w:tc>
                <w:tc>
                  <w:tcPr>
                    <w:tcW w:w="709" w:type="dxa"/>
                    <w:shd w:val="clear" w:color="auto" w:fill="auto"/>
                  </w:tcPr>
                  <w:p>
                    <w:pPr>
                      <w:rPr>
                        <w:sz w:val="20"/>
                      </w:rPr>
                    </w:pPr>
                    <w:r>
                      <w:rPr>
                        <w:sz w:val="20"/>
                      </w:rPr>
                      <w:t>I</w:t>
                    </w:r>
                  </w:p>
                </w:tc>
                <w:tc>
                  <w:tcPr>
                    <w:tcW w:w="1559" w:type="dxa"/>
                    <w:shd w:val="clear" w:color="auto" w:fill="auto"/>
                  </w:tcPr>
                  <w:p>
                    <w:pPr>
                      <w:rPr>
                        <w:sz w:val="20"/>
                      </w:rPr>
                    </w:pPr>
                    <w:r>
                      <w:rPr>
                        <w:sz w:val="20"/>
                      </w:rPr>
                      <w:t>SAM</w:t>
                    </w:r>
                  </w:p>
                </w:tc>
                <w:tc>
                  <w:tcPr>
                    <w:tcW w:w="709" w:type="dxa"/>
                    <w:shd w:val="clear" w:color="auto" w:fill="auto"/>
                  </w:tcPr>
                  <w:p>
                    <w:pPr>
                      <w:rPr>
                        <w:sz w:val="20"/>
                      </w:rPr>
                    </w:pPr>
                    <w:r>
                      <w:rPr>
                        <w:sz w:val="20"/>
                      </w:rPr>
                      <w:t>P</w:t>
                    </w:r>
                  </w:p>
                </w:tc>
                <w:tc>
                  <w:tcPr>
                    <w:tcW w:w="992" w:type="dxa"/>
                    <w:shd w:val="clear" w:color="auto" w:fill="auto"/>
                  </w:tcPr>
                  <w:p>
                    <w:pPr>
                      <w:rPr>
                        <w:sz w:val="20"/>
                      </w:rPr>
                    </w:pPr>
                    <w:r>
                      <w:rPr>
                        <w:sz w:val="20"/>
                      </w:rPr>
                      <w:t>Taip</w:t>
                    </w:r>
                  </w:p>
                </w:tc>
                <w:tc>
                  <w:tcPr>
                    <w:tcW w:w="709" w:type="dxa"/>
                    <w:shd w:val="clear" w:color="auto" w:fill="auto"/>
                  </w:tcPr>
                  <w:p>
                    <w:pPr>
                      <w:rPr>
                        <w:sz w:val="20"/>
                      </w:rPr>
                    </w:pPr>
                    <w:r>
                      <w:rPr>
                        <w:sz w:val="20"/>
                      </w:rPr>
                      <w:t>D</w:t>
                    </w:r>
                  </w:p>
                </w:tc>
                <w:tc>
                  <w:tcPr>
                    <w:tcW w:w="1276" w:type="dxa"/>
                    <w:shd w:val="clear" w:color="auto" w:fill="auto"/>
                  </w:tcPr>
                  <w:p>
                    <w:pPr>
                      <w:rPr>
                        <w:sz w:val="20"/>
                        <w:lang w:val="en-US"/>
                      </w:rPr>
                    </w:pPr>
                    <w:r>
                      <w:rPr>
                        <w:sz w:val="20"/>
                        <w:lang w:val="en-US"/>
                      </w:rPr>
                      <w:t>5 000</w:t>
                    </w:r>
                  </w:p>
                  <w:p>
                    <w:pPr>
                      <w:rPr>
                        <w:sz w:val="20"/>
                        <w:lang w:val="en-US"/>
                      </w:rPr>
                    </w:pPr>
                  </w:p>
                </w:tc>
                <w:tc>
                  <w:tcPr>
                    <w:tcW w:w="992" w:type="dxa"/>
                    <w:shd w:val="clear" w:color="auto" w:fill="auto"/>
                  </w:tcPr>
                  <w:p>
                    <w:pPr>
                      <w:ind w:left="-57" w:right="-57"/>
                      <w:rPr>
                        <w:sz w:val="20"/>
                      </w:rPr>
                    </w:pPr>
                    <w:r>
                      <w:rPr>
                        <w:sz w:val="20"/>
                      </w:rPr>
                      <w:t>VB</w:t>
                    </w:r>
                  </w:p>
                </w:tc>
                <w:tc>
                  <w:tcPr>
                    <w:tcW w:w="2551" w:type="dxa"/>
                    <w:shd w:val="clear" w:color="auto" w:fill="auto"/>
                  </w:tcPr>
                  <w:p>
                    <w:pPr>
                      <w:ind w:left="-57" w:right="-57"/>
                      <w:rPr>
                        <w:sz w:val="20"/>
                      </w:rPr>
                    </w:pPr>
                    <w:r>
                      <w:rPr>
                        <w:sz w:val="20"/>
                      </w:rPr>
                      <w:t>P – Specialistai, dalyvavę kvalifikacijos tobulinimo veiklose, asmenys</w:t>
                    </w:r>
                  </w:p>
                </w:tc>
                <w:tc>
                  <w:tcPr>
                    <w:tcW w:w="851" w:type="dxa"/>
                    <w:shd w:val="clear" w:color="auto" w:fill="auto"/>
                  </w:tcPr>
                  <w:p>
                    <w:pPr>
                      <w:ind w:left="-57" w:right="-57"/>
                      <w:jc w:val="center"/>
                      <w:rPr>
                        <w:sz w:val="20"/>
                      </w:rPr>
                    </w:pPr>
                    <w:r>
                      <w:rPr>
                        <w:sz w:val="20"/>
                      </w:rPr>
                      <w:t>18 000</w:t>
                    </w:r>
                  </w:p>
                  <w:p>
                    <w:pPr>
                      <w:ind w:left="-57" w:right="-57"/>
                      <w:jc w:val="center"/>
                      <w:rPr>
                        <w:sz w:val="20"/>
                      </w:rPr>
                    </w:pPr>
                    <w:r>
                      <w:rPr>
                        <w:sz w:val="20"/>
                      </w:rPr>
                      <w:t>(2030 m.)</w:t>
                    </w:r>
                  </w:p>
                  <w:p>
                    <w:pPr>
                      <w:ind w:left="-57" w:right="-57"/>
                      <w:jc w:val="center"/>
                      <w:rPr>
                        <w:sz w:val="20"/>
                      </w:rPr>
                    </w:pPr>
                  </w:p>
                </w:tc>
                <w:tc>
                  <w:tcPr>
                    <w:tcW w:w="992" w:type="dxa"/>
                    <w:shd w:val="clear" w:color="auto" w:fill="auto"/>
                  </w:tcPr>
                  <w:p>
                    <w:pPr>
                      <w:rPr>
                        <w:sz w:val="20"/>
                      </w:rPr>
                    </w:pPr>
                    <w:r>
                      <w:rPr>
                        <w:sz w:val="20"/>
                      </w:rPr>
                      <w:t>SAM</w:t>
                    </w:r>
                  </w:p>
                </w:tc>
                <w:tc>
                  <w:tcPr>
                    <w:tcW w:w="1276" w:type="dxa"/>
                    <w:tcBorders>
                      <w:left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414"/>
                </w:trPr>
                <w:tc>
                  <w:tcPr>
                    <w:tcW w:w="2410" w:type="dxa"/>
                    <w:vMerge w:val="restart"/>
                    <w:shd w:val="clear" w:color="auto" w:fill="auto"/>
                  </w:tcPr>
                  <w:p>
                    <w:pPr>
                      <w:rPr>
                        <w:sz w:val="20"/>
                      </w:rPr>
                    </w:pPr>
                    <w:r>
                      <w:rPr>
                        <w:sz w:val="20"/>
                      </w:rPr>
                      <w:t>11.4. Ilgalaikės priežiūros paslaugas teikiančių specialistų parengimas</w:t>
                    </w:r>
                  </w:p>
                </w:tc>
                <w:tc>
                  <w:tcPr>
                    <w:tcW w:w="709" w:type="dxa"/>
                    <w:vMerge w:val="restart"/>
                    <w:shd w:val="clear" w:color="auto" w:fill="auto"/>
                  </w:tcPr>
                  <w:p>
                    <w:pPr>
                      <w:rPr>
                        <w:sz w:val="20"/>
                      </w:rPr>
                    </w:pPr>
                    <w:r>
                      <w:rPr>
                        <w:sz w:val="20"/>
                      </w:rPr>
                      <w:t>I</w:t>
                    </w:r>
                  </w:p>
                </w:tc>
                <w:tc>
                  <w:tcPr>
                    <w:tcW w:w="1559" w:type="dxa"/>
                    <w:vMerge w:val="restart"/>
                    <w:shd w:val="clear" w:color="auto" w:fill="auto"/>
                  </w:tcPr>
                  <w:p>
                    <w:pPr>
                      <w:rPr>
                        <w:sz w:val="20"/>
                      </w:rPr>
                    </w:pPr>
                    <w:r>
                      <w:rPr>
                        <w:sz w:val="20"/>
                      </w:rPr>
                      <w:t>SAM</w:t>
                    </w:r>
                  </w:p>
                </w:tc>
                <w:tc>
                  <w:tcPr>
                    <w:tcW w:w="709" w:type="dxa"/>
                    <w:vMerge w:val="restart"/>
                    <w:shd w:val="clear" w:color="auto" w:fill="auto"/>
                  </w:tcPr>
                  <w:p>
                    <w:pPr>
                      <w:rPr>
                        <w:sz w:val="20"/>
                      </w:rPr>
                    </w:pPr>
                    <w:r>
                      <w:rPr>
                        <w:sz w:val="20"/>
                      </w:rPr>
                      <w:t>P</w:t>
                    </w:r>
                  </w:p>
                </w:tc>
                <w:tc>
                  <w:tcPr>
                    <w:tcW w:w="992" w:type="dxa"/>
                    <w:vMerge w:val="restart"/>
                    <w:shd w:val="clear" w:color="auto" w:fill="auto"/>
                  </w:tcPr>
                  <w:p>
                    <w:pPr>
                      <w:rPr>
                        <w:sz w:val="20"/>
                      </w:rPr>
                    </w:pPr>
                    <w:r>
                      <w:rPr>
                        <w:sz w:val="20"/>
                      </w:rPr>
                      <w:t>Taip</w:t>
                    </w:r>
                  </w:p>
                </w:tc>
                <w:tc>
                  <w:tcPr>
                    <w:tcW w:w="709" w:type="dxa"/>
                    <w:vMerge w:val="restart"/>
                    <w:shd w:val="clear" w:color="auto" w:fill="auto"/>
                  </w:tcPr>
                  <w:p>
                    <w:pPr>
                      <w:rPr>
                        <w:sz w:val="20"/>
                      </w:rPr>
                    </w:pPr>
                    <w:r>
                      <w:rPr>
                        <w:sz w:val="20"/>
                      </w:rPr>
                      <w:t>D</w:t>
                    </w:r>
                  </w:p>
                </w:tc>
                <w:tc>
                  <w:tcPr>
                    <w:tcW w:w="1276" w:type="dxa"/>
                    <w:shd w:val="clear" w:color="auto" w:fill="auto"/>
                  </w:tcPr>
                  <w:p>
                    <w:pPr>
                      <w:rPr>
                        <w:sz w:val="20"/>
                        <w:lang w:val="en-US"/>
                      </w:rPr>
                    </w:pPr>
                    <w:r>
                      <w:rPr>
                        <w:sz w:val="20"/>
                        <w:lang w:val="en-US"/>
                      </w:rPr>
                      <w:t>2 100</w:t>
                    </w:r>
                  </w:p>
                  <w:p>
                    <w:pPr>
                      <w:rPr>
                        <w:sz w:val="20"/>
                        <w:lang w:val="en-US"/>
                      </w:rPr>
                    </w:pPr>
                  </w:p>
                </w:tc>
                <w:tc>
                  <w:tcPr>
                    <w:tcW w:w="992" w:type="dxa"/>
                    <w:shd w:val="clear" w:color="auto" w:fill="auto"/>
                  </w:tcPr>
                  <w:p>
                    <w:pPr>
                      <w:ind w:left="-57" w:right="-57"/>
                      <w:rPr>
                        <w:sz w:val="20"/>
                      </w:rPr>
                    </w:pPr>
                    <w:r>
                      <w:rPr>
                        <w:sz w:val="20"/>
                      </w:rPr>
                      <w:t>EGADP</w:t>
                    </w:r>
                  </w:p>
                  <w:p>
                    <w:pPr>
                      <w:ind w:left="-57" w:right="-57"/>
                      <w:rPr>
                        <w:sz w:val="20"/>
                      </w:rPr>
                    </w:pPr>
                  </w:p>
                </w:tc>
                <w:tc>
                  <w:tcPr>
                    <w:tcW w:w="2551" w:type="dxa"/>
                    <w:vMerge w:val="restart"/>
                    <w:shd w:val="clear" w:color="auto" w:fill="auto"/>
                  </w:tcPr>
                  <w:p>
                    <w:pPr>
                      <w:ind w:left="-57" w:right="-57"/>
                      <w:rPr>
                        <w:sz w:val="20"/>
                      </w:rPr>
                    </w:pPr>
                    <w:r>
                      <w:rPr>
                        <w:sz w:val="20"/>
                      </w:rPr>
                      <w:t xml:space="preserve">P – </w:t>
                    </w:r>
                    <w:r>
                      <w:rPr>
                        <w:sz w:val="20"/>
                        <w:lang w:eastAsia="lt-LT"/>
                      </w:rPr>
                      <w:t xml:space="preserve">Baigtas mažiausiai 1 000 ilgalaikės priežiūros specialistų mokymas, vnt. </w:t>
                    </w:r>
                  </w:p>
                </w:tc>
                <w:tc>
                  <w:tcPr>
                    <w:tcW w:w="851" w:type="dxa"/>
                    <w:vMerge w:val="restart"/>
                    <w:shd w:val="clear" w:color="auto" w:fill="auto"/>
                  </w:tcPr>
                  <w:p>
                    <w:pPr>
                      <w:ind w:left="-57" w:right="-57"/>
                      <w:jc w:val="center"/>
                      <w:rPr>
                        <w:sz w:val="20"/>
                      </w:rPr>
                    </w:pPr>
                    <w:r>
                      <w:rPr>
                        <w:sz w:val="20"/>
                      </w:rPr>
                      <w:t>1 000</w:t>
                    </w:r>
                  </w:p>
                  <w:p>
                    <w:pPr>
                      <w:ind w:left="-57" w:right="-57"/>
                      <w:jc w:val="center"/>
                      <w:rPr>
                        <w:sz w:val="20"/>
                      </w:rPr>
                    </w:pPr>
                    <w:r>
                      <w:rPr>
                        <w:sz w:val="20"/>
                      </w:rPr>
                      <w:t>(2024 m. IV ketv.)</w:t>
                    </w: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rPr>
                        <w:color w:val="000000"/>
                        <w:sz w:val="20"/>
                      </w:rPr>
                    </w:pPr>
                    <w:r>
                      <w:rPr>
                        <w:color w:val="000000"/>
                        <w:sz w:val="20"/>
                      </w:rPr>
                      <w:t>SAM,</w:t>
                    </w:r>
                  </w:p>
                  <w:p>
                    <w:pPr>
                      <w:rPr>
                        <w:sz w:val="20"/>
                      </w:rPr>
                    </w:pPr>
                    <w:r>
                      <w:rPr>
                        <w:sz w:val="20"/>
                      </w:rPr>
                      <w:t>SADM,</w:t>
                    </w:r>
                  </w:p>
                  <w:p>
                    <w:pPr>
                      <w:rPr>
                        <w:sz w:val="20"/>
                      </w:rPr>
                    </w:pPr>
                    <w:r>
                      <w:rPr>
                        <w:sz w:val="20"/>
                      </w:rPr>
                      <w:t>Švietimo, mokslo ir sporto ministerija</w:t>
                    </w: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shd w:val="clear" w:color="auto" w:fill="auto"/>
                  </w:tcPr>
                  <w:p>
                    <w:pPr>
                      <w:rPr>
                        <w:sz w:val="20"/>
                        <w:lang w:val="en-US"/>
                      </w:rPr>
                    </w:pPr>
                    <w:r>
                      <w:rPr>
                        <w:sz w:val="20"/>
                        <w:lang w:val="en-US"/>
                      </w:rPr>
                      <w:t>440</w:t>
                    </w:r>
                  </w:p>
                </w:tc>
                <w:tc>
                  <w:tcPr>
                    <w:tcW w:w="992" w:type="dxa"/>
                    <w:shd w:val="clear" w:color="auto" w:fill="auto"/>
                  </w:tcPr>
                  <w:p>
                    <w:pPr>
                      <w:rPr>
                        <w:sz w:val="20"/>
                      </w:rPr>
                    </w:pPr>
                    <w:r>
                      <w:rPr>
                        <w:sz w:val="20"/>
                      </w:rPr>
                      <w:t>PVM iš VB</w:t>
                    </w:r>
                  </w:p>
                </w:tc>
                <w:tc>
                  <w:tcPr>
                    <w:tcW w:w="2551" w:type="dxa"/>
                    <w:vMerge/>
                    <w:tcBorders>
                      <w:bottom w:val="single" w:sz="4" w:space="0" w:color="auto"/>
                    </w:tcBorders>
                    <w:shd w:val="clear" w:color="auto" w:fill="FFFFFF" w:themeFill="background1"/>
                  </w:tcPr>
                  <w:p>
                    <w:pPr>
                      <w:ind w:left="-57" w:right="-57"/>
                      <w:rPr>
                        <w:sz w:val="20"/>
                      </w:rPr>
                    </w:pPr>
                  </w:p>
                </w:tc>
                <w:tc>
                  <w:tcPr>
                    <w:tcW w:w="851" w:type="dxa"/>
                    <w:vMerge/>
                    <w:tcBorders>
                      <w:bottom w:val="single" w:sz="4" w:space="0" w:color="auto"/>
                    </w:tcBorders>
                    <w:shd w:val="clear" w:color="auto" w:fill="FFFFFF" w:themeFill="background1"/>
                  </w:tcPr>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shd w:val="clear" w:color="auto" w:fill="F2F2F2" w:themeFill="background1" w:themeFillShade="F2"/>
                  </w:tcPr>
                  <w:p>
                    <w:pPr>
                      <w:rPr>
                        <w:b/>
                        <w:bCs/>
                        <w:sz w:val="20"/>
                      </w:rPr>
                    </w:pPr>
                    <w:r>
                      <w:rPr>
                        <w:b/>
                        <w:bCs/>
                        <w:sz w:val="20"/>
                      </w:rPr>
                      <w:t>12. ASPĮ tinklo optimizavimo reformos valdymas ir komunikacija</w:t>
                    </w:r>
                  </w:p>
                </w:tc>
                <w:tc>
                  <w:tcPr>
                    <w:tcW w:w="709" w:type="dxa"/>
                    <w:vMerge w:val="restart"/>
                    <w:shd w:val="clear" w:color="auto" w:fill="F2F2F2" w:themeFill="background1" w:themeFillShade="F2"/>
                  </w:tcPr>
                  <w:p>
                    <w:pPr>
                      <w:rPr>
                        <w:sz w:val="20"/>
                      </w:rPr>
                    </w:pPr>
                    <w:r>
                      <w:rPr>
                        <w:sz w:val="20"/>
                      </w:rPr>
                      <w:t>M</w:t>
                    </w:r>
                  </w:p>
                </w:tc>
                <w:tc>
                  <w:tcPr>
                    <w:tcW w:w="1559" w:type="dxa"/>
                    <w:vMerge w:val="restart"/>
                    <w:shd w:val="clear" w:color="auto" w:fill="F2F2F2" w:themeFill="background1" w:themeFillShade="F2"/>
                  </w:tcPr>
                  <w:p>
                    <w:pPr>
                      <w:rPr>
                        <w:sz w:val="20"/>
                      </w:rPr>
                    </w:pPr>
                    <w:r>
                      <w:rPr>
                        <w:sz w:val="20"/>
                      </w:rPr>
                      <w:t>SAM</w:t>
                    </w:r>
                  </w:p>
                </w:tc>
                <w:tc>
                  <w:tcPr>
                    <w:tcW w:w="709" w:type="dxa"/>
                    <w:vMerge w:val="restart"/>
                    <w:shd w:val="clear" w:color="auto" w:fill="F2F2F2" w:themeFill="background1" w:themeFillShade="F2"/>
                  </w:tcPr>
                  <w:p>
                    <w:pPr>
                      <w:rPr>
                        <w:sz w:val="20"/>
                      </w:rPr>
                    </w:pPr>
                    <w:r>
                      <w:rPr>
                        <w:sz w:val="20"/>
                      </w:rPr>
                      <w:t>P</w:t>
                    </w:r>
                  </w:p>
                </w:tc>
                <w:tc>
                  <w:tcPr>
                    <w:tcW w:w="992" w:type="dxa"/>
                    <w:vMerge w:val="restart"/>
                    <w:shd w:val="clear" w:color="auto" w:fill="F2F2F2" w:themeFill="background1" w:themeFillShade="F2"/>
                  </w:tcPr>
                  <w:p>
                    <w:pPr>
                      <w:rPr>
                        <w:sz w:val="20"/>
                      </w:rPr>
                    </w:pPr>
                    <w:r>
                      <w:rPr>
                        <w:sz w:val="20"/>
                      </w:rPr>
                      <w:t>Taip</w:t>
                    </w:r>
                  </w:p>
                </w:tc>
                <w:tc>
                  <w:tcPr>
                    <w:tcW w:w="709" w:type="dxa"/>
                    <w:vMerge w:val="restart"/>
                    <w:shd w:val="clear" w:color="auto" w:fill="F2F2F2" w:themeFill="background1" w:themeFillShade="F2"/>
                  </w:tcPr>
                  <w:p>
                    <w:pPr>
                      <w:rPr>
                        <w:sz w:val="20"/>
                      </w:rPr>
                    </w:pPr>
                    <w:r>
                      <w:rPr>
                        <w:sz w:val="20"/>
                      </w:rPr>
                      <w:t>D</w:t>
                    </w:r>
                  </w:p>
                </w:tc>
                <w:tc>
                  <w:tcPr>
                    <w:tcW w:w="1276" w:type="dxa"/>
                    <w:vMerge w:val="restart"/>
                    <w:shd w:val="clear" w:color="auto" w:fill="F2F2F2" w:themeFill="background1" w:themeFillShade="F2"/>
                  </w:tcPr>
                  <w:p>
                    <w:pPr>
                      <w:rPr>
                        <w:b/>
                        <w:bCs/>
                        <w:sz w:val="20"/>
                        <w:lang w:val="en-US"/>
                      </w:rPr>
                    </w:pPr>
                    <w:r>
                      <w:rPr>
                        <w:b/>
                        <w:bCs/>
                        <w:sz w:val="20"/>
                        <w:lang w:val="en-US"/>
                      </w:rPr>
                      <w:t>1750</w:t>
                    </w:r>
                  </w:p>
                </w:tc>
                <w:tc>
                  <w:tcPr>
                    <w:tcW w:w="992" w:type="dxa"/>
                    <w:vMerge w:val="restart"/>
                    <w:shd w:val="clear" w:color="auto" w:fill="F2F2F2" w:themeFill="background1" w:themeFillShade="F2"/>
                  </w:tcPr>
                  <w:p>
                    <w:pPr>
                      <w:rPr>
                        <w:sz w:val="20"/>
                      </w:rPr>
                    </w:pPr>
                    <w:r>
                      <w:rPr>
                        <w:sz w:val="20"/>
                      </w:rPr>
                      <w:t>VB</w:t>
                    </w:r>
                  </w:p>
                </w:tc>
                <w:tc>
                  <w:tcPr>
                    <w:tcW w:w="2551" w:type="dxa"/>
                    <w:shd w:val="clear" w:color="auto" w:fill="F2F2F2" w:themeFill="background1" w:themeFillShade="F2"/>
                  </w:tcPr>
                  <w:p>
                    <w:pPr>
                      <w:ind w:left="-57" w:right="-57"/>
                      <w:rPr>
                        <w:sz w:val="20"/>
                      </w:rPr>
                    </w:pPr>
                    <w:r>
                      <w:rPr>
                        <w:sz w:val="20"/>
                      </w:rPr>
                      <w:t xml:space="preserve">P </w:t>
                    </w:r>
                    <w:r>
                      <w:rPr>
                        <w:color w:val="000000"/>
                        <w:szCs w:val="24"/>
                      </w:rPr>
                      <w:t xml:space="preserve">– </w:t>
                    </w:r>
                    <w:r>
                      <w:rPr>
                        <w:sz w:val="20"/>
                      </w:rPr>
                      <w:t>Parengta reformos komunikacijos strategija, vnt.</w:t>
                    </w:r>
                  </w:p>
                </w:tc>
                <w:tc>
                  <w:tcPr>
                    <w:tcW w:w="851" w:type="dxa"/>
                    <w:shd w:val="clear" w:color="auto" w:fill="F2F2F2" w:themeFill="background1" w:themeFillShade="F2"/>
                  </w:tcPr>
                  <w:p>
                    <w:pPr>
                      <w:ind w:left="-57" w:right="-57"/>
                      <w:jc w:val="center"/>
                      <w:rPr>
                        <w:sz w:val="20"/>
                      </w:rPr>
                    </w:pPr>
                    <w:r>
                      <w:rPr>
                        <w:sz w:val="20"/>
                      </w:rPr>
                      <w:t>1</w:t>
                    </w:r>
                  </w:p>
                  <w:p>
                    <w:pPr>
                      <w:ind w:left="-57" w:right="-57"/>
                      <w:jc w:val="center"/>
                      <w:rPr>
                        <w:sz w:val="20"/>
                      </w:rPr>
                    </w:pPr>
                    <w:r>
                      <w:rPr>
                        <w:sz w:val="20"/>
                      </w:rPr>
                      <w:t>(2023 m.)</w:t>
                    </w:r>
                  </w:p>
                </w:tc>
                <w:tc>
                  <w:tcPr>
                    <w:tcW w:w="992" w:type="dxa"/>
                    <w:shd w:val="clear" w:color="auto" w:fill="F2F2F2" w:themeFill="background1" w:themeFillShade="F2"/>
                  </w:tcPr>
                  <w:p>
                    <w:pPr>
                      <w:rPr>
                        <w:sz w:val="20"/>
                      </w:rPr>
                    </w:pPr>
                    <w:r>
                      <w:rPr>
                        <w:sz w:val="20"/>
                      </w:rPr>
                      <w:t>SAM</w:t>
                    </w:r>
                  </w:p>
                </w:tc>
                <w:tc>
                  <w:tcPr>
                    <w:tcW w:w="1276" w:type="dxa"/>
                    <w:tcBorders>
                      <w:left w:val="single" w:sz="4" w:space="0" w:color="auto"/>
                      <w:right w:val="single" w:sz="4" w:space="0" w:color="auto"/>
                    </w:tcBorders>
                    <w:shd w:val="clear" w:color="auto" w:fill="F2F2F2" w:themeFill="background1" w:themeFillShade="F2"/>
                    <w:vAlign w:val="center"/>
                  </w:tcPr>
                  <w:p>
                    <w:pPr>
                      <w:rPr>
                        <w:color w:val="000000"/>
                        <w:sz w:val="20"/>
                      </w:rPr>
                    </w:pPr>
                    <w:r>
                      <w:rPr>
                        <w:color w:val="000000"/>
                        <w:sz w:val="20"/>
                      </w:rPr>
                      <w:t>-</w:t>
                    </w: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vMerge/>
                    <w:shd w:val="clear" w:color="auto" w:fill="F2F2F2" w:themeFill="background1" w:themeFillShade="F2"/>
                  </w:tcPr>
                  <w:p>
                    <w:pPr>
                      <w:rPr>
                        <w:b/>
                        <w:bCs/>
                        <w:sz w:val="20"/>
                        <w:lang w:val="en-US"/>
                      </w:rPr>
                    </w:pPr>
                  </w:p>
                </w:tc>
                <w:tc>
                  <w:tcPr>
                    <w:tcW w:w="992" w:type="dxa"/>
                    <w:vMerge/>
                    <w:shd w:val="clear" w:color="auto" w:fill="F2F2F2" w:themeFill="background1" w:themeFillShade="F2"/>
                  </w:tcPr>
                  <w:p>
                    <w:pPr>
                      <w:rPr>
                        <w:sz w:val="20"/>
                      </w:rPr>
                    </w:pPr>
                  </w:p>
                </w:tc>
                <w:tc>
                  <w:tcPr>
                    <w:tcW w:w="2551" w:type="dxa"/>
                    <w:shd w:val="clear" w:color="auto" w:fill="F2F2F2" w:themeFill="background1" w:themeFillShade="F2"/>
                  </w:tcPr>
                  <w:p>
                    <w:pPr>
                      <w:ind w:left="-57" w:right="-57"/>
                      <w:rPr>
                        <w:sz w:val="20"/>
                      </w:rPr>
                    </w:pPr>
                    <w:r>
                      <w:rPr>
                        <w:sz w:val="20"/>
                        <w:lang w:eastAsia="lt-LT"/>
                      </w:rPr>
                      <w:t xml:space="preserve">P </w:t>
                    </w:r>
                    <w:r>
                      <w:rPr>
                        <w:sz w:val="20"/>
                      </w:rPr>
                      <w:t>–</w:t>
                    </w:r>
                    <w:r>
                      <w:rPr>
                        <w:sz w:val="20"/>
                        <w:lang w:eastAsia="lt-LT"/>
                      </w:rPr>
                      <w:t xml:space="preserve"> Sveikatos įstaigų ir agentūrų viešųjų pirkimų centralizavimo plano priėmimas</w:t>
                    </w:r>
                  </w:p>
                </w:tc>
                <w:tc>
                  <w:tcPr>
                    <w:tcW w:w="851" w:type="dxa"/>
                    <w:shd w:val="clear" w:color="auto" w:fill="F2F2F2" w:themeFill="background1" w:themeFillShade="F2"/>
                  </w:tcPr>
                  <w:p>
                    <w:pPr>
                      <w:jc w:val="center"/>
                      <w:rPr>
                        <w:sz w:val="20"/>
                      </w:rPr>
                    </w:pPr>
                    <w:r>
                      <w:rPr>
                        <w:sz w:val="20"/>
                      </w:rPr>
                      <w:t>1</w:t>
                    </w:r>
                  </w:p>
                  <w:p>
                    <w:pPr>
                      <w:ind w:left="-57" w:right="-57"/>
                      <w:jc w:val="center"/>
                      <w:rPr>
                        <w:sz w:val="20"/>
                      </w:rPr>
                    </w:pPr>
                    <w:r>
                      <w:rPr>
                        <w:sz w:val="20"/>
                      </w:rPr>
                      <w:t>(202</w:t>
                    </w:r>
                    <w:r>
                      <w:rPr>
                        <w:sz w:val="20"/>
                        <w:lang w:val="en-US"/>
                      </w:rPr>
                      <w:t>3</w:t>
                    </w:r>
                    <w:r>
                      <w:rPr>
                        <w:sz w:val="20"/>
                      </w:rPr>
                      <w:t xml:space="preserve"> m. II ketv.)</w:t>
                    </w:r>
                  </w:p>
                </w:tc>
                <w:tc>
                  <w:tcPr>
                    <w:tcW w:w="992" w:type="dxa"/>
                    <w:shd w:val="clear" w:color="auto" w:fill="F2F2F2" w:themeFill="background1" w:themeFillShade="F2"/>
                  </w:tcPr>
                  <w:p>
                    <w:pPr>
                      <w:rPr>
                        <w:sz w:val="20"/>
                      </w:rPr>
                    </w:pPr>
                  </w:p>
                </w:tc>
                <w:tc>
                  <w:tcPr>
                    <w:tcW w:w="1276" w:type="dxa"/>
                    <w:tcBorders>
                      <w:left w:val="single" w:sz="4" w:space="0" w:color="auto"/>
                      <w:right w:val="single" w:sz="4" w:space="0" w:color="auto"/>
                    </w:tcBorders>
                    <w:shd w:val="clear" w:color="auto" w:fill="F2F2F2" w:themeFill="background1" w:themeFillShade="F2"/>
                    <w:vAlign w:val="center"/>
                  </w:tcPr>
                  <w:p>
                    <w:pPr>
                      <w:rPr>
                        <w:color w:val="000000"/>
                        <w:sz w:val="20"/>
                      </w:rPr>
                    </w:pPr>
                    <w:r>
                      <w:rPr>
                        <w:color w:val="000000"/>
                        <w:sz w:val="20"/>
                      </w:rPr>
                      <w:t>SAM</w:t>
                    </w:r>
                  </w:p>
                </w:tc>
              </w:tr>
            </w:tbl>
            <w:p>
              <w:pPr>
                <w:ind w:left="142" w:hanging="142"/>
                <w:jc w:val="both"/>
                <w:rPr>
                  <w:bCs/>
                  <w:sz w:val="22"/>
                  <w:szCs w:val="22"/>
                </w:rPr>
              </w:pPr>
              <w:r>
                <w:rPr>
                  <w:bCs/>
                  <w:sz w:val="22"/>
                  <w:szCs w:val="22"/>
                </w:rPr>
                <w:t xml:space="preserve">Sutrumpinimai: </w:t>
              </w:r>
            </w:p>
            <w:p>
              <w:pPr>
                <w:jc w:val="both"/>
                <w:rPr>
                  <w:sz w:val="22"/>
                  <w:szCs w:val="22"/>
                </w:rPr>
              </w:pPr>
              <w:r>
                <w:rPr>
                  <w:sz w:val="22"/>
                  <w:szCs w:val="22"/>
                </w:rPr>
                <w:t>2 skiltyje: R – reguliacinė (-is), I – investicinė (-is), K – komunikacinė (-is), A – analitinė (-is), M – mišri (-us);</w:t>
              </w:r>
            </w:p>
            <w:p>
              <w:pPr>
                <w:jc w:val="both"/>
                <w:rPr>
                  <w:sz w:val="22"/>
                  <w:szCs w:val="22"/>
                </w:rPr>
              </w:pPr>
              <w:r>
                <w:rPr>
                  <w:sz w:val="22"/>
                  <w:szCs w:val="22"/>
                </w:rPr>
                <w:t xml:space="preserve">4 skiltyje: P – planavimas, vykdomas pagal 2022–2030 metų plėtros programos valdytojos Lietuvos Respublikos sveikatos apsaugos ministerijos sveikatos priežiūros kokybės ir efektyvumo didinimo plėtros programos pažangos priemonės Nr. 11-002-02-11-01 „Gerinti sveikatos priežiūros paslaugų kokybę ir prieinamumą“ </w:t>
              </w:r>
              <w:r>
                <w:rPr>
                  <w:bCs/>
                  <w:sz w:val="22"/>
                  <w:szCs w:val="22"/>
                </w:rPr>
                <w:t xml:space="preserve">projektų finansavimo sąlygų aprašus (2022–2030 metų </w:t>
              </w:r>
              <w:r>
                <w:rPr>
                  <w:sz w:val="22"/>
                  <w:szCs w:val="22"/>
                </w:rPr>
                <w:t>plėtros programos valdytojos Lietuvos Respublikos sveikatos apsaugos ministerijos sveikatos priežiūros kokybės ir efektyvumo didinimo plėtros programos pažangos priemonės Nr. 11-002-02-11-01 „Gerinti sveikatos priežiūros paslaugų kokybę ir prieinamumą“</w:t>
              </w:r>
              <w:r>
                <w:rPr>
                  <w:bCs/>
                  <w:i/>
                  <w:sz w:val="22"/>
                  <w:szCs w:val="22"/>
                  <w:lang w:eastAsia="lt-LT"/>
                </w:rPr>
                <w:t xml:space="preserve"> </w:t>
              </w:r>
              <w:r>
                <w:rPr>
                  <w:bCs/>
                  <w:sz w:val="22"/>
                  <w:szCs w:val="22"/>
                  <w:lang w:eastAsia="lt-LT"/>
                </w:rPr>
                <w:t xml:space="preserve">aprašo priedai), </w:t>
              </w:r>
              <w:r>
                <w:rPr>
                  <w:sz w:val="22"/>
                  <w:szCs w:val="22"/>
                </w:rPr>
                <w:t>K – konkursas, T – tęstinė atranka, Pj – planavimas, kai ketinama įgyvendinti jungtinį projektą;</w:t>
              </w:r>
            </w:p>
            <w:p>
              <w:pPr>
                <w:ind w:firstLine="57"/>
                <w:jc w:val="both"/>
                <w:rPr>
                  <w:sz w:val="22"/>
                  <w:szCs w:val="22"/>
                </w:rPr>
              </w:pPr>
            </w:p>
            <w:p>
              <w:pPr>
                <w:ind w:left="142" w:hanging="142"/>
                <w:jc w:val="both"/>
                <w:rPr>
                  <w:sz w:val="22"/>
                  <w:szCs w:val="22"/>
                </w:rPr>
              </w:pPr>
              <w:r>
                <w:rPr>
                  <w:sz w:val="22"/>
                  <w:szCs w:val="22"/>
                </w:rPr>
                <w:t>6 skiltyje: DS – dotacija taikant sąlygas, D – dotacija, FP – finansinė priemonė, A – apdovanojimai;</w:t>
              </w:r>
            </w:p>
            <w:p>
              <w:pPr>
                <w:jc w:val="both"/>
                <w:rPr>
                  <w:sz w:val="22"/>
                  <w:szCs w:val="22"/>
                </w:rPr>
              </w:pPr>
              <w:r>
                <w:rPr>
                  <w:iCs/>
                  <w:sz w:val="22"/>
                  <w:szCs w:val="22"/>
                </w:rPr>
                <w:t xml:space="preserve">9 skiltyje:  R </w:t>
              </w:r>
              <w:r>
                <w:rPr>
                  <w:sz w:val="22"/>
                  <w:szCs w:val="22"/>
                </w:rPr>
                <w:t>–</w:t>
              </w:r>
              <w:r>
                <w:rPr>
                  <w:iCs/>
                  <w:sz w:val="22"/>
                  <w:szCs w:val="22"/>
                </w:rPr>
                <w:t xml:space="preserve"> </w:t>
              </w:r>
              <w:r>
                <w:rPr>
                  <w:sz w:val="22"/>
                  <w:szCs w:val="22"/>
                </w:rPr>
                <w:t>rezultato rodiklis, P – produkto rodiklis.</w:t>
              </w:r>
            </w:p>
            <w:p>
              <w:pPr>
                <w:jc w:val="both"/>
                <w:rPr>
                  <w:sz w:val="22"/>
                  <w:szCs w:val="22"/>
                </w:rPr>
              </w:pPr>
            </w:p>
          </w:sdtContent>
        </w:sdt>
        <w:sdt>
          <w:sdtPr>
            <w:alias w:val="pabaiga"/>
            <w:tag w:val="part_409a53616be741a5b39ea703920f091a"/>
            <w:lock w:val="sdtLocked"/>
            <w:richText/>
          </w:sdtPr>
          <w:sdtContent>
            <w:p>
              <w:pPr>
                <w:jc w:val="center"/>
              </w:pPr>
              <w:r>
                <w:rPr>
                  <w:sz w:val="22"/>
                  <w:szCs w:val="22"/>
                </w:rPr>
                <w:t>________________</w:t>
              </w:r>
            </w:p>
          </w:sdtContent>
        </w:sdt>
        <w:p/>
        <w:p/>
        <w:p/>
        <w:p>
          <w:pPr>
            <w:pStyle w:val="PlainText"/>
            <w:rPr>
              <w:rFonts w:ascii="Arial" w:eastAsia="MS Mincho" w:hAnsi="Arial"/>
              <w:sz w:val="20"/>
              <w:b/>
              <w:iCs/>
            </w:rPr>
          </w:pPr>
          <w:r>
            <w:rPr>
              <w:rFonts w:ascii="Arial" w:eastAsia="MS Mincho" w:hAnsi="Arial"/>
              <w:sz w:val="20"/>
              <w:b/>
              <w:iCs/>
            </w:rPr>
            <w:t>Priedų pakeitimai:</w:t>
          </w:r>
        </w:p>
        <w:p/>
        <w:p>
          <w:pPr>
            <w:pStyle w:val="PlainText"/>
            <w:rPr>
              <w:rFonts w:ascii="Arial" w:eastAsia="MS Mincho" w:hAnsi="Arial"/>
              <w:sz w:val="20"/>
              <w:iCs/>
            </w:rPr>
          </w:pPr>
          <w:r>
            <w:rPr>
              <w:rFonts w:ascii="Arial" w:eastAsia="MS Mincho" w:hAnsi="Arial"/>
              <w:sz w:val="20"/>
              <w:iCs/>
            </w:rPr>
            <w:t>3.2 priedas</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9e449e05f7411edbc04912defe897d1">
            <w:r w:rsidRPr="00532B9F">
              <w:rPr>
                <w:rFonts w:ascii="Arial" w:eastAsia="MS Mincho" w:hAnsi="Arial"/>
                <w:sz w:val="20"/>
                <w:i/>
                <w:iCs/>
                <w:color w:val="0000FF" w:themeColor="hyperlink"/>
                <w:u w:val="single"/>
              </w:rPr>
              <w:t>V-1640</w:t>
            </w:r>
          </w:fldSimple>
          <w:r>
            <w:rPr>
              <w:rFonts w:ascii="Arial" w:eastAsia="MS Mincho" w:hAnsi="Arial"/>
              <w:sz w:val="20"/>
              <w:i/>
              <w:iCs/>
            </w:rPr>
            <w:t>,
2022-11-08,
paskelbta TAR 2022-11-08, i. k. 2022-22630        </w:t>
          </w:r>
        </w:p>
        <w:p>
          <w:pPr>
            <w:pStyle w:val="PlainText"/>
            <w:rPr>
              <w:rFonts w:ascii="Arial" w:eastAsia="MS Mincho" w:hAnsi="Arial"/>
              <w:sz w:val="20"/>
              <w:i/>
              <w:iCs/>
            </w:rPr>
          </w:pPr>
          <w:r>
            <w:rPr>
              <w:rFonts w:ascii="Arial" w:eastAsia="MS Mincho" w:hAnsi="Arial"/>
              <w:sz w:val="20"/>
              <w:i/>
              <w:iCs/>
            </w:rPr>
            <w:t>Neteko galios nuo: 2022-12-15</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84fa5f07b6f11edbc04912defe897d1">
            <w:r w:rsidRPr="00532B9F">
              <w:rPr>
                <w:rFonts w:ascii="Arial" w:eastAsia="MS Mincho" w:hAnsi="Arial"/>
                <w:sz w:val="20"/>
                <w:i/>
                <w:iCs/>
                <w:color w:val="0000FF" w:themeColor="hyperlink"/>
                <w:u w:val="single"/>
              </w:rPr>
              <w:t>V-1854</w:t>
            </w:r>
          </w:fldSimple>
          <w:r>
            <w:rPr>
              <w:rFonts w:ascii="Arial" w:eastAsia="MS Mincho" w:hAnsi="Arial"/>
              <w:sz w:val="20"/>
              <w:i/>
              <w:iCs/>
            </w:rPr>
            <w:t>,
2022-12-14,
paskelbta TAR 2022-12-14, i. k. 2022-25434        </w:t>
          </w:r>
        </w:p>
        <w:p/>
        <w:p>
          <w:pPr>
            <w:pStyle w:val="PlainText"/>
            <w:rPr>
              <w:rFonts w:ascii="Arial" w:eastAsia="MS Mincho" w:hAnsi="Arial"/>
              <w:sz w:val="20"/>
              <w:iCs/>
            </w:rPr>
          </w:pPr>
          <w:r>
            <w:rPr>
              <w:rFonts w:ascii="Arial" w:eastAsia="MS Mincho" w:hAnsi="Arial"/>
              <w:sz w:val="20"/>
              <w:iCs/>
            </w:rPr>
            <w:t>PžP aprašo 1 priedas. 4.2 poveiklės Sveikatos priežiūros specialistų kompetencijų platformos sukūrimas PFSA (V-572)</w:t>
          </w:r>
        </w:p>
        <w:p/>
        <w:p>
          <w:pPr>
            <w:pStyle w:val="PlainText"/>
            <w:rPr>
              <w:rFonts w:ascii="Arial" w:eastAsia="MS Mincho" w:hAnsi="Arial"/>
              <w:sz w:val="20"/>
              <w:iCs/>
            </w:rPr>
          </w:pPr>
          <w:r>
            <w:rPr>
              <w:rFonts w:ascii="Arial" w:eastAsia="MS Mincho" w:hAnsi="Arial"/>
              <w:sz w:val="20"/>
              <w:iCs/>
            </w:rPr>
            <w:t>PžP aprašo 2 priedas. 2.2 poveiklės Infekcinių ligų klasterių centrų įrengimas PFSA (V-572)</w:t>
          </w:r>
        </w:p>
        <w:p/>
        <w:p>
          <w:pPr>
            <w:pStyle w:val="PlainText"/>
            <w:rPr>
              <w:rFonts w:ascii="Arial" w:eastAsia="MS Mincho" w:hAnsi="Arial"/>
              <w:sz w:val="20"/>
              <w:iCs/>
            </w:rPr>
          </w:pPr>
          <w:r>
            <w:rPr>
              <w:rFonts w:ascii="Arial" w:eastAsia="MS Mincho" w:hAnsi="Arial"/>
              <w:sz w:val="20"/>
              <w:iCs/>
            </w:rPr>
            <w:t>PžP aprašo 3 priedas. 3.2 poveiklės Genomo tyrimams atlikti reikalingos įrangos įsigijimas ir tyrimų atlikimas PFSA (V-572)</w:t>
          </w:r>
        </w:p>
        <w:p/>
        <w:p>
          <w:pPr>
            <w:pStyle w:val="PlainText"/>
            <w:rPr>
              <w:rFonts w:ascii="Arial" w:eastAsia="MS Mincho" w:hAnsi="Arial"/>
              <w:sz w:val="20"/>
              <w:iCs/>
            </w:rPr>
          </w:pPr>
          <w:r>
            <w:rPr>
              <w:rFonts w:ascii="Arial" w:eastAsia="MS Mincho" w:hAnsi="Arial"/>
              <w:sz w:val="20"/>
              <w:iCs/>
            </w:rPr>
            <w:t>PžP aprašo 4 priedas. 4.4 poveiklės Sveikatos sektoriaus skaitmeninimo projektai_VVKT_ PFSA (V-572)</w:t>
          </w:r>
        </w:p>
        <w:p/>
        <w:p>
          <w:pPr>
            <w:pStyle w:val="PlainText"/>
            <w:rPr>
              <w:rFonts w:ascii="Arial" w:eastAsia="MS Mincho" w:hAnsi="Arial"/>
              <w:sz w:val="20"/>
              <w:iCs/>
            </w:rPr>
          </w:pPr>
          <w:r>
            <w:rPr>
              <w:rFonts w:ascii="Arial" w:eastAsia="MS Mincho" w:hAnsi="Arial"/>
              <w:sz w:val="20"/>
              <w:iCs/>
            </w:rPr>
            <w:t>PžP aprašo 5 priedas. 4.4 poveiklės Sveikatos sektoriaus skaitmeninimo projektai_ESVIS_ PFSA (V-572)</w:t>
          </w:r>
        </w:p>
        <w:p/>
        <w:p>
          <w:pPr>
            <w:pStyle w:val="PlainText"/>
            <w:rPr>
              <w:rFonts w:ascii="Arial" w:eastAsia="MS Mincho" w:hAnsi="Arial"/>
              <w:sz w:val="20"/>
              <w:iCs/>
            </w:rPr>
          </w:pPr>
          <w:r>
            <w:rPr>
              <w:rFonts w:ascii="Arial" w:eastAsia="MS Mincho" w:hAnsi="Arial"/>
              <w:sz w:val="20"/>
              <w:iCs/>
            </w:rPr>
            <w:t>PžP aprašo 6 priedas. 2.3 poveiklės Regioninių sveikatos priežiūros įstaigų infrastruktūros modernizavimas PFSA V-572)</w:t>
          </w:r>
        </w:p>
        <w:p/>
        <w:p>
          <w:pPr>
            <w:pStyle w:val="PlainText"/>
            <w:rPr>
              <w:rFonts w:ascii="Arial" w:eastAsia="MS Mincho" w:hAnsi="Arial"/>
              <w:sz w:val="20"/>
              <w:iCs/>
            </w:rPr>
          </w:pPr>
          <w:r>
            <w:rPr>
              <w:rFonts w:ascii="Arial" w:eastAsia="MS Mincho" w:hAnsi="Arial"/>
              <w:sz w:val="20"/>
              <w:iCs/>
            </w:rPr>
            <w:t>PžP aprašo 7 priedas 3.1 poveiklės Pažangios terapijos centro statyba PFSA (V-572)</w:t>
          </w:r>
        </w:p>
        <w:p/>
        <w:p>
          <w:pPr>
            <w:pStyle w:val="PlainText"/>
            <w:rPr>
              <w:rFonts w:ascii="Arial" w:eastAsia="MS Mincho" w:hAnsi="Arial"/>
              <w:sz w:val="20"/>
              <w:iCs/>
            </w:rPr>
          </w:pPr>
          <w:r>
            <w:rPr>
              <w:rFonts w:ascii="Arial" w:eastAsia="MS Mincho" w:hAnsi="Arial"/>
              <w:sz w:val="20"/>
              <w:iCs/>
            </w:rPr>
            <w:t>PžP aprašo 8 priedas. 8.2 poveiklės Bandomojo pavėžėjimo paslaugų teikimo projekto įgyvendinimasPFSA (V-572)</w:t>
          </w:r>
        </w:p>
        <w:p/>
        <w:p>
          <w:pPr>
            <w:pStyle w:val="PlainText"/>
            <w:rPr>
              <w:rFonts w:ascii="Arial" w:eastAsia="MS Mincho" w:hAnsi="Arial"/>
              <w:sz w:val="20"/>
              <w:iCs/>
            </w:rPr>
          </w:pPr>
          <w:r>
            <w:rPr>
              <w:rFonts w:ascii="Arial" w:eastAsia="MS Mincho" w:hAnsi="Arial"/>
              <w:sz w:val="20"/>
              <w:iCs/>
            </w:rPr>
            <w:t>PžP aprašo 9 priedas. 4.3 poveiklės Sveikatos priežiūros paslaugų kokybės vertinimo modelio (rodiklių švieslentės)1 (V-572)</w:t>
          </w:r>
        </w:p>
        <w:p/>
        <w:p>
          <w:pPr>
            <w:pStyle w:val="PlainText"/>
            <w:rPr>
              <w:rFonts w:ascii="Arial" w:eastAsia="MS Mincho" w:hAnsi="Arial"/>
              <w:sz w:val="20"/>
              <w:iCs/>
            </w:rPr>
          </w:pPr>
          <w:r>
            <w:rPr>
              <w:rFonts w:ascii="Arial" w:eastAsia="MS Mincho" w:hAnsi="Arial"/>
              <w:sz w:val="20"/>
              <w:iCs/>
            </w:rPr>
            <w:t>PžP aprašo 10 priedas. 9.2 ir 9.3 poveiklių GMP automobilių įrangos įsigijimas ir greitosios medicinos pagalbos st2 (V-572)</w:t>
          </w:r>
        </w:p>
        <w:p/>
        <w:p>
          <w:pPr>
            <w:pStyle w:val="PlainText"/>
            <w:rPr>
              <w:rFonts w:ascii="Arial" w:eastAsia="MS Mincho" w:hAnsi="Arial"/>
              <w:sz w:val="20"/>
              <w:iCs/>
            </w:rPr>
          </w:pPr>
          <w:r>
            <w:rPr>
              <w:rFonts w:ascii="Arial" w:eastAsia="MS Mincho" w:hAnsi="Arial"/>
              <w:sz w:val="20"/>
              <w:iCs/>
            </w:rPr>
            <w:t>PžP aprašo 11 priedas. 7.4 poveiklės Integruotų psichikos sveikatos paslaugų bei modelių išbandymas ir diegimas PF3 (V-678)</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75d7600350d11efbdaea558de59136c">
            <w:r w:rsidRPr="00532B9F">
              <w:rPr>
                <w:rFonts w:ascii="Arial" w:eastAsia="MS Mincho" w:hAnsi="Arial"/>
                <w:sz w:val="20"/>
                <w:i/>
                <w:iCs/>
                <w:color w:val="0000FF" w:themeColor="hyperlink"/>
                <w:u w:val="single"/>
              </w:rPr>
              <w:t>V-678</w:t>
            </w:r>
          </w:fldSimple>
          <w:r>
            <w:rPr>
              <w:rFonts w:ascii="Arial" w:eastAsia="MS Mincho" w:hAnsi="Arial"/>
              <w:sz w:val="20"/>
              <w:i/>
              <w:iCs/>
            </w:rPr>
            <w:t>,
2024-06-28,
paskelbta TAR 2024-06-28, i. k. 2024-11942        </w:t>
          </w:r>
        </w:p>
        <w:p/>
        <w:p>
          <w:pPr>
            <w:pStyle w:val="PlainText"/>
            <w:rPr>
              <w:rFonts w:ascii="Arial" w:eastAsia="MS Mincho" w:hAnsi="Arial"/>
              <w:sz w:val="20"/>
              <w:iCs/>
            </w:rPr>
          </w:pPr>
          <w:r>
            <w:rPr>
              <w:rFonts w:ascii="Arial" w:eastAsia="MS Mincho" w:hAnsi="Arial"/>
              <w:sz w:val="20"/>
              <w:iCs/>
            </w:rPr>
            <w:t>PžP aprašo 12 priedas. 4.4 poveiklės Sveikatos sektoriaus skaitmeninimo projektai_dekomponavimas_ PFSA (V-572)</w:t>
          </w:r>
        </w:p>
        <w:p/>
        <w:p>
          <w:pPr>
            <w:pStyle w:val="PlainText"/>
            <w:rPr>
              <w:rFonts w:ascii="Arial" w:eastAsia="MS Mincho" w:hAnsi="Arial"/>
              <w:sz w:val="20"/>
              <w:iCs/>
            </w:rPr>
          </w:pPr>
          <w:r>
            <w:rPr>
              <w:rFonts w:ascii="Arial" w:eastAsia="MS Mincho" w:hAnsi="Arial"/>
              <w:sz w:val="20"/>
              <w:iCs/>
            </w:rPr>
            <w:t>PžP aprašo 13 priedas. 7.1_7.2 poveiklių Ambulator. psich. sveikatos paslaugų ir psichosocialinės reabilitacijos p4</w:t>
          </w:r>
        </w:p>
        <w:p/>
        <w:p>
          <w:pPr>
            <w:pStyle w:val="PlainText"/>
            <w:rPr>
              <w:rFonts w:ascii="Arial" w:eastAsia="MS Mincho" w:hAnsi="Arial"/>
              <w:sz w:val="20"/>
              <w:iCs/>
            </w:rPr>
          </w:pPr>
          <w:r>
            <w:rPr>
              <w:rFonts w:ascii="Arial" w:eastAsia="MS Mincho" w:hAnsi="Arial"/>
              <w:sz w:val="20"/>
              <w:iCs/>
            </w:rPr>
            <w:t>PžP aprašo 14 priedas. 4.4 poveiklės Sveikatos sektoriaus skaitmeninimo projektai_GMP_ PFSA (V-572)</w:t>
          </w:r>
        </w:p>
        <w:p/>
        <w:p>
          <w:pPr>
            <w:pStyle w:val="PlainText"/>
            <w:rPr>
              <w:rFonts w:ascii="Arial" w:eastAsia="MS Mincho" w:hAnsi="Arial"/>
              <w:sz w:val="20"/>
              <w:iCs/>
            </w:rPr>
          </w:pPr>
          <w:r>
            <w:rPr>
              <w:rFonts w:ascii="Arial" w:eastAsia="MS Mincho" w:hAnsi="Arial"/>
              <w:sz w:val="20"/>
              <w:iCs/>
            </w:rPr>
            <w:t>PžP aprašo 15 priedas. 11.4 poveiklės Ilgalaikės priežiūros paslaugas teikiančių specialistų parengimas PFSA (V-572)</w:t>
          </w:r>
        </w:p>
        <w:p/>
        <w:p>
          <w:pPr>
            <w:pStyle w:val="PlainText"/>
            <w:rPr>
              <w:rFonts w:ascii="Arial" w:eastAsia="MS Mincho" w:hAnsi="Arial"/>
              <w:sz w:val="20"/>
              <w:iCs/>
            </w:rPr>
          </w:pPr>
          <w:r>
            <w:rPr>
              <w:rFonts w:ascii="Arial" w:eastAsia="MS Mincho" w:hAnsi="Arial"/>
              <w:sz w:val="20"/>
              <w:iCs/>
            </w:rPr>
            <w:t>PžP aprašo 16 priedas. 4.4 poveiklės Sveikatos sektoriaus skaitmeninimo projektai_ULSVIS_ PFSA (V-572)</w:t>
          </w:r>
        </w:p>
        <w:p/>
        <w:p>
          <w:pPr>
            <w:pStyle w:val="PlainText"/>
            <w:rPr>
              <w:rFonts w:ascii="Arial" w:eastAsia="MS Mincho" w:hAnsi="Arial"/>
              <w:sz w:val="20"/>
              <w:iCs/>
            </w:rPr>
          </w:pPr>
          <w:r>
            <w:rPr>
              <w:rFonts w:ascii="Arial" w:eastAsia="MS Mincho" w:hAnsi="Arial"/>
              <w:sz w:val="20"/>
              <w:iCs/>
            </w:rPr>
            <w:t>PžP aprašo 17 priedas. 4.4 poveiklės Sveikatos sektoriaus skaitmeninimo projektai_VLK_ PFSA (V-572)</w:t>
          </w:r>
        </w:p>
        <w:p/>
        <w:p>
          <w:pPr>
            <w:pStyle w:val="PlainText"/>
            <w:rPr>
              <w:rFonts w:ascii="Arial" w:eastAsia="MS Mincho" w:hAnsi="Arial"/>
              <w:sz w:val="20"/>
              <w:iCs/>
            </w:rPr>
          </w:pPr>
          <w:r>
            <w:rPr>
              <w:rFonts w:ascii="Arial" w:eastAsia="MS Mincho" w:hAnsi="Arial"/>
              <w:sz w:val="20"/>
              <w:iCs/>
            </w:rPr>
            <w:t>PžP aprašo 18 priedas. 1.2 Ilgalaikės priežiūros DS įrengimas_1.4 Mobiliųjų komandų aprūpinimas įranga ir transpor5 (V-572)</w:t>
          </w:r>
        </w:p>
        <w:p/>
        <w:p>
          <w:pPr>
            <w:pStyle w:val="PlainText"/>
            <w:rPr>
              <w:rFonts w:ascii="Arial" w:eastAsia="MS Mincho" w:hAnsi="Arial"/>
              <w:sz w:val="20"/>
              <w:iCs/>
            </w:rPr>
          </w:pPr>
          <w:r>
            <w:rPr>
              <w:rFonts w:ascii="Arial" w:eastAsia="MS Mincho" w:hAnsi="Arial"/>
              <w:sz w:val="20"/>
              <w:iCs/>
            </w:rPr>
            <w:t>PžP aprašo 19 priedas. 6.2-6.5 poveiklių Sveikatos centro sudėtyje teikiamų sveikatos priežiūros paslaugų infrastr6 (V-572)</w:t>
          </w:r>
        </w:p>
        <w:p/>
        <w:p>
          <w:pPr>
            <w:pStyle w:val="PlainText"/>
            <w:rPr>
              <w:rFonts w:ascii="Arial" w:eastAsia="MS Mincho" w:hAnsi="Arial"/>
              <w:sz w:val="20"/>
              <w:iCs/>
            </w:rPr>
          </w:pPr>
          <w:r>
            <w:rPr>
              <w:rFonts w:ascii="Arial" w:eastAsia="MS Mincho" w:hAnsi="Arial"/>
              <w:sz w:val="20"/>
              <w:iCs/>
            </w:rPr>
            <w:t>PžP aprašo 20 priedas. 4.4 poveiklės Sveikatos sektoriaus skaitmeninimo projektai_EuroHeart_ PFSA (V-572)</w:t>
          </w:r>
        </w:p>
        <w:p/>
        <w:p>
          <w:pPr>
            <w:pStyle w:val="PlainText"/>
            <w:rPr>
              <w:rFonts w:ascii="Arial" w:eastAsia="MS Mincho" w:hAnsi="Arial"/>
              <w:sz w:val="20"/>
              <w:iCs/>
            </w:rPr>
          </w:pPr>
          <w:r>
            <w:rPr>
              <w:rFonts w:ascii="Arial" w:eastAsia="MS Mincho" w:hAnsi="Arial"/>
              <w:sz w:val="20"/>
              <w:iCs/>
            </w:rPr>
            <w:t>PžP aprašo 21 priedas. 2.4-2.5 poveiklių Regionų ir savivaldybių sveikatos priežiūros įstaigų infrastruktūros mod7 (V-572)</w:t>
          </w:r>
        </w:p>
        <w:p/>
        <w:p>
          <w:pPr>
            <w:pStyle w:val="PlainText"/>
            <w:rPr>
              <w:rFonts w:ascii="Arial" w:eastAsia="MS Mincho" w:hAnsi="Arial"/>
              <w:sz w:val="20"/>
              <w:iCs/>
            </w:rPr>
          </w:pPr>
          <w:r>
            <w:rPr>
              <w:rFonts w:ascii="Arial" w:eastAsia="MS Mincho" w:hAnsi="Arial"/>
              <w:sz w:val="20"/>
              <w:iCs/>
            </w:rPr>
            <w:t>PžP aprašo 22 priedas. 4.4 poveiklės Sveikatos sektoriaus skaitmeninimo projektai_PFSA (V-572)</w:t>
          </w:r>
        </w:p>
        <w:p/>
        <w:p>
          <w:pPr>
            <w:pStyle w:val="PlainText"/>
            <w:rPr>
              <w:rFonts w:ascii="Arial" w:eastAsia="MS Mincho" w:hAnsi="Arial"/>
              <w:sz w:val="20"/>
              <w:iCs/>
            </w:rPr>
          </w:pPr>
          <w:r>
            <w:rPr>
              <w:rFonts w:ascii="Arial" w:eastAsia="MS Mincho" w:hAnsi="Arial"/>
              <w:sz w:val="20"/>
              <w:iCs/>
            </w:rPr>
            <w:t>PžP aprašo 23 priedas 3.3 poveiklės Inovatyvių specializuotų sveikatos priežiūros paslaugų teikimo ir organizavimo modelių kūrimas ir išbandymas_onkologija_PFSA (V-572)</w:t>
          </w:r>
        </w:p>
        <w:p/>
        <w:p>
          <w:pPr>
            <w:pStyle w:val="PlainText"/>
            <w:rPr>
              <w:rFonts w:ascii="Arial" w:eastAsia="MS Mincho" w:hAnsi="Arial"/>
              <w:sz w:val="20"/>
              <w:iCs/>
            </w:rPr>
          </w:pPr>
          <w:r>
            <w:rPr>
              <w:rFonts w:ascii="Arial" w:eastAsia="MS Mincho" w:hAnsi="Arial"/>
              <w:sz w:val="20"/>
              <w:iCs/>
            </w:rPr>
            <w:t>PžP aprašo 24 priedas. 4.4 poveiklės Sveikatos sektoriaus skaitmeninimo projektai_RC_ PFSA (V-572)</w:t>
          </w:r>
        </w:p>
        <w:p/>
        <w:p>
          <w:pPr>
            <w:pStyle w:val="PlainText"/>
            <w:rPr>
              <w:rFonts w:ascii="Arial" w:eastAsia="MS Mincho" w:hAnsi="Arial"/>
              <w:sz w:val="20"/>
              <w:iCs/>
            </w:rPr>
          </w:pPr>
          <w:r>
            <w:rPr>
              <w:rFonts w:ascii="Arial" w:eastAsia="MS Mincho" w:hAnsi="Arial"/>
              <w:sz w:val="20"/>
              <w:iCs/>
            </w:rPr>
            <w:t>PžP aprašo 25 priedas. 10.3 poveiklės Sveikatos priežiūros specialistų rengimas pritraukimas PFSA (V-572)</w:t>
          </w:r>
        </w:p>
        <w:p/>
        <w:p>
          <w:pPr>
            <w:pStyle w:val="PlainText"/>
            <w:rPr>
              <w:rFonts w:ascii="Arial" w:eastAsia="MS Mincho" w:hAnsi="Arial"/>
              <w:sz w:val="20"/>
              <w:iCs/>
            </w:rPr>
          </w:pPr>
          <w:r>
            <w:rPr>
              <w:rFonts w:ascii="Arial" w:eastAsia="MS Mincho" w:hAnsi="Arial"/>
              <w:sz w:val="20"/>
              <w:iCs/>
            </w:rPr>
            <w:t>PžP aprašo 26 priedas. 7.1 poveiklė Ambulatorinių psichik. sveikatos pasl. ir psichosocialinės reabilitac. plėtrai8 (V-572)</w:t>
          </w:r>
        </w:p>
        <w:p/>
        <w:p>
          <w:pPr>
            <w:pStyle w:val="PlainText"/>
            <w:rPr>
              <w:rFonts w:ascii="Arial" w:eastAsia="MS Mincho" w:hAnsi="Arial"/>
              <w:sz w:val="20"/>
              <w:iCs/>
            </w:rPr>
          </w:pPr>
          <w:r>
            <w:rPr>
              <w:rFonts w:ascii="Arial" w:eastAsia="MS Mincho" w:hAnsi="Arial"/>
              <w:sz w:val="20"/>
              <w:iCs/>
            </w:rPr>
            <w:t>PžP aprašo 27 priedas. 6.8 poveiklės Inovatyvių PSPP teikimo ir organizavimo modelių kūrimas ir išbandymas VVL</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69621c01cb911ef8b14c5bcce136045">
            <w:r w:rsidRPr="00532B9F">
              <w:rPr>
                <w:rFonts w:ascii="Arial" w:eastAsia="MS Mincho" w:hAnsi="Arial"/>
                <w:sz w:val="20"/>
                <w:i/>
                <w:iCs/>
                <w:color w:val="0000FF" w:themeColor="hyperlink"/>
                <w:u w:val="single"/>
              </w:rPr>
              <w:t>V-594</w:t>
            </w:r>
          </w:fldSimple>
          <w:r>
            <w:rPr>
              <w:rFonts w:ascii="Arial" w:eastAsia="MS Mincho" w:hAnsi="Arial"/>
              <w:sz w:val="20"/>
              <w:i/>
              <w:iCs/>
            </w:rPr>
            <w:t>,
2024-05-28,
paskelbta TAR 2024-05-28, i. k. 2024-09518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9158c100011411ed8fa7d02a65c371ad">
            <w:r w:rsidRPr="00532B9F">
              <w:rPr>
                <w:rFonts w:ascii="Arial" w:eastAsia="MS Mincho" w:hAnsi="Arial"/>
                <w:sz w:val="20"/>
                <w:iCs/>
                <w:color w:val="0000FF" w:themeColor="hyperlink"/>
                <w:u w:val="single"/>
              </w:rPr>
              <w:t>V-1218</w:t>
            </w:r>
          </w:fldSimple>
          <w:r>
            <w:rPr>
              <w:rFonts w:ascii="Arial" w:eastAsia="MS Mincho" w:hAnsi="Arial"/>
              <w:sz w:val="20"/>
              <w:iCs/>
            </w:rPr>
            <w:t>,
2022-07-11,
paskelbta TAR 2022-07-11, i. k. 2022-15213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4b76b28016e711edb4cae1b158f98ea5">
            <w:r w:rsidRPr="00532B9F">
              <w:rPr>
                <w:rFonts w:ascii="Arial" w:eastAsia="MS Mincho" w:hAnsi="Arial"/>
                <w:sz w:val="20"/>
                <w:iCs/>
                <w:color w:val="0000FF" w:themeColor="hyperlink"/>
                <w:u w:val="single"/>
              </w:rPr>
              <w:t>V-1315</w:t>
            </w:r>
          </w:fldSimple>
          <w:r>
            <w:rPr>
              <w:rFonts w:ascii="Arial" w:eastAsia="MS Mincho" w:hAnsi="Arial"/>
              <w:sz w:val="20"/>
              <w:iCs/>
            </w:rPr>
            <w:t>,
2022-08-05,
paskelbta TAR 2022-08-08, i. k. 2022-16850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43879de01a3a11edb4cae1b158f98ea5">
            <w:r w:rsidRPr="00532B9F">
              <w:rPr>
                <w:rFonts w:ascii="Arial" w:eastAsia="MS Mincho" w:hAnsi="Arial"/>
                <w:sz w:val="20"/>
                <w:iCs/>
                <w:color w:val="0000FF" w:themeColor="hyperlink"/>
                <w:u w:val="single"/>
              </w:rPr>
              <w:t>V-1362</w:t>
            </w:r>
          </w:fldSimple>
          <w:r>
            <w:rPr>
              <w:rFonts w:ascii="Arial" w:eastAsia="MS Mincho" w:hAnsi="Arial"/>
              <w:sz w:val="20"/>
              <w:iCs/>
            </w:rPr>
            <w:t>,
2022-08-12,
paskelbta TAR 2022-08-12, i. k. 2022-17074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c9e449e05f7411edbc04912defe897d1">
            <w:r w:rsidRPr="00532B9F">
              <w:rPr>
                <w:rFonts w:ascii="Arial" w:eastAsia="MS Mincho" w:hAnsi="Arial"/>
                <w:sz w:val="20"/>
                <w:iCs/>
                <w:color w:val="0000FF" w:themeColor="hyperlink"/>
                <w:u w:val="single"/>
              </w:rPr>
              <w:t>V-1640</w:t>
            </w:r>
          </w:fldSimple>
          <w:r>
            <w:rPr>
              <w:rFonts w:ascii="Arial" w:eastAsia="MS Mincho" w:hAnsi="Arial"/>
              <w:sz w:val="20"/>
              <w:iCs/>
            </w:rPr>
            <w:t>,
2022-11-08,
paskelbta TAR 2022-11-08, i. k. 2022-22630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684fa5f07b6f11edbc04912defe897d1">
            <w:r w:rsidRPr="00532B9F">
              <w:rPr>
                <w:rFonts w:ascii="Arial" w:eastAsia="MS Mincho" w:hAnsi="Arial"/>
                <w:sz w:val="20"/>
                <w:iCs/>
                <w:color w:val="0000FF" w:themeColor="hyperlink"/>
                <w:u w:val="single"/>
              </w:rPr>
              <w:t>V-1854</w:t>
            </w:r>
          </w:fldSimple>
          <w:r>
            <w:rPr>
              <w:rFonts w:ascii="Arial" w:eastAsia="MS Mincho" w:hAnsi="Arial"/>
              <w:sz w:val="20"/>
              <w:iCs/>
            </w:rPr>
            <w:t>,
2022-12-14,
paskelbta TAR 2022-12-14, i. k. 2022-25434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5427e550828711ed8df094f359a60216">
            <w:r w:rsidRPr="00532B9F">
              <w:rPr>
                <w:rFonts w:ascii="Arial" w:eastAsia="MS Mincho" w:hAnsi="Arial"/>
                <w:sz w:val="20"/>
                <w:iCs/>
                <w:color w:val="0000FF" w:themeColor="hyperlink"/>
                <w:u w:val="single"/>
              </w:rPr>
              <w:t>V-1928</w:t>
            </w:r>
          </w:fldSimple>
          <w:r>
            <w:rPr>
              <w:rFonts w:ascii="Arial" w:eastAsia="MS Mincho" w:hAnsi="Arial"/>
              <w:sz w:val="20"/>
              <w:iCs/>
            </w:rPr>
            <w:t>,
2022-12-23,
paskelbta TAR 2022-12-23, i. k. 2022-26581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a392fdf082be11ed8df094f359a60216">
            <w:r w:rsidRPr="00532B9F">
              <w:rPr>
                <w:rFonts w:ascii="Arial" w:eastAsia="MS Mincho" w:hAnsi="Arial"/>
                <w:sz w:val="20"/>
                <w:iCs/>
                <w:color w:val="0000FF" w:themeColor="hyperlink"/>
                <w:u w:val="single"/>
              </w:rPr>
              <w:t>V-1956</w:t>
            </w:r>
          </w:fldSimple>
          <w:r>
            <w:rPr>
              <w:rFonts w:ascii="Arial" w:eastAsia="MS Mincho" w:hAnsi="Arial"/>
              <w:sz w:val="20"/>
              <w:iCs/>
            </w:rPr>
            <w:t>,
2022-12-23,
paskelbta TAR 2022-12-23, i. k. 2022-26786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a064ce608d0411ed8df094f359a60216">
            <w:r w:rsidRPr="00532B9F">
              <w:rPr>
                <w:rFonts w:ascii="Arial" w:eastAsia="MS Mincho" w:hAnsi="Arial"/>
                <w:sz w:val="20"/>
                <w:iCs/>
                <w:color w:val="0000FF" w:themeColor="hyperlink"/>
                <w:u w:val="single"/>
              </w:rPr>
              <w:t>V-19</w:t>
            </w:r>
          </w:fldSimple>
          <w:r>
            <w:rPr>
              <w:rFonts w:ascii="Arial" w:eastAsia="MS Mincho" w:hAnsi="Arial"/>
              <w:sz w:val="20"/>
              <w:iCs/>
            </w:rPr>
            <w:t>,
2023-01-05,
paskelbta TAR 2023-01-05, i. k. 2023-00285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d114d3e095d111ed8df094f359a60216">
            <w:r w:rsidRPr="00532B9F">
              <w:rPr>
                <w:rFonts w:ascii="Arial" w:eastAsia="MS Mincho" w:hAnsi="Arial"/>
                <w:sz w:val="20"/>
                <w:iCs/>
                <w:color w:val="0000FF" w:themeColor="hyperlink"/>
                <w:u w:val="single"/>
              </w:rPr>
              <w:t>V-52</w:t>
            </w:r>
          </w:fldSimple>
          <w:r>
            <w:rPr>
              <w:rFonts w:ascii="Arial" w:eastAsia="MS Mincho" w:hAnsi="Arial"/>
              <w:sz w:val="20"/>
              <w:iCs/>
            </w:rPr>
            <w:t>,
2023-01-16,
paskelbta TAR 2023-01-16, i. k. 2023-00794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42f161909cc111ed8df094f359a60216">
            <w:r w:rsidRPr="00532B9F">
              <w:rPr>
                <w:rFonts w:ascii="Arial" w:eastAsia="MS Mincho" w:hAnsi="Arial"/>
                <w:sz w:val="20"/>
                <w:iCs/>
                <w:color w:val="0000FF" w:themeColor="hyperlink"/>
                <w:u w:val="single"/>
              </w:rPr>
              <w:t>V-114</w:t>
            </w:r>
          </w:fldSimple>
          <w:r>
            <w:rPr>
              <w:rFonts w:ascii="Arial" w:eastAsia="MS Mincho" w:hAnsi="Arial"/>
              <w:sz w:val="20"/>
              <w:iCs/>
            </w:rPr>
            <w:t>,
2023-01-25,
paskelbta TAR 2023-01-25, i. k. 2023-01232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d4480390b98d11ed8df094f359a60216">
            <w:r w:rsidRPr="00532B9F">
              <w:rPr>
                <w:rFonts w:ascii="Arial" w:eastAsia="MS Mincho" w:hAnsi="Arial"/>
                <w:sz w:val="20"/>
                <w:iCs/>
                <w:color w:val="0000FF" w:themeColor="hyperlink"/>
                <w:u w:val="single"/>
              </w:rPr>
              <w:t>V-294</w:t>
            </w:r>
          </w:fldSimple>
          <w:r>
            <w:rPr>
              <w:rFonts w:ascii="Arial" w:eastAsia="MS Mincho" w:hAnsi="Arial"/>
              <w:sz w:val="20"/>
              <w:iCs/>
            </w:rPr>
            <w:t>,
2023-03-03,
paskelbta TAR 2023-03-03, i. k. 2023-03954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cf58f6f0d43611ed9978886e85107ab2">
            <w:r w:rsidRPr="00532B9F">
              <w:rPr>
                <w:rFonts w:ascii="Arial" w:eastAsia="MS Mincho" w:hAnsi="Arial"/>
                <w:sz w:val="20"/>
                <w:iCs/>
                <w:color w:val="0000FF" w:themeColor="hyperlink"/>
                <w:u w:val="single"/>
              </w:rPr>
              <w:t>V-415</w:t>
            </w:r>
          </w:fldSimple>
          <w:r>
            <w:rPr>
              <w:rFonts w:ascii="Arial" w:eastAsia="MS Mincho" w:hAnsi="Arial"/>
              <w:sz w:val="20"/>
              <w:iCs/>
            </w:rPr>
            <w:t>,
2023-04-06,
paskelbta TAR 2023-04-06, i. k. 2023-06655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c56cacd0d49611ed9978886e85107ab2">
            <w:r w:rsidRPr="00532B9F">
              <w:rPr>
                <w:rFonts w:ascii="Arial" w:eastAsia="MS Mincho" w:hAnsi="Arial"/>
                <w:sz w:val="20"/>
                <w:iCs/>
                <w:color w:val="0000FF" w:themeColor="hyperlink"/>
                <w:u w:val="single"/>
              </w:rPr>
              <w:t>V-420</w:t>
            </w:r>
          </w:fldSimple>
          <w:r>
            <w:rPr>
              <w:rFonts w:ascii="Arial" w:eastAsia="MS Mincho" w:hAnsi="Arial"/>
              <w:sz w:val="20"/>
              <w:iCs/>
            </w:rPr>
            <w:t>,
2023-04-06,
paskelbta TAR 2023-04-06, i. k. 2023-06762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581f2100f61311ed9978886e85107ab2">
            <w:r w:rsidRPr="00532B9F">
              <w:rPr>
                <w:rFonts w:ascii="Arial" w:eastAsia="MS Mincho" w:hAnsi="Arial"/>
                <w:sz w:val="20"/>
                <w:iCs/>
                <w:color w:val="0000FF" w:themeColor="hyperlink"/>
                <w:u w:val="single"/>
              </w:rPr>
              <w:t>V-565</w:t>
            </w:r>
          </w:fldSimple>
          <w:r>
            <w:rPr>
              <w:rFonts w:ascii="Arial" w:eastAsia="MS Mincho" w:hAnsi="Arial"/>
              <w:sz w:val="20"/>
              <w:iCs/>
            </w:rPr>
            <w:t>,
2023-05-19,
paskelbta TAR 2023-05-19, i. k. 2023-09467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c4acc6c0fb7b11ed9978886e85107ab2">
            <w:r w:rsidRPr="00532B9F">
              <w:rPr>
                <w:rFonts w:ascii="Arial" w:eastAsia="MS Mincho" w:hAnsi="Arial"/>
                <w:sz w:val="20"/>
                <w:iCs/>
                <w:color w:val="0000FF" w:themeColor="hyperlink"/>
                <w:u w:val="single"/>
              </w:rPr>
              <w:t>V-615</w:t>
            </w:r>
          </w:fldSimple>
          <w:r>
            <w:rPr>
              <w:rFonts w:ascii="Arial" w:eastAsia="MS Mincho" w:hAnsi="Arial"/>
              <w:sz w:val="20"/>
              <w:iCs/>
            </w:rPr>
            <w:t>,
2023-05-26,
paskelbta TAR 2023-05-26, i. k. 2023-10022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16.</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4b633f2009da11ee9978886e85107ab2">
            <w:r w:rsidRPr="00532B9F">
              <w:rPr>
                <w:rFonts w:ascii="Arial" w:eastAsia="MS Mincho" w:hAnsi="Arial"/>
                <w:sz w:val="20"/>
                <w:iCs/>
                <w:color w:val="0000FF" w:themeColor="hyperlink"/>
                <w:u w:val="single"/>
              </w:rPr>
              <w:t>V-668</w:t>
            </w:r>
          </w:fldSimple>
          <w:r>
            <w:rPr>
              <w:rFonts w:ascii="Arial" w:eastAsia="MS Mincho" w:hAnsi="Arial"/>
              <w:sz w:val="20"/>
              <w:iCs/>
            </w:rPr>
            <w:t>,
2023-06-12,
paskelbta TAR 2023-06-13, i. k. 2023-11741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17.</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2f2a51d0168811ee9f7ec2ffce8b47bc">
            <w:r w:rsidRPr="00532B9F">
              <w:rPr>
                <w:rFonts w:ascii="Arial" w:eastAsia="MS Mincho" w:hAnsi="Arial"/>
                <w:sz w:val="20"/>
                <w:iCs/>
                <w:color w:val="0000FF" w:themeColor="hyperlink"/>
                <w:u w:val="single"/>
              </w:rPr>
              <w:t>V-745</w:t>
            </w:r>
          </w:fldSimple>
          <w:r>
            <w:rPr>
              <w:rFonts w:ascii="Arial" w:eastAsia="MS Mincho" w:hAnsi="Arial"/>
              <w:sz w:val="20"/>
              <w:iCs/>
            </w:rPr>
            <w:t>,
2023-06-29,
paskelbta TAR 2023-06-29, i. k. 2023-13199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18.</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e621ab70218411ee9de9e7e0fd363afc">
            <w:r w:rsidRPr="00532B9F">
              <w:rPr>
                <w:rFonts w:ascii="Arial" w:eastAsia="MS Mincho" w:hAnsi="Arial"/>
                <w:sz w:val="20"/>
                <w:iCs/>
                <w:color w:val="0000FF" w:themeColor="hyperlink"/>
                <w:u w:val="single"/>
              </w:rPr>
              <w:t>V-806</w:t>
            </w:r>
          </w:fldSimple>
          <w:r>
            <w:rPr>
              <w:rFonts w:ascii="Arial" w:eastAsia="MS Mincho" w:hAnsi="Arial"/>
              <w:sz w:val="20"/>
              <w:iCs/>
            </w:rPr>
            <w:t>,
2023-07-13,
paskelbta TAR 2023-07-13, i. k. 2023-14577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19.</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1c8e0a50263f11ee9de9e7e0fd363afc">
            <w:r w:rsidRPr="00532B9F">
              <w:rPr>
                <w:rFonts w:ascii="Arial" w:eastAsia="MS Mincho" w:hAnsi="Arial"/>
                <w:sz w:val="20"/>
                <w:iCs/>
                <w:color w:val="0000FF" w:themeColor="hyperlink"/>
                <w:u w:val="single"/>
              </w:rPr>
              <w:t>V-822</w:t>
            </w:r>
          </w:fldSimple>
          <w:r>
            <w:rPr>
              <w:rFonts w:ascii="Arial" w:eastAsia="MS Mincho" w:hAnsi="Arial"/>
              <w:sz w:val="20"/>
              <w:iCs/>
            </w:rPr>
            <w:t>,
2023-07-19,
paskelbta TAR 2023-07-19, i. k. 2023-14870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20.</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b02dc1c0311f11ee9de9e7e0fd363afc">
            <w:r w:rsidRPr="00532B9F">
              <w:rPr>
                <w:rFonts w:ascii="Arial" w:eastAsia="MS Mincho" w:hAnsi="Arial"/>
                <w:sz w:val="20"/>
                <w:iCs/>
                <w:color w:val="0000FF" w:themeColor="hyperlink"/>
                <w:u w:val="single"/>
              </w:rPr>
              <w:t>V-890</w:t>
            </w:r>
          </w:fldSimple>
          <w:r>
            <w:rPr>
              <w:rFonts w:ascii="Arial" w:eastAsia="MS Mincho" w:hAnsi="Arial"/>
              <w:sz w:val="20"/>
              <w:iCs/>
            </w:rPr>
            <w:t>,
2023-08-02,
paskelbta TAR 2023-08-02, i. k. 2023-15650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21.</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983e025047fe11ee9de9e7e0fd363afc">
            <w:r w:rsidRPr="00532B9F">
              <w:rPr>
                <w:rFonts w:ascii="Arial" w:eastAsia="MS Mincho" w:hAnsi="Arial"/>
                <w:sz w:val="20"/>
                <w:iCs/>
                <w:color w:val="0000FF" w:themeColor="hyperlink"/>
                <w:u w:val="single"/>
              </w:rPr>
              <w:t>V-948</w:t>
            </w:r>
          </w:fldSimple>
          <w:r>
            <w:rPr>
              <w:rFonts w:ascii="Arial" w:eastAsia="MS Mincho" w:hAnsi="Arial"/>
              <w:sz w:val="20"/>
              <w:iCs/>
            </w:rPr>
            <w:t>,
2023-08-31,
paskelbta TAR 2023-08-31, i. k. 2023-17204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22.</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20692ae053a011ee81b8b446907f594f">
            <w:r w:rsidRPr="00532B9F">
              <w:rPr>
                <w:rFonts w:ascii="Arial" w:eastAsia="MS Mincho" w:hAnsi="Arial"/>
                <w:sz w:val="20"/>
                <w:iCs/>
                <w:color w:val="0000FF" w:themeColor="hyperlink"/>
                <w:u w:val="single"/>
              </w:rPr>
              <w:t>V-1005</w:t>
            </w:r>
          </w:fldSimple>
          <w:r>
            <w:rPr>
              <w:rFonts w:ascii="Arial" w:eastAsia="MS Mincho" w:hAnsi="Arial"/>
              <w:sz w:val="20"/>
              <w:iCs/>
            </w:rPr>
            <w:t>,
2023-09-15,
paskelbta TAR 2023-09-15, i. k. 2023-18231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23.</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2fdb8f705e1011ee81b8b446907f594f">
            <w:r w:rsidRPr="00532B9F">
              <w:rPr>
                <w:rFonts w:ascii="Arial" w:eastAsia="MS Mincho" w:hAnsi="Arial"/>
                <w:sz w:val="20"/>
                <w:iCs/>
                <w:color w:val="0000FF" w:themeColor="hyperlink"/>
                <w:u w:val="single"/>
              </w:rPr>
              <w:t>V-1043</w:t>
            </w:r>
          </w:fldSimple>
          <w:r>
            <w:rPr>
              <w:rFonts w:ascii="Arial" w:eastAsia="MS Mincho" w:hAnsi="Arial"/>
              <w:sz w:val="20"/>
              <w:iCs/>
            </w:rPr>
            <w:t>,
2023-09-28,
paskelbta TAR 2023-09-28, i. k. 2023-18954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24.</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6dae5ed0629411eebc77e58877a83c4e">
            <w:r w:rsidRPr="00532B9F">
              <w:rPr>
                <w:rFonts w:ascii="Arial" w:eastAsia="MS Mincho" w:hAnsi="Arial"/>
                <w:sz w:val="20"/>
                <w:iCs/>
                <w:color w:val="0000FF" w:themeColor="hyperlink"/>
                <w:u w:val="single"/>
              </w:rPr>
              <w:t>V-1052</w:t>
            </w:r>
          </w:fldSimple>
          <w:r>
            <w:rPr>
              <w:rFonts w:ascii="Arial" w:eastAsia="MS Mincho" w:hAnsi="Arial"/>
              <w:sz w:val="20"/>
              <w:iCs/>
            </w:rPr>
            <w:t>,
2023-10-04,
paskelbta TAR 2023-10-04, i. k. 2023-19515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25.</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d25756d0636511ee9fc7ee37cec6fc59">
            <w:r w:rsidRPr="00532B9F">
              <w:rPr>
                <w:rFonts w:ascii="Arial" w:eastAsia="MS Mincho" w:hAnsi="Arial"/>
                <w:sz w:val="20"/>
                <w:iCs/>
                <w:color w:val="0000FF" w:themeColor="hyperlink"/>
                <w:u w:val="single"/>
              </w:rPr>
              <w:t>V-1063</w:t>
            </w:r>
          </w:fldSimple>
          <w:r>
            <w:rPr>
              <w:rFonts w:ascii="Arial" w:eastAsia="MS Mincho" w:hAnsi="Arial"/>
              <w:sz w:val="20"/>
              <w:iCs/>
            </w:rPr>
            <w:t>,
2023-10-05,
paskelbta TAR 2023-10-05, i. k. 2023-19677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26.</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a3168000674111ee9fc7ee37cec6fc59">
            <w:r w:rsidRPr="00532B9F">
              <w:rPr>
                <w:rFonts w:ascii="Arial" w:eastAsia="MS Mincho" w:hAnsi="Arial"/>
                <w:sz w:val="20"/>
                <w:iCs/>
                <w:color w:val="0000FF" w:themeColor="hyperlink"/>
                <w:u w:val="single"/>
              </w:rPr>
              <w:t>V-1076</w:t>
            </w:r>
          </w:fldSimple>
          <w:r>
            <w:rPr>
              <w:rFonts w:ascii="Arial" w:eastAsia="MS Mincho" w:hAnsi="Arial"/>
              <w:sz w:val="20"/>
              <w:iCs/>
            </w:rPr>
            <w:t>,
2023-10-10,
paskelbta TAR 2023-10-10, i. k. 2023-19971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27.</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46f00a106e4111ee8f3cbca2fb16d96d">
            <w:r w:rsidRPr="00532B9F">
              <w:rPr>
                <w:rFonts w:ascii="Arial" w:eastAsia="MS Mincho" w:hAnsi="Arial"/>
                <w:sz w:val="20"/>
                <w:iCs/>
                <w:color w:val="0000FF" w:themeColor="hyperlink"/>
                <w:u w:val="single"/>
              </w:rPr>
              <w:t>V-1098</w:t>
            </w:r>
          </w:fldSimple>
          <w:r>
            <w:rPr>
              <w:rFonts w:ascii="Arial" w:eastAsia="MS Mincho" w:hAnsi="Arial"/>
              <w:sz w:val="20"/>
              <w:iCs/>
            </w:rPr>
            <w:t>,
2023-10-19,
paskelbta TAR 2023-10-19, i. k. 2023-20433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28.</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d2d597a07c0811eea5a28c81c82193a8">
            <w:r w:rsidRPr="00532B9F">
              <w:rPr>
                <w:rFonts w:ascii="Arial" w:eastAsia="MS Mincho" w:hAnsi="Arial"/>
                <w:sz w:val="20"/>
                <w:iCs/>
                <w:color w:val="0000FF" w:themeColor="hyperlink"/>
                <w:u w:val="single"/>
              </w:rPr>
              <w:t>V-1144</w:t>
            </w:r>
          </w:fldSimple>
          <w:r>
            <w:rPr>
              <w:rFonts w:ascii="Arial" w:eastAsia="MS Mincho" w:hAnsi="Arial"/>
              <w:sz w:val="20"/>
              <w:iCs/>
            </w:rPr>
            <w:t>,
2023-11-03,
paskelbta TAR 2023-11-06, i. k. 2023-21542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29.</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23dd4a60895311eea5a28c81c82193a8">
            <w:r w:rsidRPr="00532B9F">
              <w:rPr>
                <w:rFonts w:ascii="Arial" w:eastAsia="MS Mincho" w:hAnsi="Arial"/>
                <w:sz w:val="20"/>
                <w:iCs/>
                <w:color w:val="0000FF" w:themeColor="hyperlink"/>
                <w:u w:val="single"/>
              </w:rPr>
              <w:t>V-1212</w:t>
            </w:r>
          </w:fldSimple>
          <w:r>
            <w:rPr>
              <w:rFonts w:ascii="Arial" w:eastAsia="MS Mincho" w:hAnsi="Arial"/>
              <w:sz w:val="20"/>
              <w:iCs/>
            </w:rPr>
            <w:t>,
2023-11-22,
paskelbta TAR 2023-11-22, i. k. 2023-22499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30.</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93ec3f40a0f111eea5a28c81c82193a8">
            <w:r w:rsidRPr="00532B9F">
              <w:rPr>
                <w:rFonts w:ascii="Arial" w:eastAsia="MS Mincho" w:hAnsi="Arial"/>
                <w:sz w:val="20"/>
                <w:iCs/>
                <w:color w:val="0000FF" w:themeColor="hyperlink"/>
                <w:u w:val="single"/>
              </w:rPr>
              <w:t>V-1375</w:t>
            </w:r>
          </w:fldSimple>
          <w:r>
            <w:rPr>
              <w:rFonts w:ascii="Arial" w:eastAsia="MS Mincho" w:hAnsi="Arial"/>
              <w:sz w:val="20"/>
              <w:iCs/>
            </w:rPr>
            <w:t>,
2023-12-22,
paskelbta TAR 2023-12-22, i. k. 2023-25268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31.</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dabec530ae3111eea5a28c81c82193a8">
            <w:r w:rsidRPr="00532B9F">
              <w:rPr>
                <w:rFonts w:ascii="Arial" w:eastAsia="MS Mincho" w:hAnsi="Arial"/>
                <w:sz w:val="20"/>
                <w:iCs/>
                <w:color w:val="0000FF" w:themeColor="hyperlink"/>
                <w:u w:val="single"/>
              </w:rPr>
              <w:t>V-24</w:t>
            </w:r>
          </w:fldSimple>
          <w:r>
            <w:rPr>
              <w:rFonts w:ascii="Arial" w:eastAsia="MS Mincho" w:hAnsi="Arial"/>
              <w:sz w:val="20"/>
              <w:iCs/>
            </w:rPr>
            <w:t>,
2024-01-08,
paskelbta TAR 2024-01-08, i. k. 2024-00270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32.</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4731ecd0b60511eea5a28c81c82193a8">
            <w:r w:rsidRPr="00532B9F">
              <w:rPr>
                <w:rFonts w:ascii="Arial" w:eastAsia="MS Mincho" w:hAnsi="Arial"/>
                <w:sz w:val="20"/>
                <w:iCs/>
                <w:color w:val="0000FF" w:themeColor="hyperlink"/>
                <w:u w:val="single"/>
              </w:rPr>
              <w:t>V-61</w:t>
            </w:r>
          </w:fldSimple>
          <w:r>
            <w:rPr>
              <w:rFonts w:ascii="Arial" w:eastAsia="MS Mincho" w:hAnsi="Arial"/>
              <w:sz w:val="20"/>
              <w:iCs/>
            </w:rPr>
            <w:t>,
2024-01-18,
paskelbta TAR 2024-01-18, i. k. 2024-00784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33.</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63a94f60bb4211eea5a28c81c82193a8">
            <w:r w:rsidRPr="00532B9F">
              <w:rPr>
                <w:rFonts w:ascii="Arial" w:eastAsia="MS Mincho" w:hAnsi="Arial"/>
                <w:sz w:val="20"/>
                <w:iCs/>
                <w:color w:val="0000FF" w:themeColor="hyperlink"/>
                <w:u w:val="single"/>
              </w:rPr>
              <w:t>V-99</w:t>
            </w:r>
          </w:fldSimple>
          <w:r>
            <w:rPr>
              <w:rFonts w:ascii="Arial" w:eastAsia="MS Mincho" w:hAnsi="Arial"/>
              <w:sz w:val="20"/>
              <w:iCs/>
            </w:rPr>
            <w:t>,
2024-01-25,
paskelbta TAR 2024-01-25, i. k. 2024-01177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34.</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3dddac90bf2f11eea5a28c81c82193a8">
            <w:r w:rsidRPr="00532B9F">
              <w:rPr>
                <w:rFonts w:ascii="Arial" w:eastAsia="MS Mincho" w:hAnsi="Arial"/>
                <w:sz w:val="20"/>
                <w:iCs/>
                <w:color w:val="0000FF" w:themeColor="hyperlink"/>
                <w:u w:val="single"/>
              </w:rPr>
              <w:t>V-125</w:t>
            </w:r>
          </w:fldSimple>
          <w:r>
            <w:rPr>
              <w:rFonts w:ascii="Arial" w:eastAsia="MS Mincho" w:hAnsi="Arial"/>
              <w:sz w:val="20"/>
              <w:iCs/>
            </w:rPr>
            <w:t>,
2024-01-30,
paskelbta TAR 2024-01-30, i. k. 2024-01629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35.</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c9488ef0c72f11eea5a28c81c82193a8">
            <w:r w:rsidRPr="00532B9F">
              <w:rPr>
                <w:rFonts w:ascii="Arial" w:eastAsia="MS Mincho" w:hAnsi="Arial"/>
                <w:sz w:val="20"/>
                <w:iCs/>
                <w:color w:val="0000FF" w:themeColor="hyperlink"/>
                <w:u w:val="single"/>
              </w:rPr>
              <w:t>V-176</w:t>
            </w:r>
          </w:fldSimple>
          <w:r>
            <w:rPr>
              <w:rFonts w:ascii="Arial" w:eastAsia="MS Mincho" w:hAnsi="Arial"/>
              <w:sz w:val="20"/>
              <w:iCs/>
            </w:rPr>
            <w:t>,
2024-02-09,
paskelbta TAR 2024-02-09, i. k. 2024-02495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36.</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e9a4c3b0c97511eea5a28c81c82193a8">
            <w:r w:rsidRPr="00532B9F">
              <w:rPr>
                <w:rFonts w:ascii="Arial" w:eastAsia="MS Mincho" w:hAnsi="Arial"/>
                <w:sz w:val="20"/>
                <w:iCs/>
                <w:color w:val="0000FF" w:themeColor="hyperlink"/>
                <w:u w:val="single"/>
              </w:rPr>
              <w:t>V-188</w:t>
            </w:r>
          </w:fldSimple>
          <w:r>
            <w:rPr>
              <w:rFonts w:ascii="Arial" w:eastAsia="MS Mincho" w:hAnsi="Arial"/>
              <w:sz w:val="20"/>
              <w:iCs/>
            </w:rPr>
            <w:t>,
2024-02-12,
paskelbta TAR 2024-02-12, i. k. 2024-02559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37.</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72933cc0cef711eea5a28c81c82193a8">
            <w:r w:rsidRPr="00532B9F">
              <w:rPr>
                <w:rFonts w:ascii="Arial" w:eastAsia="MS Mincho" w:hAnsi="Arial"/>
                <w:sz w:val="20"/>
                <w:iCs/>
                <w:color w:val="0000FF" w:themeColor="hyperlink"/>
                <w:u w:val="single"/>
              </w:rPr>
              <w:t>V-212</w:t>
            </w:r>
          </w:fldSimple>
          <w:r>
            <w:rPr>
              <w:rFonts w:ascii="Arial" w:eastAsia="MS Mincho" w:hAnsi="Arial"/>
              <w:sz w:val="20"/>
              <w:iCs/>
            </w:rPr>
            <w:t>,
2024-02-19,
paskelbta TAR 2024-02-19, i. k. 2024-03020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38.</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61680cd0d08911eead77e967e3995264">
            <w:r w:rsidRPr="00532B9F">
              <w:rPr>
                <w:rFonts w:ascii="Arial" w:eastAsia="MS Mincho" w:hAnsi="Arial"/>
                <w:sz w:val="20"/>
                <w:iCs/>
                <w:color w:val="0000FF" w:themeColor="hyperlink"/>
                <w:u w:val="single"/>
              </w:rPr>
              <w:t>V-225</w:t>
            </w:r>
          </w:fldSimple>
          <w:r>
            <w:rPr>
              <w:rFonts w:ascii="Arial" w:eastAsia="MS Mincho" w:hAnsi="Arial"/>
              <w:sz w:val="20"/>
              <w:iCs/>
            </w:rPr>
            <w:t>,
2024-02-21,
paskelbta TAR 2024-02-21, i. k. 2024-03264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39.</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151319b0db1a11eead77e967e3995264">
            <w:r w:rsidRPr="00532B9F">
              <w:rPr>
                <w:rFonts w:ascii="Arial" w:eastAsia="MS Mincho" w:hAnsi="Arial"/>
                <w:sz w:val="20"/>
                <w:iCs/>
                <w:color w:val="0000FF" w:themeColor="hyperlink"/>
                <w:u w:val="single"/>
              </w:rPr>
              <w:t>V-289</w:t>
            </w:r>
          </w:fldSimple>
          <w:r>
            <w:rPr>
              <w:rFonts w:ascii="Arial" w:eastAsia="MS Mincho" w:hAnsi="Arial"/>
              <w:sz w:val="20"/>
              <w:iCs/>
            </w:rPr>
            <w:t>,
2024-03-05,
paskelbta TAR 2024-03-05, i. k. 2024-04103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40.</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3cb5fe10166611efbcbfb318996800a8">
            <w:r w:rsidRPr="00532B9F">
              <w:rPr>
                <w:rFonts w:ascii="Arial" w:eastAsia="MS Mincho" w:hAnsi="Arial"/>
                <w:sz w:val="20"/>
                <w:iCs/>
                <w:color w:val="0000FF" w:themeColor="hyperlink"/>
                <w:u w:val="single"/>
              </w:rPr>
              <w:t>V-572</w:t>
            </w:r>
          </w:fldSimple>
          <w:r>
            <w:rPr>
              <w:rFonts w:ascii="Arial" w:eastAsia="MS Mincho" w:hAnsi="Arial"/>
              <w:sz w:val="20"/>
              <w:iCs/>
            </w:rPr>
            <w:t>,
2024-05-20,
paskelbta TAR 2024-05-20, i. k. 2024-09067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41.</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169621c01cb911ef8b14c5bcce136045">
            <w:r w:rsidRPr="00532B9F">
              <w:rPr>
                <w:rFonts w:ascii="Arial" w:eastAsia="MS Mincho" w:hAnsi="Arial"/>
                <w:sz w:val="20"/>
                <w:iCs/>
                <w:color w:val="0000FF" w:themeColor="hyperlink"/>
                <w:u w:val="single"/>
              </w:rPr>
              <w:t>V-594</w:t>
            </w:r>
          </w:fldSimple>
          <w:r>
            <w:rPr>
              <w:rFonts w:ascii="Arial" w:eastAsia="MS Mincho" w:hAnsi="Arial"/>
              <w:sz w:val="20"/>
              <w:iCs/>
            </w:rPr>
            <w:t>,
2024-05-28,
paskelbta TAR 2024-05-28, i. k. 2024-09518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jc w:val="both"/>
            <w:rPr>
              <w:rFonts w:ascii="Arial" w:hAnsi="Arial"/>
            </w:rPr>
          </w:pPr>
          <w:r>
            <w:rPr>
              <w:rFonts w:ascii="Arial" w:hAnsi="Arial"/>
              <w:sz w:val="20"/>
            </w:rPr>
            <w:t>42.</w:t>
          </w:r>
        </w:p>
        <w:p>
          <w:pPr>
            <w:jc w:val="both"/>
            <w:rPr>
              <w:rFonts w:ascii="Arial" w:hAnsi="Arial"/>
            </w:rPr>
          </w:pPr>
          <w:r>
            <w:rPr>
              <w:rFonts w:ascii="Arial" w:hAnsi="Arial"/>
              <w:sz w:val="20"/>
            </w:rPr>
            <w:t>
                    Lietuvos Respublikos sveikatos apsaugos ministerija, Įsakymas
                </w:t>
          </w:r>
        </w:p>
        <w:p>
          <w:pPr>
            <w:jc w:val="both"/>
            <w:rPr>
              <w:rFonts w:ascii="Arial" w:hAnsi="Arial"/>
            </w:rPr>
          </w:pPr>
          <w:r>
            <w:rPr>
              <w:rFonts w:ascii="Arial" w:hAnsi="Arial"/>
              <w:sz w:val="20"/>
            </w:rPr>
            <w:t xml:space="preserve">Nr. </w:t>
          </w:r>
          <w:fldSimple w:instr="HYPERLINK https://www.e-tar.lt/portal/legalAct.html?documentId=675d7600350d11efbdaea558de59136c">
            <w:r w:rsidRPr="00532B9F">
              <w:rPr>
                <w:rFonts w:ascii="Arial" w:eastAsia="MS Mincho" w:hAnsi="Arial"/>
                <w:sz w:val="20"/>
                <w:iCs/>
                <w:color w:val="0000FF" w:themeColor="hyperlink"/>
                <w:u w:val="single"/>
              </w:rPr>
              <w:t>V-678</w:t>
            </w:r>
          </w:fldSimple>
          <w:r>
            <w:rPr>
              <w:rFonts w:ascii="Arial" w:eastAsia="MS Mincho" w:hAnsi="Arial"/>
              <w:sz w:val="20"/>
              <w:iCs/>
            </w:rPr>
            <w:t>,
2024-06-28,
paskelbta TAR 2024-06-28, i. k. 2024-11942                </w:t>
          </w:r>
        </w:p>
        <w:p>
          <w:pPr>
            <w:jc w:val="both"/>
            <w:rPr>
              <w:rFonts w:ascii="Arial" w:hAnsi="Arial"/>
            </w:rPr>
          </w:pPr>
          <w:r>
            <w:rPr>
              <w:rFonts w:ascii="Arial" w:hAnsi="Arial"/>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Arial" w:hAnsi="Arial"/>
              <w:sz w:val="20"/>
            </w:rPr>
          </w:pPr>
        </w:p>
        <w:p>
          <w:pPr>
            <w:widowControl w:val="0"/>
            <w:rPr>
              <w:rFonts w:ascii="Arial" w:hAnsi="Arial"/>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6838" w:h="11906" w:orient="landscape" w:code="9"/>
      <w:pgMar w:top="1701" w:right="1701" w:bottom="567" w:left="1134" w:header="1134" w:footer="1134"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23</w:t>
    </w:r>
    <w:r>
      <w:rPr>
        <w:szCs w:val="24"/>
      </w:rPr>
      <w:fldChar w:fldCharType="end"/>
    </w:r>
  </w:p>
  <w:p>
    <w:pPr>
      <w:tabs>
        <w:tab w:val="center" w:pos="4153"/>
        <w:tab w:val="right" w:pos="8306"/>
      </w:tabs>
      <w:rPr>
        <w:szCs w:val="24"/>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680"/>
        <w:tab w:val="right" w:pos="9360"/>
      </w:tabs>
      <w:rPr>
        <w:sz w:val="22"/>
        <w:szCs w:val="22"/>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15</w:t>
    </w:r>
    <w:r>
      <w:rPr>
        <w:sz w:val="22"/>
        <w:szCs w:val="22"/>
        <w:lang w:eastAsia="lt-LT"/>
      </w:rPr>
      <w:fldChar w:fldCharType="end"/>
    </w:r>
  </w:p>
  <w:p>
    <w:pPr>
      <w:tabs>
        <w:tab w:val="center" w:pos="4680"/>
        <w:tab w:val="right" w:pos="9360"/>
      </w:tabs>
      <w:rPr>
        <w:sz w:val="22"/>
        <w:szCs w:val="22"/>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51</w:t>
    </w:r>
    <w:r>
      <w:rPr>
        <w:szCs w:val="24"/>
      </w:rPr>
      <w:fldChar w:fldCharType="end"/>
    </w:r>
  </w:p>
  <w:p>
    <w:pPr>
      <w:tabs>
        <w:tab w:val="center" w:pos="4153"/>
        <w:tab w:val="right" w:pos="8306"/>
      </w:tabs>
      <w:rPr>
        <w:szCs w:val="24"/>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20</w:t>
    </w:r>
    <w:r>
      <w:rPr>
        <w:szCs w:val="24"/>
      </w:rPr>
      <w:fldChar w:fldCharType="end"/>
    </w:r>
  </w:p>
  <w:p>
    <w:pPr>
      <w:tabs>
        <w:tab w:val="center" w:pos="4153"/>
        <w:tab w:val="right" w:pos="8306"/>
      </w:tabs>
      <w:rPr>
        <w:szCs w:val="24"/>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31</w:t>
    </w:r>
    <w:r>
      <w:rPr>
        <w:szCs w:val="24"/>
      </w:rPr>
      <w:fldChar w:fldCharType="end"/>
    </w:r>
  </w:p>
  <w:p>
    <w:pPr>
      <w:tabs>
        <w:tab w:val="center" w:pos="4153"/>
        <w:tab w:val="right" w:pos="8306"/>
      </w:tabs>
      <w:rPr>
        <w:szCs w:val="24"/>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10035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109E"/>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0353"/>
    <o:shapelayout v:ext="edit">
      <o:idmap v:ext="edit" data="1"/>
    </o:shapelayout>
  </w:shapeDefaults>
  <w:decimalSymbol w:val=","/>
  <w:listSeparator w:val=";"/>
  <w15:docId w15:val="{C4E21F11-8D66-4C74-A07D-BB4F1A5310B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10.xml"/>
  <Relationship Id="rId10" Type="http://schemas.openxmlformats.org/officeDocument/2006/relationships/endnotes" Target="endnotes.xml"/>
  <Relationship Id="rId11" Type="http://schemas.openxmlformats.org/officeDocument/2006/relationships/fontTable" Target="fontTable.xml"/>
  <Relationship Id="rId12" Type="http://schemas.openxmlformats.org/officeDocument/2006/relationships/footnotes" Target="footnotes.xml"/>
  <Relationship Id="rId13" Type="http://schemas.openxmlformats.org/officeDocument/2006/relationships/settings" Target="settings.xml"/>
  <Relationship Id="rId14" Type="http://schemas.openxmlformats.org/officeDocument/2006/relationships/styles" Target="styles.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image" Target="media/image72.png"/>
  <Relationship Id="rId18" Type="http://schemas.openxmlformats.org/officeDocument/2006/relationships/oleObject" Target="embeddings/oleObject72.bin"/>
  <Relationship Id="rId19" Type="http://schemas.openxmlformats.org/officeDocument/2006/relationships/header" Target="header13.xml"/>
  <Relationship Id="rId2" Type="http://schemas.openxmlformats.org/officeDocument/2006/relationships/header" Target="header11.xml"/>
  <Relationship Id="rId20" Type="http://schemas.openxmlformats.org/officeDocument/2006/relationships/header" Target="header14.xml"/>
  <Relationship Id="rId21" Type="http://schemas.openxmlformats.org/officeDocument/2006/relationships/footer" Target="footer13.xml"/>
  <Relationship Id="rId22" Type="http://schemas.openxmlformats.org/officeDocument/2006/relationships/footer" Target="footer14.xml"/>
  <Relationship Id="rId23" Type="http://schemas.openxmlformats.org/officeDocument/2006/relationships/header" Target="header15.xml"/>
  <Relationship Id="rId24" Type="http://schemas.openxmlformats.org/officeDocument/2006/relationships/footer" Target="footer15.xml"/>
  <Relationship Id="rId25" Type="http://schemas.openxmlformats.org/officeDocument/2006/relationships/customXml" Target="../customXml/item4.xml"/>
  <Relationship Id="rId3" Type="http://schemas.openxmlformats.org/officeDocument/2006/relationships/footer" Target="footer10.xml"/>
  <Relationship Id="rId4" Type="http://schemas.openxmlformats.org/officeDocument/2006/relationships/footer" Target="footer11.xml"/>
  <Relationship Id="rId5" Type="http://schemas.openxmlformats.org/officeDocument/2006/relationships/header" Target="header12.xml"/>
  <Relationship Id="rId6" Type="http://schemas.openxmlformats.org/officeDocument/2006/relationships/footer" Target="footer12.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documentManagement/>
</p:properties>
</file>

<file path=customXml/item3.xml><?xml version="1.0" encoding="utf-8"?>
<ct:contentTypeSchema xmlns:ct="http://schemas.microsoft.com/office/2006/metadata/contentType" xmlns:ma="http://schemas.microsoft.com/office/2006/metadata/properties/metaAttributes" ct:_="" ma:_="" ma:contentTypeName="Dokumentas" ma:contentTypeID="0x010100958BDF1B7149A445B634534142DB2BA2" ma:contentTypeVersion="0" ma:contentTypeDescription="Kurkite naują dokumentą." ma:contentTypeScope="" ma:versionID="74b098eb4307a8f6462c52f47f6a7eb9">
  <xsd:schema xmlns:xsd="http://www.w3.org/2001/XMLSchema" targetNamespace="http://schemas.microsoft.com/office/2006/metadata/properties" ma:root="true" ma:fieldsID="6da6224787687129729813aad69afb19">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f8c1caabe0df49e198502b4b17034264" PartId="2a2223e4eb8048168dba70f5c324db82">
    <Part Type="preambule" DocPartId="a5dc527e952a46629f814acb02a68a8e" PartId="b55119ea5b19448c96fabf90dbccb4b9"/>
    <Part Type="pastraipa" DocPartId="cc90611dd24c491087d0fff5035be87c" PartId="e2e446847dd74fb198f9f4bc120dd735"/>
    <Part Type="signatura" DocPartId="bf3910d75445475e9ba178c29f724398" PartId="8d04719570ea4e7899eed59ab7a0f072"/>
  </Part>
  <Part Type="patvirtinta" Titl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AS" DocPartId="d7b8cd9b6d7b482285af0e9839f22413" PartId="c0474860178f4e4f9ced136949b89ae6">
    <Part Type="skyrius" Nr="1" Title="PLĖTROS PROGRAMOS PAŽANGOS PRIEMONĖS SIEKIAMI REZULTATAI" DocPartId="e80e9b157a5a4ed1972c3b4a13590405" PartId="c6e29fa4098441be9ec7d546552ad5c7"/>
    <Part Type="skyrius" Nr="2" Title="PLĖTROS PROGRAMOS PAŽANGOS PRIEMONĖS FINANSAVIMO ŠALTINIAI" DocPartId="fdb43120fd5945b0b28f372d3638606d" PartId="4604f1929c584b729069b54cbc0b8fc4"/>
    <Part Type="skyrius" Nr="3" Title="PLĖTROS PROGRAMOS PAŽANGOS PRIEMONĖS VEIKLŲ SUVESTINĖ" DocPartId="1bddb33c08254707be163cb39811516b" PartId="98344aaf225b4db3ada54a019e0ea59c"/>
    <Part Type="pabaiga" DocPartId="0439090d9a81489fa451252c8b318e94" PartId="409a53616be741a5b39ea703920f091a"/>
  </Part>
</Parts>
</file>

<file path=customXml/itemProps1.xml><?xml version="1.0" encoding="utf-8"?>
<ds:datastoreItem xmlns:ds="http://schemas.openxmlformats.org/officeDocument/2006/customXml" ds:itemID="{D4A776F0-D1E3-40A4-B089-5605A11984F0}">
  <ds:schemaRefs>
    <ds:schemaRef ds:uri="http://schemas.microsoft.com/sharepoint/v3/contenttype/forms"/>
  </ds:schemaRefs>
</ds:datastoreItem>
</file>

<file path=customXml/itemProps2.xml><?xml version="1.0" encoding="utf-8"?>
<ds:datastoreItem xmlns:ds="http://schemas.openxmlformats.org/officeDocument/2006/customXml" ds:itemID="{AB9CFDD4-93A5-48E2-A3E4-27507CA1D5BE}">
  <ds:schemaRefs>
    <ds:schemaRef ds:uri="http://schemas.microsoft.com/office/2006/documentManagement/types"/>
    <ds:schemaRef ds:uri="http://schemas.microsoft.com/office/2006/metadata/properties"/>
    <ds:schemaRef ds:uri="http://purl.org/dc/elements/1.1/"/>
    <ds:schemaRef ds:uri="http://purl.org/dc/terms/"/>
    <ds:schemaRef ds:uri="http://www.w3.org/XML/1998/namespace"/>
    <ds:schemaRef ds:uri="http://schemas.microsoft.com/office/infopath/2007/PartnerControls"/>
    <ds:schemaRef ds:uri="http://purl.org/dc/dcmitype/"/>
    <ds:schemaRef ds:uri="http://schemas.openxmlformats.org/package/2006/metadata/core-properties"/>
  </ds:schemaRefs>
</ds:datastoreItem>
</file>

<file path=customXml/itemProps3.xml><?xml version="1.0" encoding="utf-8"?>
<ds:datastoreItem xmlns:ds="http://schemas.openxmlformats.org/officeDocument/2006/customXml" ds:itemID="{E0C12CCF-4411-4FD2-B6C0-6DF43FBB3A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30E765E4-A405-418A-94B2-B56F1EBEDC5E}">
  <ds:schemaRefs>
    <ds:schemaRef ds:uri="http://lrs.lt/TAIS/DocParts"/>
  </ds:schemaRefs>
</ds:datastoreItem>
</file>

<file path=docProps/app.xml><?xml version="1.0" encoding="utf-8"?>
<Properties xmlns="http://schemas.openxmlformats.org/officeDocument/2006/extended-properties">
  <Template>Normal.dotm</Template>
  <TotalTime>25</TotalTime>
  <Pages>32</Pages>
  <Words>6822</Words>
  <Characters>43902</Characters>
  <Application>Microsoft Office Word</Application>
  <DocSecurity>0</DocSecurity>
  <Lines>365</Lines>
  <Paragraphs>101</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50623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2022-05-20T11:57:00Z</dcterms:created>
  <dc:creator>loginovic</dc:creator>
  <lastModifiedBy>TAMALIŪNIENĖ Vilija</lastModifiedBy>
  <lastPrinted>2001-05-09T09:40:00Z</lastPrinted>
  <dcterms:modified xsi:type="dcterms:W3CDTF">2024-07-01T14:10:00Z</dcterms:modified>
  <revision>46</revision>
  <dc:title>2001-05-00</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0x010100958BDF1B7149A445B634534142DB2BA2</vt:lpwstr>
  </property>
  <property fmtid="{D5CDD505-2E9C-101B-9397-08002B2CF9AE}" pid="3" name="Order">
    <vt:r8 xmlns:vt="http://schemas.openxmlformats.org/officeDocument/2006/docPropsVTypes">28700</vt:r8>
  </property>
  <property fmtid="{D5CDD505-2E9C-101B-9397-08002B2CF9AE}" pid="4" name="xd_Signature">
    <vt:bool xmlns:vt="http://schemas.openxmlformats.org/officeDocument/2006/docPropsVTypes">false</vt:bool>
  </property>
  <property fmtid="{D5CDD505-2E9C-101B-9397-08002B2CF9AE}" pid="5" name="xd_ProgID">
    <vt:lpwstr xmlns:vt="http://schemas.openxmlformats.org/officeDocument/2006/docPropsVTypes"/>
  </property>
  <property fmtid="{D5CDD505-2E9C-101B-9397-08002B2CF9AE}" pid="6" name="_ExtendedDescription">
    <vt:lpwstr xmlns:vt="http://schemas.openxmlformats.org/officeDocument/2006/docPropsVTypes"/>
  </property>
  <property fmtid="{D5CDD505-2E9C-101B-9397-08002B2CF9AE}" pid="7" name="TriggerFlowInfo">
    <vt:lpwstr xmlns:vt="http://schemas.openxmlformats.org/officeDocument/2006/docPropsVTypes"/>
  </property>
  <property fmtid="{D5CDD505-2E9C-101B-9397-08002B2CF9AE}" pid="8" name="TemplateUrl">
    <vt:lpwstr xmlns:vt="http://schemas.openxmlformats.org/officeDocument/2006/docPropsVTypes"/>
  </property>
  <property fmtid="{D5CDD505-2E9C-101B-9397-08002B2CF9AE}" pid="9" name="ComplianceAssetId">
    <vt:lpwstr xmlns:vt="http://schemas.openxmlformats.org/officeDocument/2006/docPropsVTypes"/>
  </property>
</Properties>
</file>