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ee476496d154914a0d22a4ba535fac2"/>
        <w:lock w:val="sdtLocked"/>
        <w:richText/>
      </w:sdtPr>
      <w:sdtContent>
        <w:p>
          <w:pPr>
            <w:jc w:val="both"/>
            <w:rPr>
              <w:rFonts w:ascii="Times New Roman" w:hAnsi="Times New Roman"/>
            </w:rPr>
          </w:pPr>
          <w:r>
            <w:rPr>
              <w:rFonts w:ascii="Times New Roman" w:hAnsi="Times New Roman"/>
              <w:b/>
              <w:i/>
            </w:rPr>
            <w:t>Suvestinė redakcija nuo 2026-01-17 iki 2026-01-28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8824f9450aa4a7c86cb781f9f4d81df"/>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8824f9450aa4a7c86cb781f9f4d81df"/>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881b5e5f52849e1b06fc8bcd64ba8f0"/>
            <w:lock w:val="sdtLocked"/>
            <w:richText/>
          </w:sdtPr>
          <w:sdtContent>
            <w:p>
              <w:pPr>
                <w:tabs>
                  <w:tab w:val="left" w:pos="1985"/>
                </w:tabs>
                <w:jc w:val="center"/>
                <w:rPr>
                  <w:b/>
                  <w:bCs/>
                  <w:sz w:val="22"/>
                  <w:szCs w:val="22"/>
                </w:rPr>
              </w:pPr>
              <w:sdt>
                <w:sdtPr>
                  <w:alias w:val="Numeris"/>
                  <w:tag w:val="nr_3881b5e5f52849e1b06fc8bcd64ba8f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881b5e5f52849e1b06fc8bcd64ba8f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3 538 000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fdad71d7e5384eaba0b5ef81641353d1"/>
            <w:lock w:val="sdtLocked"/>
            <w:richText/>
          </w:sdtPr>
          <w:sdtContent>
            <w:p>
              <w:pPr>
                <w:ind w:left="1080" w:hanging="360"/>
                <w:jc w:val="center"/>
                <w:rPr>
                  <w:b/>
                  <w:bCs/>
                  <w:color w:val="000000"/>
                  <w:szCs w:val="24"/>
                </w:rPr>
              </w:pPr>
              <w:sdt>
                <w:sdtPr>
                  <w:alias w:val="Numeris"/>
                  <w:tag w:val="nr_fdad71d7e5384eaba0b5ef81641353d1"/>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fdad71d7e5384eaba0b5ef81641353d1"/>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sdtContent>
        </w:sdt>
        <w:sdt>
          <w:sdtPr>
            <w:alias w:val="skyrius"/>
            <w:tag w:val="part_b0086e4e98b04085a0f725d4f6efe787"/>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b0086e4e98b04085a0f725d4f6efe787"/>
                  <w:lock w:val="sdtLocked"/>
                  <w:richText/>
                </w:sdtPr>
                <w:sdtContent>
                  <w:r>
                    <w:rPr>
                      <w:b/>
                      <w:bCs/>
                    </w:rPr>
                    <w:t>III</w:t>
                  </w:r>
                </w:sdtContent>
              </w:sdt>
              <w:r>
                <w:rPr>
                  <w:b/>
                  <w:bCs/>
                </w:rPr>
                <w:t xml:space="preserve"> SKYRIUS</w:t>
              </w:r>
            </w:p>
            <w:p>
              <w:pPr>
                <w:jc w:val="center"/>
                <w:rPr>
                  <w:b/>
                  <w:bCs/>
                </w:rPr>
              </w:pPr>
              <w:sdt>
                <w:sdtPr>
                  <w:alias w:val="Pavadinimas"/>
                  <w:tag w:val="title_b0086e4e98b04085a0f725d4f6efe787"/>
                  <w:lock w:val="sdtLocked"/>
                  <w:richText/>
                </w:sdtPr>
                <w:sdtContent>
                  <w:r>
                    <w:rPr>
                      <w:b/>
                      <w:bCs/>
                    </w:rPr>
                    <w:t>PLĖTROS PROGRAMOS PAŽANGOS PRIEMONĖS VEIKLŲ SUVESTINĖ</w:t>
                  </w:r>
                </w:sdtContent>
              </w:sdt>
            </w:p>
            <w:p>
              <w:pPr>
                <w:jc w:val="center"/>
                <w:rPr>
                  <w:b/>
                  <w:bCs/>
                </w:rPr>
              </w:pP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1"/>
                <w:gridCol w:w="727"/>
                <w:gridCol w:w="73"/>
                <w:gridCol w:w="1972"/>
                <w:gridCol w:w="66"/>
                <w:gridCol w:w="680"/>
                <w:gridCol w:w="35"/>
                <w:gridCol w:w="1006"/>
                <w:gridCol w:w="8"/>
                <w:gridCol w:w="32"/>
                <w:gridCol w:w="625"/>
                <w:gridCol w:w="24"/>
                <w:gridCol w:w="1216"/>
                <w:gridCol w:w="1066"/>
                <w:gridCol w:w="1923"/>
                <w:gridCol w:w="1076"/>
                <w:gridCol w:w="126"/>
                <w:gridCol w:w="992"/>
                <w:gridCol w:w="1276"/>
              </w:tblGrid>
              <w:tr>
                <w:trPr>
                  <w:trHeight w:val="1425"/>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0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03"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03" w:type="dxa"/>
                    <w:gridSpan w:val="2"/>
                    <w:vMerge/>
                    <w:tcBorders>
                      <w:left w:val="single" w:sz="4" w:space="0" w:color="auto"/>
                      <w:bottom w:val="single" w:sz="4" w:space="0" w:color="auto"/>
                      <w:right w:val="single" w:sz="4" w:space="0" w:color="auto"/>
                    </w:tcBorders>
                  </w:tcPr>
                  <w:p>
                    <w:pPr>
                      <w:ind w:left="-57" w:right="-57"/>
                      <w:rPr>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03"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03" w:type="dxa"/>
                    <w:gridSpan w:val="2"/>
                    <w:vMerge/>
                    <w:tcBorders>
                      <w:left w:val="single" w:sz="4" w:space="0" w:color="auto"/>
                      <w:right w:val="single" w:sz="4" w:space="0" w:color="auto"/>
                    </w:tcBorders>
                  </w:tcPr>
                  <w:p>
                    <w:pPr>
                      <w:ind w:left="-57" w:right="-57"/>
                      <w:rPr>
                        <w:iCs/>
                        <w:sz w:val="20"/>
                      </w:rPr>
                    </w:pPr>
                  </w:p>
                </w:tc>
                <w:tc>
                  <w:tcPr>
                    <w:tcW w:w="800" w:type="dxa"/>
                    <w:gridSpan w:val="2"/>
                    <w:vMerge/>
                    <w:tcBorders>
                      <w:left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vMerge/>
                    <w:tcBorders>
                      <w:left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308 256,403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miokardo infarkto per 30 dienų nuo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194 283,999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40 798,741</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Efektyvių organų donorų skaičius 1 mln. gyventojų</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 Sostinės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42 750,312</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7 544,173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8 340,359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R – Specialistų, kurie po dalyvavimo veiklose įgijo ar patobulino kvalifikaciją,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294"/>
                </w:trPr>
                <w:tc>
                  <w:tcPr>
                    <w:tcW w:w="2103"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03"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103" w:type="dxa"/>
                    <w:gridSpan w:val="2"/>
                    <w:vMerge w:val="restart"/>
                  </w:tcPr>
                  <w:p>
                    <w:pPr>
                      <w:rPr>
                        <w:sz w:val="20"/>
                      </w:rPr>
                    </w:pPr>
                    <w:r>
                      <w:rPr>
                        <w:sz w:val="20"/>
                      </w:rPr>
                      <w:t>2.4 Regionų ir savivaldybių sveikatos priežiūros įstaigų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Borders>
                      <w:left w:val="single" w:sz="4" w:space="0" w:color="auto"/>
                      <w:bottom w:val="single" w:sz="4" w:space="0" w:color="auto"/>
                      <w:right w:val="single" w:sz="4" w:space="0" w:color="auto"/>
                    </w:tcBorders>
                    <w:shd w:val="clear" w:color="auto" w:fill="auto"/>
                  </w:tcPr>
                  <w:p>
                    <w:pPr>
                      <w:rPr>
                        <w:sz w:val="20"/>
                      </w:rPr>
                    </w:pPr>
                    <w:r>
                      <w:rPr>
                        <w:color w:val="000000"/>
                        <w:sz w:val="20"/>
                      </w:rPr>
                      <w:t>5 850,490</w:t>
                    </w:r>
                  </w:p>
                </w:tc>
                <w:tc>
                  <w:tcPr>
                    <w:tcW w:w="1066" w:type="dxa"/>
                  </w:tcPr>
                  <w:p>
                    <w:pPr>
                      <w:rPr>
                        <w:sz w:val="20"/>
                      </w:rPr>
                    </w:pPr>
                    <w:r>
                      <w:rPr>
                        <w:sz w:val="20"/>
                      </w:rPr>
                      <w:t>2021–2027 m. IP (ERPF)</w:t>
                    </w:r>
                  </w:p>
                  <w:p>
                    <w:pPr>
                      <w:rPr>
                        <w:sz w:val="20"/>
                      </w:rPr>
                    </w:pPr>
                  </w:p>
                </w:tc>
                <w:tc>
                  <w:tcPr>
                    <w:tcW w:w="1923"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51 500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5 850,490</w:t>
                    </w:r>
                  </w:p>
                </w:tc>
                <w:tc>
                  <w:tcPr>
                    <w:tcW w:w="1066" w:type="dxa"/>
                  </w:tcPr>
                  <w:p>
                    <w:pPr>
                      <w:rPr>
                        <w:sz w:val="20"/>
                      </w:rPr>
                    </w:pPr>
                    <w:r>
                      <w:rPr>
                        <w:sz w:val="20"/>
                      </w:rPr>
                      <w:t>2021–2027 m. IP (BF)</w:t>
                    </w:r>
                  </w:p>
                </w:tc>
                <w:tc>
                  <w:tcPr>
                    <w:tcW w:w="1923"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202" w:type="dxa"/>
                    <w:gridSpan w:val="2"/>
                    <w:shd w:val="clear" w:color="auto" w:fill="auto"/>
                  </w:tcPr>
                  <w:p>
                    <w:pPr>
                      <w:ind w:left="-57" w:right="-57"/>
                      <w:jc w:val="center"/>
                      <w:rPr>
                        <w:sz w:val="20"/>
                      </w:rPr>
                    </w:pPr>
                    <w:r>
                      <w:rPr>
                        <w:sz w:val="20"/>
                      </w:rPr>
                      <w:t>46 480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103" w:type="dxa"/>
                    <w:gridSpan w:val="2"/>
                    <w:vMerge w:val="restart"/>
                  </w:tcPr>
                  <w:p>
                    <w:pPr>
                      <w:rPr>
                        <w:sz w:val="20"/>
                      </w:rPr>
                    </w:pPr>
                    <w:r>
                      <w:rPr>
                        <w:sz w:val="20"/>
                      </w:rPr>
                      <w:t>2.5. Regionų ir savivaldybių sveikatos priežiūros įstaigų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103" w:type="dxa"/>
                    <w:gridSpan w:val="2"/>
                    <w:vMerge w:val="restart"/>
                  </w:tcPr>
                  <w:p>
                    <w:pPr>
                      <w:rPr>
                        <w:sz w:val="20"/>
                      </w:rPr>
                    </w:pPr>
                    <w:r>
                      <w:rPr>
                        <w:sz w:val="20"/>
                      </w:rPr>
                      <w:t>2.6. Skubios telemedicinos paslaugų diegimas,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vMerge/>
                  </w:tcPr>
                  <w:p>
                    <w:pPr>
                      <w:ind w:left="-57" w:right="-57"/>
                      <w:rPr>
                        <w:color w:val="FF0000"/>
                        <w:sz w:val="20"/>
                      </w:rPr>
                    </w:pPr>
                  </w:p>
                </w:tc>
                <w:tc>
                  <w:tcPr>
                    <w:tcW w:w="1202"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103" w:type="dxa"/>
                    <w:gridSpan w:val="2"/>
                    <w:vMerge/>
                    <w:vAlign w:val="center"/>
                  </w:tcPr>
                  <w:p>
                    <w:pPr>
                      <w:rPr>
                        <w:color w:val="000000"/>
                        <w:sz w:val="20"/>
                      </w:rPr>
                    </w:pPr>
                  </w:p>
                </w:tc>
                <w:tc>
                  <w:tcPr>
                    <w:tcW w:w="800" w:type="dxa"/>
                    <w:gridSpan w:val="2"/>
                    <w:vMerge/>
                    <w:vAlign w:val="center"/>
                  </w:tcPr>
                  <w:p>
                    <w:pPr>
                      <w:rPr>
                        <w:color w:val="000000"/>
                        <w:sz w:val="20"/>
                      </w:rPr>
                    </w:pPr>
                  </w:p>
                </w:tc>
                <w:tc>
                  <w:tcPr>
                    <w:tcW w:w="1972" w:type="dxa"/>
                    <w:vMerge/>
                    <w:vAlign w:val="center"/>
                  </w:tcPr>
                  <w:p>
                    <w:pPr>
                      <w:rPr>
                        <w:color w:val="000000"/>
                        <w:sz w:val="20"/>
                      </w:rPr>
                    </w:pPr>
                  </w:p>
                </w:tc>
                <w:tc>
                  <w:tcPr>
                    <w:tcW w:w="781" w:type="dxa"/>
                    <w:gridSpan w:val="3"/>
                    <w:vMerge/>
                    <w:vAlign w:val="center"/>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ign w:val="center"/>
                  </w:tcPr>
                  <w:p>
                    <w:pPr>
                      <w:rPr>
                        <w:color w:val="000000"/>
                        <w:sz w:val="20"/>
                      </w:rPr>
                    </w:pPr>
                  </w:p>
                </w:tc>
                <w:tc>
                  <w:tcPr>
                    <w:tcW w:w="1066" w:type="dxa"/>
                    <w:vMerge/>
                    <w:vAlign w:val="center"/>
                  </w:tcPr>
                  <w:p>
                    <w:pPr>
                      <w:rPr>
                        <w:color w:val="000000"/>
                        <w:sz w:val="20"/>
                      </w:rPr>
                    </w:pPr>
                  </w:p>
                </w:tc>
                <w:tc>
                  <w:tcPr>
                    <w:tcW w:w="1923"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975"/>
                </w:trPr>
                <w:tc>
                  <w:tcPr>
                    <w:tcW w:w="2103"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2"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2"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Pr>
                  <w:p>
                    <w:r>
                      <w:rPr>
                        <w:sz w:val="20"/>
                      </w:rPr>
                      <w:t>2.10. Medicinos darbuotojų (specializuotos sveikatos priežiūros) paruošimas operatyviai ir koordinuotai teikti asmens sveikatos priežiūros paslaugas sužalotiems kariams ir civiliams</w:t>
                    </w:r>
                  </w:p>
                </w:tc>
                <w:tc>
                  <w:tcPr>
                    <w:tcW w:w="800" w:type="dxa"/>
                    <w:gridSpan w:val="2"/>
                    <w:vMerge w:val="restart"/>
                  </w:tcPr>
                  <w:p>
                    <w:r>
                      <w:rPr>
                        <w:sz w:val="20"/>
                      </w:rPr>
                      <w:t>I</w:t>
                    </w:r>
                  </w:p>
                </w:tc>
                <w:tc>
                  <w:tcPr>
                    <w:tcW w:w="1972" w:type="dxa"/>
                    <w:vMerge w:val="restart"/>
                  </w:tcPr>
                  <w:p>
                    <w:r>
                      <w:rPr>
                        <w:sz w:val="20"/>
                      </w:rPr>
                      <w:t>ESSC, VU ir LSMU</w:t>
                    </w:r>
                  </w:p>
                </w:tc>
                <w:tc>
                  <w:tcPr>
                    <w:tcW w:w="781" w:type="dxa"/>
                    <w:gridSpan w:val="3"/>
                    <w:vMerge w:val="restart"/>
                  </w:tcPr>
                  <w:p>
                    <w:r>
                      <w:rPr>
                        <w:sz w:val="20"/>
                      </w:rPr>
                      <w:t>P</w:t>
                    </w:r>
                  </w:p>
                </w:tc>
                <w:tc>
                  <w:tcPr>
                    <w:tcW w:w="1014" w:type="dxa"/>
                    <w:gridSpan w:val="2"/>
                    <w:vMerge w:val="restart"/>
                  </w:tcPr>
                  <w:p>
                    <w:r>
                      <w:rPr>
                        <w:sz w:val="20"/>
                      </w:rPr>
                      <w:t>Taip</w:t>
                    </w:r>
                  </w:p>
                </w:tc>
                <w:tc>
                  <w:tcPr>
                    <w:tcW w:w="681" w:type="dxa"/>
                    <w:gridSpan w:val="3"/>
                    <w:vMerge w:val="restart"/>
                  </w:tcPr>
                  <w:p>
                    <w:r>
                      <w:rPr>
                        <w:sz w:val="20"/>
                      </w:rPr>
                      <w:t>D</w:t>
                    </w:r>
                  </w:p>
                </w:tc>
                <w:tc>
                  <w:tcPr>
                    <w:tcW w:w="1216" w:type="dxa"/>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2"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r>
                      <w:rPr>
                        <w:sz w:val="20"/>
                      </w:rPr>
                      <w:t>CPVA</w:t>
                    </w:r>
                  </w:p>
                </w:tc>
                <w:tc>
                  <w:tcPr>
                    <w:tcW w:w="1276" w:type="dxa"/>
                  </w:tcPr>
                  <w:p>
                    <w:r>
                      <w:rPr>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2"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6" w:type="dxa"/>
                    <w:vAlign w:val="center"/>
                  </w:tcPr>
                  <w:p/>
                </w:tc>
              </w:tr>
              <w:tr>
                <w:trPr>
                  <w:trHeight w:val="414"/>
                </w:trPr>
                <w:tc>
                  <w:tcPr>
                    <w:tcW w:w="2103"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2"/>
                    <w:vMerge w:val="restart"/>
                    <w:shd w:val="clear" w:color="auto" w:fill="F2F2F2" w:themeFill="background1" w:themeFillShade="F2"/>
                  </w:tcPr>
                  <w:p>
                    <w:pPr>
                      <w:rPr>
                        <w:color w:val="000000"/>
                        <w:sz w:val="20"/>
                      </w:rPr>
                    </w:pPr>
                    <w:r>
                      <w:rPr>
                        <w:sz w:val="20"/>
                      </w:rPr>
                      <w:t>-</w:t>
                    </w:r>
                  </w:p>
                </w:tc>
                <w:tc>
                  <w:tcPr>
                    <w:tcW w:w="1972" w:type="dxa"/>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2"/>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2"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2"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03" w:type="dxa"/>
                    <w:gridSpan w:val="2"/>
                    <w:vMerge w:val="restart"/>
                  </w:tcPr>
                  <w:p>
                    <w:pPr>
                      <w:rPr>
                        <w:color w:val="000000"/>
                        <w:sz w:val="20"/>
                      </w:rPr>
                    </w:pPr>
                    <w:r>
                      <w:rPr>
                        <w:sz w:val="20"/>
                      </w:rPr>
                      <w:t>3.1. Pažangios terapijos centro statyba</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2"/>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vMerge/>
                    <w:tcBorders>
                      <w:left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103" w:type="dxa"/>
                    <w:gridSpan w:val="2"/>
                    <w:vMerge w:val="restart"/>
                  </w:tcPr>
                  <w:p>
                    <w:pPr>
                      <w:rPr>
                        <w:color w:val="000000"/>
                        <w:sz w:val="20"/>
                      </w:rPr>
                    </w:pPr>
                    <w:r>
                      <w:rPr>
                        <w:sz w:val="20"/>
                      </w:rPr>
                      <w:t>3.2. Genomo tyrimams atlikti reikalingos įrangos įsigijimas ir tyrimų atlikimas</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2"/>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tcPr>
                  <w:p>
                    <w:pPr>
                      <w:rPr>
                        <w:color w:val="000000"/>
                        <w:sz w:val="20"/>
                      </w:rPr>
                    </w:pPr>
                    <w:r>
                      <w:rPr>
                        <w:sz w:val="20"/>
                      </w:rPr>
                      <w:t>6 300</w:t>
                    </w:r>
                  </w:p>
                </w:tc>
                <w:tc>
                  <w:tcPr>
                    <w:tcW w:w="1066" w:type="dxa"/>
                  </w:tcPr>
                  <w:p>
                    <w:pPr>
                      <w:rPr>
                        <w:color w:val="000000"/>
                        <w:sz w:val="20"/>
                      </w:rPr>
                    </w:pPr>
                    <w:r>
                      <w:rPr>
                        <w:sz w:val="20"/>
                      </w:rPr>
                      <w:t>EGADP</w:t>
                    </w:r>
                  </w:p>
                </w:tc>
                <w:tc>
                  <w:tcPr>
                    <w:tcW w:w="1923"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2"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vMerge/>
                    <w:tcBorders>
                      <w:bottom w:val="single" w:sz="4" w:space="0" w:color="auto"/>
                    </w:tcBorders>
                    <w:shd w:val="clear" w:color="auto" w:fill="auto"/>
                  </w:tcPr>
                  <w:p>
                    <w:pPr>
                      <w:ind w:left="-57" w:right="-57"/>
                      <w:rPr>
                        <w:sz w:val="20"/>
                      </w:rPr>
                    </w:pPr>
                  </w:p>
                </w:tc>
                <w:tc>
                  <w:tcPr>
                    <w:tcW w:w="1202"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2"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2"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03"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2"/>
                    <w:vMerge w:val="restart"/>
                  </w:tcPr>
                  <w:p>
                    <w:pPr>
                      <w:rPr>
                        <w:sz w:val="20"/>
                      </w:rPr>
                    </w:pPr>
                    <w:r>
                      <w:rPr>
                        <w:sz w:val="20"/>
                      </w:rPr>
                      <w:t>I</w:t>
                    </w:r>
                  </w:p>
                </w:tc>
                <w:tc>
                  <w:tcPr>
                    <w:tcW w:w="1972"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2"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2"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shd w:val="clear" w:color="auto" w:fill="FFFFFF" w:themeFill="background1"/>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2"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103" w:type="dxa"/>
                    <w:gridSpan w:val="2"/>
                  </w:tcPr>
                  <w:p>
                    <w:pPr>
                      <w:rPr>
                        <w:iCs/>
                        <w:sz w:val="20"/>
                      </w:rPr>
                    </w:pPr>
                    <w:r>
                      <w:rPr>
                        <w:iCs/>
                        <w:sz w:val="20"/>
                      </w:rPr>
                      <w:t>3.4. Sudėtingų sveikatos priežiūros diagnostikos ir gydymo paslaugų infrastruktūros modernizavimas</w:t>
                    </w:r>
                  </w:p>
                </w:tc>
                <w:tc>
                  <w:tcPr>
                    <w:tcW w:w="800" w:type="dxa"/>
                    <w:gridSpan w:val="2"/>
                  </w:tcPr>
                  <w:p>
                    <w:pPr>
                      <w:rPr>
                        <w:color w:val="000000"/>
                        <w:sz w:val="20"/>
                      </w:rPr>
                    </w:pPr>
                    <w:r>
                      <w:rPr>
                        <w:sz w:val="20"/>
                      </w:rPr>
                      <w:t>I</w:t>
                    </w:r>
                  </w:p>
                </w:tc>
                <w:tc>
                  <w:tcPr>
                    <w:tcW w:w="1972" w:type="dxa"/>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2"/>
                  </w:tcPr>
                  <w:p>
                    <w:pPr>
                      <w:rPr>
                        <w:color w:val="000000"/>
                        <w:sz w:val="20"/>
                      </w:rPr>
                    </w:pPr>
                    <w:r>
                      <w:rPr>
                        <w:sz w:val="20"/>
                      </w:rPr>
                      <w:t>Taip</w:t>
                    </w:r>
                  </w:p>
                </w:tc>
                <w:tc>
                  <w:tcPr>
                    <w:tcW w:w="681" w:type="dxa"/>
                    <w:gridSpan w:val="3"/>
                  </w:tcPr>
                  <w:p>
                    <w:pPr>
                      <w:rPr>
                        <w:color w:val="000000"/>
                        <w:sz w:val="20"/>
                      </w:rPr>
                    </w:pPr>
                    <w:r>
                      <w:rPr>
                        <w:sz w:val="20"/>
                      </w:rPr>
                      <w:t>D</w:t>
                    </w:r>
                  </w:p>
                </w:tc>
                <w:tc>
                  <w:tcPr>
                    <w:tcW w:w="1216" w:type="dxa"/>
                  </w:tcPr>
                  <w:p>
                    <w:pPr>
                      <w:rPr>
                        <w:sz w:val="20"/>
                      </w:rPr>
                    </w:pPr>
                    <w:r>
                      <w:rPr>
                        <w:sz w:val="20"/>
                      </w:rPr>
                      <w:t>19 000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P – Modernizuotų asmens sveikatos priežiūros įstaigų skaičius</w:t>
                    </w:r>
                  </w:p>
                </w:tc>
                <w:tc>
                  <w:tcPr>
                    <w:tcW w:w="1202"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2"/>
                    <w:tcBorders>
                      <w:top w:val="single" w:sz="4" w:space="0" w:color="auto"/>
                      <w:left w:val="single" w:sz="4" w:space="0" w:color="auto"/>
                      <w:bottom w:val="single" w:sz="4" w:space="0" w:color="auto"/>
                      <w:right w:val="single" w:sz="4" w:space="0" w:color="auto"/>
                    </w:tcBorders>
                  </w:tcPr>
                  <w:p>
                    <w:pPr>
                      <w:rPr>
                        <w:sz w:val="20"/>
                      </w:rPr>
                    </w:pPr>
                  </w:p>
                </w:tc>
                <w:tc>
                  <w:tcPr>
                    <w:tcW w:w="1972" w:type="dxa"/>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2"/>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bottom w:val="single" w:sz="4" w:space="0" w:color="auto"/>
                      <w:right w:val="single" w:sz="4" w:space="0" w:color="auto"/>
                    </w:tcBorders>
                    <w:vAlign w:val="center"/>
                  </w:tcPr>
                  <w:p>
                    <w:pPr>
                      <w:rPr>
                        <w:sz w:val="20"/>
                      </w:rPr>
                    </w:pPr>
                  </w:p>
                </w:tc>
                <w:tc>
                  <w:tcPr>
                    <w:tcW w:w="800" w:type="dxa"/>
                    <w:gridSpan w:val="2"/>
                    <w:vMerge/>
                    <w:tcBorders>
                      <w:left w:val="single" w:sz="4" w:space="0" w:color="auto"/>
                      <w:bottom w:val="single" w:sz="4" w:space="0" w:color="auto"/>
                      <w:right w:val="single" w:sz="4" w:space="0" w:color="auto"/>
                    </w:tcBorders>
                    <w:vAlign w:val="center"/>
                  </w:tcPr>
                  <w:p>
                    <w:pPr>
                      <w:rPr>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 paslaugų naudotojų skaičius per metus, naudotojai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2"/>
                    <w:shd w:val="clear" w:color="auto" w:fill="F2F2F2" w:themeFill="background1" w:themeFillShade="F2"/>
                  </w:tcPr>
                  <w:p>
                    <w:pPr>
                      <w:rPr>
                        <w:sz w:val="20"/>
                      </w:rPr>
                    </w:pPr>
                    <w:r>
                      <w:rPr>
                        <w:sz w:val="20"/>
                      </w:rPr>
                      <w:t>A</w:t>
                    </w:r>
                  </w:p>
                </w:tc>
                <w:tc>
                  <w:tcPr>
                    <w:tcW w:w="1972" w:type="dxa"/>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2"/>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2"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2"/>
                    <w:vMerge w:val="restart"/>
                  </w:tcPr>
                  <w:p>
                    <w:pPr>
                      <w:rPr>
                        <w:sz w:val="20"/>
                      </w:rPr>
                    </w:pPr>
                    <w:r>
                      <w:rPr>
                        <w:sz w:val="20"/>
                      </w:rPr>
                      <w:t>R</w:t>
                    </w:r>
                  </w:p>
                </w:tc>
                <w:tc>
                  <w:tcPr>
                    <w:tcW w:w="1972" w:type="dxa"/>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vMerge w:val="restart"/>
                  </w:tcPr>
                  <w:p>
                    <w:pPr>
                      <w:rPr>
                        <w:sz w:val="20"/>
                      </w:rPr>
                    </w:pPr>
                    <w:r>
                      <w:rPr>
                        <w:sz w:val="20"/>
                      </w:rPr>
                      <w:t>-</w:t>
                    </w:r>
                  </w:p>
                </w:tc>
                <w:tc>
                  <w:tcPr>
                    <w:tcW w:w="1066" w:type="dxa"/>
                    <w:vMerge w:val="restart"/>
                  </w:tcPr>
                  <w:p>
                    <w:pPr>
                      <w:rPr>
                        <w:sz w:val="20"/>
                      </w:rPr>
                    </w:pPr>
                    <w:r>
                      <w:rPr>
                        <w:sz w:val="20"/>
                      </w:rPr>
                      <w:t>-</w:t>
                    </w:r>
                  </w:p>
                </w:tc>
                <w:tc>
                  <w:tcPr>
                    <w:tcW w:w="1923"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2"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1202"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Patvirtintas atnaujintas Šeimos medicinos plėtros 2016–2025 m. veiksmų planas</w:t>
                    </w:r>
                  </w:p>
                </w:tc>
                <w:tc>
                  <w:tcPr>
                    <w:tcW w:w="1202"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103"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5 700,000</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103"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7 603,764</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103"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jc w:val="center"/>
                      <w:rPr>
                        <w:strike/>
                        <w:sz w:val="20"/>
                      </w:rPr>
                    </w:pPr>
                    <w:r>
                      <w:rPr>
                        <w:sz w:val="20"/>
                      </w:rPr>
                      <w:t>27 218,273</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103"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50 398,601</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655"/>
                </w:trPr>
                <w:tc>
                  <w:tcPr>
                    <w:tcW w:w="12758" w:type="dxa"/>
                    <w:gridSpan w:val="18"/>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6"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18"/>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tcPr>
                  <w:p>
                    <w:pPr>
                      <w:rPr>
                        <w:sz w:val="20"/>
                      </w:rPr>
                    </w:pPr>
                    <w:r>
                      <w:rPr>
                        <w:sz w:val="20"/>
                      </w:rPr>
                      <w:t>6.9. ASPĮ išlaidų, patirtų įgyvendinant pertvarką, kompensavimas</w:t>
                    </w:r>
                  </w:p>
                </w:tc>
                <w:tc>
                  <w:tcPr>
                    <w:tcW w:w="800" w:type="dxa"/>
                    <w:gridSpan w:val="2"/>
                  </w:tcPr>
                  <w:p>
                    <w:pPr>
                      <w:rPr>
                        <w:sz w:val="20"/>
                      </w:rPr>
                    </w:pPr>
                    <w:r>
                      <w:rPr>
                        <w:sz w:val="20"/>
                      </w:rPr>
                      <w:t>I</w:t>
                    </w:r>
                  </w:p>
                </w:tc>
                <w:tc>
                  <w:tcPr>
                    <w:tcW w:w="1972" w:type="dxa"/>
                  </w:tcPr>
                  <w:p>
                    <w:pPr>
                      <w:rPr>
                        <w:sz w:val="20"/>
                      </w:rPr>
                    </w:pPr>
                    <w:r>
                      <w:rPr>
                        <w:sz w:val="20"/>
                      </w:rPr>
                      <w:t>ASPĮ</w:t>
                    </w:r>
                  </w:p>
                </w:tc>
                <w:tc>
                  <w:tcPr>
                    <w:tcW w:w="781" w:type="dxa"/>
                    <w:gridSpan w:val="3"/>
                  </w:tcPr>
                  <w:p>
                    <w:pPr>
                      <w:rPr>
                        <w:sz w:val="20"/>
                      </w:rPr>
                    </w:pPr>
                    <w:r>
                      <w:rPr>
                        <w:sz w:val="20"/>
                      </w:rPr>
                      <w:t>P</w:t>
                    </w:r>
                  </w:p>
                </w:tc>
                <w:tc>
                  <w:tcPr>
                    <w:tcW w:w="1014" w:type="dxa"/>
                    <w:gridSpan w:val="2"/>
                  </w:tcPr>
                  <w:p>
                    <w:pPr>
                      <w:rPr>
                        <w:sz w:val="20"/>
                      </w:rPr>
                    </w:pPr>
                    <w:r>
                      <w:rPr>
                        <w:sz w:val="20"/>
                      </w:rPr>
                      <w:t>Taip</w:t>
                    </w:r>
                  </w:p>
                </w:tc>
                <w:tc>
                  <w:tcPr>
                    <w:tcW w:w="681" w:type="dxa"/>
                    <w:gridSpan w:val="3"/>
                  </w:tcPr>
                  <w:p>
                    <w:pPr>
                      <w:rPr>
                        <w:sz w:val="20"/>
                      </w:rPr>
                    </w:pPr>
                    <w:r>
                      <w:rPr>
                        <w:sz w:val="20"/>
                      </w:rPr>
                      <w:t>D</w:t>
                    </w:r>
                  </w:p>
                </w:tc>
                <w:tc>
                  <w:tcPr>
                    <w:tcW w:w="1216" w:type="dxa"/>
                  </w:tcPr>
                  <w:p>
                    <w:pPr>
                      <w:rPr>
                        <w:sz w:val="20"/>
                      </w:rPr>
                    </w:pPr>
                    <w:r>
                      <w:rPr>
                        <w:sz w:val="20"/>
                        <w:lang w:val="en-US"/>
                      </w:rPr>
                      <w:t>8 000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2"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03"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2 523,178</w:t>
                    </w:r>
                  </w:p>
                </w:tc>
                <w:tc>
                  <w:tcPr>
                    <w:tcW w:w="1066" w:type="dxa"/>
                  </w:tcPr>
                  <w:p>
                    <w:pPr>
                      <w:rPr>
                        <w:sz w:val="20"/>
                      </w:rPr>
                    </w:pPr>
                    <w:r>
                      <w:rPr>
                        <w:sz w:val="20"/>
                      </w:rPr>
                      <w:t>2021–2027 m. IP (BF)</w:t>
                    </w: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103"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2"/>
                    <w:vMerge w:val="restart"/>
                  </w:tcPr>
                  <w:p>
                    <w:pPr>
                      <w:rPr>
                        <w:sz w:val="20"/>
                      </w:rPr>
                    </w:pPr>
                    <w:r>
                      <w:rPr>
                        <w:sz w:val="20"/>
                      </w:rPr>
                      <w:t>I</w:t>
                    </w:r>
                  </w:p>
                  <w:p>
                    <w:pPr>
                      <w:rPr>
                        <w:sz w:val="20"/>
                      </w:rPr>
                    </w:pPr>
                  </w:p>
                </w:tc>
                <w:tc>
                  <w:tcPr>
                    <w:tcW w:w="1972" w:type="dxa"/>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2"/>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103"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2"/>
                  </w:tcPr>
                  <w:p>
                    <w:pPr>
                      <w:rPr>
                        <w:sz w:val="22"/>
                        <w:szCs w:val="22"/>
                      </w:rPr>
                    </w:pPr>
                    <w:r>
                      <w:rPr>
                        <w:sz w:val="20"/>
                      </w:rPr>
                      <w:t>I</w:t>
                    </w:r>
                  </w:p>
                </w:tc>
                <w:tc>
                  <w:tcPr>
                    <w:tcW w:w="1972" w:type="dxa"/>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2"/>
                  </w:tcPr>
                  <w:p>
                    <w:pPr>
                      <w:rPr>
                        <w:sz w:val="22"/>
                        <w:szCs w:val="22"/>
                      </w:rPr>
                    </w:pPr>
                    <w:r>
                      <w:rPr>
                        <w:sz w:val="20"/>
                      </w:rPr>
                      <w:t>Taip</w:t>
                    </w:r>
                  </w:p>
                </w:tc>
                <w:tc>
                  <w:tcPr>
                    <w:tcW w:w="681" w:type="dxa"/>
                    <w:gridSpan w:val="3"/>
                  </w:tcPr>
                  <w:p>
                    <w:pPr>
                      <w:rPr>
                        <w:sz w:val="22"/>
                        <w:szCs w:val="22"/>
                      </w:rPr>
                    </w:pPr>
                    <w:r>
                      <w:rPr>
                        <w:sz w:val="20"/>
                      </w:rPr>
                      <w:t>D</w:t>
                    </w:r>
                  </w:p>
                </w:tc>
                <w:tc>
                  <w:tcPr>
                    <w:tcW w:w="1216" w:type="dxa"/>
                  </w:tcPr>
                  <w:p>
                    <w:pPr>
                      <w:rPr>
                        <w:sz w:val="22"/>
                        <w:szCs w:val="22"/>
                        <w:lang w:val="en-US"/>
                      </w:rPr>
                    </w:pPr>
                    <w:r>
                      <w:rPr>
                        <w:sz w:val="20"/>
                      </w:rPr>
                      <w:t>6 000</w:t>
                    </w:r>
                  </w:p>
                </w:tc>
                <w:tc>
                  <w:tcPr>
                    <w:tcW w:w="1066" w:type="dxa"/>
                  </w:tcPr>
                  <w:p>
                    <w:pPr>
                      <w:rPr>
                        <w:sz w:val="22"/>
                        <w:szCs w:val="22"/>
                      </w:rPr>
                    </w:pPr>
                    <w:r>
                      <w:rPr>
                        <w:sz w:val="20"/>
                      </w:rPr>
                      <w:t>VB</w:t>
                    </w:r>
                  </w:p>
                </w:tc>
                <w:tc>
                  <w:tcPr>
                    <w:tcW w:w="1923"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2"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03"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03" w:type="dxa"/>
                    <w:gridSpan w:val="2"/>
                    <w:vMerge/>
                    <w:tcBorders>
                      <w:left w:val="single" w:sz="4" w:space="0" w:color="auto"/>
                      <w:right w:val="single" w:sz="4" w:space="0" w:color="auto"/>
                    </w:tcBorders>
                    <w:shd w:val="clear" w:color="auto" w:fill="auto"/>
                  </w:tcPr>
                  <w:p>
                    <w:pPr>
                      <w:rPr>
                        <w:sz w:val="20"/>
                      </w:rPr>
                    </w:pPr>
                  </w:p>
                </w:tc>
                <w:tc>
                  <w:tcPr>
                    <w:tcW w:w="800" w:type="dxa"/>
                    <w:gridSpan w:val="2"/>
                    <w:vMerge/>
                    <w:tcBorders>
                      <w:left w:val="single" w:sz="4" w:space="0" w:color="auto"/>
                      <w:right w:val="single" w:sz="4" w:space="0" w:color="auto"/>
                    </w:tcBorders>
                  </w:tcPr>
                  <w:p>
                    <w:pPr>
                      <w:rPr>
                        <w:sz w:val="20"/>
                      </w:rPr>
                    </w:pPr>
                  </w:p>
                </w:tc>
                <w:tc>
                  <w:tcPr>
                    <w:tcW w:w="1972" w:type="dxa"/>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2"/>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2"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2"/>
                    <w:shd w:val="clear" w:color="auto" w:fill="F2F2F2" w:themeFill="background1" w:themeFillShade="F2"/>
                  </w:tcPr>
                  <w:p>
                    <w:pPr>
                      <w:rPr>
                        <w:sz w:val="20"/>
                      </w:rPr>
                    </w:pPr>
                    <w:r>
                      <w:rPr>
                        <w:sz w:val="20"/>
                      </w:rPr>
                      <w:t>-</w:t>
                    </w:r>
                  </w:p>
                </w:tc>
                <w:tc>
                  <w:tcPr>
                    <w:tcW w:w="1972" w:type="dxa"/>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2"/>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w:t>
                    </w:r>
                  </w:p>
                </w:tc>
                <w:tc>
                  <w:tcPr>
                    <w:tcW w:w="1202"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tcPr>
                  <w:p>
                    <w:pPr>
                      <w:rPr>
                        <w:sz w:val="20"/>
                      </w:rPr>
                    </w:pPr>
                    <w:r>
                      <w:rPr>
                        <w:sz w:val="20"/>
                      </w:rPr>
                      <w:t>8.1. Pavėžėjimo paslaugų organizavimą ir teikimą reglamentuojančių teisės aktų parengimas</w:t>
                    </w:r>
                  </w:p>
                </w:tc>
                <w:tc>
                  <w:tcPr>
                    <w:tcW w:w="800" w:type="dxa"/>
                    <w:gridSpan w:val="2"/>
                  </w:tcPr>
                  <w:p>
                    <w:pPr>
                      <w:rPr>
                        <w:sz w:val="20"/>
                      </w:rPr>
                    </w:pPr>
                    <w:r>
                      <w:rPr>
                        <w:sz w:val="20"/>
                      </w:rPr>
                      <w:t>R</w:t>
                    </w:r>
                  </w:p>
                </w:tc>
                <w:tc>
                  <w:tcPr>
                    <w:tcW w:w="1972" w:type="dxa"/>
                  </w:tcPr>
                  <w:p>
                    <w:pPr>
                      <w:rPr>
                        <w:sz w:val="20"/>
                      </w:rPr>
                    </w:pPr>
                    <w:r>
                      <w:rPr>
                        <w:sz w:val="20"/>
                      </w:rPr>
                      <w:t>-</w:t>
                    </w:r>
                  </w:p>
                </w:tc>
                <w:tc>
                  <w:tcPr>
                    <w:tcW w:w="781" w:type="dxa"/>
                    <w:gridSpan w:val="3"/>
                  </w:tcPr>
                  <w:p>
                    <w:pPr>
                      <w:rPr>
                        <w:sz w:val="20"/>
                      </w:rPr>
                    </w:pPr>
                    <w:r>
                      <w:rPr>
                        <w:sz w:val="20"/>
                      </w:rPr>
                      <w:t>-</w:t>
                    </w:r>
                  </w:p>
                </w:tc>
                <w:tc>
                  <w:tcPr>
                    <w:tcW w:w="1014" w:type="dxa"/>
                    <w:gridSpan w:val="2"/>
                  </w:tcPr>
                  <w:p>
                    <w:pPr>
                      <w:rPr>
                        <w:sz w:val="20"/>
                      </w:rPr>
                    </w:pPr>
                    <w:r>
                      <w:rPr>
                        <w:sz w:val="20"/>
                      </w:rPr>
                      <w:t>Taip</w:t>
                    </w:r>
                  </w:p>
                </w:tc>
                <w:tc>
                  <w:tcPr>
                    <w:tcW w:w="681" w:type="dxa"/>
                    <w:gridSpan w:val="3"/>
                  </w:tcPr>
                  <w:p>
                    <w:pPr>
                      <w:rPr>
                        <w:sz w:val="20"/>
                      </w:rPr>
                    </w:pPr>
                    <w:r>
                      <w:rPr>
                        <w:sz w:val="20"/>
                      </w:rPr>
                      <w:t>-</w:t>
                    </w:r>
                  </w:p>
                </w:tc>
                <w:tc>
                  <w:tcPr>
                    <w:tcW w:w="1216" w:type="dxa"/>
                  </w:tcPr>
                  <w:p>
                    <w:pPr>
                      <w:rPr>
                        <w:sz w:val="20"/>
                        <w:lang w:val="en-US"/>
                      </w:rPr>
                    </w:pPr>
                    <w:r>
                      <w:rPr>
                        <w:sz w:val="20"/>
                        <w:lang w:val="en-US"/>
                      </w:rPr>
                      <w:t>-</w:t>
                    </w:r>
                  </w:p>
                </w:tc>
                <w:tc>
                  <w:tcPr>
                    <w:tcW w:w="1066" w:type="dxa"/>
                  </w:tcPr>
                  <w:p>
                    <w:pPr>
                      <w:rPr>
                        <w:sz w:val="20"/>
                      </w:rPr>
                    </w:pPr>
                    <w:r>
                      <w:rPr>
                        <w:sz w:val="20"/>
                      </w:rPr>
                      <w:t>-</w:t>
                    </w:r>
                  </w:p>
                </w:tc>
                <w:tc>
                  <w:tcPr>
                    <w:tcW w:w="1923"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2"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03" w:type="dxa"/>
                    <w:gridSpan w:val="2"/>
                    <w:vMerge w:val="restart"/>
                  </w:tcPr>
                  <w:p>
                    <w:pPr>
                      <w:rPr>
                        <w:sz w:val="20"/>
                      </w:rPr>
                    </w:pPr>
                    <w:r>
                      <w:rPr>
                        <w:sz w:val="20"/>
                      </w:rPr>
                      <w:t>8.2. Bandomojo pavėžėjimo paslaugų teikimo projekto įgyvendinimas</w:t>
                    </w:r>
                  </w:p>
                </w:tc>
                <w:tc>
                  <w:tcPr>
                    <w:tcW w:w="800" w:type="dxa"/>
                    <w:gridSpan w:val="2"/>
                    <w:vMerge w:val="restart"/>
                  </w:tcPr>
                  <w:p>
                    <w:pPr>
                      <w:rPr>
                        <w:sz w:val="20"/>
                      </w:rPr>
                    </w:pPr>
                    <w:r>
                      <w:rPr>
                        <w:sz w:val="20"/>
                      </w:rPr>
                      <w:t>M</w:t>
                    </w:r>
                  </w:p>
                </w:tc>
                <w:tc>
                  <w:tcPr>
                    <w:tcW w:w="1972" w:type="dxa"/>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2"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2"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20"/>
                </w:trPr>
                <w:tc>
                  <w:tcPr>
                    <w:tcW w:w="2092" w:type="dxa"/>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38" w:type="dxa"/>
                    <w:gridSpan w:val="2"/>
                    <w:vMerge w:val="restart"/>
                    <w:tcMar>
                      <w:left w:w="105" w:type="dxa"/>
                      <w:right w:w="105" w:type="dxa"/>
                    </w:tcMar>
                  </w:tcPr>
                  <w:p>
                    <w:pPr>
                      <w:rPr>
                        <w:color w:val="000000"/>
                        <w:sz w:val="20"/>
                      </w:rPr>
                    </w:pPr>
                    <w:r>
                      <w:rPr>
                        <w:color w:val="000000"/>
                        <w:sz w:val="20"/>
                      </w:rPr>
                      <w:t>-</w:t>
                    </w:r>
                  </w:p>
                </w:tc>
                <w:tc>
                  <w:tcPr>
                    <w:tcW w:w="2111" w:type="dxa"/>
                    <w:gridSpan w:val="3"/>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4"/>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jc w:val="center"/>
                      <w:rPr>
                        <w:color w:val="000000"/>
                        <w:sz w:val="20"/>
                      </w:rPr>
                    </w:pPr>
                    <w:r>
                      <w:rPr>
                        <w:color w:val="000000"/>
                        <w:sz w:val="20"/>
                      </w:rPr>
                      <w:t>902,535</w:t>
                    </w:r>
                  </w:p>
                </w:tc>
                <w:tc>
                  <w:tcPr>
                    <w:tcW w:w="1066" w:type="dxa"/>
                    <w:tcMar>
                      <w:left w:w="105" w:type="dxa"/>
                      <w:right w:w="105" w:type="dxa"/>
                    </w:tcMar>
                  </w:tcPr>
                  <w:p>
                    <w:pPr>
                      <w:rPr>
                        <w:color w:val="000000"/>
                        <w:sz w:val="20"/>
                      </w:rPr>
                    </w:pPr>
                    <w:r>
                      <w:rPr>
                        <w:color w:val="000000"/>
                        <w:sz w:val="20"/>
                      </w:rPr>
                      <w:t xml:space="preserve">- </w:t>
                    </w:r>
                  </w:p>
                </w:tc>
                <w:tc>
                  <w:tcPr>
                    <w:tcW w:w="1923" w:type="dxa"/>
                    <w:vMerge w:val="restart"/>
                    <w:tcMar>
                      <w:left w:w="105" w:type="dxa"/>
                      <w:right w:w="105" w:type="dxa"/>
                    </w:tcMar>
                  </w:tcPr>
                  <w:p>
                    <w:pPr>
                      <w:ind w:left="-57" w:right="-57"/>
                      <w:rPr>
                        <w:color w:val="000000"/>
                        <w:sz w:val="20"/>
                      </w:rPr>
                    </w:pPr>
                    <w:r>
                      <w:rPr>
                        <w:color w:val="000000"/>
                        <w:sz w:val="20"/>
                      </w:rPr>
                      <w:t>-</w:t>
                    </w:r>
                  </w:p>
                </w:tc>
                <w:tc>
                  <w:tcPr>
                    <w:tcW w:w="1076" w:type="dxa"/>
                    <w:vMerge w:val="restart"/>
                    <w:tcMar>
                      <w:left w:w="105" w:type="dxa"/>
                      <w:right w:w="105" w:type="dxa"/>
                    </w:tcMar>
                  </w:tcPr>
                  <w:p>
                    <w:pPr>
                      <w:ind w:left="-57" w:right="-57"/>
                      <w:jc w:val="center"/>
                      <w:rPr>
                        <w:color w:val="000000"/>
                        <w:sz w:val="20"/>
                      </w:rPr>
                    </w:pPr>
                    <w:r>
                      <w:rPr>
                        <w:color w:val="000000"/>
                        <w:sz w:val="20"/>
                      </w:rPr>
                      <w:t>-</w:t>
                    </w:r>
                  </w:p>
                </w:tc>
                <w:tc>
                  <w:tcPr>
                    <w:tcW w:w="1118" w:type="dxa"/>
                    <w:gridSpan w:val="2"/>
                    <w:vMerge w:val="restart"/>
                    <w:tcMar>
                      <w:left w:w="105" w:type="dxa"/>
                      <w:right w:w="105" w:type="dxa"/>
                    </w:tcMar>
                  </w:tcPr>
                  <w:p>
                    <w:pPr>
                      <w:rPr>
                        <w:color w:val="000000"/>
                        <w:sz w:val="20"/>
                      </w:rPr>
                    </w:pPr>
                    <w:r>
                      <w:rPr>
                        <w:color w:val="000000"/>
                        <w:sz w:val="20"/>
                      </w:rPr>
                      <w:t>-</w:t>
                    </w:r>
                  </w:p>
                </w:tc>
                <w:tc>
                  <w:tcPr>
                    <w:tcW w:w="1276" w:type="dxa"/>
                    <w:vMerge w:val="restart"/>
                    <w:tcMar>
                      <w:left w:w="105" w:type="dxa"/>
                      <w:right w:w="105" w:type="dxa"/>
                    </w:tcMar>
                    <w:vAlign w:val="center"/>
                  </w:tcPr>
                  <w:p>
                    <w:pPr>
                      <w:ind w:firstLine="53"/>
                      <w:rPr>
                        <w:color w:val="000000"/>
                        <w:sz w:val="20"/>
                      </w:rPr>
                    </w:pPr>
                  </w:p>
                </w:tc>
              </w:tr>
              <w:tr>
                <w:trPr>
                  <w:trHeight w:val="76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38" w:type="dxa"/>
                    <w:gridSpan w:val="2"/>
                    <w:tcMar>
                      <w:left w:w="105" w:type="dxa"/>
                      <w:right w:w="105" w:type="dxa"/>
                    </w:tcMar>
                  </w:tcPr>
                  <w:p>
                    <w:pPr>
                      <w:rPr>
                        <w:color w:val="000000"/>
                        <w:sz w:val="20"/>
                      </w:rPr>
                    </w:pPr>
                    <w:r>
                      <w:rPr>
                        <w:color w:val="000000"/>
                        <w:sz w:val="20"/>
                      </w:rPr>
                      <w:t>R</w:t>
                    </w:r>
                  </w:p>
                </w:tc>
                <w:tc>
                  <w:tcPr>
                    <w:tcW w:w="2111" w:type="dxa"/>
                    <w:gridSpan w:val="3"/>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4"/>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18" w:type="dxa"/>
                    <w:gridSpan w:val="2"/>
                    <w:tcMar>
                      <w:left w:w="105" w:type="dxa"/>
                      <w:right w:w="105" w:type="dxa"/>
                    </w:tcMar>
                  </w:tcPr>
                  <w:p>
                    <w:pPr>
                      <w:jc w:val="center"/>
                      <w:rPr>
                        <w:color w:val="000000"/>
                        <w:sz w:val="20"/>
                      </w:rPr>
                    </w:pPr>
                    <w:r>
                      <w:rPr>
                        <w:color w:val="000000"/>
                        <w:sz w:val="20"/>
                      </w:rPr>
                      <w:t>-</w:t>
                    </w:r>
                  </w:p>
                </w:tc>
                <w:tc>
                  <w:tcPr>
                    <w:tcW w:w="1276" w:type="dxa"/>
                    <w:tcMar>
                      <w:left w:w="105" w:type="dxa"/>
                      <w:right w:w="105" w:type="dxa"/>
                    </w:tcMar>
                  </w:tcPr>
                  <w:p>
                    <w:pPr>
                      <w:jc w:val="center"/>
                      <w:rPr>
                        <w:color w:val="000000"/>
                        <w:sz w:val="20"/>
                      </w:rPr>
                    </w:pPr>
                    <w:r>
                      <w:rPr>
                        <w:color w:val="000000"/>
                        <w:sz w:val="20"/>
                      </w:rPr>
                      <w:t>SAM</w:t>
                    </w:r>
                  </w:p>
                </w:tc>
              </w:tr>
              <w:tr>
                <w:trPr>
                  <w:trHeight w:val="1290"/>
                </w:trPr>
                <w:tc>
                  <w:tcPr>
                    <w:tcW w:w="2092" w:type="dxa"/>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18" w:type="dxa"/>
                    <w:gridSpan w:val="2"/>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jc w:val="center"/>
                      <w:rPr>
                        <w:color w:val="000000"/>
                        <w:sz w:val="20"/>
                      </w:rPr>
                    </w:pPr>
                    <w:r>
                      <w:rPr>
                        <w:color w:val="000000"/>
                        <w:sz w:val="20"/>
                      </w:rPr>
                      <w:t>SAM</w:t>
                    </w: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18" w:type="dxa"/>
                    <w:gridSpan w:val="2"/>
                    <w:vMerge/>
                    <w:vAlign w:val="center"/>
                  </w:tcPr>
                  <w:p/>
                </w:tc>
                <w:tc>
                  <w:tcPr>
                    <w:tcW w:w="1276"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03"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800" w:type="dxa"/>
                    <w:gridSpan w:val="2"/>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72"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216" w:type="dxa"/>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066"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6"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vAlign w:val="center"/>
                  </w:tcPr>
                  <w:p/>
                </w:tc>
                <w:tc>
                  <w:tcPr>
                    <w:tcW w:w="1066" w:type="dxa"/>
                    <w:vMerge w:val="restart"/>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800" w:type="dxa"/>
                    <w:gridSpan w:val="2"/>
                    <w:vMerge/>
                    <w:tcBorders>
                      <w:left w:val="single" w:sz="4" w:space="0" w:color="auto"/>
                      <w:right w:val="single" w:sz="4" w:space="0" w:color="auto"/>
                    </w:tcBorders>
                    <w:tcMar>
                      <w:left w:w="108" w:type="dxa"/>
                      <w:right w:w="108" w:type="dxa"/>
                    </w:tcMar>
                  </w:tcPr>
                  <w:p/>
                </w:tc>
                <w:tc>
                  <w:tcPr>
                    <w:tcW w:w="1972" w:type="dxa"/>
                    <w:vMerge/>
                    <w:tcBorders>
                      <w:left w:val="single" w:sz="4" w:space="0" w:color="auto"/>
                      <w:right w:val="single" w:sz="4" w:space="0" w:color="auto"/>
                    </w:tcBorders>
                    <w:tcMar>
                      <w:left w:w="108" w:type="dxa"/>
                      <w:right w:w="108" w:type="dxa"/>
                    </w:tcMar>
                  </w:tcPr>
                  <w:p/>
                </w:tc>
                <w:tc>
                  <w:tcPr>
                    <w:tcW w:w="781" w:type="dxa"/>
                    <w:gridSpan w:val="3"/>
                    <w:vMerge/>
                    <w:tcBorders>
                      <w:left w:val="single" w:sz="4" w:space="0" w:color="auto"/>
                      <w:right w:val="single" w:sz="4" w:space="0" w:color="auto"/>
                    </w:tcBorders>
                    <w:tcMar>
                      <w:left w:w="108" w:type="dxa"/>
                      <w:right w:w="108" w:type="dxa"/>
                    </w:tcMar>
                  </w:tcPr>
                  <w:p/>
                </w:tc>
                <w:tc>
                  <w:tcPr>
                    <w:tcW w:w="1006" w:type="dxa"/>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21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6"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bottom w:val="single" w:sz="4" w:space="0" w:color="auto"/>
                      <w:right w:val="single" w:sz="4" w:space="0" w:color="auto"/>
                    </w:tcBorders>
                    <w:vAlign w:val="center"/>
                  </w:tcPr>
                  <w:p/>
                </w:tc>
                <w:tc>
                  <w:tcPr>
                    <w:tcW w:w="1972" w:type="dxa"/>
                    <w:vMerge/>
                    <w:tcBorders>
                      <w:left w:val="single" w:sz="4" w:space="0" w:color="auto"/>
                      <w:bottom w:val="single" w:sz="4" w:space="0" w:color="auto"/>
                      <w:right w:val="single" w:sz="4" w:space="0" w:color="auto"/>
                    </w:tcBorders>
                    <w:vAlign w:val="center"/>
                  </w:tcPr>
                  <w:p/>
                </w:tc>
                <w:tc>
                  <w:tcPr>
                    <w:tcW w:w="781" w:type="dxa"/>
                    <w:gridSpan w:val="3"/>
                    <w:vMerge/>
                    <w:tcBorders>
                      <w:left w:val="single" w:sz="4" w:space="0" w:color="auto"/>
                      <w:bottom w:val="single" w:sz="4" w:space="0" w:color="auto"/>
                      <w:right w:val="single" w:sz="4" w:space="0" w:color="auto"/>
                    </w:tcBorders>
                    <w:vAlign w:val="center"/>
                  </w:tcPr>
                  <w:p/>
                </w:tc>
                <w:tc>
                  <w:tcPr>
                    <w:tcW w:w="1006" w:type="dxa"/>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6"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03"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2"/>
                    <w:shd w:val="clear" w:color="auto" w:fill="auto"/>
                  </w:tcPr>
                  <w:p>
                    <w:pPr>
                      <w:rPr>
                        <w:sz w:val="20"/>
                      </w:rPr>
                    </w:pPr>
                    <w:r>
                      <w:rPr>
                        <w:sz w:val="20"/>
                      </w:rPr>
                      <w:t>R</w:t>
                    </w:r>
                  </w:p>
                </w:tc>
                <w:tc>
                  <w:tcPr>
                    <w:tcW w:w="1972" w:type="dxa"/>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2"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shd w:val="clear" w:color="auto" w:fill="auto"/>
                  </w:tcPr>
                  <w:p>
                    <w:pPr>
                      <w:rPr>
                        <w:sz w:val="20"/>
                      </w:rPr>
                    </w:pPr>
                    <w:r>
                      <w:rPr>
                        <w:sz w:val="20"/>
                      </w:rPr>
                      <w:t>11.3. Sveikatos priežiūros specialistų kvalifikacijos tobulinimas</w:t>
                    </w:r>
                  </w:p>
                </w:tc>
                <w:tc>
                  <w:tcPr>
                    <w:tcW w:w="800" w:type="dxa"/>
                    <w:gridSpan w:val="2"/>
                    <w:shd w:val="clear" w:color="auto" w:fill="auto"/>
                  </w:tcPr>
                  <w:p>
                    <w:pPr>
                      <w:rPr>
                        <w:sz w:val="20"/>
                      </w:rPr>
                    </w:pPr>
                    <w:r>
                      <w:rPr>
                        <w:sz w:val="20"/>
                      </w:rPr>
                      <w:t>I</w:t>
                    </w:r>
                  </w:p>
                </w:tc>
                <w:tc>
                  <w:tcPr>
                    <w:tcW w:w="1972" w:type="dxa"/>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shd w:val="clear" w:color="auto" w:fill="auto"/>
                  </w:tcPr>
                  <w:p>
                    <w:pPr>
                      <w:ind w:left="-57" w:right="-57"/>
                      <w:rPr>
                        <w:sz w:val="20"/>
                      </w:rPr>
                    </w:pPr>
                    <w:r>
                      <w:rPr>
                        <w:sz w:val="20"/>
                      </w:rPr>
                      <w:t>P – Specialistai, dalyvavę kvalifikacijos tobulinimo veiklose, asmenys</w:t>
                    </w:r>
                  </w:p>
                </w:tc>
                <w:tc>
                  <w:tcPr>
                    <w:tcW w:w="1202"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03" w:type="dxa"/>
                    <w:gridSpan w:val="2"/>
                    <w:vMerge w:val="restart"/>
                    <w:shd w:val="clear" w:color="auto" w:fill="auto"/>
                  </w:tcPr>
                  <w:p>
                    <w:pPr>
                      <w:rPr>
                        <w:sz w:val="20"/>
                      </w:rPr>
                    </w:pPr>
                    <w:r>
                      <w:rPr>
                        <w:sz w:val="20"/>
                      </w:rPr>
                      <w:t>11.4. Ilgalaikės priežiūros paslaugas teikiančių specialistų parengimas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2"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vMerge/>
                    <w:tcBorders>
                      <w:bottom w:val="single" w:sz="4" w:space="0" w:color="auto"/>
                    </w:tcBorders>
                    <w:shd w:val="clear" w:color="auto" w:fill="FFFFFF" w:themeFill="background1"/>
                  </w:tcPr>
                  <w:p>
                    <w:pPr>
                      <w:ind w:left="-57" w:right="-57"/>
                      <w:rPr>
                        <w:sz w:val="20"/>
                      </w:rPr>
                    </w:pPr>
                  </w:p>
                </w:tc>
                <w:tc>
                  <w:tcPr>
                    <w:tcW w:w="1202"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2"/>
                    <w:vMerge w:val="restart"/>
                    <w:shd w:val="clear" w:color="auto" w:fill="F2F2F2" w:themeFill="background1" w:themeFillShade="F2"/>
                  </w:tcPr>
                  <w:p>
                    <w:pPr>
                      <w:rPr>
                        <w:sz w:val="20"/>
                      </w:rPr>
                    </w:pPr>
                    <w:r>
                      <w:rPr>
                        <w:sz w:val="20"/>
                      </w:rPr>
                      <w:t>M</w:t>
                    </w:r>
                  </w:p>
                </w:tc>
                <w:tc>
                  <w:tcPr>
                    <w:tcW w:w="1972" w:type="dxa"/>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2"/>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2"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2"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03" w:type="dxa"/>
                    <w:gridSpan w:val="2"/>
                    <w:vMerge w:val="restart"/>
                    <w:shd w:val="clear" w:color="auto" w:fill="auto"/>
                  </w:tcPr>
                  <w:p>
                    <w:pPr>
                      <w:rPr>
                        <w:sz w:val="20"/>
                      </w:rPr>
                    </w:pPr>
                    <w:r>
                      <w:rPr>
                        <w:b/>
                        <w:bCs/>
                        <w:sz w:val="20"/>
                      </w:rPr>
                      <w:t>13. Programos „Motinos ir vaiko sveikata bei gerovė“ įgyvendinimas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2"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2"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2"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2"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2"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Sukurti paslaugų teikimo metodikos ir organizacinių procesų aprašai, vnt.</w:t>
                    </w:r>
                  </w:p>
                </w:tc>
                <w:tc>
                  <w:tcPr>
                    <w:tcW w:w="1202"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2"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e599fb74fc8e455d89fb5f3b277611a7"/>
            <w:lock w:val="sdtLocked"/>
            <w:richText/>
          </w:sdtPr>
          <w:sdtContent>
            <w:p>
              <w:pPr>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8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841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61.png"/>
  <Relationship Id="rId13" Type="http://schemas.openxmlformats.org/officeDocument/2006/relationships/oleObject" Target="embeddings/oleObject161.bin"/>
  <Relationship Id="rId14" Type="http://schemas.openxmlformats.org/officeDocument/2006/relationships/header" Target="header121.xml"/>
  <Relationship Id="rId15" Type="http://schemas.openxmlformats.org/officeDocument/2006/relationships/header" Target="header122.xml"/>
  <Relationship Id="rId16" Type="http://schemas.openxmlformats.org/officeDocument/2006/relationships/footer" Target="footer121.xml"/>
  <Relationship Id="rId17" Type="http://schemas.openxmlformats.org/officeDocument/2006/relationships/footer" Target="footer122.xml"/>
  <Relationship Id="rId18" Type="http://schemas.openxmlformats.org/officeDocument/2006/relationships/header" Target="header123.xml"/>
  <Relationship Id="rId19" Type="http://schemas.openxmlformats.org/officeDocument/2006/relationships/footer" Target="footer123.xml"/>
  <Relationship Id="rId2" Type="http://schemas.openxmlformats.org/officeDocument/2006/relationships/customXml" Target="../customXml/item2.xml"/>
  <Relationship Id="rId20" Type="http://schemas.openxmlformats.org/officeDocument/2006/relationships/header" Target="header205.xml"/>
  <Relationship Id="rId21" Type="http://schemas.openxmlformats.org/officeDocument/2006/relationships/header" Target="header206.xml"/>
  <Relationship Id="rId22" Type="http://schemas.openxmlformats.org/officeDocument/2006/relationships/footer" Target="footer205.xml"/>
  <Relationship Id="rId23" Type="http://schemas.openxmlformats.org/officeDocument/2006/relationships/footer" Target="footer206.xml"/>
  <Relationship Id="rId24" Type="http://schemas.openxmlformats.org/officeDocument/2006/relationships/header" Target="header207.xml"/>
  <Relationship Id="rId25" Type="http://schemas.openxmlformats.org/officeDocument/2006/relationships/footer" Target="footer207.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7ee476496d154914a0d22a4ba535fac2">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8824f9450aa4a7c86cb781f9f4d81df">
    <Part Type="skyrius" Nr="1" Title="PLĖTROS PROGRAMOS PAŽANGOS PRIEMONĖS SIEKIAMI REZULTATAI" DocPartId="b924309999714986a1f663aef95b7db6" PartId="3881b5e5f52849e1b06fc8bcd64ba8f0"/>
    <Part Type="skyrius" Nr="II" Title="PLĖTROS PROGRAMOS PAŽANGOS PRIEMONĖS FINANSAVIMO ŠALTINIAI" DocPartId="142dd9faf7a84d91b4f244595a84d08d" PartId="fdad71d7e5384eaba0b5ef81641353d1"/>
    <Part Type="skyrius" Nr="3" Title="PLĖTROS PROGRAMOS PAŽANGOS PRIEMONĖS VEIKLŲ SUVESTINĖ" DocPartId="c918111ff85046029314a093ade416dc" PartId="b0086e4e98b04085a0f725d4f6efe787"/>
    <Part Type="pabaiga" DocPartId="848b03eee26b4c708a50289e0035c65b" PartId="e599fb74fc8e455d89fb5f3b277611a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A3B25794-2AC2-4352-BD4E-0BB452E04F0D}">
  <ds:schemaRefs>
    <ds:schemaRef ds:uri="http://lrs.lt/TAIS/DocParts"/>
  </ds:schemaRefs>
</ds:datastoreItem>
</file>

<file path=customXml/itemProps6.xml><?xml version="1.0" encoding="utf-8"?>
<ds:datastoreItem xmlns:ds="http://schemas.openxmlformats.org/officeDocument/2006/customXml" ds:itemID="{5BC215EA-88BF-4F11-81A7-FF2FA79829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180</TotalTime>
  <Pages>44</Pages>
  <Words>7738</Words>
  <Characters>49842</Characters>
  <Application>Microsoft Office Word</Application>
  <DocSecurity>0</DocSecurity>
  <Lines>415</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2026-01-19T09:10:00Z</dcterms:modified>
  <revision>101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