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c416d1035b64d0998a8d0470eed8fdc"/>
        <w:lock w:val="sdtLocked"/>
        <w:richText/>
      </w:sdtPr>
      <w:sdtContent>
        <w:p>
          <w:pPr>
            <w:jc w:val="both"/>
            <w:rPr>
              <w:rFonts w:ascii="Arial" w:hAnsi="Arial"/>
            </w:rPr>
          </w:pPr>
          <w:r>
            <w:rPr>
              <w:rFonts w:ascii="Arial" w:hAnsi="Arial"/>
              <w:b/>
              <w:i/>
            </w:rPr>
            <w:t>Suvestinė redakcija nuo 2024-05-29 iki 2024-06-28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0474860178f4e4f9ced136949b89ae6"/>
        <w:lock w:val="sdtLocked"/>
        <w:richText/>
      </w:sdtPr>
      <w:sdtContent>
        <w:p>
          <w:pPr>
            <w:ind w:left="6521"/>
            <w:sectPr>
              <w:headerReference w:type="even" r:id="rId19"/>
              <w:headerReference w:type="default" r:id="rId20"/>
              <w:footerReference w:type="even" r:id="rId21"/>
              <w:footerReference w:type="default" r:id="rId22"/>
              <w:headerReference w:type="first" r:id="rId23"/>
              <w:footerReference w:type="first" r:id="rId24"/>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0474860178f4e4f9ced136949b89ae6"/>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6e29fa4098441be9ec7d546552ad5c7"/>
            <w:lock w:val="sdtLocked"/>
            <w:richText/>
          </w:sdtPr>
          <w:sdtContent>
            <w:p>
              <w:pPr>
                <w:tabs>
                  <w:tab w:val="left" w:pos="1985"/>
                </w:tabs>
                <w:jc w:val="center"/>
                <w:rPr>
                  <w:b/>
                  <w:bCs/>
                  <w:sz w:val="22"/>
                  <w:szCs w:val="22"/>
                </w:rPr>
              </w:pPr>
              <w:sdt>
                <w:sdtPr>
                  <w:alias w:val="Numeris"/>
                  <w:tag w:val="nr_c6e29fa4098441be9ec7d546552ad5c7"/>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6e29fa4098441be9ec7d546552ad5c7"/>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418" w:type="dxa"/>
                    <w:vMerge w:val="restart"/>
                    <w:shd w:val="clear" w:color="auto" w:fill="DBE5F1" w:themeFill="accent1" w:themeFillTint="33"/>
                    <w:vAlign w:val="center"/>
                  </w:tcPr>
                  <w:p>
                    <w:pPr>
                      <w:jc w:val="center"/>
                      <w:rPr>
                        <w:b/>
                        <w:sz w:val="20"/>
                      </w:rPr>
                    </w:pPr>
                    <w:r>
                      <w:rPr>
                        <w:b/>
                        <w:sz w:val="20"/>
                      </w:rPr>
                      <w:t>Rodiklio kodas</w:t>
                    </w:r>
                  </w:p>
                </w:tc>
                <w:tc>
                  <w:tcPr>
                    <w:tcW w:w="1134" w:type="dxa"/>
                    <w:vMerge w:val="restart"/>
                    <w:shd w:val="clear" w:color="auto" w:fill="DBE5F1" w:themeFill="accent1" w:themeFillTint="33"/>
                  </w:tcPr>
                  <w:p>
                    <w:pPr>
                      <w:jc w:val="center"/>
                      <w:rPr>
                        <w:b/>
                        <w:sz w:val="20"/>
                      </w:rPr>
                    </w:pPr>
                    <w:r>
                      <w:rPr>
                        <w:b/>
                        <w:sz w:val="20"/>
                      </w:rPr>
                      <w:t>Rodiklio tipas (rezultato / produkto)</w:t>
                    </w:r>
                  </w:p>
                </w:tc>
                <w:tc>
                  <w:tcPr>
                    <w:tcW w:w="2693" w:type="dxa"/>
                    <w:vMerge w:val="restart"/>
                    <w:shd w:val="clear" w:color="auto" w:fill="DBE5F1" w:themeFill="accent1" w:themeFillTint="33"/>
                    <w:vAlign w:val="center"/>
                  </w:tcPr>
                  <w:p>
                    <w:pPr>
                      <w:jc w:val="both"/>
                      <w:rPr>
                        <w:b/>
                        <w:sz w:val="20"/>
                      </w:rPr>
                    </w:pPr>
                    <w:r>
                      <w:rPr>
                        <w:b/>
                        <w:sz w:val="20"/>
                      </w:rPr>
                      <w:t>Rodiklio pavadinimas</w:t>
                    </w:r>
                  </w:p>
                </w:tc>
                <w:tc>
                  <w:tcPr>
                    <w:tcW w:w="1134" w:type="dxa"/>
                    <w:vMerge w:val="restart"/>
                    <w:shd w:val="clear" w:color="auto" w:fill="DBE5F1" w:themeFill="accent1" w:themeFillTint="33"/>
                    <w:vAlign w:val="center"/>
                  </w:tcPr>
                  <w:p>
                    <w:pPr>
                      <w:jc w:val="center"/>
                      <w:rPr>
                        <w:b/>
                        <w:sz w:val="20"/>
                      </w:rPr>
                    </w:pPr>
                    <w:r>
                      <w:rPr>
                        <w:b/>
                        <w:sz w:val="20"/>
                      </w:rPr>
                      <w:t>Matavimo vienetas</w:t>
                    </w:r>
                  </w:p>
                </w:tc>
                <w:tc>
                  <w:tcPr>
                    <w:tcW w:w="1134" w:type="dxa"/>
                    <w:vMerge w:val="restart"/>
                    <w:shd w:val="clear" w:color="auto" w:fill="DBE5F1" w:themeFill="accent1" w:themeFillTint="33"/>
                  </w:tcPr>
                  <w:p>
                    <w:pPr>
                      <w:jc w:val="center"/>
                      <w:rPr>
                        <w:b/>
                        <w:sz w:val="20"/>
                      </w:rPr>
                    </w:pPr>
                    <w:r>
                      <w:rPr>
                        <w:b/>
                        <w:sz w:val="20"/>
                      </w:rPr>
                      <w:t>Pradinė rodiklio reikšmė (metai)</w:t>
                    </w:r>
                  </w:p>
                </w:tc>
                <w:tc>
                  <w:tcPr>
                    <w:tcW w:w="2127" w:type="dxa"/>
                    <w:gridSpan w:val="2"/>
                    <w:shd w:val="clear" w:color="auto" w:fill="DBE5F1" w:themeFill="accent1" w:themeFillTint="33"/>
                  </w:tcPr>
                  <w:p>
                    <w:pPr>
                      <w:jc w:val="center"/>
                      <w:rPr>
                        <w:b/>
                        <w:sz w:val="20"/>
                      </w:rPr>
                    </w:pPr>
                    <w:r>
                      <w:rPr>
                        <w:b/>
                        <w:sz w:val="20"/>
                      </w:rPr>
                      <w:t>Siektinos rodiklio reikšmės</w:t>
                    </w:r>
                  </w:p>
                </w:tc>
                <w:tc>
                  <w:tcPr>
                    <w:tcW w:w="1417" w:type="dxa"/>
                    <w:shd w:val="clear" w:color="auto" w:fill="DBE5F1" w:themeFill="accent1" w:themeFillTint="33"/>
                  </w:tcPr>
                  <w:p>
                    <w:pPr>
                      <w:rPr>
                        <w:b/>
                        <w:sz w:val="20"/>
                      </w:rPr>
                    </w:pPr>
                  </w:p>
                </w:tc>
              </w:tr>
              <w:tr>
                <w:trPr>
                  <w:trHeight w:val="852"/>
                </w:trPr>
                <w:tc>
                  <w:tcPr>
                    <w:tcW w:w="1418" w:type="dxa"/>
                    <w:vMerge/>
                    <w:shd w:val="clear" w:color="auto" w:fill="DBE5F1" w:themeFill="accent1" w:themeFillTint="33"/>
                    <w:vAlign w:val="center"/>
                  </w:tcPr>
                  <w:p>
                    <w:pPr>
                      <w:spacing w:line="276" w:lineRule="auto"/>
                      <w:jc w:val="center"/>
                      <w:rPr>
                        <w:b/>
                        <w:sz w:val="20"/>
                      </w:rPr>
                    </w:pPr>
                  </w:p>
                </w:tc>
                <w:tc>
                  <w:tcPr>
                    <w:tcW w:w="1134" w:type="dxa"/>
                    <w:vMerge/>
                    <w:shd w:val="clear" w:color="auto" w:fill="DBE5F1" w:themeFill="accent1" w:themeFillTint="33"/>
                  </w:tcPr>
                  <w:p>
                    <w:pPr>
                      <w:spacing w:line="276" w:lineRule="auto"/>
                      <w:jc w:val="center"/>
                      <w:rPr>
                        <w:b/>
                        <w:sz w:val="20"/>
                      </w:rPr>
                    </w:pPr>
                  </w:p>
                </w:tc>
                <w:tc>
                  <w:tcPr>
                    <w:tcW w:w="2693" w:type="dxa"/>
                    <w:vMerge/>
                    <w:shd w:val="clear" w:color="auto" w:fill="DBE5F1" w:themeFill="accent1" w:themeFillTint="33"/>
                    <w:vAlign w:val="center"/>
                  </w:tcPr>
                  <w:p>
                    <w:pPr>
                      <w:spacing w:line="276" w:lineRule="auto"/>
                      <w:jc w:val="both"/>
                      <w:rPr>
                        <w:b/>
                        <w:sz w:val="20"/>
                      </w:rPr>
                    </w:pPr>
                  </w:p>
                </w:tc>
                <w:tc>
                  <w:tcPr>
                    <w:tcW w:w="1134" w:type="dxa"/>
                    <w:vMerge/>
                    <w:shd w:val="clear" w:color="auto" w:fill="DBE5F1" w:themeFill="accent1" w:themeFillTint="33"/>
                    <w:vAlign w:val="center"/>
                  </w:tcPr>
                  <w:p>
                    <w:pPr>
                      <w:spacing w:line="276" w:lineRule="auto"/>
                      <w:jc w:val="center"/>
                      <w:rPr>
                        <w:b/>
                        <w:sz w:val="20"/>
                      </w:rPr>
                    </w:pPr>
                  </w:p>
                </w:tc>
                <w:tc>
                  <w:tcPr>
                    <w:tcW w:w="1134" w:type="dxa"/>
                    <w:vMerge/>
                    <w:shd w:val="clear" w:color="auto" w:fill="DBE5F1" w:themeFill="accent1" w:themeFillTint="33"/>
                  </w:tcPr>
                  <w:p>
                    <w:pPr>
                      <w:spacing w:line="276" w:lineRule="auto"/>
                      <w:jc w:val="center"/>
                      <w:rPr>
                        <w:b/>
                        <w:sz w:val="20"/>
                      </w:rPr>
                    </w:pPr>
                  </w:p>
                </w:tc>
                <w:tc>
                  <w:tcPr>
                    <w:tcW w:w="992" w:type="dxa"/>
                    <w:shd w:val="clear" w:color="auto" w:fill="DBE5F1" w:themeFill="accent1" w:themeFillTint="33"/>
                  </w:tcPr>
                  <w:p>
                    <w:pPr>
                      <w:jc w:val="center"/>
                      <w:rPr>
                        <w:b/>
                        <w:sz w:val="20"/>
                      </w:rPr>
                    </w:pPr>
                    <w:r>
                      <w:rPr>
                        <w:b/>
                        <w:sz w:val="20"/>
                      </w:rPr>
                      <w:t>Tarpinė reikšmė 2025 m.</w:t>
                    </w:r>
                  </w:p>
                </w:tc>
                <w:tc>
                  <w:tcPr>
                    <w:tcW w:w="1135"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417"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418" w:type="dxa"/>
                    <w:shd w:val="clear" w:color="auto" w:fill="DBE5F1" w:themeFill="accent1" w:themeFillTint="33"/>
                    <w:vAlign w:val="center"/>
                  </w:tcPr>
                  <w:p>
                    <w:pPr>
                      <w:spacing w:line="276" w:lineRule="auto"/>
                      <w:jc w:val="center"/>
                      <w:rPr>
                        <w:b/>
                        <w:sz w:val="20"/>
                      </w:rPr>
                    </w:pPr>
                    <w:r>
                      <w:rPr>
                        <w:b/>
                        <w:sz w:val="20"/>
                      </w:rPr>
                      <w:t>1</w:t>
                    </w:r>
                  </w:p>
                </w:tc>
                <w:tc>
                  <w:tcPr>
                    <w:tcW w:w="1134" w:type="dxa"/>
                    <w:shd w:val="clear" w:color="auto" w:fill="DBE5F1" w:themeFill="accent1" w:themeFillTint="33"/>
                  </w:tcPr>
                  <w:p>
                    <w:pPr>
                      <w:spacing w:line="276" w:lineRule="auto"/>
                      <w:jc w:val="center"/>
                      <w:rPr>
                        <w:b/>
                        <w:sz w:val="20"/>
                      </w:rPr>
                    </w:pPr>
                    <w:r>
                      <w:rPr>
                        <w:b/>
                        <w:sz w:val="20"/>
                      </w:rPr>
                      <w:t>2</w:t>
                    </w:r>
                  </w:p>
                </w:tc>
                <w:tc>
                  <w:tcPr>
                    <w:tcW w:w="2693" w:type="dxa"/>
                    <w:shd w:val="clear" w:color="auto" w:fill="DBE5F1" w:themeFill="accent1" w:themeFillTint="33"/>
                    <w:vAlign w:val="center"/>
                  </w:tcPr>
                  <w:p>
                    <w:pPr>
                      <w:spacing w:line="276" w:lineRule="auto"/>
                      <w:jc w:val="center"/>
                      <w:rPr>
                        <w:b/>
                        <w:sz w:val="20"/>
                      </w:rPr>
                    </w:pPr>
                    <w:r>
                      <w:rPr>
                        <w:b/>
                        <w:sz w:val="20"/>
                      </w:rPr>
                      <w:t>3</w:t>
                    </w:r>
                  </w:p>
                </w:tc>
                <w:tc>
                  <w:tcPr>
                    <w:tcW w:w="1134" w:type="dxa"/>
                    <w:shd w:val="clear" w:color="auto" w:fill="DBE5F1" w:themeFill="accent1" w:themeFillTint="33"/>
                    <w:vAlign w:val="center"/>
                  </w:tcPr>
                  <w:p>
                    <w:pPr>
                      <w:spacing w:line="276" w:lineRule="auto"/>
                      <w:jc w:val="center"/>
                      <w:rPr>
                        <w:b/>
                        <w:sz w:val="20"/>
                      </w:rPr>
                    </w:pPr>
                    <w:r>
                      <w:rPr>
                        <w:b/>
                        <w:sz w:val="20"/>
                      </w:rPr>
                      <w:t>4</w:t>
                    </w:r>
                  </w:p>
                </w:tc>
                <w:tc>
                  <w:tcPr>
                    <w:tcW w:w="1134" w:type="dxa"/>
                    <w:shd w:val="clear" w:color="auto" w:fill="DBE5F1" w:themeFill="accent1" w:themeFillTint="33"/>
                  </w:tcPr>
                  <w:p>
                    <w:pPr>
                      <w:spacing w:line="276" w:lineRule="auto"/>
                      <w:jc w:val="center"/>
                      <w:rPr>
                        <w:b/>
                        <w:sz w:val="20"/>
                      </w:rPr>
                    </w:pPr>
                    <w:r>
                      <w:rPr>
                        <w:b/>
                        <w:sz w:val="20"/>
                      </w:rPr>
                      <w:t>5</w:t>
                    </w:r>
                  </w:p>
                </w:tc>
                <w:tc>
                  <w:tcPr>
                    <w:tcW w:w="992" w:type="dxa"/>
                    <w:shd w:val="clear" w:color="auto" w:fill="DBE5F1" w:themeFill="accent1" w:themeFillTint="33"/>
                  </w:tcPr>
                  <w:p>
                    <w:pPr>
                      <w:jc w:val="center"/>
                      <w:rPr>
                        <w:b/>
                        <w:sz w:val="20"/>
                      </w:rPr>
                    </w:pPr>
                    <w:r>
                      <w:rPr>
                        <w:b/>
                        <w:sz w:val="20"/>
                      </w:rPr>
                      <w:t>6</w:t>
                    </w:r>
                  </w:p>
                </w:tc>
                <w:tc>
                  <w:tcPr>
                    <w:tcW w:w="1135" w:type="dxa"/>
                    <w:shd w:val="clear" w:color="auto" w:fill="DBE5F1" w:themeFill="accent1" w:themeFillTint="33"/>
                  </w:tcPr>
                  <w:p>
                    <w:pPr>
                      <w:jc w:val="center"/>
                      <w:rPr>
                        <w:b/>
                        <w:sz w:val="20"/>
                      </w:rPr>
                    </w:pPr>
                    <w:r>
                      <w:rPr>
                        <w:b/>
                        <w:sz w:val="20"/>
                      </w:rPr>
                      <w:t>7</w:t>
                    </w:r>
                  </w:p>
                </w:tc>
                <w:tc>
                  <w:tcPr>
                    <w:tcW w:w="1417" w:type="dxa"/>
                    <w:shd w:val="clear" w:color="auto" w:fill="DBE5F1" w:themeFill="accent1" w:themeFillTint="33"/>
                  </w:tcPr>
                  <w:p>
                    <w:pPr>
                      <w:spacing w:line="276" w:lineRule="auto"/>
                      <w:jc w:val="center"/>
                      <w:rPr>
                        <w:b/>
                        <w:sz w:val="20"/>
                      </w:rPr>
                    </w:pPr>
                    <w:r>
                      <w:rPr>
                        <w:b/>
                        <w:sz w:val="20"/>
                      </w:rPr>
                      <w:t>8</w:t>
                    </w:r>
                  </w:p>
                </w:tc>
              </w:tr>
              <w:tr>
                <w:trPr>
                  <w:trHeight w:val="330"/>
                </w:trPr>
                <w:tc>
                  <w:tcPr>
                    <w:tcW w:w="1418" w:type="dxa"/>
                    <w:shd w:val="clear" w:color="auto" w:fill="FFFFFF" w:themeFill="background1"/>
                  </w:tcPr>
                  <w:p>
                    <w:pPr>
                      <w:rPr>
                        <w:color w:val="FFFFFF"/>
                        <w:sz w:val="20"/>
                      </w:rPr>
                    </w:pPr>
                    <w:r>
                      <w:rPr>
                        <w:sz w:val="20"/>
                      </w:rPr>
                      <w:t>R-11-002-02-11-01-01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Išvengiamų hospitalizacijų skaičius </w:t>
                    </w:r>
                  </w:p>
                </w:tc>
                <w:tc>
                  <w:tcPr>
                    <w:tcW w:w="1134" w:type="dxa"/>
                    <w:shd w:val="clear" w:color="auto" w:fill="FFFFFF" w:themeFill="background1"/>
                  </w:tcPr>
                  <w:p>
                    <w:pPr>
                      <w:jc w:val="center"/>
                      <w:rPr>
                        <w:color w:val="FFFFFF"/>
                        <w:sz w:val="20"/>
                      </w:rPr>
                    </w:pPr>
                    <w:r>
                      <w:rPr>
                        <w:sz w:val="20"/>
                      </w:rPr>
                      <w:t>Skaičius 1000 gyventojų</w:t>
                    </w:r>
                  </w:p>
                </w:tc>
                <w:tc>
                  <w:tcPr>
                    <w:tcW w:w="1134"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17</w:t>
                    </w:r>
                  </w:p>
                </w:tc>
                <w:tc>
                  <w:tcPr>
                    <w:tcW w:w="1135"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417"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418" w:type="dxa"/>
                    <w:shd w:val="clear" w:color="auto" w:fill="FFFFFF" w:themeFill="background1"/>
                  </w:tcPr>
                  <w:p>
                    <w:pPr>
                      <w:rPr>
                        <w:color w:val="FFFFFF"/>
                        <w:sz w:val="20"/>
                      </w:rPr>
                    </w:pPr>
                    <w:r>
                      <w:rPr>
                        <w:sz w:val="20"/>
                      </w:rPr>
                      <w:t>R-11-002-02-11-01-02</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134" w:type="dxa"/>
                    <w:shd w:val="clear" w:color="auto" w:fill="FFFFFF" w:themeFill="background1"/>
                  </w:tcPr>
                  <w:p>
                    <w:pPr>
                      <w:jc w:val="center"/>
                      <w:rPr>
                        <w:color w:val="FFFFFF"/>
                        <w:sz w:val="20"/>
                      </w:rPr>
                    </w:pPr>
                    <w:r>
                      <w:rPr>
                        <w:sz w:val="20"/>
                      </w:rPr>
                      <w:t>Santykis</w:t>
                    </w:r>
                  </w:p>
                </w:tc>
                <w:tc>
                  <w:tcPr>
                    <w:tcW w:w="1134"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 xml:space="preserve">60/40 </w:t>
                    </w:r>
                  </w:p>
                  <w:p>
                    <w:pPr>
                      <w:jc w:val="center"/>
                      <w:rPr>
                        <w:color w:val="FFFFFF"/>
                        <w:sz w:val="20"/>
                      </w:rPr>
                    </w:pPr>
                  </w:p>
                </w:tc>
                <w:tc>
                  <w:tcPr>
                    <w:tcW w:w="1135" w:type="dxa"/>
                    <w:shd w:val="clear" w:color="auto" w:fill="FFFFFF" w:themeFill="background1"/>
                  </w:tcPr>
                  <w:p>
                    <w:pPr>
                      <w:jc w:val="center"/>
                      <w:rPr>
                        <w:sz w:val="20"/>
                      </w:rPr>
                    </w:pPr>
                    <w:r>
                      <w:rPr>
                        <w:sz w:val="20"/>
                      </w:rPr>
                      <w:t>40/60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sz w:val="20"/>
                      </w:rPr>
                    </w:pPr>
                    <w:r>
                      <w:rPr>
                        <w:sz w:val="20"/>
                      </w:rPr>
                      <w:t>R-11-002-02-11-01-03</w:t>
                    </w:r>
                  </w:p>
                </w:tc>
                <w:tc>
                  <w:tcPr>
                    <w:tcW w:w="1134" w:type="dxa"/>
                    <w:shd w:val="clear" w:color="auto" w:fill="FFFFFF" w:themeFill="background1"/>
                  </w:tcPr>
                  <w:p>
                    <w:pPr>
                      <w:rPr>
                        <w:sz w:val="20"/>
                      </w:rPr>
                    </w:pPr>
                    <w:r>
                      <w:rPr>
                        <w:sz w:val="20"/>
                      </w:rPr>
                      <w:t>Rezultato</w:t>
                    </w:r>
                  </w:p>
                </w:tc>
                <w:tc>
                  <w:tcPr>
                    <w:tcW w:w="2693"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418" w:type="dxa"/>
                    <w:shd w:val="clear" w:color="auto" w:fill="FFFFFF" w:themeFill="background1"/>
                  </w:tcPr>
                  <w:p>
                    <w:pPr>
                      <w:rPr>
                        <w:color w:val="FFFFFF"/>
                        <w:sz w:val="20"/>
                      </w:rPr>
                    </w:pPr>
                    <w:r>
                      <w:rPr>
                        <w:sz w:val="20"/>
                      </w:rPr>
                      <w:t>R-11-002-02-11-01-04</w:t>
                    </w:r>
                  </w:p>
                </w:tc>
                <w:tc>
                  <w:tcPr>
                    <w:tcW w:w="1134" w:type="dxa"/>
                    <w:shd w:val="clear" w:color="auto" w:fill="FFFFFF" w:themeFill="background1"/>
                  </w:tcPr>
                  <w:p>
                    <w:pPr>
                      <w:rPr>
                        <w:color w:val="FFFFFF"/>
                        <w:sz w:val="20"/>
                      </w:rPr>
                    </w:pPr>
                    <w:r>
                      <w:rPr>
                        <w:sz w:val="20"/>
                      </w:rPr>
                      <w:t xml:space="preserve">Rezultato </w:t>
                    </w:r>
                  </w:p>
                </w:tc>
                <w:tc>
                  <w:tcPr>
                    <w:tcW w:w="2693" w:type="dxa"/>
                    <w:shd w:val="clear" w:color="auto" w:fill="FFFFFF" w:themeFill="background1"/>
                  </w:tcPr>
                  <w:p>
                    <w:pPr>
                      <w:rPr>
                        <w:color w:val="FFFFFF"/>
                        <w:sz w:val="20"/>
                      </w:rPr>
                    </w:pPr>
                    <w:r>
                      <w:rPr>
                        <w:sz w:val="20"/>
                      </w:rPr>
                      <w:t xml:space="preserve">Ambulatorines ilgalaikės priežiūros paslaugas gaunančių pacientų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92"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135"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417" w:type="dxa"/>
                    <w:shd w:val="clear" w:color="auto" w:fill="FFFFFF" w:themeFill="background1"/>
                  </w:tcPr>
                  <w:p>
                    <w:pPr>
                      <w:jc w:val="center"/>
                      <w:rPr>
                        <w:color w:val="FFFFFF"/>
                        <w:sz w:val="20"/>
                      </w:rPr>
                    </w:pPr>
                    <w:r>
                      <w:rPr>
                        <w:bCs/>
                        <w:sz w:val="20"/>
                      </w:rPr>
                      <w:t xml:space="preserve">EGADP </w:t>
                    </w:r>
                  </w:p>
                </w:tc>
              </w:tr>
              <w:tr>
                <w:trPr>
                  <w:trHeight w:val="330"/>
                </w:trPr>
                <w:tc>
                  <w:tcPr>
                    <w:tcW w:w="1418" w:type="dxa"/>
                    <w:shd w:val="clear" w:color="auto" w:fill="FFFFFF" w:themeFill="background1"/>
                  </w:tcPr>
                  <w:p>
                    <w:pPr>
                      <w:rPr>
                        <w:color w:val="FFFFFF"/>
                        <w:sz w:val="20"/>
                      </w:rPr>
                    </w:pPr>
                    <w:r>
                      <w:rPr>
                        <w:sz w:val="20"/>
                      </w:rPr>
                      <w:t>R-11-002-02-11-01-05</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11,5</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417"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418" w:type="dxa"/>
                    <w:shd w:val="clear" w:color="auto" w:fill="FFFFFF" w:themeFill="background1"/>
                  </w:tcPr>
                  <w:p>
                    <w:pPr>
                      <w:rPr>
                        <w:color w:val="FFFFFF"/>
                        <w:sz w:val="20"/>
                      </w:rPr>
                    </w:pPr>
                    <w:r>
                      <w:rPr>
                        <w:sz w:val="20"/>
                      </w:rPr>
                      <w:t>R-11-002-02-11-01-06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92" w:type="dxa"/>
                    <w:shd w:val="clear" w:color="auto" w:fill="FFFFFF" w:themeFill="background1"/>
                  </w:tcPr>
                  <w:p>
                    <w:pPr>
                      <w:jc w:val="center"/>
                      <w:rPr>
                        <w:sz w:val="20"/>
                      </w:rPr>
                    </w:pPr>
                    <w:r>
                      <w:rPr>
                        <w:sz w:val="20"/>
                      </w:rPr>
                      <w:t>14</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418" w:type="dxa"/>
                    <w:shd w:val="clear" w:color="auto" w:fill="FFFFFF" w:themeFill="background1"/>
                  </w:tcPr>
                  <w:p>
                    <w:pPr>
                      <w:rPr>
                        <w:color w:val="FFFFFF"/>
                        <w:sz w:val="20"/>
                      </w:rPr>
                    </w:pPr>
                    <w:r>
                      <w:rPr>
                        <w:sz w:val="20"/>
                      </w:rPr>
                      <w:t>R-11-002-02-11-01-07</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134" w:type="dxa"/>
                    <w:shd w:val="clear" w:color="auto" w:fill="FFFFFF" w:themeFill="background1"/>
                  </w:tcPr>
                  <w:p>
                    <w:pPr>
                      <w:jc w:val="center"/>
                      <w:rPr>
                        <w:color w:val="FFFFFF"/>
                        <w:sz w:val="20"/>
                      </w:rPr>
                    </w:pPr>
                    <w:r>
                      <w:rPr>
                        <w:sz w:val="20"/>
                      </w:rPr>
                      <w:t>Proc. nuo visų naujai diagnozuo-tų navikų</w:t>
                    </w:r>
                  </w:p>
                </w:tc>
                <w:tc>
                  <w:tcPr>
                    <w:tcW w:w="1134"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92" w:type="dxa"/>
                    <w:shd w:val="clear" w:color="auto" w:fill="FFFFFF" w:themeFill="background1"/>
                  </w:tcPr>
                  <w:p>
                    <w:pPr>
                      <w:jc w:val="center"/>
                      <w:rPr>
                        <w:sz w:val="20"/>
                      </w:rPr>
                    </w:pPr>
                    <w:r>
                      <w:rPr>
                        <w:sz w:val="20"/>
                      </w:rPr>
                      <w:t>52</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color w:val="FFFFFF"/>
                        <w:sz w:val="20"/>
                      </w:rPr>
                    </w:pPr>
                    <w:r>
                      <w:rPr>
                        <w:sz w:val="20"/>
                      </w:rPr>
                      <w:t>R-11-002-02-11-01-08</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80</w:t>
                    </w:r>
                  </w:p>
                  <w:p>
                    <w:pPr>
                      <w:jc w:val="center"/>
                      <w:rPr>
                        <w:color w:val="FFFFFF"/>
                        <w:sz w:val="20"/>
                      </w:rPr>
                    </w:pPr>
                  </w:p>
                </w:tc>
                <w:tc>
                  <w:tcPr>
                    <w:tcW w:w="1135" w:type="dxa"/>
                    <w:shd w:val="clear" w:color="auto" w:fill="FFFFFF" w:themeFill="background1"/>
                  </w:tcPr>
                  <w:p>
                    <w:pPr>
                      <w:jc w:val="center"/>
                      <w:rPr>
                        <w:sz w:val="20"/>
                      </w:rPr>
                    </w:pPr>
                    <w:r>
                      <w:rPr>
                        <w:sz w:val="20"/>
                      </w:rPr>
                      <w:t>83</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R-11-002-02-11-01-09</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64,8</w:t>
                    </w:r>
                  </w:p>
                  <w:p>
                    <w:pPr>
                      <w:jc w:val="center"/>
                      <w:rPr>
                        <w:color w:val="FFFFFF"/>
                        <w:sz w:val="20"/>
                      </w:rPr>
                    </w:pPr>
                  </w:p>
                </w:tc>
                <w:tc>
                  <w:tcPr>
                    <w:tcW w:w="1135" w:type="dxa"/>
                    <w:shd w:val="clear" w:color="auto" w:fill="FFFFFF" w:themeFill="background1"/>
                  </w:tcPr>
                  <w:p>
                    <w:pPr>
                      <w:jc w:val="center"/>
                      <w:rPr>
                        <w:sz w:val="20"/>
                      </w:rPr>
                    </w:pPr>
                    <w:r>
                      <w:rPr>
                        <w:sz w:val="20"/>
                      </w:rPr>
                      <w:t>67,9</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R-11-002-02-11-01-10</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52</w:t>
                    </w:r>
                  </w:p>
                  <w:p>
                    <w:pPr>
                      <w:jc w:val="center"/>
                      <w:rPr>
                        <w:color w:val="FFFFFF"/>
                        <w:sz w:val="20"/>
                      </w:rPr>
                    </w:pPr>
                  </w:p>
                </w:tc>
                <w:tc>
                  <w:tcPr>
                    <w:tcW w:w="1135" w:type="dxa"/>
                    <w:shd w:val="clear" w:color="auto" w:fill="FFFFFF" w:themeFill="background1"/>
                  </w:tcPr>
                  <w:p>
                    <w:pPr>
                      <w:jc w:val="center"/>
                      <w:rPr>
                        <w:sz w:val="20"/>
                      </w:rPr>
                    </w:pPr>
                    <w:r>
                      <w:rPr>
                        <w:sz w:val="20"/>
                      </w:rPr>
                      <w:t>55</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418" w:type="dxa"/>
                    <w:shd w:val="clear" w:color="auto" w:fill="FFFFFF" w:themeFill="background1"/>
                  </w:tcPr>
                  <w:p>
                    <w:pPr>
                      <w:rPr>
                        <w:color w:val="FFFFFF"/>
                        <w:sz w:val="20"/>
                      </w:rPr>
                    </w:pPr>
                    <w:r>
                      <w:rPr>
                        <w:sz w:val="20"/>
                      </w:rPr>
                      <w:t>R-11-002-02-11-01-11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59</w:t>
                    </w:r>
                  </w:p>
                  <w:p>
                    <w:pPr>
                      <w:jc w:val="center"/>
                      <w:rPr>
                        <w:color w:val="FFFFFF"/>
                        <w:sz w:val="20"/>
                      </w:rPr>
                    </w:pPr>
                  </w:p>
                </w:tc>
                <w:tc>
                  <w:tcPr>
                    <w:tcW w:w="1135" w:type="dxa"/>
                    <w:shd w:val="clear" w:color="auto" w:fill="FFFFFF" w:themeFill="background1"/>
                  </w:tcPr>
                  <w:p>
                    <w:pPr>
                      <w:jc w:val="center"/>
                      <w:rPr>
                        <w:sz w:val="20"/>
                      </w:rPr>
                    </w:pPr>
                    <w:r>
                      <w:rPr>
                        <w:sz w:val="20"/>
                      </w:rPr>
                      <w:t>62,5</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R-11-002-02-11-01-12</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134" w:type="dxa"/>
                    <w:shd w:val="clear" w:color="auto" w:fill="FFFFFF" w:themeFill="background1"/>
                  </w:tcPr>
                  <w:p>
                    <w:pPr>
                      <w:jc w:val="center"/>
                      <w:rPr>
                        <w:color w:val="FFFFFF"/>
                        <w:sz w:val="20"/>
                      </w:rPr>
                    </w:pPr>
                    <w:r>
                      <w:rPr>
                        <w:sz w:val="20"/>
                      </w:rPr>
                      <w:t>Vnt.</w:t>
                    </w:r>
                  </w:p>
                </w:tc>
                <w:tc>
                  <w:tcPr>
                    <w:tcW w:w="1134"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25</w:t>
                    </w:r>
                  </w:p>
                  <w:p>
                    <w:pPr>
                      <w:jc w:val="center"/>
                      <w:rPr>
                        <w:color w:val="FFFFFF"/>
                        <w:sz w:val="20"/>
                      </w:rPr>
                    </w:pPr>
                  </w:p>
                </w:tc>
                <w:tc>
                  <w:tcPr>
                    <w:tcW w:w="1135" w:type="dxa"/>
                    <w:shd w:val="clear" w:color="auto" w:fill="FFFFFF" w:themeFill="background1"/>
                  </w:tcPr>
                  <w:p>
                    <w:pPr>
                      <w:jc w:val="center"/>
                      <w:rPr>
                        <w:sz w:val="20"/>
                      </w:rPr>
                    </w:pPr>
                    <w:r>
                      <w:rPr>
                        <w:sz w:val="20"/>
                      </w:rPr>
                      <w:t>30</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R-11-002-02-11-01-13</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 xml:space="preserve">65360 </w:t>
                    </w:r>
                  </w:p>
                </w:tc>
                <w:tc>
                  <w:tcPr>
                    <w:tcW w:w="1135" w:type="dxa"/>
                    <w:shd w:val="clear" w:color="auto" w:fill="FFFFFF" w:themeFill="background1"/>
                  </w:tcPr>
                  <w:p>
                    <w:pPr>
                      <w:jc w:val="center"/>
                      <w:rPr>
                        <w:color w:val="FFFFFF"/>
                        <w:sz w:val="20"/>
                      </w:rPr>
                    </w:pPr>
                    <w:r>
                      <w:rPr>
                        <w:sz w:val="20"/>
                        <w:lang w:val="en-US"/>
                      </w:rPr>
                      <w:t xml:space="preserve">73 020 </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R-11-002-02-11-01-14</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 xml:space="preserve">307358 </w:t>
                    </w:r>
                  </w:p>
                </w:tc>
                <w:tc>
                  <w:tcPr>
                    <w:tcW w:w="1135" w:type="dxa"/>
                    <w:shd w:val="clear" w:color="auto" w:fill="FFFFFF" w:themeFill="background1"/>
                  </w:tcPr>
                  <w:p>
                    <w:pPr>
                      <w:jc w:val="center"/>
                      <w:rPr>
                        <w:color w:val="FFFFFF"/>
                        <w:sz w:val="20"/>
                      </w:rPr>
                    </w:pPr>
                    <w:r>
                      <w:rPr>
                        <w:sz w:val="20"/>
                        <w:lang w:val="en-US"/>
                      </w:rPr>
                      <w:t xml:space="preserve">362 243 </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R-11-002-02-11-01-15</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color w:val="FFFFFF"/>
                        <w:sz w:val="20"/>
                      </w:rPr>
                    </w:pPr>
                    <w:r>
                      <w:rPr>
                        <w:sz w:val="20"/>
                      </w:rPr>
                      <w:t>616 734 (2019 m.)</w:t>
                    </w:r>
                  </w:p>
                </w:tc>
                <w:tc>
                  <w:tcPr>
                    <w:tcW w:w="992" w:type="dxa"/>
                    <w:shd w:val="clear" w:color="auto" w:fill="FFFFFF" w:themeFill="background1"/>
                  </w:tcPr>
                  <w:p>
                    <w:pPr>
                      <w:jc w:val="center"/>
                      <w:rPr>
                        <w:color w:val="FFFFFF"/>
                        <w:sz w:val="20"/>
                      </w:rPr>
                    </w:pPr>
                    <w:r>
                      <w:rPr>
                        <w:sz w:val="20"/>
                      </w:rPr>
                      <w:t>515814</w:t>
                    </w:r>
                    <w:r>
                      <w:rPr>
                        <w:sz w:val="20"/>
                        <w:lang w:val="en-US"/>
                      </w:rPr>
                      <w:t xml:space="preserve"> </w:t>
                    </w:r>
                  </w:p>
                </w:tc>
                <w:tc>
                  <w:tcPr>
                    <w:tcW w:w="1135"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418" w:type="dxa"/>
                    <w:shd w:val="clear" w:color="auto" w:fill="FFFFFF" w:themeFill="background1"/>
                  </w:tcPr>
                  <w:p>
                    <w:pPr>
                      <w:rPr>
                        <w:color w:val="FFFFFF"/>
                        <w:sz w:val="20"/>
                      </w:rPr>
                    </w:pPr>
                    <w:r>
                      <w:rPr>
                        <w:sz w:val="20"/>
                      </w:rPr>
                      <w:t>R-11-002-02-11-01-16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92" w:type="dxa"/>
                    <w:shd w:val="clear" w:color="auto" w:fill="FFFFFF" w:themeFill="background1"/>
                  </w:tcPr>
                  <w:p>
                    <w:pPr>
                      <w:jc w:val="center"/>
                      <w:rPr>
                        <w:sz w:val="20"/>
                      </w:rPr>
                    </w:pPr>
                    <w:r>
                      <w:rPr>
                        <w:sz w:val="20"/>
                      </w:rPr>
                      <w:t>80</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R-11-002-02-11-01-17</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92" w:type="dxa"/>
                    <w:shd w:val="clear" w:color="auto" w:fill="FFFFFF" w:themeFill="background1"/>
                  </w:tcPr>
                  <w:p>
                    <w:pPr>
                      <w:jc w:val="center"/>
                      <w:rPr>
                        <w:sz w:val="20"/>
                      </w:rPr>
                    </w:pPr>
                    <w:r>
                      <w:rPr>
                        <w:sz w:val="20"/>
                      </w:rPr>
                      <w:t>60</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R-11-002-02-11-01-18</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14</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418" w:type="dxa"/>
                    <w:shd w:val="clear" w:color="auto" w:fill="FFFFFF" w:themeFill="background1"/>
                  </w:tcPr>
                  <w:p>
                    <w:pPr>
                      <w:rPr>
                        <w:color w:val="FFFFFF"/>
                        <w:sz w:val="20"/>
                      </w:rPr>
                    </w:pPr>
                    <w:r>
                      <w:rPr>
                        <w:sz w:val="20"/>
                      </w:rPr>
                      <w:t>R-11-002-02-11-01-19</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418" w:type="dxa"/>
                    <w:shd w:val="clear" w:color="auto" w:fill="FFFFFF" w:themeFill="background1"/>
                  </w:tcPr>
                  <w:p>
                    <w:pPr>
                      <w:rPr>
                        <w:color w:val="FFFFFF"/>
                        <w:sz w:val="20"/>
                      </w:rPr>
                    </w:pPr>
                    <w:r>
                      <w:rPr>
                        <w:sz w:val="20"/>
                      </w:rPr>
                      <w:t>R-11-002-02-11-01-20</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R-11-002-02-11-01-21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134" w:type="dxa"/>
                    <w:shd w:val="clear" w:color="auto" w:fill="FFFFFF" w:themeFill="background1"/>
                  </w:tcPr>
                  <w:p>
                    <w:pPr>
                      <w:jc w:val="center"/>
                      <w:rPr>
                        <w:color w:val="FFFFFF"/>
                        <w:sz w:val="20"/>
                      </w:rPr>
                    </w:pPr>
                    <w:r>
                      <w:rPr>
                        <w:sz w:val="20"/>
                      </w:rPr>
                      <w:t>Skaičius</w:t>
                    </w:r>
                  </w:p>
                </w:tc>
                <w:tc>
                  <w:tcPr>
                    <w:tcW w:w="1134"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2</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P-11-002-02-11-01-22</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pPr>
                      <w:jc w:val="center"/>
                      <w:rPr>
                        <w:color w:val="FFFFFF"/>
                        <w:sz w:val="20"/>
                      </w:rPr>
                    </w:pPr>
                    <w:r>
                      <w:rPr>
                        <w:sz w:val="20"/>
                      </w:rPr>
                      <w:t>Subjektų skaičius</w:t>
                    </w:r>
                  </w:p>
                </w:tc>
                <w:tc>
                  <w:tcPr>
                    <w:tcW w:w="1134" w:type="dxa"/>
                    <w:shd w:val="clear" w:color="auto" w:fill="FFFFFF" w:themeFill="background1"/>
                  </w:tcPr>
                  <w:p>
                    <w:pPr>
                      <w:jc w:val="center"/>
                      <w:rPr>
                        <w:color w:val="FFFFFF"/>
                        <w:sz w:val="20"/>
                      </w:rPr>
                    </w:pPr>
                    <w:r>
                      <w:rPr>
                        <w:sz w:val="20"/>
                      </w:rPr>
                      <w:t>0</w:t>
                    </w:r>
                  </w:p>
                </w:tc>
                <w:tc>
                  <w:tcPr>
                    <w:tcW w:w="992" w:type="dxa"/>
                    <w:shd w:val="clear" w:color="auto" w:fill="FFFFFF" w:themeFill="background1"/>
                  </w:tcPr>
                  <w:p>
                    <w:pPr>
                      <w:jc w:val="center"/>
                      <w:rPr>
                        <w:sz w:val="20"/>
                      </w:rPr>
                    </w:pPr>
                    <w:r>
                      <w:rPr>
                        <w:sz w:val="20"/>
                      </w:rPr>
                      <w:t>18</w:t>
                    </w:r>
                  </w:p>
                  <w:p>
                    <w:pPr>
                      <w:jc w:val="center"/>
                      <w:rPr>
                        <w:color w:val="FFFFFF"/>
                        <w:sz w:val="20"/>
                      </w:rPr>
                    </w:pPr>
                    <w:r>
                      <w:rPr>
                        <w:sz w:val="20"/>
                      </w:rPr>
                      <w:t>(2024m.)</w:t>
                    </w:r>
                  </w:p>
                </w:tc>
                <w:tc>
                  <w:tcPr>
                    <w:tcW w:w="1135" w:type="dxa"/>
                    <w:shd w:val="clear" w:color="auto" w:fill="FFFFFF" w:themeFill="background1"/>
                  </w:tcPr>
                  <w:p>
                    <w:pPr>
                      <w:jc w:val="center"/>
                      <w:rPr>
                        <w:sz w:val="20"/>
                      </w:rPr>
                    </w:pPr>
                    <w:r>
                      <w:rPr>
                        <w:sz w:val="20"/>
                      </w:rPr>
                      <w:t>199</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2021-2027 m. IP (ESF+)</w:t>
                    </w:r>
                  </w:p>
                </w:tc>
              </w:tr>
              <w:tr>
                <w:trPr>
                  <w:trHeight w:val="330"/>
                </w:trPr>
                <w:tc>
                  <w:tcPr>
                    <w:tcW w:w="1418" w:type="dxa"/>
                    <w:shd w:val="clear" w:color="auto" w:fill="FFFFFF" w:themeFill="background1"/>
                  </w:tcPr>
                  <w:p>
                    <w:pPr>
                      <w:rPr>
                        <w:color w:val="FFFFFF"/>
                        <w:sz w:val="20"/>
                      </w:rPr>
                    </w:pPr>
                    <w:r>
                      <w:rPr>
                        <w:sz w:val="20"/>
                      </w:rPr>
                      <w:t>R-11-002-02-11-01-23</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135"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R-11-002-02-11-01-24</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36</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417"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sz w:val="20"/>
                      </w:rPr>
                    </w:pPr>
                    <w:r>
                      <w:rPr>
                        <w:sz w:val="20"/>
                      </w:rPr>
                      <w:t>R-11-002-02-11-01-25</w:t>
                    </w:r>
                  </w:p>
                </w:tc>
                <w:tc>
                  <w:tcPr>
                    <w:tcW w:w="1134" w:type="dxa"/>
                    <w:shd w:val="clear" w:color="auto" w:fill="FFFFFF" w:themeFill="background1"/>
                  </w:tcPr>
                  <w:p>
                    <w:pPr>
                      <w:rPr>
                        <w:iCs/>
                        <w:sz w:val="20"/>
                      </w:rPr>
                    </w:pPr>
                    <w:r>
                      <w:rPr>
                        <w:iCs/>
                        <w:sz w:val="20"/>
                      </w:rPr>
                      <w:t xml:space="preserve">Rezultato </w:t>
                    </w:r>
                  </w:p>
                </w:tc>
                <w:tc>
                  <w:tcPr>
                    <w:tcW w:w="2693" w:type="dxa"/>
                    <w:shd w:val="clear" w:color="auto" w:fill="FFFFFF" w:themeFill="background1"/>
                  </w:tcPr>
                  <w:p>
                    <w:pPr>
                      <w:rPr>
                        <w:sz w:val="20"/>
                      </w:rPr>
                    </w:pPr>
                    <w:r>
                      <w:rPr>
                        <w:sz w:val="20"/>
                      </w:rPr>
                      <w:t xml:space="preserve">Šalies gyventojų, kuriems teikiamos su sveikata susijusios elektroninės paslaugos, dalis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92"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135" w:type="dxa"/>
                    <w:shd w:val="clear" w:color="auto" w:fill="FFFFFF" w:themeFill="background1"/>
                  </w:tcPr>
                  <w:p>
                    <w:pPr>
                      <w:jc w:val="center"/>
                      <w:rPr>
                        <w:sz w:val="20"/>
                      </w:rPr>
                    </w:pPr>
                    <w:r>
                      <w:rPr>
                        <w:sz w:val="20"/>
                      </w:rPr>
                      <w:t>98</w:t>
                    </w:r>
                  </w:p>
                  <w:p>
                    <w:pPr>
                      <w:jc w:val="center"/>
                      <w:rPr>
                        <w:sz w:val="20"/>
                      </w:rPr>
                    </w:pP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R-11-002-02-11-01-26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rPr>
                        <w:sz w:val="20"/>
                      </w:rPr>
                    </w:pPr>
                    <w:r>
                      <w:rPr>
                        <w:sz w:val="20"/>
                      </w:rPr>
                      <w:t>R-11-002-02-11-01-27</w:t>
                    </w:r>
                  </w:p>
                </w:tc>
                <w:tc>
                  <w:tcPr>
                    <w:tcW w:w="1134" w:type="dxa"/>
                    <w:shd w:val="clear" w:color="auto" w:fill="FFFFFF" w:themeFill="background1"/>
                  </w:tcPr>
                  <w:p>
                    <w:pPr>
                      <w:rPr>
                        <w:iCs/>
                        <w:sz w:val="20"/>
                      </w:rPr>
                    </w:pPr>
                    <w:r>
                      <w:rPr>
                        <w:sz w:val="20"/>
                      </w:rPr>
                      <w:t>Rezultato</w:t>
                    </w:r>
                  </w:p>
                </w:tc>
                <w:tc>
                  <w:tcPr>
                    <w:tcW w:w="2693" w:type="dxa"/>
                    <w:shd w:val="clear" w:color="auto" w:fill="FFFFFF" w:themeFill="background1"/>
                  </w:tcPr>
                  <w:p>
                    <w:pPr>
                      <w:rPr>
                        <w:sz w:val="20"/>
                      </w:rPr>
                    </w:pPr>
                    <w:r>
                      <w:rPr>
                        <w:sz w:val="20"/>
                      </w:rPr>
                      <w:t xml:space="preserve">Pacientų pasitenkinimas gautomis paslaugomis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56</w:t>
                    </w:r>
                  </w:p>
                  <w:p>
                    <w:pPr>
                      <w:jc w:val="center"/>
                      <w:rPr>
                        <w:sz w:val="20"/>
                      </w:rPr>
                    </w:pPr>
                    <w:r>
                      <w:rPr>
                        <w:sz w:val="20"/>
                      </w:rPr>
                      <w:t>(2020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rPr>
                        <w:sz w:val="20"/>
                      </w:rPr>
                    </w:pPr>
                    <w:r>
                      <w:rPr>
                        <w:sz w:val="20"/>
                      </w:rPr>
                      <w:t>R-11-002-02-11-01-28</w:t>
                    </w:r>
                  </w:p>
                </w:tc>
                <w:tc>
                  <w:tcPr>
                    <w:tcW w:w="1134" w:type="dxa"/>
                    <w:shd w:val="clear" w:color="auto" w:fill="FFFFFF" w:themeFill="background1"/>
                  </w:tcPr>
                  <w:p>
                    <w:pPr>
                      <w:rPr>
                        <w:iCs/>
                        <w:sz w:val="20"/>
                      </w:rPr>
                    </w:pPr>
                    <w:r>
                      <w:rPr>
                        <w:sz w:val="20"/>
                      </w:rPr>
                      <w:t>Rezultato</w:t>
                    </w:r>
                  </w:p>
                </w:tc>
                <w:tc>
                  <w:tcPr>
                    <w:tcW w:w="2693"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pPr>
                      <w:jc w:val="center"/>
                      <w:rPr>
                        <w:sz w:val="20"/>
                      </w:rPr>
                    </w:pPr>
                    <w:r>
                      <w:rPr>
                        <w:sz w:val="20"/>
                      </w:rPr>
                      <w:t>Naudotojai per metus</w:t>
                    </w:r>
                  </w:p>
                </w:tc>
                <w:tc>
                  <w:tcPr>
                    <w:tcW w:w="1134"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color w:val="FFFFFF"/>
                        <w:sz w:val="20"/>
                      </w:rPr>
                    </w:pPr>
                    <w:r>
                      <w:rPr>
                        <w:sz w:val="20"/>
                      </w:rPr>
                      <w:t>R-11-002-02-11-01-29</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color w:val="FFFFFF"/>
                        <w:sz w:val="20"/>
                      </w:rPr>
                    </w:pPr>
                    <w:r>
                      <w:rPr>
                        <w:sz w:val="20"/>
                      </w:rPr>
                      <w:t>50 (2021 m.)</w:t>
                    </w:r>
                  </w:p>
                </w:tc>
                <w:tc>
                  <w:tcPr>
                    <w:tcW w:w="992"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135" w:type="dxa"/>
                    <w:shd w:val="clear" w:color="auto" w:fill="FFFFFF" w:themeFill="background1"/>
                  </w:tcPr>
                  <w:p>
                    <w:pPr>
                      <w:jc w:val="center"/>
                      <w:rPr>
                        <w:color w:val="FFFFFF"/>
                        <w:sz w:val="20"/>
                      </w:rPr>
                    </w:pPr>
                    <w:r>
                      <w:rPr>
                        <w:sz w:val="20"/>
                      </w:rPr>
                      <w:t>98</w:t>
                    </w: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R-11-002-02-11-01-30</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135" w:type="dxa"/>
                    <w:shd w:val="clear" w:color="auto" w:fill="FFFFFF" w:themeFill="background1"/>
                  </w:tcPr>
                  <w:p>
                    <w:pPr>
                      <w:jc w:val="center"/>
                      <w:rPr>
                        <w:sz w:val="20"/>
                      </w:rPr>
                    </w:pPr>
                    <w:r>
                      <w:rPr>
                        <w:sz w:val="20"/>
                      </w:rPr>
                      <w:t>90</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P-11-002-02-11-01-31</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Naujos arba modernizuotos sveikatos priežiūros infrastruktūros talpumas</w:t>
                    </w:r>
                  </w:p>
                </w:tc>
                <w:tc>
                  <w:tcPr>
                    <w:tcW w:w="1134" w:type="dxa"/>
                    <w:shd w:val="clear" w:color="auto" w:fill="FFFFFF" w:themeFill="background1"/>
                  </w:tcPr>
                  <w:p>
                    <w:pPr>
                      <w:jc w:val="center"/>
                      <w:rPr>
                        <w:color w:val="FFFFFF"/>
                        <w:sz w:val="20"/>
                      </w:rPr>
                    </w:pPr>
                    <w:r>
                      <w:rPr>
                        <w:sz w:val="20"/>
                      </w:rPr>
                      <w:t>Asmenys per metus</w:t>
                    </w:r>
                  </w:p>
                </w:tc>
                <w:tc>
                  <w:tcPr>
                    <w:tcW w:w="1134" w:type="dxa"/>
                    <w:shd w:val="clear" w:color="auto" w:fill="FFFFFF" w:themeFill="background1"/>
                  </w:tcPr>
                  <w:p>
                    <w:pPr>
                      <w:jc w:val="center"/>
                      <w:rPr>
                        <w:sz w:val="20"/>
                      </w:rPr>
                    </w:pPr>
                    <w:r>
                      <w:rPr>
                        <w:sz w:val="20"/>
                      </w:rPr>
                      <w:t>0</w:t>
                    </w:r>
                  </w:p>
                  <w:p>
                    <w:pPr>
                      <w:jc w:val="center"/>
                      <w:rPr>
                        <w:color w:val="FFFFFF"/>
                        <w:sz w:val="20"/>
                      </w:rPr>
                    </w:pPr>
                  </w:p>
                </w:tc>
                <w:tc>
                  <w:tcPr>
                    <w:tcW w:w="992"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135"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P-11-002-02-11-01-32</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Greitosios medicinos pagalbos paslaugų infrastruktūros, kuriai skirta parama, pajėgumas</w:t>
                    </w:r>
                  </w:p>
                </w:tc>
                <w:tc>
                  <w:tcPr>
                    <w:tcW w:w="1134" w:type="dxa"/>
                    <w:shd w:val="clear" w:color="auto" w:fill="FFFFFF" w:themeFill="background1"/>
                  </w:tcPr>
                  <w:p>
                    <w:pPr>
                      <w:jc w:val="center"/>
                      <w:rPr>
                        <w:color w:val="FFFFFF"/>
                        <w:sz w:val="20"/>
                      </w:rPr>
                    </w:pPr>
                    <w:r>
                      <w:rPr>
                        <w:sz w:val="20"/>
                      </w:rPr>
                      <w:t>Asmenys per metus</w:t>
                    </w:r>
                  </w:p>
                </w:tc>
                <w:tc>
                  <w:tcPr>
                    <w:tcW w:w="1134" w:type="dxa"/>
                    <w:shd w:val="clear" w:color="auto" w:fill="FFFFFF" w:themeFill="background1"/>
                  </w:tcPr>
                  <w:p>
                    <w:pPr>
                      <w:jc w:val="center"/>
                      <w:rPr>
                        <w:color w:val="FFFFFF"/>
                        <w:sz w:val="20"/>
                      </w:rPr>
                    </w:pPr>
                    <w:r>
                      <w:rPr>
                        <w:sz w:val="20"/>
                      </w:rPr>
                      <w:t>0</w:t>
                    </w:r>
                  </w:p>
                </w:tc>
                <w:tc>
                  <w:tcPr>
                    <w:tcW w:w="992"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135"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sz w:val="20"/>
                      </w:rPr>
                    </w:pPr>
                    <w:r>
                      <w:rPr>
                        <w:sz w:val="20"/>
                      </w:rPr>
                      <w:t>R-11-002-02-11-01-33</w:t>
                    </w:r>
                  </w:p>
                </w:tc>
                <w:tc>
                  <w:tcPr>
                    <w:tcW w:w="1134" w:type="dxa"/>
                    <w:shd w:val="clear" w:color="auto" w:fill="FFFFFF" w:themeFill="background1"/>
                  </w:tcPr>
                  <w:p>
                    <w:pPr>
                      <w:rPr>
                        <w:sz w:val="20"/>
                      </w:rPr>
                    </w:pPr>
                    <w:r>
                      <w:rPr>
                        <w:iCs/>
                        <w:sz w:val="20"/>
                      </w:rPr>
                      <w:t>Rezultato</w:t>
                    </w:r>
                  </w:p>
                </w:tc>
                <w:tc>
                  <w:tcPr>
                    <w:tcW w:w="2693"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134" w:type="dxa"/>
                    <w:shd w:val="clear" w:color="auto" w:fill="FFFFFF" w:themeFill="background1"/>
                  </w:tcPr>
                  <w:p>
                    <w:pPr>
                      <w:jc w:val="center"/>
                      <w:rPr>
                        <w:sz w:val="20"/>
                      </w:rPr>
                    </w:pPr>
                    <w:r>
                      <w:rPr>
                        <w:sz w:val="20"/>
                      </w:rPr>
                      <w:t>Asmenys per metus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n/d</w:t>
                    </w:r>
                  </w:p>
                </w:tc>
                <w:tc>
                  <w:tcPr>
                    <w:tcW w:w="1417" w:type="dxa"/>
                    <w:shd w:val="clear" w:color="auto" w:fill="FFFFFF" w:themeFill="background1"/>
                  </w:tcPr>
                  <w:p>
                    <w:pPr>
                      <w:jc w:val="center"/>
                      <w:rPr>
                        <w:bCs/>
                        <w:sz w:val="20"/>
                      </w:rPr>
                    </w:pPr>
                    <w:r>
                      <w:rPr>
                        <w:bCs/>
                        <w:sz w:val="20"/>
                      </w:rPr>
                      <w:t>EGADP</w:t>
                    </w:r>
                  </w:p>
                </w:tc>
              </w:tr>
              <w:tr>
                <w:trPr>
                  <w:trHeight w:val="41"/>
                </w:trPr>
                <w:tc>
                  <w:tcPr>
                    <w:tcW w:w="1418" w:type="dxa"/>
                    <w:shd w:val="clear" w:color="auto" w:fill="FFFFFF" w:themeFill="background1"/>
                  </w:tcPr>
                  <w:p>
                    <w:pPr>
                      <w:rPr>
                        <w:sz w:val="20"/>
                      </w:rPr>
                    </w:pPr>
                    <w:r>
                      <w:rPr>
                        <w:sz w:val="20"/>
                      </w:rPr>
                      <w:t>R-11-002-02-11-01-34</w:t>
                    </w:r>
                  </w:p>
                </w:tc>
                <w:tc>
                  <w:tcPr>
                    <w:tcW w:w="1134" w:type="dxa"/>
                    <w:shd w:val="clear" w:color="auto" w:fill="FFFFFF" w:themeFill="background1"/>
                  </w:tcPr>
                  <w:p>
                    <w:pPr>
                      <w:rPr>
                        <w:sz w:val="20"/>
                      </w:rPr>
                    </w:pPr>
                    <w:r>
                      <w:rPr>
                        <w:sz w:val="20"/>
                      </w:rPr>
                      <w:t>Rezultato</w:t>
                    </w:r>
                  </w:p>
                </w:tc>
                <w:tc>
                  <w:tcPr>
                    <w:tcW w:w="2693"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134" w:type="dxa"/>
                    <w:shd w:val="clear" w:color="auto" w:fill="FFFFFF" w:themeFill="background1"/>
                  </w:tcPr>
                  <w:p>
                    <w:pPr>
                      <w:jc w:val="center"/>
                      <w:rPr>
                        <w:sz w:val="20"/>
                      </w:rPr>
                    </w:pPr>
                    <w:r>
                      <w:rPr>
                        <w:sz w:val="20"/>
                      </w:rPr>
                      <w:t>Naudotojų skaičius per metus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n/d</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P-11-002-02-11-01-35</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P-11-002-02-11-01-36</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P-11-002-02-11-01-37</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P-11-002-02-11-01-38</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P-11-002-02-11-01-39</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P-11-002-02-11-01-40</w:t>
                    </w:r>
                  </w:p>
                </w:tc>
                <w:tc>
                  <w:tcPr>
                    <w:tcW w:w="1134" w:type="dxa"/>
                    <w:shd w:val="clear" w:color="auto" w:fill="FFFFFF" w:themeFill="background1"/>
                  </w:tcPr>
                  <w:p>
                    <w:pPr>
                      <w:rPr>
                        <w:iCs/>
                        <w:sz w:val="20"/>
                      </w:rPr>
                    </w:pPr>
                    <w:r>
                      <w:rPr>
                        <w:sz w:val="20"/>
                      </w:rPr>
                      <w:t>Produkto</w:t>
                    </w:r>
                  </w:p>
                </w:tc>
                <w:tc>
                  <w:tcPr>
                    <w:tcW w:w="2693"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P-11-002-02-11-01-41</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P-11-002-02-11-01-42</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P-11-002-02-11-01-43</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P-11-002-02-11-01-44</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P-11-002-02-11-01-45</w:t>
                    </w:r>
                  </w:p>
                </w:tc>
                <w:tc>
                  <w:tcPr>
                    <w:tcW w:w="1134" w:type="dxa"/>
                    <w:shd w:val="clear" w:color="auto" w:fill="FFFFFF" w:themeFill="background1"/>
                  </w:tcPr>
                  <w:p>
                    <w:pPr>
                      <w:rPr>
                        <w:iCs/>
                        <w:sz w:val="20"/>
                      </w:rPr>
                    </w:pPr>
                    <w:r>
                      <w:rPr>
                        <w:sz w:val="20"/>
                      </w:rPr>
                      <w:t>Produkto</w:t>
                    </w:r>
                  </w:p>
                </w:tc>
                <w:tc>
                  <w:tcPr>
                    <w:tcW w:w="2693"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P-11-002-02-11-01-46</w:t>
                    </w:r>
                  </w:p>
                </w:tc>
                <w:tc>
                  <w:tcPr>
                    <w:tcW w:w="1134" w:type="dxa"/>
                    <w:shd w:val="clear" w:color="auto" w:fill="FFFFFF" w:themeFill="background1"/>
                  </w:tcPr>
                  <w:p>
                    <w:pPr>
                      <w:spacing w:line="276" w:lineRule="auto"/>
                      <w:rPr>
                        <w:sz w:val="20"/>
                      </w:rPr>
                    </w:pPr>
                    <w:r>
                      <w:rPr>
                        <w:iCs/>
                        <w:sz w:val="20"/>
                      </w:rPr>
                      <w:t>Produkto</w:t>
                    </w:r>
                  </w:p>
                </w:tc>
                <w:tc>
                  <w:tcPr>
                    <w:tcW w:w="2693"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spacing w:line="276" w:lineRule="auto"/>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417" w:type="dxa"/>
                    <w:shd w:val="clear" w:color="auto" w:fill="FFFFFF" w:themeFill="background1"/>
                  </w:tcPr>
                  <w:p>
                    <w:pPr>
                      <w:spacing w:line="276" w:lineRule="auto"/>
                      <w:jc w:val="center"/>
                      <w:rPr>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P-11-002-02-11-01-47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spacing w:line="276" w:lineRule="auto"/>
                      <w:rPr>
                        <w:sz w:val="20"/>
                      </w:rPr>
                    </w:pPr>
                    <w:r>
                      <w:rPr>
                        <w:sz w:val="20"/>
                      </w:rPr>
                      <w:t xml:space="preserve">Sukurtas pažangios terapijos centras </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417" w:type="dxa"/>
                    <w:shd w:val="clear" w:color="auto" w:fill="FFFFFF" w:themeFill="background1"/>
                  </w:tcPr>
                  <w:p>
                    <w:pPr>
                      <w:spacing w:line="276" w:lineRule="auto"/>
                      <w:jc w:val="center"/>
                      <w:rPr>
                        <w:iCs/>
                        <w:sz w:val="20"/>
                      </w:rPr>
                    </w:pPr>
                    <w:r>
                      <w:rPr>
                        <w:bCs/>
                        <w:sz w:val="20"/>
                      </w:rPr>
                      <w:t>EGADP</w:t>
                    </w:r>
                  </w:p>
                </w:tc>
              </w:tr>
              <w:tr>
                <w:trPr>
                  <w:trHeight w:val="889"/>
                </w:trPr>
                <w:tc>
                  <w:tcPr>
                    <w:tcW w:w="1418" w:type="dxa"/>
                    <w:shd w:val="clear" w:color="auto" w:fill="FFFFFF" w:themeFill="background1"/>
                  </w:tcPr>
                  <w:p>
                    <w:pPr>
                      <w:rPr>
                        <w:sz w:val="20"/>
                      </w:rPr>
                    </w:pPr>
                    <w:r>
                      <w:rPr>
                        <w:sz w:val="20"/>
                      </w:rPr>
                      <w:t>P-11-002-02-11-01-48</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color w:val="000000"/>
                        <w:sz w:val="20"/>
                        <w:lang w:eastAsia="lt-LT"/>
                      </w:rPr>
                      <w:t xml:space="preserve">Patvirtinti teisės aktai dėl genomo tyrimų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P-11-002-02-11-01-49</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jc w:val="both"/>
                      <w:rPr>
                        <w:sz w:val="20"/>
                      </w:rPr>
                    </w:pPr>
                    <w:r>
                      <w:rPr>
                        <w:sz w:val="20"/>
                      </w:rPr>
                      <w:t xml:space="preserve">Atliktų viso žmogaus genomo sekos nustatymo tyrimų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135"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P-11-002-02-11-01-50</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P-11-002-02-11-01-51</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sz w:val="20"/>
                      </w:rPr>
                    </w:pPr>
                    <w:r>
                      <w:rPr>
                        <w:sz w:val="20"/>
                      </w:rPr>
                      <w:t xml:space="preserve">Įsigalioję teisės aktai, reglamentuojantys pakartotinį  sveikatos duomenų naudojimą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P-11-002-02-11-01-52</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P-11-002-02-11-01-53</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Sveikatos priežiūros specialistų kompetencijų platformos sukūrimas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417" w:type="dxa"/>
                    <w:shd w:val="clear" w:color="auto" w:fill="FFFFFF" w:themeFill="background1"/>
                  </w:tcPr>
                  <w:p>
                    <w:pPr>
                      <w:jc w:val="center"/>
                      <w:rPr>
                        <w:sz w:val="20"/>
                      </w:rPr>
                    </w:pPr>
                    <w:r>
                      <w:rPr>
                        <w:sz w:val="20"/>
                      </w:rPr>
                      <w:t>EGADP</w:t>
                    </w:r>
                  </w:p>
                </w:tc>
              </w:tr>
              <w:tr>
                <w:trPr>
                  <w:trHeight w:val="330"/>
                </w:trPr>
                <w:tc>
                  <w:tcPr>
                    <w:tcW w:w="1418" w:type="dxa"/>
                    <w:shd w:val="clear" w:color="auto" w:fill="FFFFFF" w:themeFill="background1"/>
                  </w:tcPr>
                  <w:p>
                    <w:pPr>
                      <w:rPr>
                        <w:sz w:val="20"/>
                      </w:rPr>
                    </w:pPr>
                    <w:r>
                      <w:rPr>
                        <w:sz w:val="20"/>
                      </w:rPr>
                      <w:t>P-11-002-02-11-01-54</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P-11-002-02-11-01-55</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Atliktų sveikatos sektoriaus analizių skaičius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6</w:t>
                    </w:r>
                  </w:p>
                  <w:p>
                    <w:pPr>
                      <w:jc w:val="center"/>
                      <w:rPr>
                        <w:sz w:val="20"/>
                      </w:rPr>
                    </w:pPr>
                    <w:r>
                      <w:rPr>
                        <w:sz w:val="20"/>
                      </w:rPr>
                      <w:t>(2022 m.)</w:t>
                    </w:r>
                  </w:p>
                </w:tc>
                <w:tc>
                  <w:tcPr>
                    <w:tcW w:w="1135"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417"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P-11-002-02-11-01-58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Tikslinių grupių asmenys, gavę naujas ar patobulintas psichikos sveikatos priežiūros paslaugas</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1 050</w:t>
                    </w:r>
                  </w:p>
                  <w:p>
                    <w:pPr>
                      <w:jc w:val="center"/>
                      <w:rPr>
                        <w:sz w:val="20"/>
                        <w:lang w:val="en-US"/>
                      </w:rPr>
                    </w:pPr>
                    <w:r>
                      <w:rPr>
                        <w:sz w:val="20"/>
                      </w:rPr>
                      <w:t>(2024 m.)</w:t>
                    </w:r>
                  </w:p>
                </w:tc>
                <w:tc>
                  <w:tcPr>
                    <w:tcW w:w="1135" w:type="dxa"/>
                    <w:shd w:val="clear" w:color="auto" w:fill="FFFFFF" w:themeFill="background1"/>
                  </w:tcPr>
                  <w:p>
                    <w:pPr>
                      <w:jc w:val="center"/>
                      <w:rPr>
                        <w:sz w:val="20"/>
                      </w:rPr>
                    </w:pPr>
                    <w:r>
                      <w:rPr>
                        <w:sz w:val="20"/>
                      </w:rPr>
                      <w:t>10 500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P-11-002-02-11-01-59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Specialistai, dalyvavę kvalifikacijos tobulinimo ar perkvalifikavimo veiklose</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900</w:t>
                    </w:r>
                  </w:p>
                  <w:p>
                    <w:pPr>
                      <w:jc w:val="center"/>
                      <w:rPr>
                        <w:sz w:val="20"/>
                      </w:rPr>
                    </w:pPr>
                    <w:r>
                      <w:rPr>
                        <w:sz w:val="20"/>
                      </w:rPr>
                      <w:t>(2024 m.)</w:t>
                    </w:r>
                  </w:p>
                </w:tc>
                <w:tc>
                  <w:tcPr>
                    <w:tcW w:w="1135"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P-11-002-02-11-01-60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Asmenys, dalyvavę kvalifikacijos įgijimo veiklose</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0</w:t>
                    </w:r>
                  </w:p>
                  <w:p>
                    <w:pPr>
                      <w:jc w:val="center"/>
                      <w:rPr>
                        <w:sz w:val="20"/>
                      </w:rPr>
                    </w:pPr>
                    <w:r>
                      <w:rPr>
                        <w:sz w:val="20"/>
                      </w:rPr>
                      <w:t>(2024 m.)</w:t>
                    </w:r>
                  </w:p>
                </w:tc>
                <w:tc>
                  <w:tcPr>
                    <w:tcW w:w="1135"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P-11-002-02-11-01-61</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Sukurtas ir išbandytas pacientų pavėžėjimo paslaugų teikimo modelis</w:t>
                    </w:r>
                  </w:p>
                </w:tc>
                <w:tc>
                  <w:tcPr>
                    <w:tcW w:w="1134" w:type="dxa"/>
                    <w:shd w:val="clear" w:color="auto" w:fill="FFFFFF" w:themeFill="background1"/>
                  </w:tcPr>
                  <w:p>
                    <w:pPr>
                      <w:spacing w:line="276" w:lineRule="auto"/>
                      <w:jc w:val="center"/>
                      <w:rPr>
                        <w:sz w:val="20"/>
                      </w:rPr>
                    </w:pPr>
                    <w:r>
                      <w:rPr>
                        <w:sz w:val="20"/>
                      </w:rPr>
                      <w:t>Skaičius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R-11-002-02-11-01-62</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Suteiktų pavėžėjimo paslaugų skaičius pagal bandomąjį pavėžėjimo paslaugų teikimo modelį</w:t>
                    </w:r>
                  </w:p>
                </w:tc>
                <w:tc>
                  <w:tcPr>
                    <w:tcW w:w="1134" w:type="dxa"/>
                    <w:shd w:val="clear" w:color="auto" w:fill="FFFFFF" w:themeFill="background1"/>
                  </w:tcPr>
                  <w:p>
                    <w:pPr>
                      <w:spacing w:line="276" w:lineRule="auto"/>
                      <w:jc w:val="center"/>
                      <w:rPr>
                        <w:sz w:val="20"/>
                      </w:rPr>
                    </w:pPr>
                    <w:r>
                      <w:rPr>
                        <w:sz w:val="20"/>
                      </w:rPr>
                      <w:t>Skaičius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R-11-002-02-11-01-63</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Asmenų, kurie po dalyvavimo veiklose įgijo kvalifikaciją, dalis</w:t>
                    </w:r>
                  </w:p>
                </w:tc>
                <w:tc>
                  <w:tcPr>
                    <w:tcW w:w="1134" w:type="dxa"/>
                    <w:shd w:val="clear" w:color="auto" w:fill="FFFFFF" w:themeFill="background1"/>
                  </w:tcPr>
                  <w:p>
                    <w:pPr>
                      <w:spacing w:line="276" w:lineRule="auto"/>
                      <w:jc w:val="center"/>
                      <w:rPr>
                        <w:sz w:val="20"/>
                      </w:rPr>
                    </w:pPr>
                    <w:r>
                      <w:rPr>
                        <w:sz w:val="20"/>
                      </w:rPr>
                      <w:t>Proc.</w:t>
                    </w:r>
                  </w:p>
                </w:tc>
                <w:tc>
                  <w:tcPr>
                    <w:tcW w:w="1134" w:type="dxa"/>
                    <w:shd w:val="clear" w:color="auto" w:fill="FFFFFF" w:themeFill="background1"/>
                  </w:tcPr>
                  <w:p>
                    <w:pPr>
                      <w:jc w:val="center"/>
                      <w:rPr>
                        <w:sz w:val="20"/>
                      </w:rPr>
                    </w:pPr>
                    <w:r>
                      <w:rPr>
                        <w:sz w:val="20"/>
                      </w:rPr>
                      <w:t>17</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418" w:type="dxa"/>
                    <w:shd w:val="clear" w:color="auto" w:fill="FFFFFF" w:themeFill="background1"/>
                  </w:tcPr>
                  <w:p>
                    <w:pPr>
                      <w:spacing w:line="276" w:lineRule="auto"/>
                      <w:rPr>
                        <w:sz w:val="20"/>
                      </w:rPr>
                    </w:pPr>
                    <w:r>
                      <w:rPr>
                        <w:sz w:val="20"/>
                      </w:rPr>
                      <w:t>P-11-002-02-11-01-64</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5 000</w:t>
                    </w:r>
                  </w:p>
                  <w:p>
                    <w:pPr>
                      <w:jc w:val="center"/>
                      <w:rPr>
                        <w:sz w:val="20"/>
                      </w:rPr>
                    </w:pPr>
                    <w:r>
                      <w:rPr>
                        <w:sz w:val="20"/>
                      </w:rPr>
                      <w:t>(2024 m.)</w:t>
                    </w:r>
                  </w:p>
                </w:tc>
                <w:tc>
                  <w:tcPr>
                    <w:tcW w:w="1135"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R-11-002-02-11-01-65</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134" w:type="dxa"/>
                    <w:shd w:val="clear" w:color="auto" w:fill="FFFFFF" w:themeFill="background1"/>
                  </w:tcPr>
                  <w:p>
                    <w:pPr>
                      <w:spacing w:line="276" w:lineRule="auto"/>
                      <w:jc w:val="center"/>
                      <w:rPr>
                        <w:sz w:val="20"/>
                      </w:rPr>
                    </w:pPr>
                    <w:r>
                      <w:rPr>
                        <w:sz w:val="20"/>
                      </w:rPr>
                      <w:t>Proc.</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418" w:type="dxa"/>
                    <w:shd w:val="clear" w:color="auto" w:fill="FFFFFF" w:themeFill="background1"/>
                  </w:tcPr>
                  <w:p>
                    <w:pPr>
                      <w:spacing w:line="276" w:lineRule="auto"/>
                      <w:rPr>
                        <w:sz w:val="20"/>
                      </w:rPr>
                    </w:pPr>
                    <w:r>
                      <w:rPr>
                        <w:sz w:val="20"/>
                      </w:rPr>
                      <w:t>P-11-002-02-11-01-66</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Modernizuotų asmens sveikatos priežiūros įstaigų skaičius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13</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P-11-002-02-11-01-67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134" w:type="dxa"/>
                    <w:shd w:val="clear" w:color="auto" w:fill="FFFFFF" w:themeFill="background1"/>
                  </w:tcPr>
                  <w:p>
                    <w:pPr>
                      <w:spacing w:line="276" w:lineRule="auto"/>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P-11-002-02-11-01-68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pPr>
                      <w:spacing w:line="276" w:lineRule="auto"/>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P-11-002-02-11-01-69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Struktūrinius sveikatos priežiūros paslaugų teikimo pokyčius įgyvendinusių ASPĮ skaičius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250</w:t>
                    </w:r>
                  </w:p>
                </w:tc>
                <w:tc>
                  <w:tcPr>
                    <w:tcW w:w="1417"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418" w:type="dxa"/>
                    <w:shd w:val="clear" w:color="auto" w:fill="FFFFFF" w:themeFill="background1"/>
                  </w:tcPr>
                  <w:p>
                    <w:pPr>
                      <w:spacing w:line="276" w:lineRule="auto"/>
                      <w:rPr>
                        <w:sz w:val="20"/>
                      </w:rPr>
                    </w:pPr>
                    <w:r>
                      <w:rPr>
                        <w:sz w:val="20"/>
                      </w:rPr>
                      <w:t>P-11-002-02-11-01-70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Baigtas mažiausiai 1 000 ilgalaikės priežiūros specialistų mokymas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417"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418" w:type="dxa"/>
                    <w:shd w:val="clear" w:color="auto" w:fill="FFFFFF" w:themeFill="background1"/>
                  </w:tcPr>
                  <w:p>
                    <w:pPr>
                      <w:spacing w:line="276" w:lineRule="auto"/>
                      <w:rPr>
                        <w:sz w:val="20"/>
                      </w:rPr>
                    </w:pPr>
                    <w:r>
                      <w:rPr>
                        <w:sz w:val="20"/>
                      </w:rPr>
                      <w:t>P-11-002-02-11-01-71</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Parengta reformos komunikacijos strategija</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417" w:type="dxa"/>
                    <w:shd w:val="clear" w:color="auto" w:fill="FFFFFF" w:themeFill="background1"/>
                  </w:tcPr>
                  <w:p>
                    <w:pPr>
                      <w:spacing w:line="276" w:lineRule="auto"/>
                      <w:jc w:val="center"/>
                      <w:rPr>
                        <w:bCs/>
                        <w:sz w:val="20"/>
                      </w:rPr>
                    </w:pPr>
                    <w:r>
                      <w:rPr>
                        <w:sz w:val="20"/>
                      </w:rPr>
                      <w:t>VB</w:t>
                    </w:r>
                  </w:p>
                </w:tc>
              </w:tr>
              <w:tr>
                <w:trPr>
                  <w:trHeight w:val="330"/>
                </w:trPr>
                <w:tc>
                  <w:tcPr>
                    <w:tcW w:w="1418" w:type="dxa"/>
                    <w:shd w:val="clear" w:color="auto" w:fill="FFFFFF" w:themeFill="background1"/>
                  </w:tcPr>
                  <w:p>
                    <w:pPr>
                      <w:spacing w:line="276" w:lineRule="auto"/>
                      <w:rPr>
                        <w:sz w:val="20"/>
                      </w:rPr>
                    </w:pPr>
                    <w:r>
                      <w:rPr>
                        <w:sz w:val="20"/>
                      </w:rPr>
                      <w:t>P-11-002-02-11-01-72</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417" w:type="dxa"/>
                    <w:shd w:val="clear" w:color="auto" w:fill="FFFFFF" w:themeFill="background1"/>
                  </w:tcPr>
                  <w:p>
                    <w:pPr>
                      <w:spacing w:line="276" w:lineRule="auto"/>
                      <w:jc w:val="center"/>
                      <w:rPr>
                        <w:bCs/>
                        <w:sz w:val="20"/>
                      </w:rPr>
                    </w:pPr>
                    <w:r>
                      <w:rPr>
                        <w:sz w:val="20"/>
                      </w:rPr>
                      <w:t>EGADP</w:t>
                    </w:r>
                  </w:p>
                </w:tc>
              </w:tr>
              <w:tr>
                <w:trPr>
                  <w:trHeight w:val="330"/>
                </w:trPr>
                <w:tc>
                  <w:tcPr>
                    <w:tcW w:w="1418" w:type="dxa"/>
                    <w:shd w:val="clear" w:color="auto" w:fill="FFFFFF" w:themeFill="background1"/>
                  </w:tcPr>
                  <w:p>
                    <w:pPr>
                      <w:spacing w:line="276" w:lineRule="auto"/>
                      <w:rPr>
                        <w:sz w:val="20"/>
                      </w:rPr>
                    </w:pPr>
                    <w:r>
                      <w:rPr>
                        <w:sz w:val="20"/>
                      </w:rPr>
                      <w:t>P-11-002-02-11-01-73</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reglamentuojantys, pavėžėjimo paslaugų teikimo ir organizavimo reikalavimus</w:t>
                    </w:r>
                  </w:p>
                </w:tc>
                <w:tc>
                  <w:tcPr>
                    <w:tcW w:w="1134" w:type="dxa"/>
                    <w:shd w:val="clear" w:color="auto" w:fill="FFFFFF" w:themeFill="background1"/>
                  </w:tcPr>
                  <w:p>
                    <w:pPr>
                      <w:spacing w:line="276" w:lineRule="auto"/>
                      <w:jc w:val="center"/>
                      <w:rPr>
                        <w:sz w:val="20"/>
                      </w:rPr>
                    </w:pPr>
                    <w:r>
                      <w:rPr>
                        <w:sz w:val="20"/>
                      </w:rPr>
                      <w:t xml:space="preserve">Kompl.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P-11-002-02-11-01-74</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Specialistai, dalyvavę kvalifikacijos tobulinimo veiklose</w:t>
                    </w:r>
                  </w:p>
                </w:tc>
                <w:tc>
                  <w:tcPr>
                    <w:tcW w:w="1134" w:type="dxa"/>
                    <w:shd w:val="clear" w:color="auto" w:fill="FFFFFF" w:themeFill="background1"/>
                  </w:tcPr>
                  <w:p>
                    <w:pPr>
                      <w:spacing w:line="276" w:lineRule="auto"/>
                      <w:jc w:val="center"/>
                      <w:rPr>
                        <w:sz w:val="20"/>
                      </w:rPr>
                    </w:pPr>
                    <w:r>
                      <w:rPr>
                        <w:iCs/>
                        <w:sz w:val="20"/>
                      </w:rPr>
                      <w:t>Asmenys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18 000</w:t>
                    </w:r>
                  </w:p>
                </w:tc>
                <w:tc>
                  <w:tcPr>
                    <w:tcW w:w="1417"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418" w:type="dxa"/>
                    <w:shd w:val="clear" w:color="auto" w:fill="FFFFFF" w:themeFill="background1"/>
                  </w:tcPr>
                  <w:p>
                    <w:pPr>
                      <w:spacing w:line="276" w:lineRule="auto"/>
                      <w:rPr>
                        <w:sz w:val="20"/>
                      </w:rPr>
                    </w:pPr>
                    <w:r>
                      <w:rPr>
                        <w:sz w:val="20"/>
                      </w:rPr>
                      <w:t>P-11-002-02-11-01-75</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 xml:space="preserve">Patvirtintas atnaujintas Šeimos medicinos plėtros 2016–2025 m. veiksmų planas </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417" w:type="dxa"/>
                    <w:shd w:val="clear" w:color="auto" w:fill="FFFFFF" w:themeFill="background1"/>
                  </w:tcPr>
                  <w:p>
                    <w:pPr>
                      <w:spacing w:line="276" w:lineRule="auto"/>
                      <w:jc w:val="center"/>
                      <w:rPr>
                        <w:bCs/>
                        <w:sz w:val="20"/>
                      </w:rPr>
                    </w:pPr>
                    <w:r>
                      <w:rPr>
                        <w:sz w:val="20"/>
                      </w:rPr>
                      <w:t>EGADP</w:t>
                    </w:r>
                  </w:p>
                </w:tc>
              </w:tr>
              <w:tr>
                <w:trPr>
                  <w:trHeight w:val="330"/>
                </w:trPr>
                <w:tc>
                  <w:tcPr>
                    <w:tcW w:w="1418" w:type="dxa"/>
                    <w:shd w:val="clear" w:color="auto" w:fill="FFFFFF" w:themeFill="background1"/>
                  </w:tcPr>
                  <w:p>
                    <w:pPr>
                      <w:spacing w:line="276" w:lineRule="auto"/>
                      <w:rPr>
                        <w:sz w:val="20"/>
                      </w:rPr>
                    </w:pPr>
                    <w:r>
                      <w:rPr>
                        <w:sz w:val="20"/>
                      </w:rPr>
                      <w:t>P-11-002-02-11-01-76</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Parengta ir patvirtinta ilgalaikė sveikatos žmogiškųjų išteklių valdymo strategija</w:t>
                    </w:r>
                    <w:r>
                      <w:rPr>
                        <w:sz w:val="20"/>
                        <w:vertAlign w:val="superscript"/>
                      </w:rPr>
                      <w:t>1</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ind w:firstLine="53"/>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P-11-002-02-11-01-77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pPr>
                      <w:spacing w:line="276" w:lineRule="auto"/>
                      <w:jc w:val="center"/>
                      <w:rPr>
                        <w:sz w:val="20"/>
                      </w:rPr>
                    </w:pPr>
                    <w:r>
                      <w:rPr>
                        <w:sz w:val="20"/>
                      </w:rPr>
                      <w:t xml:space="preserve">Kompl.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 xml:space="preserve">n/d </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P-11-002-02-11-01-78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Skaitmeninės sveikatos sistemos plėtros veiksmų planas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P-11-002-02-11-01-79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lang w:eastAsia="lt-LT"/>
                      </w:rPr>
                    </w:pPr>
                    <w:r>
                      <w:rPr>
                        <w:sz w:val="20"/>
                        <w:lang w:eastAsia="lt-LT"/>
                      </w:rPr>
                      <w:t>Patvirtintas Skaitmeninės sveikatos sistemos plėtros veiksmų planas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P-11-002-02-11-01-80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417"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98344aaf225b4db3ada54a019e0ea59c"/>
            <w:lock w:val="sdtLocked"/>
            <w:richText/>
          </w:sdtPr>
          <w:sdtContent>
            <w:p>
              <w:pPr>
                <w:ind w:left="-284"/>
                <w:jc w:val="center"/>
                <w:rPr>
                  <w:b/>
                  <w:bCs/>
                </w:rPr>
              </w:pPr>
              <w:sdt>
                <w:sdtPr>
                  <w:alias w:val="Numeris"/>
                  <w:tag w:val="nr_98344aaf225b4db3ada54a019e0ea59c"/>
                  <w:lock w:val="sdtLocked"/>
                  <w:richText/>
                </w:sdtPr>
                <w:sdtContent>
                  <w:r>
                    <w:rPr>
                      <w:b/>
                      <w:bCs/>
                    </w:rPr>
                    <w:t>III</w:t>
                  </w:r>
                </w:sdtContent>
              </w:sdt>
              <w:r>
                <w:rPr>
                  <w:b/>
                  <w:bCs/>
                </w:rPr>
                <w:t xml:space="preserve"> SKYRIUS</w:t>
              </w:r>
            </w:p>
            <w:p>
              <w:pPr>
                <w:jc w:val="center"/>
                <w:rPr>
                  <w:b/>
                  <w:bCs/>
                </w:rPr>
              </w:pPr>
              <w:sdt>
                <w:sdtPr>
                  <w:alias w:val="Pavadinimas"/>
                  <w:tag w:val="title_98344aaf225b4db3ada54a019e0ea59c"/>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1020"/>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10 540</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10 500</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vAlign w:val="center"/>
                  </w:tcPr>
                  <w:p>
                    <w:pPr>
                      <w:rPr>
                        <w:color w:val="000000"/>
                        <w:sz w:val="20"/>
                      </w:rPr>
                    </w:pPr>
                  </w:p>
                </w:tc>
              </w:tr>
              <w:tr>
                <w:trPr>
                  <w:trHeight w:val="128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6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lang w:val="en-US"/>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lang w:val="en-US"/>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 xml:space="preserve">Vidurio ir vakarų Lietuvos regionas </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(2024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1509"/>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tabs>
                        <w:tab w:val="left" w:pos="184"/>
                        <w:tab w:val="center" w:pos="317"/>
                      </w:tabs>
                      <w:ind w:left="-57" w:right="-57"/>
                      <w:jc w:val="center"/>
                      <w:rPr>
                        <w:sz w:val="20"/>
                        <w:lang w:val="en-US"/>
                      </w:rPr>
                    </w:pPr>
                    <w:r>
                      <w:rPr>
                        <w:sz w:val="20"/>
                      </w:rPr>
                      <w:t>6</w:t>
                    </w:r>
                  </w:p>
                  <w:p>
                    <w:pPr>
                      <w:ind w:left="-57" w:right="-57"/>
                      <w:jc w:val="center"/>
                      <w:rPr>
                        <w:sz w:val="20"/>
                      </w:rPr>
                    </w:pPr>
                    <w:r>
                      <w:rPr>
                        <w:sz w:val="20"/>
                      </w:rPr>
                      <w:t>(2029 m.)</w:t>
                    </w: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 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bottom w:val="single" w:sz="4" w:space="0" w:color="auto"/>
                    </w:tcBorders>
                    <w:shd w:val="clear" w:color="auto" w:fill="auto"/>
                  </w:tcPr>
                  <w:p>
                    <w:pPr>
                      <w:rPr>
                        <w:sz w:val="20"/>
                        <w:lang w:val="en-US"/>
                      </w:rPr>
                    </w:pPr>
                    <w:r>
                      <w:rPr>
                        <w:sz w:val="20"/>
                        <w:lang w:val="en-US"/>
                      </w:rPr>
                      <w:t>23 820,691</w:t>
                    </w:r>
                  </w:p>
                </w:tc>
                <w:tc>
                  <w:tcPr>
                    <w:tcW w:w="992" w:type="dxa"/>
                    <w:tcBorders>
                      <w:bottom w:val="single" w:sz="4" w:space="0" w:color="auto"/>
                    </w:tcBorders>
                    <w:shd w:val="clear" w:color="auto" w:fill="auto"/>
                  </w:tcPr>
                  <w:p>
                    <w:pPr>
                      <w:rPr>
                        <w:sz w:val="20"/>
                      </w:rPr>
                    </w:pPr>
                    <w:r>
                      <w:rPr>
                        <w:sz w:val="20"/>
                      </w:rPr>
                      <w:t>2021–2027 m. IP (ESF+)</w:t>
                    </w:r>
                  </w:p>
                  <w:p>
                    <w:pPr>
                      <w:rPr>
                        <w:sz w:val="20"/>
                      </w:rPr>
                    </w:pPr>
                  </w:p>
                </w:tc>
                <w:tc>
                  <w:tcPr>
                    <w:tcW w:w="2551" w:type="dxa"/>
                    <w:shd w:val="clear" w:color="auto" w:fill="auto"/>
                  </w:tcPr>
                  <w:p>
                    <w:pPr>
                      <w:ind w:left="-57" w:right="-57"/>
                      <w:rPr>
                        <w:sz w:val="20"/>
                      </w:rPr>
                    </w:pPr>
                    <w:r>
                      <w:rPr>
                        <w:sz w:val="20"/>
                      </w:rPr>
                      <w:t xml:space="preserve">P – Asmenys, dalyvavę kvalifikacijos įgijimo veiklose, asmenys </w:t>
                    </w:r>
                  </w:p>
                  <w:p>
                    <w:pPr>
                      <w:ind w:left="-57" w:right="-57"/>
                      <w:rPr>
                        <w:sz w:val="20"/>
                      </w:rPr>
                    </w:pPr>
                  </w:p>
                </w:tc>
                <w:tc>
                  <w:tcPr>
                    <w:tcW w:w="851" w:type="dxa"/>
                    <w:shd w:val="clear" w:color="auto" w:fill="auto"/>
                  </w:tcPr>
                  <w:p>
                    <w:pPr>
                      <w:ind w:left="-57" w:right="-57"/>
                      <w:jc w:val="center"/>
                      <w:rPr>
                        <w:sz w:val="20"/>
                      </w:rPr>
                    </w:pPr>
                    <w:r>
                      <w:rPr>
                        <w:sz w:val="20"/>
                      </w:rPr>
                      <w:t>240</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4 203,651</w:t>
                    </w:r>
                  </w:p>
                  <w:p>
                    <w:pPr>
                      <w:rPr>
                        <w:sz w:val="20"/>
                        <w:lang w:val="en-US"/>
                      </w:rPr>
                    </w:pPr>
                  </w:p>
                </w:tc>
                <w:tc>
                  <w:tcPr>
                    <w:tcW w:w="992" w:type="dxa"/>
                    <w:vMerge w:val="restart"/>
                    <w:shd w:val="clear" w:color="auto" w:fill="auto"/>
                  </w:tcPr>
                  <w:p>
                    <w:pPr>
                      <w:rPr>
                        <w:sz w:val="20"/>
                      </w:rPr>
                    </w:pPr>
                    <w:r>
                      <w:rPr>
                        <w:sz w:val="20"/>
                      </w:rPr>
                      <w:t>2021–2027 m. IP (BF)</w:t>
                    </w: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500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auto"/>
                  </w:tcPr>
                  <w:p>
                    <w:pPr>
                      <w:ind w:left="-57" w:right="-57"/>
                      <w:jc w:val="center"/>
                      <w:rPr>
                        <w:sz w:val="20"/>
                        <w:lang w:val="en-US"/>
                      </w:rPr>
                    </w:pPr>
                    <w:r>
                      <w:rPr>
                        <w:sz w:val="20"/>
                        <w:lang w:val="en-US"/>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kurie po dalyvavimo veiklose mažiausiai 2 metus dirbo sveikatos priežiūros įstaigose, dalis, proc.</w:t>
                    </w:r>
                  </w:p>
                  <w:p>
                    <w:pPr>
                      <w:ind w:left="-57" w:right="-57"/>
                      <w:rPr>
                        <w:sz w:val="20"/>
                      </w:rPr>
                    </w:pP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(V-572)</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(V-572)</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(V-572)</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V-572)</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(V-572)</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(V-572)</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(V-572)</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(V-572)</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(V-572)</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(V-572)</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transpor5 (V-572)</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(V-572)</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(V-572)</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(V-572)</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pStyle w:val="PlainText"/>
            <w:rPr>
              <w:rFonts w:ascii="Arial" w:eastAsia="MS Mincho" w:hAnsi="Arial"/>
              <w:sz w:val="20"/>
              <w:iCs/>
            </w:rPr>
          </w:pPr>
          <w:r>
            <w:rPr>
              <w:rFonts w:ascii="Arial" w:eastAsia="MS Mincho" w:hAnsi="Arial"/>
              <w:sz w:val="20"/>
              <w:iCs/>
            </w:rPr>
            <w:t>PžP aprašo 27 priedas. 6.8 poveiklės Inovatyvių PSPP teikimo ir organizavimo modelių kūrimas ir išbandymas VVL</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9621c01cb911ef8b14c5bcce136045">
            <w:r w:rsidRPr="00532B9F">
              <w:rPr>
                <w:rFonts w:ascii="Arial" w:eastAsia="MS Mincho" w:hAnsi="Arial"/>
                <w:sz w:val="20"/>
                <w:i/>
                <w:iCs/>
                <w:color w:val="0000FF" w:themeColor="hyperlink"/>
                <w:u w:val="single"/>
              </w:rPr>
              <w:t>V-594</w:t>
            </w:r>
          </w:fldSimple>
          <w:r>
            <w:rPr>
              <w:rFonts w:ascii="Arial" w:eastAsia="MS Mincho" w:hAnsi="Arial"/>
              <w:sz w:val="20"/>
              <w:i/>
              <w:iCs/>
            </w:rPr>
            <w:t>,
2024-05-28,
paskelbta TAR 2024-05-28, i. k. 2024-09518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9621c01cb911ef8b14c5bcce136045">
            <w:r w:rsidRPr="00532B9F">
              <w:rPr>
                <w:rFonts w:ascii="Arial" w:eastAsia="MS Mincho" w:hAnsi="Arial"/>
                <w:sz w:val="20"/>
                <w:iCs/>
                <w:color w:val="0000FF" w:themeColor="hyperlink"/>
                <w:u w:val="single"/>
              </w:rPr>
              <w:t>V-594</w:t>
            </w:r>
          </w:fldSimple>
          <w:r>
            <w:rPr>
              <w:rFonts w:ascii="Arial" w:eastAsia="MS Mincho" w:hAnsi="Arial"/>
              <w:sz w:val="20"/>
              <w:iCs/>
            </w:rPr>
            <w:t>,
2024-05-28,
paskelbta TAR 2024-05-28, i. k. 2024-09518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830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71.png"/>
  <Relationship Id="rId18" Type="http://schemas.openxmlformats.org/officeDocument/2006/relationships/oleObject" Target="embeddings/oleObject71.bin"/>
  <Relationship Id="rId19" Type="http://schemas.openxmlformats.org/officeDocument/2006/relationships/header" Target="header13.xml"/>
  <Relationship Id="rId2" Type="http://schemas.openxmlformats.org/officeDocument/2006/relationships/header" Target="header8.xml"/>
  <Relationship Id="rId20" Type="http://schemas.openxmlformats.org/officeDocument/2006/relationships/header" Target="header14.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15.xml"/>
  <Relationship Id="rId24" Type="http://schemas.openxmlformats.org/officeDocument/2006/relationships/footer" Target="footer15.xml"/>
  <Relationship Id="rId25" Type="http://schemas.openxmlformats.org/officeDocument/2006/relationships/customXml" Target="../customXml/item4.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ec416d1035b64d0998a8d0470eed8fdc">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0474860178f4e4f9ced136949b89ae6">
    <Part Type="skyrius" Nr="1" Title="PLĖTROS PROGRAMOS PAŽANGOS PRIEMONĖS SIEKIAMI REZULTATAI" DocPartId="e80e9b157a5a4ed1972c3b4a13590405" PartId="c6e29fa4098441be9ec7d546552ad5c7"/>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98344aaf225b4db3ada54a019e0ea59c"/>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D0B57558-4CA4-4E35-BED1-5F61143288ED}">
  <ds:schemaRefs>
    <ds:schemaRef ds:uri="http://lrs.lt/TAIS/DocParts"/>
  </ds:schemaRefs>
</ds:datastoreItem>
</file>

<file path=docProps/app.xml><?xml version="1.0" encoding="utf-8"?>
<Properties xmlns="http://schemas.openxmlformats.org/officeDocument/2006/extended-properties">
  <Template>Normal.dotm</Template>
  <TotalTime>25</TotalTime>
  <Pages>32</Pages>
  <Words>6822</Words>
  <Characters>43902</Characters>
  <Application>Microsoft Office Word</Application>
  <DocSecurity>0</DocSecurity>
  <Lines>365</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2024-05-29T13:27:00Z</dcterms:modified>
  <revision>45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