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18cc371fbdf0429eafdd98cb9f51b48f"/>
        <w:lock w:val="sdtLocked"/>
        <w:richText/>
      </w:sdtPr>
      <w:sdtContent>
        <w:p>
          <w:pPr>
            <w:jc w:val="both"/>
            <w:rPr>
              <w:rFonts w:ascii="Times New Roman" w:hAnsi="Times New Roman"/>
            </w:rPr>
          </w:pPr>
          <w:r>
            <w:rPr>
              <w:rFonts w:ascii="Times New Roman" w:hAnsi="Times New Roman"/>
              <w:b/>
              <w:i/>
            </w:rPr>
            <w:t>Suvestinė redakcija nuo 2026-06-24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2pt;height:43.55pt" o:ole="" fillcolor="window">
                <v:imagedata r:id="rId18" o:title=""/>
              </v:shape>
              <o:OLEObject Type="Embed" ProgID="Word.Picture.8" ShapeID="_x0000_i1025" DrawAspect="Content" ObjectID="_0000000001" r:id="rId19"/>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 xml:space="preserve">2 </w:t>
          </w:r>
          <w:r>
            <w:rPr>
              <w:color w:val="000000"/>
            </w:rPr>
            <w:t xml:space="preserve">m. gegužės </w:t>
          </w:r>
          <w:r>
            <w:rPr>
              <w:color w:val="000000"/>
              <w:lang w:val="es-ES"/>
            </w:rPr>
            <w:t xml:space="preserve">20 </w:t>
          </w:r>
          <w:r>
            <w:rPr>
              <w:color w:val="000000"/>
            </w:rPr>
            <w:t>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e2e446847dd74fb198f9f4bc120dd735"/>
            <w:lock w:val="sdtLocked"/>
            <w:richText/>
          </w:sdtPr>
          <w:sdtContent>
            <w:p>
              <w:pPr>
                <w:ind w:firstLine="720"/>
                <w:jc w:val="both"/>
                <w:rPr>
                  <w:szCs w:val="24"/>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sdtContent>
        </w:sdt>
        <w:sdt>
          <w:sdtPr>
            <w:alias w:val="signatura"/>
            <w:tag w:val="part_8d04719570ea4e7899eed59ab7a0f072"/>
            <w:lock w:val="sdtLocked"/>
            <w:richText/>
          </w:sdtPr>
          <w:sdtContent>
            <w:p/>
            <w:p/>
            <w:p/>
            <w:p>
              <w:r>
                <w:rPr>
                  <w:szCs w:val="24"/>
                </w:rPr>
                <w:t xml:space="preserve">Sveikatos apsaugos ministras </w:t>
                <w:tab/>
                <w:tab/>
                <w:tab/>
                <w:t xml:space="preserve">   </w:t>
                <w:tab/>
                <w:tab/>
                <w:tab/>
                <w:tab/>
                <w:t xml:space="preserve">  Arūnas Dulkys</w:t>
              </w:r>
            </w:p>
          </w:sdtContent>
        </w:sdt>
      </w:sdtContent>
    </w:sdt>
    <w:sdt>
      <w:sdtPr>
        <w:alias w:val="patvirtinta"/>
        <w:tag w:val="part_7e00c1bea6e04480a31e94ac6c847bc9"/>
        <w:lock w:val="sdtLocked"/>
        <w:richText/>
      </w:sdtPr>
      <w:sdtContent>
        <w:p>
          <w:pPr>
            <w:shd w:val="clear" w:color="000000" w:fill="auto"/>
            <w:ind w:left="6521"/>
            <w:sectPr>
              <w:headerReference w:type="even" r:id="rId20"/>
              <w:headerReference w:type="default" r:id="rId21"/>
              <w:footerReference w:type="even" r:id="rId22"/>
              <w:footerReference w:type="default" r:id="rId23"/>
              <w:headerReference w:type="first" r:id="rId24"/>
              <w:footerReference w:type="first" r:id="rId25"/>
              <w:pgSz w:w="11906" w:h="16838" w:code="9"/>
              <w:pgMar w:top="851" w:right="567" w:bottom="1134" w:left="992" w:header="567" w:footer="567" w:gutter="0"/>
              <w:pgNumType w:start="1"/>
              <w:cols w:space="1296"/>
              <w:titlePg/>
              <w:docGrid w:linePitch="360"/>
            </w:sectPr>
          </w:pPr>
        </w:p>
        <w:p>
          <w:pPr>
            <w:shd w:val="clear" w:color="000000" w:fill="auto"/>
            <w:ind w:left="6521"/>
            <w:rPr>
              <w:sz w:val="22"/>
              <w:szCs w:val="22"/>
            </w:rPr>
          </w:pPr>
          <w:r>
            <w:rPr>
              <w:sz w:val="22"/>
              <w:szCs w:val="22"/>
            </w:rPr>
            <w:t>PATVIRTINTA</w:t>
          </w:r>
        </w:p>
        <w:p>
          <w:pPr>
            <w:shd w:val="clear" w:color="000000" w:fill="auto"/>
            <w:ind w:left="6521"/>
            <w:rPr>
              <w:sz w:val="22"/>
              <w:szCs w:val="22"/>
            </w:rPr>
          </w:pPr>
          <w:r>
            <w:rPr>
              <w:sz w:val="22"/>
              <w:szCs w:val="22"/>
            </w:rPr>
            <w:t>Lietuvos Respublikos sveikatos apsaugos ministro 2022 m. gegužės 20 d. įsakymu</w:t>
          </w:r>
        </w:p>
        <w:p>
          <w:pPr>
            <w:shd w:val="clear" w:color="000000" w:fill="auto"/>
            <w:ind w:left="6521"/>
            <w:rPr>
              <w:sz w:val="22"/>
              <w:szCs w:val="22"/>
            </w:rPr>
          </w:pPr>
          <w:r>
            <w:rPr>
              <w:sz w:val="22"/>
              <w:szCs w:val="22"/>
            </w:rPr>
            <w:t>Nr. V-988</w:t>
          </w:r>
        </w:p>
        <w:p>
          <w:pPr>
            <w:shd w:val="clear" w:color="000000" w:fill="auto"/>
            <w:ind w:left="6521"/>
            <w:rPr>
              <w:sz w:val="22"/>
              <w:szCs w:val="22"/>
            </w:rPr>
          </w:pPr>
          <w:r>
            <w:rPr>
              <w:sz w:val="22"/>
              <w:szCs w:val="22"/>
            </w:rPr>
            <w:t>(Lietuvos Respublikos sveikatos apsaugos ministro 202</w:t>
          </w:r>
          <w:r>
            <w:rPr>
              <w:sz w:val="22"/>
              <w:szCs w:val="22"/>
              <w:lang w:val="nb-NO"/>
            </w:rPr>
            <w:t>4</w:t>
          </w:r>
          <w:r>
            <w:rPr>
              <w:sz w:val="22"/>
              <w:szCs w:val="22"/>
            </w:rPr>
            <w:t xml:space="preserve"> m.  gegužės 20 d. įsakymo Nr. V-572  redakcija)</w:t>
          </w:r>
        </w:p>
        <w:p>
          <w:pPr>
            <w:shd w:val="clear" w:color="000000" w:fill="auto"/>
            <w:jc w:val="center"/>
            <w:rPr>
              <w:b/>
              <w:szCs w:val="24"/>
            </w:rPr>
          </w:pPr>
        </w:p>
        <w:p>
          <w:pPr>
            <w:shd w:val="clear" w:color="000000" w:fill="auto"/>
            <w:jc w:val="center"/>
            <w:rPr>
              <w:b/>
              <w:sz w:val="22"/>
              <w:szCs w:val="22"/>
              <w:lang w:eastAsia="lt-LT"/>
            </w:rPr>
          </w:pPr>
          <w:sdt>
            <w:sdtPr>
              <w:alias w:val="Pavadinimas"/>
              <w:tag w:val="title_7e00c1bea6e04480a31e94ac6c847bc9"/>
              <w:lock w:val="sdtLocked"/>
              <w:richText/>
            </w:sdtPr>
            <w:sdtContent>
              <w:r>
                <w:rPr>
                  <w:b/>
                  <w:bCs/>
                  <w:sz w:val="22"/>
                  <w:szCs w:val="22"/>
                </w:rPr>
                <w:t xml:space="preserve">2022-2030 METŲ PLĖTROS PROGRAMOS VALDYTOJOS LIETUVOS RESPUBLIKOS SVEIKATOS APSAUGOS MINISTERIJOS SVEIKATOS PRIEŽIŪROS KOKYBĖS IR EFEKTYVUMO DIDINIMO PLĖTROS PROGRAMOS </w:t>
              </w:r>
              <w:r>
                <w:rPr>
                  <w:b/>
                  <w:sz w:val="22"/>
                  <w:szCs w:val="22"/>
                </w:rPr>
                <w:t>PAŽANGOS PRIEMONĖS</w:t>
              </w:r>
              <w:r>
                <w:rPr>
                  <w:b/>
                  <w:bCs/>
                  <w:sz w:val="22"/>
                  <w:szCs w:val="22"/>
                  <w:lang w:eastAsia="lt-LT"/>
                </w:rPr>
                <w:t xml:space="preserve"> NR</w:t>
              </w:r>
              <w:r>
                <w:rPr>
                  <w:b/>
                  <w:sz w:val="22"/>
                  <w:szCs w:val="22"/>
                </w:rPr>
                <w:t>. 11-002-02-11-</w:t>
              </w:r>
              <w:r>
                <w:rPr>
                  <w:b/>
                  <w:color w:val="000000"/>
                  <w:sz w:val="22"/>
                  <w:szCs w:val="22"/>
                  <w:lang w:eastAsia="lt-LT"/>
                </w:rPr>
                <w:t xml:space="preserve">01 „GERINTI SVEIKATOS PRIEŽIŪROS PASLAUGŲ KOKYBĘ IR PRIEINAMUMĄ“ </w:t>
              </w:r>
              <w:r>
                <w:rPr>
                  <w:b/>
                  <w:sz w:val="22"/>
                  <w:szCs w:val="22"/>
                  <w:lang w:eastAsia="lt-LT"/>
                </w:rPr>
                <w:t xml:space="preserve">APRAŠAS </w:t>
              </w:r>
            </w:sdtContent>
          </w:sdt>
        </w:p>
        <w:p>
          <w:pPr>
            <w:shd w:val="clear" w:color="000000" w:fill="auto"/>
            <w:jc w:val="center"/>
            <w:rPr>
              <w:b/>
              <w:sz w:val="22"/>
              <w:szCs w:val="22"/>
              <w:lang w:eastAsia="lt-LT"/>
            </w:rPr>
          </w:pPr>
        </w:p>
        <w:sdt>
          <w:sdtPr>
            <w:alias w:val="skyrius"/>
            <w:tag w:val="part_ed03eb13e1d04245a53cad59932558e0"/>
            <w:lock w:val="sdtLocked"/>
            <w:richText/>
          </w:sdtPr>
          <w:sdtContent>
            <w:p>
              <w:pPr>
                <w:tabs>
                  <w:tab w:val="left" w:pos="1985"/>
                </w:tabs>
                <w:jc w:val="center"/>
                <w:rPr>
                  <w:b/>
                  <w:bCs/>
                  <w:sz w:val="22"/>
                  <w:szCs w:val="22"/>
                </w:rPr>
              </w:pPr>
              <w:sdt>
                <w:sdtPr>
                  <w:alias w:val="Numeris"/>
                  <w:tag w:val="nr_ed03eb13e1d04245a53cad59932558e0"/>
                  <w:lock w:val="sdtLocked"/>
                  <w:richText/>
                </w:sdtPr>
                <w:sdtContent>
                  <w:r>
                    <w:rPr>
                      <w:b/>
                      <w:bCs/>
                      <w:sz w:val="22"/>
                      <w:szCs w:val="22"/>
                    </w:rPr>
                    <w:t>I</w:t>
                  </w:r>
                </w:sdtContent>
              </w:sdt>
              <w:r>
                <w:rPr>
                  <w:b/>
                  <w:bCs/>
                  <w:sz w:val="22"/>
                  <w:szCs w:val="22"/>
                </w:rPr>
                <w:t xml:space="preserve"> SKYRIUS</w:t>
              </w:r>
            </w:p>
            <w:p>
              <w:pPr>
                <w:jc w:val="center"/>
                <w:rPr>
                  <w:b/>
                  <w:bCs/>
                  <w:lang w:eastAsia="lt-LT"/>
                </w:rPr>
              </w:pPr>
              <w:sdt>
                <w:sdtPr>
                  <w:alias w:val="Pavadinimas"/>
                  <w:tag w:val="title_ed03eb13e1d04245a53cad59932558e0"/>
                  <w:lock w:val="sdtLocked"/>
                  <w:richText/>
                </w:sdtPr>
                <w:sdtContent>
                  <w:r>
                    <w:rPr>
                      <w:b/>
                      <w:bCs/>
                      <w:sz w:val="22"/>
                      <w:szCs w:val="22"/>
                      <w:lang w:eastAsia="lt-LT"/>
                    </w:rPr>
                    <w:t>PLĖTROS PROGRAMOS PAŽANGOS PRIEMONĖS SIEKIAMI REZULTATAI</w:t>
                  </w:r>
                </w:sdtContent>
              </w:sdt>
            </w:p>
            <w:p>
              <w:pPr>
                <w:jc w:val="center"/>
                <w:rPr>
                  <w:b/>
                  <w:bCs/>
                  <w:lang w:eastAsia="lt-LT"/>
                </w:rPr>
              </w:pPr>
            </w:p>
            <w:tbl>
              <w:tblPr>
                <w:tblW w:w="10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46"/>
                <w:gridCol w:w="1079"/>
                <w:gridCol w:w="2541"/>
                <w:gridCol w:w="1078"/>
                <w:gridCol w:w="1078"/>
                <w:gridCol w:w="945"/>
                <w:gridCol w:w="1079"/>
                <w:gridCol w:w="1344"/>
              </w:tblGrid>
              <w:tr>
                <w:trPr>
                  <w:trHeight w:val="348"/>
                </w:trPr>
                <w:tc>
                  <w:tcPr>
                    <w:tcW w:w="1346" w:type="dxa"/>
                    <w:vMerge w:val="restart"/>
                    <w:shd w:val="clear" w:color="auto" w:fill="DBE5F1" w:themeFill="accent1" w:themeFillTint="33"/>
                    <w:vAlign w:val="center"/>
                  </w:tcPr>
                  <w:p>
                    <w:pPr>
                      <w:jc w:val="center"/>
                      <w:rPr>
                        <w:b/>
                        <w:sz w:val="20"/>
                      </w:rPr>
                    </w:pPr>
                    <w:r>
                      <w:rPr>
                        <w:b/>
                        <w:sz w:val="20"/>
                      </w:rPr>
                      <w:t>Rodiklio kodas</w:t>
                    </w:r>
                  </w:p>
                </w:tc>
                <w:tc>
                  <w:tcPr>
                    <w:tcW w:w="1079" w:type="dxa"/>
                    <w:vMerge w:val="restart"/>
                    <w:shd w:val="clear" w:color="auto" w:fill="DBE5F1" w:themeFill="accent1" w:themeFillTint="33"/>
                  </w:tcPr>
                  <w:p>
                    <w:pPr>
                      <w:jc w:val="center"/>
                      <w:rPr>
                        <w:b/>
                        <w:sz w:val="20"/>
                      </w:rPr>
                    </w:pPr>
                    <w:r>
                      <w:rPr>
                        <w:b/>
                        <w:sz w:val="20"/>
                      </w:rPr>
                      <w:t>Rodiklio tipas (rezultato / produkto)</w:t>
                    </w:r>
                  </w:p>
                </w:tc>
                <w:tc>
                  <w:tcPr>
                    <w:tcW w:w="2541" w:type="dxa"/>
                    <w:vMerge w:val="restart"/>
                    <w:shd w:val="clear" w:color="auto" w:fill="DBE5F1" w:themeFill="accent1" w:themeFillTint="33"/>
                    <w:vAlign w:val="center"/>
                  </w:tcPr>
                  <w:p>
                    <w:pPr>
                      <w:jc w:val="both"/>
                      <w:rPr>
                        <w:b/>
                        <w:sz w:val="20"/>
                      </w:rPr>
                    </w:pPr>
                    <w:r>
                      <w:rPr>
                        <w:b/>
                        <w:sz w:val="20"/>
                      </w:rPr>
                      <w:t>Rodiklio pavadinimas</w:t>
                    </w:r>
                  </w:p>
                </w:tc>
                <w:tc>
                  <w:tcPr>
                    <w:tcW w:w="1078" w:type="dxa"/>
                    <w:vMerge w:val="restart"/>
                    <w:shd w:val="clear" w:color="auto" w:fill="DBE5F1" w:themeFill="accent1" w:themeFillTint="33"/>
                    <w:vAlign w:val="center"/>
                  </w:tcPr>
                  <w:p>
                    <w:pPr>
                      <w:jc w:val="center"/>
                      <w:rPr>
                        <w:b/>
                        <w:sz w:val="20"/>
                      </w:rPr>
                    </w:pPr>
                    <w:r>
                      <w:rPr>
                        <w:b/>
                        <w:sz w:val="20"/>
                      </w:rPr>
                      <w:t>Matavimo vienetas</w:t>
                    </w:r>
                  </w:p>
                </w:tc>
                <w:tc>
                  <w:tcPr>
                    <w:tcW w:w="1078" w:type="dxa"/>
                    <w:vMerge w:val="restart"/>
                    <w:shd w:val="clear" w:color="auto" w:fill="DBE5F1" w:themeFill="accent1" w:themeFillTint="33"/>
                  </w:tcPr>
                  <w:p>
                    <w:pPr>
                      <w:jc w:val="center"/>
                      <w:rPr>
                        <w:b/>
                        <w:sz w:val="20"/>
                      </w:rPr>
                    </w:pPr>
                    <w:r>
                      <w:rPr>
                        <w:b/>
                        <w:sz w:val="20"/>
                      </w:rPr>
                      <w:t>Pradinė rodiklio reikšmė (metai)</w:t>
                    </w:r>
                  </w:p>
                </w:tc>
                <w:tc>
                  <w:tcPr>
                    <w:tcW w:w="2024" w:type="dxa"/>
                    <w:gridSpan w:val="2"/>
                    <w:shd w:val="clear" w:color="auto" w:fill="DBE5F1" w:themeFill="accent1" w:themeFillTint="33"/>
                  </w:tcPr>
                  <w:p>
                    <w:pPr>
                      <w:jc w:val="center"/>
                      <w:rPr>
                        <w:b/>
                        <w:sz w:val="20"/>
                      </w:rPr>
                    </w:pPr>
                    <w:r>
                      <w:rPr>
                        <w:b/>
                        <w:sz w:val="20"/>
                      </w:rPr>
                      <w:t>Siektinos rodiklio reikšmės</w:t>
                    </w:r>
                  </w:p>
                </w:tc>
                <w:tc>
                  <w:tcPr>
                    <w:tcW w:w="1344" w:type="dxa"/>
                    <w:shd w:val="clear" w:color="auto" w:fill="DBE5F1" w:themeFill="accent1" w:themeFillTint="33"/>
                  </w:tcPr>
                  <w:p>
                    <w:pPr>
                      <w:rPr>
                        <w:b/>
                        <w:sz w:val="20"/>
                      </w:rPr>
                    </w:pPr>
                  </w:p>
                </w:tc>
              </w:tr>
              <w:tr>
                <w:trPr>
                  <w:trHeight w:val="852"/>
                </w:trPr>
                <w:tc>
                  <w:tcPr>
                    <w:tcW w:w="1346" w:type="dxa"/>
                    <w:vMerge/>
                    <w:shd w:val="clear" w:color="auto" w:fill="DBE5F1" w:themeFill="accent1" w:themeFillTint="33"/>
                    <w:vAlign w:val="center"/>
                  </w:tcPr>
                  <w:p>
                    <w:pPr>
                      <w:spacing w:line="276" w:lineRule="auto"/>
                      <w:jc w:val="center"/>
                      <w:rPr>
                        <w:b/>
                        <w:sz w:val="20"/>
                      </w:rPr>
                    </w:pPr>
                  </w:p>
                </w:tc>
                <w:tc>
                  <w:tcPr>
                    <w:tcW w:w="1079" w:type="dxa"/>
                    <w:vMerge/>
                    <w:shd w:val="clear" w:color="auto" w:fill="DBE5F1" w:themeFill="accent1" w:themeFillTint="33"/>
                  </w:tcPr>
                  <w:p>
                    <w:pPr>
                      <w:spacing w:line="276" w:lineRule="auto"/>
                      <w:jc w:val="center"/>
                      <w:rPr>
                        <w:b/>
                        <w:sz w:val="20"/>
                      </w:rPr>
                    </w:pPr>
                  </w:p>
                </w:tc>
                <w:tc>
                  <w:tcPr>
                    <w:tcW w:w="2541" w:type="dxa"/>
                    <w:vMerge/>
                    <w:shd w:val="clear" w:color="auto" w:fill="DBE5F1" w:themeFill="accent1" w:themeFillTint="33"/>
                    <w:vAlign w:val="center"/>
                  </w:tcPr>
                  <w:p>
                    <w:pPr>
                      <w:spacing w:line="276" w:lineRule="auto"/>
                      <w:jc w:val="both"/>
                      <w:rPr>
                        <w:b/>
                        <w:sz w:val="20"/>
                      </w:rPr>
                    </w:pPr>
                  </w:p>
                </w:tc>
                <w:tc>
                  <w:tcPr>
                    <w:tcW w:w="1078" w:type="dxa"/>
                    <w:vMerge/>
                    <w:shd w:val="clear" w:color="auto" w:fill="DBE5F1" w:themeFill="accent1" w:themeFillTint="33"/>
                    <w:vAlign w:val="center"/>
                  </w:tcPr>
                  <w:p>
                    <w:pPr>
                      <w:spacing w:line="276" w:lineRule="auto"/>
                      <w:jc w:val="center"/>
                      <w:rPr>
                        <w:b/>
                        <w:sz w:val="20"/>
                      </w:rPr>
                    </w:pPr>
                  </w:p>
                </w:tc>
                <w:tc>
                  <w:tcPr>
                    <w:tcW w:w="1078" w:type="dxa"/>
                    <w:vMerge/>
                    <w:shd w:val="clear" w:color="auto" w:fill="DBE5F1" w:themeFill="accent1" w:themeFillTint="33"/>
                  </w:tcPr>
                  <w:p>
                    <w:pPr>
                      <w:spacing w:line="276" w:lineRule="auto"/>
                      <w:jc w:val="center"/>
                      <w:rPr>
                        <w:b/>
                        <w:sz w:val="20"/>
                      </w:rPr>
                    </w:pPr>
                  </w:p>
                </w:tc>
                <w:tc>
                  <w:tcPr>
                    <w:tcW w:w="945" w:type="dxa"/>
                    <w:shd w:val="clear" w:color="auto" w:fill="DBE5F1" w:themeFill="accent1" w:themeFillTint="33"/>
                  </w:tcPr>
                  <w:p>
                    <w:pPr>
                      <w:jc w:val="center"/>
                      <w:rPr>
                        <w:b/>
                        <w:sz w:val="20"/>
                      </w:rPr>
                    </w:pPr>
                    <w:r>
                      <w:rPr>
                        <w:b/>
                        <w:sz w:val="20"/>
                      </w:rPr>
                      <w:t>Tarpinė reikšmė 2025 m.</w:t>
                    </w:r>
                  </w:p>
                </w:tc>
                <w:tc>
                  <w:tcPr>
                    <w:tcW w:w="1079" w:type="dxa"/>
                    <w:shd w:val="clear" w:color="auto" w:fill="DBE5F1" w:themeFill="accent1" w:themeFillTint="33"/>
                  </w:tcPr>
                  <w:p>
                    <w:pPr>
                      <w:jc w:val="center"/>
                      <w:rPr>
                        <w:b/>
                        <w:sz w:val="20"/>
                      </w:rPr>
                    </w:pPr>
                    <w:r>
                      <w:rPr>
                        <w:b/>
                        <w:sz w:val="20"/>
                      </w:rPr>
                      <w:t>Galutinė reikšmė</w:t>
                    </w:r>
                  </w:p>
                  <w:p>
                    <w:pPr>
                      <w:jc w:val="center"/>
                      <w:rPr>
                        <w:b/>
                        <w:sz w:val="20"/>
                      </w:rPr>
                    </w:pPr>
                    <w:r>
                      <w:rPr>
                        <w:b/>
                        <w:sz w:val="20"/>
                      </w:rPr>
                      <w:t xml:space="preserve">2030 m. </w:t>
                    </w:r>
                  </w:p>
                </w:tc>
                <w:tc>
                  <w:tcPr>
                    <w:tcW w:w="1344" w:type="dxa"/>
                    <w:shd w:val="clear" w:color="auto" w:fill="DBE5F1" w:themeFill="accent1" w:themeFillTint="33"/>
                  </w:tcPr>
                  <w:p>
                    <w:pPr>
                      <w:spacing w:line="276" w:lineRule="auto"/>
                      <w:jc w:val="center"/>
                      <w:rPr>
                        <w:b/>
                        <w:sz w:val="20"/>
                      </w:rPr>
                    </w:pPr>
                    <w:r>
                      <w:rPr>
                        <w:b/>
                        <w:sz w:val="20"/>
                      </w:rPr>
                      <w:t>Finansavimo šaltinis</w:t>
                    </w:r>
                  </w:p>
                </w:tc>
              </w:tr>
              <w:tr>
                <w:trPr>
                  <w:trHeight w:val="193"/>
                </w:trPr>
                <w:tc>
                  <w:tcPr>
                    <w:tcW w:w="1346" w:type="dxa"/>
                    <w:shd w:val="clear" w:color="auto" w:fill="DBE5F1" w:themeFill="accent1" w:themeFillTint="33"/>
                    <w:vAlign w:val="center"/>
                  </w:tcPr>
                  <w:p>
                    <w:pPr>
                      <w:spacing w:line="276" w:lineRule="auto"/>
                      <w:jc w:val="center"/>
                      <w:rPr>
                        <w:b/>
                        <w:sz w:val="20"/>
                      </w:rPr>
                    </w:pPr>
                    <w:r>
                      <w:rPr>
                        <w:b/>
                        <w:sz w:val="20"/>
                      </w:rPr>
                      <w:t>1</w:t>
                    </w:r>
                  </w:p>
                </w:tc>
                <w:tc>
                  <w:tcPr>
                    <w:tcW w:w="1079" w:type="dxa"/>
                    <w:shd w:val="clear" w:color="auto" w:fill="DBE5F1" w:themeFill="accent1" w:themeFillTint="33"/>
                  </w:tcPr>
                  <w:p>
                    <w:pPr>
                      <w:spacing w:line="276" w:lineRule="auto"/>
                      <w:jc w:val="center"/>
                      <w:rPr>
                        <w:b/>
                        <w:sz w:val="20"/>
                      </w:rPr>
                    </w:pPr>
                    <w:r>
                      <w:rPr>
                        <w:b/>
                        <w:sz w:val="20"/>
                      </w:rPr>
                      <w:t>2</w:t>
                    </w:r>
                  </w:p>
                </w:tc>
                <w:tc>
                  <w:tcPr>
                    <w:tcW w:w="2541" w:type="dxa"/>
                    <w:shd w:val="clear" w:color="auto" w:fill="DBE5F1" w:themeFill="accent1" w:themeFillTint="33"/>
                    <w:vAlign w:val="center"/>
                  </w:tcPr>
                  <w:p>
                    <w:pPr>
                      <w:spacing w:line="276" w:lineRule="auto"/>
                      <w:jc w:val="center"/>
                      <w:rPr>
                        <w:b/>
                        <w:sz w:val="20"/>
                      </w:rPr>
                    </w:pPr>
                    <w:r>
                      <w:rPr>
                        <w:b/>
                        <w:sz w:val="20"/>
                      </w:rPr>
                      <w:t>3</w:t>
                    </w:r>
                  </w:p>
                </w:tc>
                <w:tc>
                  <w:tcPr>
                    <w:tcW w:w="1078" w:type="dxa"/>
                    <w:shd w:val="clear" w:color="auto" w:fill="DBE5F1" w:themeFill="accent1" w:themeFillTint="33"/>
                    <w:vAlign w:val="center"/>
                  </w:tcPr>
                  <w:p>
                    <w:pPr>
                      <w:spacing w:line="276" w:lineRule="auto"/>
                      <w:jc w:val="center"/>
                      <w:rPr>
                        <w:b/>
                        <w:sz w:val="20"/>
                      </w:rPr>
                    </w:pPr>
                    <w:r>
                      <w:rPr>
                        <w:b/>
                        <w:sz w:val="20"/>
                      </w:rPr>
                      <w:t>4</w:t>
                    </w:r>
                  </w:p>
                </w:tc>
                <w:tc>
                  <w:tcPr>
                    <w:tcW w:w="1078" w:type="dxa"/>
                    <w:shd w:val="clear" w:color="auto" w:fill="DBE5F1" w:themeFill="accent1" w:themeFillTint="33"/>
                  </w:tcPr>
                  <w:p>
                    <w:pPr>
                      <w:spacing w:line="276" w:lineRule="auto"/>
                      <w:jc w:val="center"/>
                      <w:rPr>
                        <w:b/>
                        <w:sz w:val="20"/>
                      </w:rPr>
                    </w:pPr>
                    <w:r>
                      <w:rPr>
                        <w:b/>
                        <w:sz w:val="20"/>
                      </w:rPr>
                      <w:t>5</w:t>
                    </w:r>
                  </w:p>
                </w:tc>
                <w:tc>
                  <w:tcPr>
                    <w:tcW w:w="945" w:type="dxa"/>
                    <w:shd w:val="clear" w:color="auto" w:fill="DBE5F1" w:themeFill="accent1" w:themeFillTint="33"/>
                  </w:tcPr>
                  <w:p>
                    <w:pPr>
                      <w:jc w:val="center"/>
                      <w:rPr>
                        <w:b/>
                        <w:sz w:val="20"/>
                      </w:rPr>
                    </w:pPr>
                    <w:r>
                      <w:rPr>
                        <w:b/>
                        <w:sz w:val="20"/>
                      </w:rPr>
                      <w:t>6</w:t>
                    </w:r>
                  </w:p>
                </w:tc>
                <w:tc>
                  <w:tcPr>
                    <w:tcW w:w="1079" w:type="dxa"/>
                    <w:shd w:val="clear" w:color="auto" w:fill="DBE5F1" w:themeFill="accent1" w:themeFillTint="33"/>
                  </w:tcPr>
                  <w:p>
                    <w:pPr>
                      <w:jc w:val="center"/>
                      <w:rPr>
                        <w:b/>
                        <w:sz w:val="20"/>
                      </w:rPr>
                    </w:pPr>
                    <w:r>
                      <w:rPr>
                        <w:b/>
                        <w:sz w:val="20"/>
                      </w:rPr>
                      <w:t>7</w:t>
                    </w:r>
                  </w:p>
                </w:tc>
                <w:tc>
                  <w:tcPr>
                    <w:tcW w:w="1344" w:type="dxa"/>
                    <w:shd w:val="clear" w:color="auto" w:fill="DBE5F1" w:themeFill="accent1" w:themeFillTint="33"/>
                  </w:tcPr>
                  <w:p>
                    <w:pPr>
                      <w:spacing w:line="276" w:lineRule="auto"/>
                      <w:jc w:val="center"/>
                      <w:rPr>
                        <w:b/>
                        <w:sz w:val="20"/>
                      </w:rPr>
                    </w:pPr>
                    <w:r>
                      <w:rPr>
                        <w:b/>
                        <w:sz w:val="20"/>
                      </w:rPr>
                      <w:t>8</w:t>
                    </w:r>
                  </w:p>
                </w:tc>
              </w:tr>
              <w:tr>
                <w:trPr>
                  <w:trHeight w:val="330"/>
                </w:trPr>
                <w:tc>
                  <w:tcPr>
                    <w:tcW w:w="1346" w:type="dxa"/>
                    <w:shd w:val="clear" w:color="auto" w:fill="FFFFFF" w:themeFill="background1"/>
                  </w:tcPr>
                  <w:p>
                    <w:pPr>
                      <w:rPr>
                        <w:sz w:val="20"/>
                      </w:rPr>
                    </w:pPr>
                    <w:r>
                      <w:rPr>
                        <w:sz w:val="20"/>
                      </w:rPr>
                      <w:t>R-11-002-02-11-01-01</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 xml:space="preserve">Išvengiamų hospitalizacijų skaičius </w:t>
                    </w:r>
                  </w:p>
                </w:tc>
                <w:tc>
                  <w:tcPr>
                    <w:tcW w:w="1078" w:type="dxa"/>
                    <w:shd w:val="clear" w:color="auto" w:fill="FFFFFF" w:themeFill="background1"/>
                  </w:tcPr>
                  <w:p>
                    <w:pPr>
                      <w:jc w:val="center"/>
                      <w:rPr>
                        <w:sz w:val="20"/>
                      </w:rPr>
                    </w:pPr>
                    <w:r>
                      <w:rPr>
                        <w:sz w:val="20"/>
                      </w:rPr>
                      <w:t>Skaičius 1000 gyventojų</w:t>
                    </w:r>
                  </w:p>
                </w:tc>
                <w:tc>
                  <w:tcPr>
                    <w:tcW w:w="1078" w:type="dxa"/>
                    <w:shd w:val="clear" w:color="auto" w:fill="FFFFFF" w:themeFill="background1"/>
                  </w:tcPr>
                  <w:p>
                    <w:pPr>
                      <w:jc w:val="center"/>
                      <w:rPr>
                        <w:sz w:val="20"/>
                      </w:rPr>
                    </w:pPr>
                    <w:r>
                      <w:rPr>
                        <w:sz w:val="20"/>
                      </w:rPr>
                      <w:t>31,4</w:t>
                    </w:r>
                  </w:p>
                  <w:p>
                    <w:pPr>
                      <w:jc w:val="center"/>
                      <w:rPr>
                        <w:sz w:val="20"/>
                      </w:rPr>
                    </w:pPr>
                    <w:r>
                      <w:rPr>
                        <w:sz w:val="20"/>
                      </w:rPr>
                      <w:t>(2019 m.)</w:t>
                    </w:r>
                  </w:p>
                </w:tc>
                <w:tc>
                  <w:tcPr>
                    <w:tcW w:w="945" w:type="dxa"/>
                    <w:shd w:val="clear" w:color="auto" w:fill="FFFFFF" w:themeFill="background1"/>
                  </w:tcPr>
                  <w:p>
                    <w:pPr>
                      <w:jc w:val="center"/>
                      <w:rPr>
                        <w:sz w:val="20"/>
                      </w:rPr>
                    </w:pPr>
                    <w:r>
                      <w:rPr>
                        <w:sz w:val="20"/>
                      </w:rPr>
                      <w:t>17</w:t>
                    </w:r>
                  </w:p>
                </w:tc>
                <w:tc>
                  <w:tcPr>
                    <w:tcW w:w="1079" w:type="dxa"/>
                    <w:shd w:val="clear" w:color="auto" w:fill="FFFFFF" w:themeFill="background1"/>
                  </w:tcPr>
                  <w:p>
                    <w:pPr>
                      <w:jc w:val="center"/>
                      <w:rPr>
                        <w:sz w:val="20"/>
                        <w:lang w:val="en-US"/>
                      </w:rPr>
                    </w:pPr>
                    <w:r>
                      <w:rPr>
                        <w:sz w:val="20"/>
                        <w:lang w:val="en-US"/>
                      </w:rPr>
                      <w:t>16</w:t>
                    </w:r>
                  </w:p>
                  <w:p>
                    <w:pPr>
                      <w:jc w:val="center"/>
                      <w:rPr>
                        <w:sz w:val="20"/>
                      </w:rPr>
                    </w:pPr>
                    <w:r>
                      <w:rPr>
                        <w:sz w:val="20"/>
                        <w:lang w:val="en-US"/>
                      </w:rPr>
                      <w:t>(2 029 m.)</w:t>
                    </w:r>
                  </w:p>
                </w:tc>
                <w:tc>
                  <w:tcPr>
                    <w:tcW w:w="1344" w:type="dxa"/>
                    <w:shd w:val="clear" w:color="auto" w:fill="FFFFFF" w:themeFill="background1"/>
                  </w:tcPr>
                  <w:p>
                    <w:pPr>
                      <w:jc w:val="center"/>
                      <w:rPr>
                        <w:bCs/>
                        <w:sz w:val="20"/>
                      </w:rPr>
                    </w:pPr>
                    <w:r>
                      <w:rPr>
                        <w:bCs/>
                        <w:sz w:val="20"/>
                      </w:rPr>
                      <w:t>Ekonomikos gaivinimo ir atsparumo didinimo priemonės lėšos (toliau – EGADP); 2021–2027 m. Europos Sąjungos fondų investicijų programos lėšos (toliau – 2021</w:t>
                    </w:r>
                    <w:r>
                      <w:rPr>
                        <w:szCs w:val="24"/>
                      </w:rPr>
                      <w:t>–</w:t>
                    </w:r>
                    <w:r>
                      <w:rPr>
                        <w:bCs/>
                        <w:sz w:val="20"/>
                      </w:rPr>
                      <w:t xml:space="preserve">2027 m. IP) </w:t>
                    </w:r>
                  </w:p>
                  <w:p>
                    <w:pPr>
                      <w:jc w:val="center"/>
                      <w:rPr>
                        <w:sz w:val="20"/>
                      </w:rPr>
                    </w:pPr>
                    <w:r>
                      <w:rPr>
                        <w:bCs/>
                        <w:sz w:val="20"/>
                      </w:rPr>
                      <w:t xml:space="preserve">Europos regioninės plėtros fondas (toliau </w:t>
                    </w:r>
                    <w:r>
                      <w:rPr>
                        <w:szCs w:val="24"/>
                      </w:rPr>
                      <w:t>–</w:t>
                    </w:r>
                    <w:r>
                      <w:rPr>
                        <w:bCs/>
                        <w:sz w:val="20"/>
                      </w:rPr>
                      <w:t xml:space="preserve"> ERPF))  </w:t>
                    </w:r>
                  </w:p>
                </w:tc>
              </w:tr>
              <w:tr>
                <w:trPr>
                  <w:trHeight w:val="330"/>
                </w:trPr>
                <w:tc>
                  <w:tcPr>
                    <w:tcW w:w="1346" w:type="dxa"/>
                    <w:shd w:val="clear" w:color="auto" w:fill="FFFFFF" w:themeFill="background1"/>
                  </w:tcPr>
                  <w:p>
                    <w:pPr>
                      <w:rPr>
                        <w:sz w:val="20"/>
                      </w:rPr>
                    </w:pPr>
                    <w:r>
                      <w:rPr>
                        <w:sz w:val="20"/>
                      </w:rPr>
                      <w:t>R-11-002-02-11-01-02</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Šeimos gydytojo ir jo komandos narių suteiktų sveikatos priežiūros paslaugų santykis</w:t>
                    </w:r>
                    <w:r>
                      <w:rPr>
                        <w:sz w:val="20"/>
                        <w:vertAlign w:val="superscript"/>
                      </w:rPr>
                      <w:t>1</w:t>
                    </w:r>
                  </w:p>
                </w:tc>
                <w:tc>
                  <w:tcPr>
                    <w:tcW w:w="1078" w:type="dxa"/>
                    <w:shd w:val="clear" w:color="auto" w:fill="FFFFFF" w:themeFill="background1"/>
                  </w:tcPr>
                  <w:p>
                    <w:pPr>
                      <w:jc w:val="center"/>
                      <w:rPr>
                        <w:sz w:val="20"/>
                      </w:rPr>
                    </w:pPr>
                    <w:r>
                      <w:rPr>
                        <w:sz w:val="20"/>
                      </w:rPr>
                      <w:t>Santykis</w:t>
                    </w:r>
                  </w:p>
                </w:tc>
                <w:tc>
                  <w:tcPr>
                    <w:tcW w:w="1078" w:type="dxa"/>
                    <w:shd w:val="clear" w:color="auto" w:fill="FFFFFF" w:themeFill="background1"/>
                  </w:tcPr>
                  <w:p>
                    <w:pPr>
                      <w:jc w:val="center"/>
                      <w:rPr>
                        <w:sz w:val="20"/>
                      </w:rPr>
                    </w:pPr>
                    <w:r>
                      <w:rPr>
                        <w:sz w:val="20"/>
                      </w:rPr>
                      <w:t>86/14</w:t>
                    </w:r>
                  </w:p>
                  <w:p>
                    <w:pPr>
                      <w:jc w:val="center"/>
                      <w:rPr>
                        <w:sz w:val="20"/>
                      </w:rPr>
                    </w:pPr>
                    <w:r>
                      <w:rPr>
                        <w:sz w:val="20"/>
                      </w:rPr>
                      <w:t>(2021 m.)</w:t>
                    </w:r>
                  </w:p>
                </w:tc>
                <w:tc>
                  <w:tcPr>
                    <w:tcW w:w="945" w:type="dxa"/>
                    <w:shd w:val="clear" w:color="auto" w:fill="FFFFFF" w:themeFill="background1"/>
                  </w:tcPr>
                  <w:p>
                    <w:pPr>
                      <w:jc w:val="center"/>
                      <w:rPr>
                        <w:sz w:val="20"/>
                      </w:rPr>
                    </w:pPr>
                    <w:r>
                      <w:rPr>
                        <w:sz w:val="20"/>
                      </w:rPr>
                      <w:t xml:space="preserve">60/40 </w:t>
                    </w:r>
                  </w:p>
                  <w:p>
                    <w:pPr>
                      <w:jc w:val="center"/>
                      <w:rPr>
                        <w:sz w:val="20"/>
                      </w:rPr>
                    </w:pPr>
                  </w:p>
                </w:tc>
                <w:tc>
                  <w:tcPr>
                    <w:tcW w:w="1079" w:type="dxa"/>
                    <w:shd w:val="clear" w:color="auto" w:fill="FFFFFF" w:themeFill="background1"/>
                  </w:tcPr>
                  <w:p>
                    <w:pPr>
                      <w:jc w:val="center"/>
                      <w:rPr>
                        <w:sz w:val="20"/>
                      </w:rPr>
                    </w:pPr>
                    <w:r>
                      <w:rPr>
                        <w:sz w:val="20"/>
                      </w:rPr>
                      <w:t>40/60</w:t>
                    </w:r>
                  </w:p>
                  <w:p>
                    <w:pPr>
                      <w:jc w:val="center"/>
                      <w:rPr>
                        <w:sz w:val="20"/>
                      </w:rPr>
                    </w:pPr>
                  </w:p>
                </w:tc>
                <w:tc>
                  <w:tcPr>
                    <w:tcW w:w="1344" w:type="dxa"/>
                    <w:shd w:val="clear" w:color="auto" w:fill="FFFFFF" w:themeFill="background1"/>
                  </w:tcPr>
                  <w:p>
                    <w:pPr>
                      <w:jc w:val="center"/>
                      <w:rPr>
                        <w:sz w:val="20"/>
                      </w:rPr>
                    </w:pPr>
                    <w:r>
                      <w:rPr>
                        <w:bCs/>
                        <w:sz w:val="20"/>
                      </w:rPr>
                      <w:t>2021</w:t>
                    </w:r>
                    <w:r>
                      <w:rPr>
                        <w:szCs w:val="24"/>
                      </w:rPr>
                      <w:t>–</w:t>
                    </w:r>
                    <w:r>
                      <w:rPr>
                        <w:bCs/>
                        <w:sz w:val="20"/>
                      </w:rPr>
                      <w:t xml:space="preserve">2027 m. IP (ERPF) </w:t>
                    </w:r>
                  </w:p>
                </w:tc>
              </w:tr>
              <w:tr>
                <w:trPr>
                  <w:trHeight w:val="330"/>
                </w:trPr>
                <w:tc>
                  <w:tcPr>
                    <w:tcW w:w="1346" w:type="dxa"/>
                    <w:shd w:val="clear" w:color="auto" w:fill="FFFFFF" w:themeFill="background1"/>
                  </w:tcPr>
                  <w:p>
                    <w:pPr>
                      <w:rPr>
                        <w:sz w:val="20"/>
                      </w:rPr>
                    </w:pPr>
                    <w:r>
                      <w:rPr>
                        <w:sz w:val="20"/>
                      </w:rPr>
                      <w:t>R-11-002-02-11-01-03</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 xml:space="preserve">Tikslinių grupių asmenų, kurių gyvenimo kokybė pagerėjo gavus naujas ar patobulintas psichikos sveikatos priežiūros paslaugas,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2021–2027 m. IP (Europos socialinis fondas + (toliau – ESF+))</w:t>
                    </w:r>
                  </w:p>
                </w:tc>
              </w:tr>
              <w:tr>
                <w:trPr>
                  <w:trHeight w:val="330"/>
                </w:trPr>
                <w:tc>
                  <w:tcPr>
                    <w:tcW w:w="1346" w:type="dxa"/>
                    <w:shd w:val="clear" w:color="auto" w:fill="FFFFFF" w:themeFill="background1"/>
                  </w:tcPr>
                  <w:p>
                    <w:pPr>
                      <w:rPr>
                        <w:sz w:val="20"/>
                      </w:rPr>
                    </w:pPr>
                    <w:r>
                      <w:rPr>
                        <w:sz w:val="20"/>
                      </w:rPr>
                      <w:t>R-11-002-02-11-01-04</w:t>
                    </w:r>
                  </w:p>
                </w:tc>
                <w:tc>
                  <w:tcPr>
                    <w:tcW w:w="9144" w:type="dxa"/>
                    <w:gridSpan w:val="7"/>
                    <w:shd w:val="clear" w:color="auto" w:fill="FFFFFF" w:themeFill="background1"/>
                  </w:tcPr>
                  <w:p>
                    <w:pPr>
                      <w:rPr>
                        <w:i/>
                        <w:iCs/>
                        <w:sz w:val="20"/>
                      </w:rPr>
                    </w:pPr>
                    <w:r>
                      <w:rPr>
                        <w:i/>
                        <w:iCs/>
                        <w:sz w:val="20"/>
                      </w:rPr>
                      <w:t>Neteko galios nuo 2026-05-22</w:t>
                    </w:r>
                  </w:p>
                </w:tc>
              </w:tr>
              <w:tr>
                <w:trPr>
                  <w:trHeight w:val="330"/>
                </w:trPr>
                <w:tc>
                  <w:tcPr>
                    <w:tcW w:w="1346" w:type="dxa"/>
                    <w:shd w:val="clear" w:color="auto" w:fill="FFFFFF" w:themeFill="background1"/>
                  </w:tcPr>
                  <w:p>
                    <w:pPr>
                      <w:rPr>
                        <w:sz w:val="20"/>
                      </w:rPr>
                    </w:pPr>
                    <w:r>
                      <w:rPr>
                        <w:sz w:val="20"/>
                      </w:rPr>
                      <w:t>R-11-002-02-11-01-05</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Mirštamumas nuo miokardo infarkto per 30 dienų nuo hospitalizacijos</w:t>
                    </w:r>
                    <w:r>
                      <w:rPr>
                        <w:sz w:val="20"/>
                        <w:vertAlign w:val="superscript"/>
                      </w:rPr>
                      <w:t>1</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13,3</w:t>
                    </w:r>
                  </w:p>
                  <w:p>
                    <w:pPr>
                      <w:jc w:val="center"/>
                      <w:rPr>
                        <w:sz w:val="20"/>
                      </w:rPr>
                    </w:pPr>
                    <w:r>
                      <w:rPr>
                        <w:sz w:val="20"/>
                      </w:rPr>
                      <w:t>(2019 m.)</w:t>
                    </w:r>
                  </w:p>
                </w:tc>
                <w:tc>
                  <w:tcPr>
                    <w:tcW w:w="945" w:type="dxa"/>
                    <w:shd w:val="clear" w:color="auto" w:fill="FFFFFF" w:themeFill="background1"/>
                  </w:tcPr>
                  <w:p>
                    <w:pPr>
                      <w:jc w:val="center"/>
                      <w:rPr>
                        <w:sz w:val="20"/>
                      </w:rPr>
                    </w:pPr>
                    <w:r>
                      <w:rPr>
                        <w:sz w:val="20"/>
                      </w:rPr>
                      <w:t>11,5</w:t>
                    </w:r>
                  </w:p>
                  <w:p>
                    <w:pPr>
                      <w:jc w:val="center"/>
                      <w:rPr>
                        <w:sz w:val="20"/>
                      </w:rPr>
                    </w:pPr>
                  </w:p>
                </w:tc>
                <w:tc>
                  <w:tcPr>
                    <w:tcW w:w="1079" w:type="dxa"/>
                    <w:shd w:val="clear" w:color="auto" w:fill="FFFFFF" w:themeFill="background1"/>
                  </w:tcPr>
                  <w:p>
                    <w:pPr>
                      <w:jc w:val="center"/>
                      <w:rPr>
                        <w:sz w:val="20"/>
                        <w:lang w:val="en-US"/>
                      </w:rPr>
                    </w:pPr>
                    <w:r>
                      <w:rPr>
                        <w:sz w:val="20"/>
                        <w:lang w:val="en-US"/>
                      </w:rPr>
                      <w:t>9</w:t>
                    </w:r>
                  </w:p>
                  <w:p>
                    <w:pPr>
                      <w:jc w:val="center"/>
                      <w:rPr>
                        <w:sz w:val="20"/>
                      </w:rPr>
                    </w:pPr>
                  </w:p>
                </w:tc>
                <w:tc>
                  <w:tcPr>
                    <w:tcW w:w="1344" w:type="dxa"/>
                    <w:shd w:val="clear" w:color="auto" w:fill="FFFFFF" w:themeFill="background1"/>
                  </w:tcPr>
                  <w:p>
                    <w:pPr>
                      <w:jc w:val="center"/>
                      <w:rPr>
                        <w:bCs/>
                        <w:sz w:val="20"/>
                      </w:rPr>
                    </w:pPr>
                    <w:r>
                      <w:rPr>
                        <w:bCs/>
                        <w:sz w:val="20"/>
                      </w:rPr>
                      <w:t>EGADP;</w:t>
                    </w:r>
                  </w:p>
                  <w:p>
                    <w:pPr>
                      <w:jc w:val="center"/>
                      <w:rPr>
                        <w:sz w:val="20"/>
                      </w:rPr>
                    </w:pPr>
                    <w:r>
                      <w:rPr>
                        <w:sz w:val="20"/>
                      </w:rPr>
                      <w:t>2021</w:t>
                    </w:r>
                    <w:r>
                      <w:rPr>
                        <w:szCs w:val="24"/>
                      </w:rPr>
                      <w:t>–</w:t>
                    </w:r>
                    <w:r>
                      <w:rPr>
                        <w:sz w:val="20"/>
                      </w:rPr>
                      <w:t>2027 m. IP (ERPF, ESF+)</w:t>
                    </w:r>
                  </w:p>
                </w:tc>
              </w:tr>
              <w:tr>
                <w:trPr>
                  <w:trHeight w:val="330"/>
                </w:trPr>
                <w:tc>
                  <w:tcPr>
                    <w:tcW w:w="1346" w:type="dxa"/>
                    <w:shd w:val="clear" w:color="auto" w:fill="FFFFFF" w:themeFill="background1"/>
                  </w:tcPr>
                  <w:p>
                    <w:pPr>
                      <w:rPr>
                        <w:sz w:val="20"/>
                      </w:rPr>
                    </w:pPr>
                    <w:r>
                      <w:rPr>
                        <w:sz w:val="20"/>
                      </w:rPr>
                      <w:t>R-11-002-02-11-01-06</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Mirštamumas nuo išeminio galvos smegenų insulto per 30 dienų po hospitalizacijos</w:t>
                    </w:r>
                    <w:r>
                      <w:rPr>
                        <w:sz w:val="20"/>
                        <w:vertAlign w:val="superscript"/>
                      </w:rPr>
                      <w:t>1</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18,24</w:t>
                    </w:r>
                  </w:p>
                  <w:p>
                    <w:pPr>
                      <w:jc w:val="center"/>
                      <w:rPr>
                        <w:sz w:val="20"/>
                      </w:rPr>
                    </w:pPr>
                    <w:r>
                      <w:rPr>
                        <w:sz w:val="20"/>
                      </w:rPr>
                      <w:t xml:space="preserve">(2019 m.)  </w:t>
                    </w:r>
                  </w:p>
                </w:tc>
                <w:tc>
                  <w:tcPr>
                    <w:tcW w:w="945" w:type="dxa"/>
                    <w:shd w:val="clear" w:color="auto" w:fill="FFFFFF" w:themeFill="background1"/>
                  </w:tcPr>
                  <w:p>
                    <w:pPr>
                      <w:jc w:val="center"/>
                      <w:rPr>
                        <w:sz w:val="20"/>
                      </w:rPr>
                    </w:pPr>
                    <w:r>
                      <w:rPr>
                        <w:sz w:val="20"/>
                      </w:rPr>
                      <w:t>14</w:t>
                    </w:r>
                  </w:p>
                  <w:p>
                    <w:pPr>
                      <w:jc w:val="center"/>
                      <w:rPr>
                        <w:sz w:val="20"/>
                      </w:rPr>
                    </w:pPr>
                  </w:p>
                </w:tc>
                <w:tc>
                  <w:tcPr>
                    <w:tcW w:w="1079" w:type="dxa"/>
                    <w:shd w:val="clear" w:color="auto" w:fill="FFFFFF" w:themeFill="background1"/>
                  </w:tcPr>
                  <w:p>
                    <w:pPr>
                      <w:jc w:val="center"/>
                      <w:rPr>
                        <w:sz w:val="20"/>
                        <w:lang w:val="en-US"/>
                      </w:rPr>
                    </w:pPr>
                    <w:r>
                      <w:rPr>
                        <w:sz w:val="20"/>
                        <w:lang w:val="en-US"/>
                      </w:rPr>
                      <w:t>12</w:t>
                    </w:r>
                  </w:p>
                  <w:p>
                    <w:pPr>
                      <w:jc w:val="center"/>
                      <w:rPr>
                        <w:sz w:val="20"/>
                      </w:rPr>
                    </w:pPr>
                  </w:p>
                </w:tc>
                <w:tc>
                  <w:tcPr>
                    <w:tcW w:w="1344" w:type="dxa"/>
                    <w:shd w:val="clear" w:color="auto" w:fill="FFFFFF" w:themeFill="background1"/>
                  </w:tcPr>
                  <w:p>
                    <w:pPr>
                      <w:jc w:val="center"/>
                      <w:rPr>
                        <w:bCs/>
                        <w:sz w:val="20"/>
                      </w:rPr>
                    </w:pPr>
                    <w:r>
                      <w:rPr>
                        <w:bCs/>
                        <w:sz w:val="20"/>
                      </w:rPr>
                      <w:t>EGADP; 2021</w:t>
                    </w:r>
                    <w:r>
                      <w:rPr>
                        <w:szCs w:val="24"/>
                      </w:rPr>
                      <w:t>–</w:t>
                    </w:r>
                    <w:r>
                      <w:rPr>
                        <w:bCs/>
                        <w:sz w:val="20"/>
                      </w:rPr>
                      <w:t>2027 m. IP (ERPF, ESF+)</w:t>
                    </w:r>
                  </w:p>
                  <w:p>
                    <w:pPr>
                      <w:jc w:val="center"/>
                      <w:rPr>
                        <w:sz w:val="20"/>
                      </w:rPr>
                    </w:pPr>
                    <w:r>
                      <w:rPr>
                        <w:sz w:val="20"/>
                      </w:rPr>
                      <w:t>EFPR; ESF+</w:t>
                    </w:r>
                  </w:p>
                </w:tc>
              </w:tr>
              <w:tr>
                <w:trPr>
                  <w:trHeight w:val="330"/>
                </w:trPr>
                <w:tc>
                  <w:tcPr>
                    <w:tcW w:w="1346" w:type="dxa"/>
                    <w:shd w:val="clear" w:color="auto" w:fill="FFFFFF" w:themeFill="background1"/>
                  </w:tcPr>
                  <w:p>
                    <w:pPr>
                      <w:rPr>
                        <w:sz w:val="20"/>
                      </w:rPr>
                    </w:pPr>
                    <w:r>
                      <w:rPr>
                        <w:sz w:val="20"/>
                      </w:rPr>
                      <w:t>R-11-002-02-11-01-07</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Asmenų, kuriems onkologinė liga diagnozuota ankstyvoje stadijoje (I–II st.), dalis</w:t>
                    </w:r>
                    <w:r>
                      <w:rPr>
                        <w:sz w:val="20"/>
                        <w:vertAlign w:val="superscript"/>
                      </w:rPr>
                      <w:t>1</w:t>
                    </w:r>
                  </w:p>
                </w:tc>
                <w:tc>
                  <w:tcPr>
                    <w:tcW w:w="1078" w:type="dxa"/>
                    <w:shd w:val="clear" w:color="auto" w:fill="FFFFFF" w:themeFill="background1"/>
                  </w:tcPr>
                  <w:p>
                    <w:pPr>
                      <w:jc w:val="center"/>
                      <w:rPr>
                        <w:sz w:val="20"/>
                      </w:rPr>
                    </w:pPr>
                    <w:r>
                      <w:rPr>
                        <w:sz w:val="20"/>
                      </w:rPr>
                      <w:t>Proc. nuo visų naujai diagnozuo-tų navikų</w:t>
                    </w:r>
                  </w:p>
                </w:tc>
                <w:tc>
                  <w:tcPr>
                    <w:tcW w:w="1078" w:type="dxa"/>
                    <w:shd w:val="clear" w:color="auto" w:fill="FFFFFF" w:themeFill="background1"/>
                  </w:tcPr>
                  <w:p>
                    <w:pPr>
                      <w:jc w:val="center"/>
                      <w:rPr>
                        <w:sz w:val="20"/>
                      </w:rPr>
                    </w:pPr>
                    <w:r>
                      <w:rPr>
                        <w:sz w:val="20"/>
                      </w:rPr>
                      <w:t>47,0</w:t>
                    </w:r>
                  </w:p>
                  <w:p>
                    <w:pPr>
                      <w:jc w:val="center"/>
                      <w:rPr>
                        <w:sz w:val="20"/>
                      </w:rPr>
                    </w:pPr>
                    <w:r>
                      <w:rPr>
                        <w:sz w:val="20"/>
                      </w:rPr>
                      <w:t>(2014 m.)</w:t>
                    </w:r>
                  </w:p>
                </w:tc>
                <w:tc>
                  <w:tcPr>
                    <w:tcW w:w="945" w:type="dxa"/>
                    <w:shd w:val="clear" w:color="auto" w:fill="FFFFFF" w:themeFill="background1"/>
                  </w:tcPr>
                  <w:p>
                    <w:pPr>
                      <w:jc w:val="center"/>
                      <w:rPr>
                        <w:sz w:val="20"/>
                      </w:rPr>
                    </w:pPr>
                    <w:r>
                      <w:rPr>
                        <w:sz w:val="20"/>
                      </w:rPr>
                      <w:t>52</w:t>
                    </w:r>
                  </w:p>
                  <w:p>
                    <w:pPr>
                      <w:jc w:val="center"/>
                      <w:rPr>
                        <w:sz w:val="20"/>
                      </w:rPr>
                    </w:pPr>
                  </w:p>
                </w:tc>
                <w:tc>
                  <w:tcPr>
                    <w:tcW w:w="1079" w:type="dxa"/>
                    <w:shd w:val="clear" w:color="auto" w:fill="FFFFFF" w:themeFill="background1"/>
                  </w:tcPr>
                  <w:p>
                    <w:pPr>
                      <w:jc w:val="center"/>
                      <w:rPr>
                        <w:sz w:val="20"/>
                        <w:lang w:val="en-US"/>
                      </w:rPr>
                    </w:pPr>
                    <w:r>
                      <w:rPr>
                        <w:sz w:val="20"/>
                        <w:lang w:val="en-US"/>
                      </w:rPr>
                      <w:t>60,0</w:t>
                    </w:r>
                  </w:p>
                  <w:p>
                    <w:pPr>
                      <w:jc w:val="center"/>
                      <w:rPr>
                        <w:sz w:val="20"/>
                      </w:rPr>
                    </w:pPr>
                  </w:p>
                </w:tc>
                <w:tc>
                  <w:tcPr>
                    <w:tcW w:w="1344" w:type="dxa"/>
                    <w:shd w:val="clear" w:color="auto" w:fill="FFFFFF" w:themeFill="background1"/>
                  </w:tcPr>
                  <w:p>
                    <w:pPr>
                      <w:jc w:val="center"/>
                      <w:rPr>
                        <w:sz w:val="20"/>
                      </w:rPr>
                    </w:pPr>
                    <w:r>
                      <w:rPr>
                        <w:bCs/>
                        <w:sz w:val="20"/>
                      </w:rPr>
                      <w:t>2021</w:t>
                    </w:r>
                    <w:r>
                      <w:rPr>
                        <w:szCs w:val="24"/>
                      </w:rPr>
                      <w:t>–</w:t>
                    </w:r>
                    <w:r>
                      <w:rPr>
                        <w:bCs/>
                        <w:sz w:val="20"/>
                      </w:rPr>
                      <w:t xml:space="preserve">2027 m. IP (ERPF) </w:t>
                    </w:r>
                  </w:p>
                </w:tc>
              </w:tr>
              <w:tr>
                <w:trPr>
                  <w:trHeight w:val="330"/>
                </w:trPr>
                <w:tc>
                  <w:tcPr>
                    <w:tcW w:w="1346" w:type="dxa"/>
                    <w:shd w:val="clear" w:color="auto" w:fill="FFFFFF" w:themeFill="background1"/>
                  </w:tcPr>
                  <w:p>
                    <w:pPr>
                      <w:rPr>
                        <w:sz w:val="20"/>
                      </w:rPr>
                    </w:pPr>
                    <w:r>
                      <w:rPr>
                        <w:sz w:val="20"/>
                      </w:rPr>
                      <w:t>R-11-002-02-11-01-08</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Bendras 5 metų išgyvenamumas sergant krūties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77,1</w:t>
                    </w:r>
                  </w:p>
                  <w:p>
                    <w:pPr>
                      <w:jc w:val="center"/>
                      <w:rPr>
                        <w:sz w:val="20"/>
                      </w:rPr>
                    </w:pPr>
                    <w:r>
                      <w:rPr>
                        <w:sz w:val="20"/>
                      </w:rPr>
                      <w:t>(2015 m.)</w:t>
                    </w:r>
                  </w:p>
                </w:tc>
                <w:tc>
                  <w:tcPr>
                    <w:tcW w:w="945" w:type="dxa"/>
                    <w:shd w:val="clear" w:color="auto" w:fill="FFFFFF" w:themeFill="background1"/>
                  </w:tcPr>
                  <w:p>
                    <w:pPr>
                      <w:jc w:val="center"/>
                      <w:rPr>
                        <w:sz w:val="20"/>
                      </w:rPr>
                    </w:pPr>
                    <w:r>
                      <w:rPr>
                        <w:sz w:val="20"/>
                      </w:rPr>
                      <w:t>80</w:t>
                    </w:r>
                  </w:p>
                  <w:p>
                    <w:pPr>
                      <w:jc w:val="center"/>
                      <w:rPr>
                        <w:sz w:val="20"/>
                      </w:rPr>
                    </w:pPr>
                  </w:p>
                </w:tc>
                <w:tc>
                  <w:tcPr>
                    <w:tcW w:w="1079" w:type="dxa"/>
                    <w:shd w:val="clear" w:color="auto" w:fill="FFFFFF" w:themeFill="background1"/>
                  </w:tcPr>
                  <w:p>
                    <w:pPr>
                      <w:jc w:val="center"/>
                      <w:rPr>
                        <w:sz w:val="20"/>
                      </w:rPr>
                    </w:pPr>
                    <w:r>
                      <w:rPr>
                        <w:sz w:val="20"/>
                      </w:rPr>
                      <w:t>83</w:t>
                    </w:r>
                  </w:p>
                  <w:p>
                    <w:pPr>
                      <w:jc w:val="center"/>
                      <w:rPr>
                        <w:sz w:val="20"/>
                      </w:rPr>
                    </w:pPr>
                  </w:p>
                </w:tc>
                <w:tc>
                  <w:tcPr>
                    <w:tcW w:w="1344" w:type="dxa"/>
                    <w:shd w:val="clear" w:color="auto" w:fill="FFFFFF" w:themeFill="background1"/>
                  </w:tcPr>
                  <w:p>
                    <w:pPr>
                      <w:jc w:val="center"/>
                      <w:rPr>
                        <w:bCs/>
                        <w:sz w:val="20"/>
                      </w:rPr>
                    </w:pPr>
                    <w:r>
                      <w:rPr>
                        <w:bCs/>
                        <w:sz w:val="20"/>
                      </w:rPr>
                      <w:t>EGADP; 2021</w:t>
                    </w:r>
                    <w:r>
                      <w:rPr>
                        <w:szCs w:val="24"/>
                      </w:rPr>
                      <w:t>–</w:t>
                    </w:r>
                    <w:r>
                      <w:rPr>
                        <w:bCs/>
                        <w:sz w:val="20"/>
                      </w:rPr>
                      <w:t>2027 m. IP (ESF+); valstybės biudžeto lėšos (toliau – VB)</w:t>
                    </w:r>
                  </w:p>
                  <w:p>
                    <w:pPr>
                      <w:jc w:val="center"/>
                      <w:rPr>
                        <w:sz w:val="20"/>
                      </w:rPr>
                    </w:pPr>
                  </w:p>
                </w:tc>
              </w:tr>
              <w:tr>
                <w:trPr>
                  <w:trHeight w:val="330"/>
                </w:trPr>
                <w:tc>
                  <w:tcPr>
                    <w:tcW w:w="1346" w:type="dxa"/>
                    <w:shd w:val="clear" w:color="auto" w:fill="FFFFFF" w:themeFill="background1"/>
                  </w:tcPr>
                  <w:p>
                    <w:pPr>
                      <w:rPr>
                        <w:sz w:val="20"/>
                      </w:rPr>
                    </w:pPr>
                    <w:r>
                      <w:rPr>
                        <w:sz w:val="20"/>
                      </w:rPr>
                      <w:t>R-11-002-02-11-01-09</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5 metų išgyvenamumas sergant gimdos kaklelio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62,9</w:t>
                    </w:r>
                  </w:p>
                  <w:p>
                    <w:pPr>
                      <w:jc w:val="center"/>
                      <w:rPr>
                        <w:sz w:val="20"/>
                      </w:rPr>
                    </w:pPr>
                    <w:r>
                      <w:rPr>
                        <w:sz w:val="20"/>
                      </w:rPr>
                      <w:t>(2015 m.)</w:t>
                    </w:r>
                  </w:p>
                </w:tc>
                <w:tc>
                  <w:tcPr>
                    <w:tcW w:w="945" w:type="dxa"/>
                    <w:shd w:val="clear" w:color="auto" w:fill="FFFFFF" w:themeFill="background1"/>
                  </w:tcPr>
                  <w:p>
                    <w:pPr>
                      <w:jc w:val="center"/>
                      <w:rPr>
                        <w:sz w:val="20"/>
                      </w:rPr>
                    </w:pPr>
                    <w:r>
                      <w:rPr>
                        <w:sz w:val="20"/>
                      </w:rPr>
                      <w:t>64,8</w:t>
                    </w:r>
                  </w:p>
                  <w:p>
                    <w:pPr>
                      <w:jc w:val="center"/>
                      <w:rPr>
                        <w:sz w:val="20"/>
                      </w:rPr>
                    </w:pPr>
                  </w:p>
                </w:tc>
                <w:tc>
                  <w:tcPr>
                    <w:tcW w:w="1079" w:type="dxa"/>
                    <w:shd w:val="clear" w:color="auto" w:fill="FFFFFF" w:themeFill="background1"/>
                  </w:tcPr>
                  <w:p>
                    <w:pPr>
                      <w:jc w:val="center"/>
                      <w:rPr>
                        <w:sz w:val="20"/>
                      </w:rPr>
                    </w:pPr>
                    <w:r>
                      <w:rPr>
                        <w:sz w:val="20"/>
                      </w:rPr>
                      <w:t>67,9</w:t>
                    </w:r>
                  </w:p>
                  <w:p>
                    <w:pPr>
                      <w:jc w:val="center"/>
                      <w:rPr>
                        <w:sz w:val="20"/>
                      </w:rPr>
                    </w:pPr>
                  </w:p>
                </w:tc>
                <w:tc>
                  <w:tcPr>
                    <w:tcW w:w="1344" w:type="dxa"/>
                    <w:shd w:val="clear" w:color="auto" w:fill="FFFFFF" w:themeFill="background1"/>
                  </w:tcPr>
                  <w:p>
                    <w:pPr>
                      <w:jc w:val="center"/>
                      <w:rPr>
                        <w:bCs/>
                        <w:sz w:val="20"/>
                      </w:rPr>
                    </w:pPr>
                    <w:r>
                      <w:rPr>
                        <w:bCs/>
                        <w:sz w:val="20"/>
                      </w:rPr>
                      <w:t>EGADP; 2021</w:t>
                    </w:r>
                    <w:r>
                      <w:rPr>
                        <w:szCs w:val="24"/>
                      </w:rPr>
                      <w:t>–</w:t>
                    </w:r>
                    <w:r>
                      <w:rPr>
                        <w:bCs/>
                        <w:sz w:val="20"/>
                      </w:rPr>
                      <w:t>2027 m. IP (ESF+); VB</w:t>
                    </w:r>
                  </w:p>
                  <w:p>
                    <w:pPr>
                      <w:jc w:val="center"/>
                      <w:rPr>
                        <w:sz w:val="20"/>
                      </w:rPr>
                    </w:pPr>
                  </w:p>
                </w:tc>
              </w:tr>
              <w:tr>
                <w:trPr>
                  <w:trHeight w:val="330"/>
                </w:trPr>
                <w:tc>
                  <w:tcPr>
                    <w:tcW w:w="1346" w:type="dxa"/>
                    <w:shd w:val="clear" w:color="auto" w:fill="FFFFFF" w:themeFill="background1"/>
                  </w:tcPr>
                  <w:p>
                    <w:pPr>
                      <w:rPr>
                        <w:sz w:val="20"/>
                      </w:rPr>
                    </w:pPr>
                    <w:r>
                      <w:rPr>
                        <w:sz w:val="20"/>
                      </w:rPr>
                      <w:t>R-11-002-02-11-01-10</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Vyrų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50</w:t>
                    </w:r>
                  </w:p>
                  <w:p>
                    <w:pPr>
                      <w:jc w:val="center"/>
                      <w:rPr>
                        <w:sz w:val="20"/>
                      </w:rPr>
                    </w:pPr>
                    <w:r>
                      <w:rPr>
                        <w:sz w:val="20"/>
                      </w:rPr>
                      <w:t>(2015 m.)</w:t>
                    </w:r>
                  </w:p>
                </w:tc>
                <w:tc>
                  <w:tcPr>
                    <w:tcW w:w="945" w:type="dxa"/>
                    <w:shd w:val="clear" w:color="auto" w:fill="FFFFFF" w:themeFill="background1"/>
                  </w:tcPr>
                  <w:p>
                    <w:pPr>
                      <w:jc w:val="center"/>
                      <w:rPr>
                        <w:sz w:val="20"/>
                      </w:rPr>
                    </w:pPr>
                    <w:r>
                      <w:rPr>
                        <w:sz w:val="20"/>
                      </w:rPr>
                      <w:t>52</w:t>
                    </w:r>
                  </w:p>
                  <w:p>
                    <w:pPr>
                      <w:jc w:val="center"/>
                      <w:rPr>
                        <w:sz w:val="20"/>
                      </w:rPr>
                    </w:pPr>
                  </w:p>
                </w:tc>
                <w:tc>
                  <w:tcPr>
                    <w:tcW w:w="1079" w:type="dxa"/>
                    <w:shd w:val="clear" w:color="auto" w:fill="FFFFFF" w:themeFill="background1"/>
                  </w:tcPr>
                  <w:p>
                    <w:pPr>
                      <w:jc w:val="center"/>
                      <w:rPr>
                        <w:sz w:val="20"/>
                      </w:rPr>
                    </w:pPr>
                    <w:r>
                      <w:rPr>
                        <w:sz w:val="20"/>
                      </w:rPr>
                      <w:t>55</w:t>
                    </w:r>
                  </w:p>
                  <w:p>
                    <w:pPr>
                      <w:jc w:val="center"/>
                      <w:rPr>
                        <w:sz w:val="20"/>
                      </w:rPr>
                    </w:pPr>
                  </w:p>
                </w:tc>
                <w:tc>
                  <w:tcPr>
                    <w:tcW w:w="1344" w:type="dxa"/>
                    <w:shd w:val="clear" w:color="auto" w:fill="FFFFFF" w:themeFill="background1"/>
                  </w:tcPr>
                  <w:p>
                    <w:pPr>
                      <w:jc w:val="center"/>
                      <w:rPr>
                        <w:bCs/>
                        <w:sz w:val="20"/>
                      </w:rPr>
                    </w:pPr>
                    <w:r>
                      <w:rPr>
                        <w:bCs/>
                        <w:sz w:val="20"/>
                      </w:rPr>
                      <w:t>EGADP; 2021</w:t>
                    </w:r>
                    <w:r>
                      <w:rPr>
                        <w:szCs w:val="24"/>
                      </w:rPr>
                      <w:t>–</w:t>
                    </w:r>
                    <w:r>
                      <w:rPr>
                        <w:bCs/>
                        <w:sz w:val="20"/>
                      </w:rPr>
                      <w:t>2027 m. IP (ESF+); VB</w:t>
                    </w:r>
                  </w:p>
                  <w:p>
                    <w:pPr>
                      <w:jc w:val="center"/>
                      <w:rPr>
                        <w:sz w:val="20"/>
                      </w:rPr>
                    </w:pPr>
                    <w:r>
                      <w:rPr>
                        <w:sz w:val="20"/>
                      </w:rPr>
                      <w:t>ESF+; VB</w:t>
                    </w:r>
                  </w:p>
                </w:tc>
              </w:tr>
              <w:tr>
                <w:trPr>
                  <w:trHeight w:val="330"/>
                </w:trPr>
                <w:tc>
                  <w:tcPr>
                    <w:tcW w:w="1346" w:type="dxa"/>
                    <w:shd w:val="clear" w:color="auto" w:fill="FFFFFF" w:themeFill="background1"/>
                  </w:tcPr>
                  <w:p>
                    <w:pPr>
                      <w:rPr>
                        <w:sz w:val="20"/>
                      </w:rPr>
                    </w:pPr>
                    <w:r>
                      <w:rPr>
                        <w:sz w:val="20"/>
                      </w:rPr>
                      <w:t>R-11-002-02-11-01-11</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Moterų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57,5</w:t>
                    </w:r>
                  </w:p>
                  <w:p>
                    <w:pPr>
                      <w:jc w:val="center"/>
                      <w:rPr>
                        <w:sz w:val="20"/>
                      </w:rPr>
                    </w:pPr>
                    <w:r>
                      <w:rPr>
                        <w:sz w:val="20"/>
                      </w:rPr>
                      <w:t>(2015 m.)</w:t>
                    </w:r>
                  </w:p>
                </w:tc>
                <w:tc>
                  <w:tcPr>
                    <w:tcW w:w="945" w:type="dxa"/>
                    <w:shd w:val="clear" w:color="auto" w:fill="FFFFFF" w:themeFill="background1"/>
                  </w:tcPr>
                  <w:p>
                    <w:pPr>
                      <w:jc w:val="center"/>
                      <w:rPr>
                        <w:sz w:val="20"/>
                      </w:rPr>
                    </w:pPr>
                    <w:r>
                      <w:rPr>
                        <w:sz w:val="20"/>
                      </w:rPr>
                      <w:t>59</w:t>
                    </w:r>
                  </w:p>
                  <w:p>
                    <w:pPr>
                      <w:jc w:val="center"/>
                      <w:rPr>
                        <w:sz w:val="20"/>
                      </w:rPr>
                    </w:pPr>
                  </w:p>
                </w:tc>
                <w:tc>
                  <w:tcPr>
                    <w:tcW w:w="1079" w:type="dxa"/>
                    <w:shd w:val="clear" w:color="auto" w:fill="FFFFFF" w:themeFill="background1"/>
                  </w:tcPr>
                  <w:p>
                    <w:pPr>
                      <w:jc w:val="center"/>
                      <w:rPr>
                        <w:sz w:val="20"/>
                      </w:rPr>
                    </w:pPr>
                    <w:r>
                      <w:rPr>
                        <w:sz w:val="20"/>
                      </w:rPr>
                      <w:t>62,5</w:t>
                    </w:r>
                  </w:p>
                  <w:p>
                    <w:pPr>
                      <w:jc w:val="center"/>
                      <w:rPr>
                        <w:sz w:val="20"/>
                      </w:rPr>
                    </w:pPr>
                  </w:p>
                </w:tc>
                <w:tc>
                  <w:tcPr>
                    <w:tcW w:w="1344" w:type="dxa"/>
                    <w:shd w:val="clear" w:color="auto" w:fill="FFFFFF" w:themeFill="background1"/>
                  </w:tcPr>
                  <w:p>
                    <w:pPr>
                      <w:jc w:val="center"/>
                      <w:rPr>
                        <w:bCs/>
                        <w:sz w:val="20"/>
                      </w:rPr>
                    </w:pPr>
                    <w:r>
                      <w:rPr>
                        <w:bCs/>
                        <w:sz w:val="20"/>
                      </w:rPr>
                      <w:t>EGADP; 2021</w:t>
                    </w:r>
                    <w:r>
                      <w:rPr>
                        <w:szCs w:val="24"/>
                      </w:rPr>
                      <w:t>–</w:t>
                    </w:r>
                    <w:r>
                      <w:rPr>
                        <w:bCs/>
                        <w:sz w:val="20"/>
                      </w:rPr>
                      <w:t>2027 m. IP (ESF+); VB</w:t>
                    </w:r>
                  </w:p>
                  <w:p>
                    <w:pPr>
                      <w:jc w:val="center"/>
                      <w:rPr>
                        <w:sz w:val="20"/>
                      </w:rPr>
                    </w:pPr>
                  </w:p>
                </w:tc>
              </w:tr>
              <w:tr>
                <w:trPr>
                  <w:trHeight w:val="330"/>
                </w:trPr>
                <w:tc>
                  <w:tcPr>
                    <w:tcW w:w="1346" w:type="dxa"/>
                    <w:shd w:val="clear" w:color="auto" w:fill="FFFFFF" w:themeFill="background1"/>
                  </w:tcPr>
                  <w:p>
                    <w:pPr>
                      <w:rPr>
                        <w:sz w:val="20"/>
                      </w:rPr>
                    </w:pPr>
                    <w:r>
                      <w:rPr>
                        <w:sz w:val="20"/>
                      </w:rPr>
                      <w:t>R-11-002-02-11-01-12</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Efektyvių organų donorų skaičius</w:t>
                    </w:r>
                  </w:p>
                </w:tc>
                <w:tc>
                  <w:tcPr>
                    <w:tcW w:w="1078" w:type="dxa"/>
                    <w:shd w:val="clear" w:color="auto" w:fill="FFFFFF" w:themeFill="background1"/>
                  </w:tcPr>
                  <w:p>
                    <w:pPr>
                      <w:jc w:val="center"/>
                      <w:rPr>
                        <w:sz w:val="20"/>
                      </w:rPr>
                    </w:pPr>
                    <w:r>
                      <w:rPr>
                        <w:sz w:val="20"/>
                      </w:rPr>
                      <w:t xml:space="preserve">skaičius  </w:t>
                      <w:br/>
                      <w:t>1 mln. gyventojų</w:t>
                    </w:r>
                  </w:p>
                </w:tc>
                <w:tc>
                  <w:tcPr>
                    <w:tcW w:w="1078" w:type="dxa"/>
                    <w:shd w:val="clear" w:color="auto" w:fill="FFFFFF" w:themeFill="background1"/>
                  </w:tcPr>
                  <w:p>
                    <w:pPr>
                      <w:jc w:val="center"/>
                      <w:rPr>
                        <w:sz w:val="20"/>
                      </w:rPr>
                    </w:pPr>
                    <w:r>
                      <w:rPr>
                        <w:sz w:val="20"/>
                      </w:rPr>
                      <w:t>18,6</w:t>
                    </w:r>
                  </w:p>
                  <w:p>
                    <w:pPr>
                      <w:jc w:val="center"/>
                      <w:rPr>
                        <w:sz w:val="20"/>
                      </w:rPr>
                    </w:pPr>
                    <w:r>
                      <w:rPr>
                        <w:sz w:val="20"/>
                      </w:rPr>
                      <w:t>(2019 m.)</w:t>
                    </w:r>
                  </w:p>
                </w:tc>
                <w:tc>
                  <w:tcPr>
                    <w:tcW w:w="945" w:type="dxa"/>
                    <w:shd w:val="clear" w:color="auto" w:fill="FFFFFF" w:themeFill="background1"/>
                  </w:tcPr>
                  <w:p>
                    <w:pPr>
                      <w:jc w:val="center"/>
                      <w:rPr>
                        <w:sz w:val="20"/>
                      </w:rPr>
                    </w:pPr>
                    <w:r>
                      <w:rPr>
                        <w:sz w:val="20"/>
                      </w:rPr>
                      <w:t>25</w:t>
                    </w:r>
                  </w:p>
                  <w:p>
                    <w:pPr>
                      <w:jc w:val="center"/>
                      <w:rPr>
                        <w:sz w:val="20"/>
                      </w:rPr>
                    </w:pPr>
                  </w:p>
                </w:tc>
                <w:tc>
                  <w:tcPr>
                    <w:tcW w:w="1079" w:type="dxa"/>
                    <w:shd w:val="clear" w:color="auto" w:fill="FFFFFF" w:themeFill="background1"/>
                  </w:tcPr>
                  <w:p>
                    <w:pPr>
                      <w:jc w:val="center"/>
                      <w:rPr>
                        <w:sz w:val="20"/>
                      </w:rPr>
                    </w:pPr>
                    <w:r>
                      <w:rPr>
                        <w:sz w:val="20"/>
                      </w:rPr>
                      <w:t>30</w:t>
                    </w:r>
                  </w:p>
                  <w:p>
                    <w:pPr>
                      <w:jc w:val="center"/>
                      <w:rPr>
                        <w:sz w:val="20"/>
                      </w:rPr>
                    </w:pPr>
                  </w:p>
                </w:tc>
                <w:tc>
                  <w:tcPr>
                    <w:tcW w:w="1344" w:type="dxa"/>
                    <w:shd w:val="clear" w:color="auto" w:fill="FFFFFF" w:themeFill="background1"/>
                  </w:tcPr>
                  <w:p>
                    <w:pPr>
                      <w:jc w:val="center"/>
                      <w:rPr>
                        <w:sz w:val="20"/>
                      </w:rPr>
                    </w:pPr>
                    <w:r>
                      <w:rPr>
                        <w:sz w:val="20"/>
                      </w:rPr>
                      <w:t>EGADP; 2021–2027 m. IP (ERPF)</w:t>
                    </w:r>
                  </w:p>
                </w:tc>
              </w:tr>
              <w:tr>
                <w:trPr>
                  <w:trHeight w:val="330"/>
                </w:trPr>
                <w:tc>
                  <w:tcPr>
                    <w:tcW w:w="1346" w:type="dxa"/>
                    <w:shd w:val="clear" w:color="auto" w:fill="FFFFFF" w:themeFill="background1"/>
                  </w:tcPr>
                  <w:p>
                    <w:pPr>
                      <w:rPr>
                        <w:sz w:val="20"/>
                      </w:rPr>
                    </w:pPr>
                    <w:r>
                      <w:rPr>
                        <w:sz w:val="20"/>
                      </w:rPr>
                      <w:t>R-11-002-02-11-01-13</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Dienos chirurgijos atvejų skaičiaus padidėjimas lyginant su 2019 m.</w:t>
                    </w:r>
                    <w:r>
                      <w:rPr>
                        <w:sz w:val="20"/>
                        <w:vertAlign w:val="superscript"/>
                      </w:rPr>
                      <w:t>1</w:t>
                    </w:r>
                  </w:p>
                </w:tc>
                <w:tc>
                  <w:tcPr>
                    <w:tcW w:w="1078" w:type="dxa"/>
                    <w:shd w:val="clear" w:color="auto" w:fill="FFFFFF" w:themeFill="background1"/>
                  </w:tcPr>
                  <w:p>
                    <w:pPr>
                      <w:jc w:val="center"/>
                      <w:rPr>
                        <w:sz w:val="20"/>
                      </w:rPr>
                    </w:pPr>
                    <w:r>
                      <w:rPr>
                        <w:sz w:val="20"/>
                      </w:rPr>
                      <w:t>Atvejų skaičius</w:t>
                    </w:r>
                  </w:p>
                </w:tc>
                <w:tc>
                  <w:tcPr>
                    <w:tcW w:w="1078" w:type="dxa"/>
                    <w:shd w:val="clear" w:color="auto" w:fill="FFFFFF" w:themeFill="background1"/>
                  </w:tcPr>
                  <w:p>
                    <w:pPr>
                      <w:jc w:val="center"/>
                      <w:rPr>
                        <w:sz w:val="20"/>
                      </w:rPr>
                    </w:pPr>
                    <w:r>
                      <w:rPr>
                        <w:sz w:val="20"/>
                      </w:rPr>
                      <w:t>56 169</w:t>
                    </w:r>
                  </w:p>
                  <w:p>
                    <w:pPr>
                      <w:jc w:val="center"/>
                      <w:rPr>
                        <w:sz w:val="20"/>
                      </w:rPr>
                    </w:pPr>
                    <w:r>
                      <w:rPr>
                        <w:sz w:val="20"/>
                      </w:rPr>
                      <w:t>(2019 m.)</w:t>
                    </w:r>
                  </w:p>
                </w:tc>
                <w:tc>
                  <w:tcPr>
                    <w:tcW w:w="945" w:type="dxa"/>
                    <w:shd w:val="clear" w:color="auto" w:fill="FFFFFF" w:themeFill="background1"/>
                  </w:tcPr>
                  <w:p>
                    <w:pPr>
                      <w:jc w:val="center"/>
                      <w:rPr>
                        <w:sz w:val="20"/>
                      </w:rPr>
                    </w:pPr>
                    <w:r>
                      <w:rPr>
                        <w:sz w:val="20"/>
                      </w:rPr>
                      <w:t xml:space="preserve">65360 </w:t>
                    </w:r>
                  </w:p>
                </w:tc>
                <w:tc>
                  <w:tcPr>
                    <w:tcW w:w="1079" w:type="dxa"/>
                    <w:shd w:val="clear" w:color="auto" w:fill="FFFFFF" w:themeFill="background1"/>
                  </w:tcPr>
                  <w:p>
                    <w:pPr>
                      <w:jc w:val="center"/>
                      <w:rPr>
                        <w:sz w:val="20"/>
                      </w:rPr>
                    </w:pPr>
                    <w:r>
                      <w:rPr>
                        <w:sz w:val="20"/>
                        <w:lang w:val="en-US"/>
                      </w:rPr>
                      <w:t xml:space="preserve">73 020 </w:t>
                    </w:r>
                  </w:p>
                </w:tc>
                <w:tc>
                  <w:tcPr>
                    <w:tcW w:w="1344" w:type="dxa"/>
                    <w:shd w:val="clear" w:color="auto" w:fill="FFFFFF" w:themeFill="background1"/>
                  </w:tcPr>
                  <w:p>
                    <w:pPr>
                      <w:jc w:val="center"/>
                      <w:rPr>
                        <w:sz w:val="20"/>
                      </w:rPr>
                    </w:pPr>
                    <w:r>
                      <w:rPr>
                        <w:bCs/>
                        <w:sz w:val="20"/>
                      </w:rPr>
                      <w:t>2021</w:t>
                    </w:r>
                    <w:r>
                      <w:rPr>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R-11-002-02-11-01-14</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Dienos stacionaro atvejų skaičiaus padidėjimas lyginant su 2019 m.</w:t>
                    </w:r>
                    <w:r>
                      <w:rPr>
                        <w:sz w:val="20"/>
                        <w:vertAlign w:val="superscript"/>
                      </w:rPr>
                      <w:t>1</w:t>
                    </w:r>
                  </w:p>
                </w:tc>
                <w:tc>
                  <w:tcPr>
                    <w:tcW w:w="1078" w:type="dxa"/>
                    <w:shd w:val="clear" w:color="auto" w:fill="FFFFFF" w:themeFill="background1"/>
                  </w:tcPr>
                  <w:p>
                    <w:pPr>
                      <w:jc w:val="center"/>
                      <w:rPr>
                        <w:sz w:val="20"/>
                      </w:rPr>
                    </w:pPr>
                    <w:r>
                      <w:rPr>
                        <w:sz w:val="20"/>
                      </w:rPr>
                      <w:t>Atvejų skaičius</w:t>
                    </w:r>
                  </w:p>
                </w:tc>
                <w:tc>
                  <w:tcPr>
                    <w:tcW w:w="1078" w:type="dxa"/>
                    <w:shd w:val="clear" w:color="auto" w:fill="FFFFFF" w:themeFill="background1"/>
                  </w:tcPr>
                  <w:p>
                    <w:pPr>
                      <w:jc w:val="center"/>
                      <w:rPr>
                        <w:sz w:val="20"/>
                      </w:rPr>
                    </w:pPr>
                    <w:r>
                      <w:rPr>
                        <w:sz w:val="20"/>
                      </w:rPr>
                      <w:t>241 495</w:t>
                    </w:r>
                  </w:p>
                  <w:p>
                    <w:pPr>
                      <w:jc w:val="center"/>
                      <w:rPr>
                        <w:sz w:val="20"/>
                      </w:rPr>
                    </w:pPr>
                    <w:r>
                      <w:rPr>
                        <w:sz w:val="20"/>
                      </w:rPr>
                      <w:t>(2019 m.)</w:t>
                    </w:r>
                  </w:p>
                </w:tc>
                <w:tc>
                  <w:tcPr>
                    <w:tcW w:w="945" w:type="dxa"/>
                    <w:shd w:val="clear" w:color="auto" w:fill="FFFFFF" w:themeFill="background1"/>
                  </w:tcPr>
                  <w:p>
                    <w:pPr>
                      <w:jc w:val="center"/>
                      <w:rPr>
                        <w:sz w:val="20"/>
                      </w:rPr>
                    </w:pPr>
                    <w:r>
                      <w:rPr>
                        <w:sz w:val="20"/>
                      </w:rPr>
                      <w:t xml:space="preserve">307358 </w:t>
                    </w:r>
                  </w:p>
                </w:tc>
                <w:tc>
                  <w:tcPr>
                    <w:tcW w:w="1079" w:type="dxa"/>
                    <w:shd w:val="clear" w:color="auto" w:fill="FFFFFF" w:themeFill="background1"/>
                  </w:tcPr>
                  <w:p>
                    <w:pPr>
                      <w:jc w:val="center"/>
                      <w:rPr>
                        <w:sz w:val="20"/>
                      </w:rPr>
                    </w:pPr>
                    <w:r>
                      <w:rPr>
                        <w:sz w:val="20"/>
                        <w:lang w:val="en-US"/>
                      </w:rPr>
                      <w:t xml:space="preserve">362 243 </w:t>
                    </w:r>
                  </w:p>
                </w:tc>
                <w:tc>
                  <w:tcPr>
                    <w:tcW w:w="1344" w:type="dxa"/>
                    <w:shd w:val="clear" w:color="auto" w:fill="FFFFFF" w:themeFill="background1"/>
                  </w:tcPr>
                  <w:p>
                    <w:pPr>
                      <w:jc w:val="center"/>
                      <w:rPr>
                        <w:sz w:val="20"/>
                      </w:rPr>
                    </w:pPr>
                    <w:r>
                      <w:rPr>
                        <w:bCs/>
                        <w:sz w:val="20"/>
                      </w:rPr>
                      <w:t>2021</w:t>
                    </w:r>
                    <w:r>
                      <w:rPr>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R-11-002-02-11-01-15</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Stacionarinio aktyvaus gydymo atvejų skaičiaus sumažėjimas lyginant su 2019 m.</w:t>
                    </w:r>
                    <w:r>
                      <w:rPr>
                        <w:sz w:val="20"/>
                        <w:vertAlign w:val="superscript"/>
                      </w:rPr>
                      <w:t>1</w:t>
                    </w:r>
                  </w:p>
                </w:tc>
                <w:tc>
                  <w:tcPr>
                    <w:tcW w:w="1078" w:type="dxa"/>
                    <w:shd w:val="clear" w:color="auto" w:fill="FFFFFF" w:themeFill="background1"/>
                  </w:tcPr>
                  <w:p>
                    <w:pPr>
                      <w:jc w:val="center"/>
                      <w:rPr>
                        <w:sz w:val="20"/>
                      </w:rPr>
                    </w:pPr>
                    <w:r>
                      <w:rPr>
                        <w:sz w:val="20"/>
                      </w:rPr>
                      <w:t>Atvejų skaičius</w:t>
                    </w:r>
                  </w:p>
                </w:tc>
                <w:tc>
                  <w:tcPr>
                    <w:tcW w:w="1078" w:type="dxa"/>
                    <w:shd w:val="clear" w:color="auto" w:fill="FFFFFF" w:themeFill="background1"/>
                  </w:tcPr>
                  <w:p>
                    <w:pPr>
                      <w:jc w:val="center"/>
                      <w:rPr>
                        <w:sz w:val="20"/>
                      </w:rPr>
                    </w:pPr>
                    <w:r>
                      <w:rPr>
                        <w:sz w:val="20"/>
                      </w:rPr>
                      <w:t>616 734 (2019 m.)</w:t>
                    </w:r>
                  </w:p>
                </w:tc>
                <w:tc>
                  <w:tcPr>
                    <w:tcW w:w="945" w:type="dxa"/>
                    <w:shd w:val="clear" w:color="auto" w:fill="FFFFFF" w:themeFill="background1"/>
                  </w:tcPr>
                  <w:p>
                    <w:pPr>
                      <w:jc w:val="center"/>
                      <w:rPr>
                        <w:sz w:val="20"/>
                      </w:rPr>
                    </w:pPr>
                    <w:r>
                      <w:rPr>
                        <w:sz w:val="20"/>
                      </w:rPr>
                      <w:t>515814</w:t>
                    </w:r>
                    <w:r>
                      <w:rPr>
                        <w:sz w:val="20"/>
                        <w:lang w:val="en-US"/>
                      </w:rPr>
                      <w:t xml:space="preserve"> </w:t>
                    </w:r>
                  </w:p>
                </w:tc>
                <w:tc>
                  <w:tcPr>
                    <w:tcW w:w="1079" w:type="dxa"/>
                    <w:shd w:val="clear" w:color="auto" w:fill="FFFFFF" w:themeFill="background1"/>
                  </w:tcPr>
                  <w:p>
                    <w:pPr>
                      <w:jc w:val="center"/>
                      <w:rPr>
                        <w:sz w:val="20"/>
                        <w:lang w:val="en-US"/>
                      </w:rPr>
                    </w:pPr>
                    <w:r>
                      <w:rPr>
                        <w:sz w:val="20"/>
                        <w:lang w:val="en-US"/>
                      </w:rPr>
                      <w:t>431 714</w:t>
                    </w:r>
                  </w:p>
                  <w:p>
                    <w:pPr>
                      <w:jc w:val="center"/>
                      <w:rPr>
                        <w:sz w:val="20"/>
                      </w:rPr>
                    </w:pPr>
                  </w:p>
                </w:tc>
                <w:tc>
                  <w:tcPr>
                    <w:tcW w:w="1344" w:type="dxa"/>
                    <w:shd w:val="clear" w:color="auto" w:fill="FFFFFF" w:themeFill="background1"/>
                  </w:tcPr>
                  <w:p>
                    <w:pPr>
                      <w:jc w:val="center"/>
                      <w:rPr>
                        <w:sz w:val="20"/>
                      </w:rPr>
                    </w:pPr>
                    <w:r>
                      <w:rPr>
                        <w:bCs/>
                        <w:sz w:val="20"/>
                      </w:rPr>
                      <w:t>2021</w:t>
                    </w:r>
                    <w:r>
                      <w:rPr>
                        <w:szCs w:val="24"/>
                      </w:rPr>
                      <w:t>–</w:t>
                    </w:r>
                    <w:r>
                      <w:rPr>
                        <w:bCs/>
                        <w:sz w:val="20"/>
                      </w:rPr>
                      <w:t>2027 m. IP (ERPF)</w:t>
                    </w:r>
                  </w:p>
                </w:tc>
              </w:tr>
              <w:tr>
                <w:trPr>
                  <w:trHeight w:val="667"/>
                </w:trPr>
                <w:tc>
                  <w:tcPr>
                    <w:tcW w:w="1346" w:type="dxa"/>
                    <w:shd w:val="clear" w:color="auto" w:fill="FFFFFF" w:themeFill="background1"/>
                  </w:tcPr>
                  <w:p>
                    <w:pPr>
                      <w:rPr>
                        <w:sz w:val="20"/>
                      </w:rPr>
                    </w:pPr>
                    <w:r>
                      <w:rPr>
                        <w:sz w:val="20"/>
                      </w:rPr>
                      <w:t>R-11-002-02-11-01-16</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Aktyvaus gydymo lovų užimtumas</w:t>
                    </w:r>
                    <w:r>
                      <w:rPr>
                        <w:sz w:val="20"/>
                        <w:vertAlign w:val="superscript"/>
                      </w:rPr>
                      <w:t>1</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73</w:t>
                    </w:r>
                  </w:p>
                  <w:p>
                    <w:pPr>
                      <w:jc w:val="center"/>
                      <w:rPr>
                        <w:sz w:val="20"/>
                      </w:rPr>
                    </w:pPr>
                    <w:r>
                      <w:rPr>
                        <w:sz w:val="20"/>
                      </w:rPr>
                      <w:t>(2018 m.)</w:t>
                    </w:r>
                  </w:p>
                </w:tc>
                <w:tc>
                  <w:tcPr>
                    <w:tcW w:w="945" w:type="dxa"/>
                    <w:shd w:val="clear" w:color="auto" w:fill="FFFFFF" w:themeFill="background1"/>
                  </w:tcPr>
                  <w:p>
                    <w:pPr>
                      <w:jc w:val="center"/>
                      <w:rPr>
                        <w:sz w:val="20"/>
                      </w:rPr>
                    </w:pPr>
                    <w:r>
                      <w:rPr>
                        <w:sz w:val="20"/>
                      </w:rPr>
                      <w:t>80</w:t>
                    </w:r>
                  </w:p>
                  <w:p>
                    <w:pPr>
                      <w:jc w:val="center"/>
                      <w:rPr>
                        <w:sz w:val="20"/>
                      </w:rPr>
                    </w:pPr>
                  </w:p>
                </w:tc>
                <w:tc>
                  <w:tcPr>
                    <w:tcW w:w="1079" w:type="dxa"/>
                    <w:shd w:val="clear" w:color="auto" w:fill="FFFFFF" w:themeFill="background1"/>
                  </w:tcPr>
                  <w:p>
                    <w:pPr>
                      <w:jc w:val="center"/>
                      <w:rPr>
                        <w:sz w:val="20"/>
                        <w:lang w:val="en-US"/>
                      </w:rPr>
                    </w:pPr>
                    <w:r>
                      <w:rPr>
                        <w:sz w:val="20"/>
                        <w:lang w:val="en-US"/>
                      </w:rPr>
                      <w:t>82</w:t>
                    </w:r>
                  </w:p>
                  <w:p>
                    <w:pPr>
                      <w:jc w:val="center"/>
                      <w:rPr>
                        <w:sz w:val="20"/>
                      </w:rPr>
                    </w:pPr>
                  </w:p>
                </w:tc>
                <w:tc>
                  <w:tcPr>
                    <w:tcW w:w="1344" w:type="dxa"/>
                    <w:shd w:val="clear" w:color="auto" w:fill="FFFFFF" w:themeFill="background1"/>
                  </w:tcPr>
                  <w:p>
                    <w:pPr>
                      <w:jc w:val="center"/>
                      <w:rPr>
                        <w:sz w:val="20"/>
                      </w:rPr>
                    </w:pPr>
                    <w:r>
                      <w:rPr>
                        <w:bCs/>
                        <w:sz w:val="20"/>
                      </w:rPr>
                      <w:t>2021</w:t>
                    </w:r>
                    <w:r>
                      <w:rPr>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R-11-002-02-11-01-17</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Asmenų, gavusių tęstines ambulatorines ir (ar) dienos stacionaro psichikos sveikatos paslaugas per 30 dienų nuo išrašymo iš stacionaro, dalis</w:t>
                    </w:r>
                    <w:r>
                      <w:rPr>
                        <w:sz w:val="20"/>
                        <w:vertAlign w:val="superscript"/>
                      </w:rPr>
                      <w:t>1</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50,2</w:t>
                    </w:r>
                  </w:p>
                  <w:p>
                    <w:pPr>
                      <w:jc w:val="center"/>
                      <w:rPr>
                        <w:sz w:val="20"/>
                      </w:rPr>
                    </w:pPr>
                    <w:r>
                      <w:rPr>
                        <w:sz w:val="20"/>
                      </w:rPr>
                      <w:t>(2020 m.)</w:t>
                    </w:r>
                  </w:p>
                </w:tc>
                <w:tc>
                  <w:tcPr>
                    <w:tcW w:w="945" w:type="dxa"/>
                    <w:shd w:val="clear" w:color="auto" w:fill="FFFFFF" w:themeFill="background1"/>
                  </w:tcPr>
                  <w:p>
                    <w:pPr>
                      <w:jc w:val="center"/>
                      <w:rPr>
                        <w:sz w:val="20"/>
                      </w:rPr>
                    </w:pPr>
                    <w:r>
                      <w:rPr>
                        <w:sz w:val="20"/>
                      </w:rPr>
                      <w:t>60</w:t>
                    </w:r>
                  </w:p>
                  <w:p>
                    <w:pPr>
                      <w:jc w:val="center"/>
                      <w:rPr>
                        <w:sz w:val="20"/>
                      </w:rPr>
                    </w:pPr>
                  </w:p>
                </w:tc>
                <w:tc>
                  <w:tcPr>
                    <w:tcW w:w="1079" w:type="dxa"/>
                    <w:shd w:val="clear" w:color="auto" w:fill="FFFFFF" w:themeFill="background1"/>
                  </w:tcPr>
                  <w:p>
                    <w:pPr>
                      <w:jc w:val="center"/>
                      <w:rPr>
                        <w:sz w:val="20"/>
                        <w:lang w:val="en-US"/>
                      </w:rPr>
                    </w:pPr>
                    <w:r>
                      <w:rPr>
                        <w:sz w:val="20"/>
                        <w:lang w:val="en-US"/>
                      </w:rPr>
                      <w:t>80</w:t>
                    </w:r>
                  </w:p>
                  <w:p>
                    <w:pPr>
                      <w:jc w:val="center"/>
                      <w:rPr>
                        <w:sz w:val="20"/>
                      </w:rPr>
                    </w:pPr>
                  </w:p>
                </w:tc>
                <w:tc>
                  <w:tcPr>
                    <w:tcW w:w="1344" w:type="dxa"/>
                    <w:shd w:val="clear" w:color="auto" w:fill="FFFFFF" w:themeFill="background1"/>
                  </w:tcPr>
                  <w:p>
                    <w:pPr>
                      <w:jc w:val="center"/>
                      <w:rPr>
                        <w:sz w:val="20"/>
                      </w:rPr>
                    </w:pPr>
                    <w:r>
                      <w:rPr>
                        <w:bCs/>
                        <w:sz w:val="20"/>
                      </w:rPr>
                      <w:t>2021</w:t>
                    </w:r>
                    <w:r>
                      <w:rPr>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R-11-002-02-11-01-18</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Gyventojų, dėl laukimo laiko (ilgų eilių) atidėjusių kreipimąsi dėl sveikatos priežiūros paslaugų, dalis</w:t>
                    </w:r>
                    <w:r>
                      <w:rPr>
                        <w:sz w:val="20"/>
                        <w:vertAlign w:val="superscript"/>
                      </w:rPr>
                      <w:t>1</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19,7</w:t>
                    </w:r>
                  </w:p>
                  <w:p>
                    <w:pPr>
                      <w:jc w:val="center"/>
                      <w:rPr>
                        <w:sz w:val="20"/>
                      </w:rPr>
                    </w:pPr>
                    <w:r>
                      <w:rPr>
                        <w:sz w:val="20"/>
                      </w:rPr>
                      <w:t>(2019 m.)</w:t>
                    </w:r>
                  </w:p>
                </w:tc>
                <w:tc>
                  <w:tcPr>
                    <w:tcW w:w="945" w:type="dxa"/>
                    <w:shd w:val="clear" w:color="auto" w:fill="FFFFFF" w:themeFill="background1"/>
                  </w:tcPr>
                  <w:p>
                    <w:pPr>
                      <w:jc w:val="center"/>
                      <w:rPr>
                        <w:sz w:val="20"/>
                      </w:rPr>
                    </w:pPr>
                    <w:r>
                      <w:rPr>
                        <w:sz w:val="20"/>
                      </w:rPr>
                      <w:t>14</w:t>
                    </w:r>
                  </w:p>
                  <w:p>
                    <w:pPr>
                      <w:jc w:val="center"/>
                      <w:rPr>
                        <w:sz w:val="20"/>
                      </w:rPr>
                    </w:pPr>
                  </w:p>
                </w:tc>
                <w:tc>
                  <w:tcPr>
                    <w:tcW w:w="1079" w:type="dxa"/>
                    <w:shd w:val="clear" w:color="auto" w:fill="FFFFFF" w:themeFill="background1"/>
                  </w:tcPr>
                  <w:p>
                    <w:pPr>
                      <w:jc w:val="center"/>
                      <w:rPr>
                        <w:sz w:val="20"/>
                        <w:lang w:val="en-US"/>
                      </w:rPr>
                    </w:pPr>
                    <w:r>
                      <w:rPr>
                        <w:sz w:val="20"/>
                        <w:lang w:val="en-US"/>
                      </w:rPr>
                      <w:t>6</w:t>
                    </w:r>
                  </w:p>
                  <w:p>
                    <w:pPr>
                      <w:jc w:val="center"/>
                      <w:rPr>
                        <w:sz w:val="20"/>
                      </w:rPr>
                    </w:pPr>
                  </w:p>
                </w:tc>
                <w:tc>
                  <w:tcPr>
                    <w:tcW w:w="1344" w:type="dxa"/>
                    <w:shd w:val="clear" w:color="auto" w:fill="FFFFFF" w:themeFill="background1"/>
                  </w:tcPr>
                  <w:p>
                    <w:pPr>
                      <w:jc w:val="center"/>
                      <w:rPr>
                        <w:sz w:val="20"/>
                      </w:rPr>
                    </w:pPr>
                    <w:r>
                      <w:rPr>
                        <w:bCs/>
                        <w:sz w:val="20"/>
                      </w:rPr>
                      <w:t>EGADP; 2021</w:t>
                    </w:r>
                    <w:r>
                      <w:rPr>
                        <w:szCs w:val="24"/>
                      </w:rPr>
                      <w:t>–</w:t>
                    </w:r>
                    <w:r>
                      <w:rPr>
                        <w:bCs/>
                        <w:sz w:val="20"/>
                      </w:rPr>
                      <w:t>2027 m. IP (ERPF, ESF+)</w:t>
                    </w:r>
                  </w:p>
                </w:tc>
              </w:tr>
              <w:tr>
                <w:trPr>
                  <w:trHeight w:val="330"/>
                </w:trPr>
                <w:tc>
                  <w:tcPr>
                    <w:tcW w:w="1346" w:type="dxa"/>
                    <w:shd w:val="clear" w:color="auto" w:fill="FFFFFF" w:themeFill="background1"/>
                  </w:tcPr>
                  <w:p>
                    <w:pPr>
                      <w:rPr>
                        <w:sz w:val="20"/>
                      </w:rPr>
                    </w:pPr>
                    <w:r>
                      <w:rPr>
                        <w:sz w:val="20"/>
                      </w:rPr>
                      <w:t>R-11-002-02-11-01-19</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 xml:space="preserve">Greitosios medicinos pagalbos skubių įvykdytų iškvietimų paslaugų, suteiktų per 15 min. (mieste),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91,4</w:t>
                    </w:r>
                  </w:p>
                  <w:p>
                    <w:pPr>
                      <w:jc w:val="center"/>
                      <w:rPr>
                        <w:sz w:val="20"/>
                      </w:rPr>
                    </w:pPr>
                    <w:r>
                      <w:rPr>
                        <w:sz w:val="20"/>
                      </w:rPr>
                      <w:t>(2019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sz w:val="20"/>
                      </w:rPr>
                    </w:pPr>
                    <w:r>
                      <w:rPr>
                        <w:sz w:val="20"/>
                        <w:lang w:val="en-US"/>
                      </w:rPr>
                      <w:t>(2029 m.)</w:t>
                    </w:r>
                  </w:p>
                </w:tc>
                <w:tc>
                  <w:tcPr>
                    <w:tcW w:w="1344" w:type="dxa"/>
                    <w:shd w:val="clear" w:color="auto" w:fill="FFFFFF" w:themeFill="background1"/>
                  </w:tcPr>
                  <w:p>
                    <w:pPr>
                      <w:jc w:val="center"/>
                      <w:rPr>
                        <w:sz w:val="20"/>
                      </w:rPr>
                    </w:pPr>
                    <w:r>
                      <w:rPr>
                        <w:sz w:val="20"/>
                      </w:rPr>
                      <w:t>2021</w:t>
                    </w:r>
                    <w:r>
                      <w:rPr>
                        <w:szCs w:val="24"/>
                      </w:rPr>
                      <w:t>–</w:t>
                    </w:r>
                    <w:r>
                      <w:rPr>
                        <w:sz w:val="20"/>
                      </w:rPr>
                      <w:t>2027 m. IP (ERPF)</w:t>
                    </w:r>
                  </w:p>
                </w:tc>
              </w:tr>
              <w:tr>
                <w:trPr>
                  <w:trHeight w:val="330"/>
                </w:trPr>
                <w:tc>
                  <w:tcPr>
                    <w:tcW w:w="1346" w:type="dxa"/>
                    <w:shd w:val="clear" w:color="auto" w:fill="FFFFFF" w:themeFill="background1"/>
                  </w:tcPr>
                  <w:p>
                    <w:pPr>
                      <w:rPr>
                        <w:sz w:val="20"/>
                      </w:rPr>
                    </w:pPr>
                    <w:r>
                      <w:rPr>
                        <w:sz w:val="20"/>
                      </w:rPr>
                      <w:t>R-11-002-02-11-01-20</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Greitosios medicinos pagalbos skubių įvykdytų iškvietimų paslaugų, suteiktų per 25 min. (kaime), dalis</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81,6</w:t>
                    </w:r>
                  </w:p>
                  <w:p>
                    <w:pPr>
                      <w:jc w:val="center"/>
                      <w:rPr>
                        <w:sz w:val="20"/>
                      </w:rPr>
                    </w:pPr>
                    <w:r>
                      <w:rPr>
                        <w:sz w:val="20"/>
                      </w:rPr>
                      <w:t>(2019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sz w:val="20"/>
                      </w:rPr>
                    </w:pPr>
                    <w:r>
                      <w:rPr>
                        <w:sz w:val="20"/>
                        <w:lang w:val="en-US"/>
                      </w:rPr>
                      <w:t>(2029 m.)</w:t>
                    </w:r>
                  </w:p>
                </w:tc>
                <w:tc>
                  <w:tcPr>
                    <w:tcW w:w="1344" w:type="dxa"/>
                    <w:shd w:val="clear" w:color="auto" w:fill="FFFFFF" w:themeFill="background1"/>
                  </w:tcPr>
                  <w:p>
                    <w:pPr>
                      <w:jc w:val="center"/>
                      <w:rPr>
                        <w:sz w:val="20"/>
                      </w:rPr>
                    </w:pPr>
                    <w:r>
                      <w:rPr>
                        <w:bCs/>
                        <w:sz w:val="20"/>
                      </w:rPr>
                      <w:t>2021</w:t>
                    </w:r>
                    <w:r>
                      <w:rPr>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R-11-002-02-11-01-21</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Slaugytojų, tenkančių vienam gydytojui, skaičius</w:t>
                    </w:r>
                    <w:r>
                      <w:rPr>
                        <w:sz w:val="20"/>
                        <w:vertAlign w:val="superscript"/>
                      </w:rPr>
                      <w:t>1</w:t>
                    </w:r>
                  </w:p>
                </w:tc>
                <w:tc>
                  <w:tcPr>
                    <w:tcW w:w="1078" w:type="dxa"/>
                    <w:shd w:val="clear" w:color="auto" w:fill="FFFFFF" w:themeFill="background1"/>
                  </w:tcPr>
                  <w:p>
                    <w:pPr>
                      <w:jc w:val="center"/>
                      <w:rPr>
                        <w:sz w:val="20"/>
                      </w:rPr>
                    </w:pPr>
                    <w:r>
                      <w:rPr>
                        <w:sz w:val="20"/>
                      </w:rPr>
                      <w:t>Skaičius</w:t>
                    </w:r>
                  </w:p>
                </w:tc>
                <w:tc>
                  <w:tcPr>
                    <w:tcW w:w="1078" w:type="dxa"/>
                    <w:shd w:val="clear" w:color="auto" w:fill="FFFFFF" w:themeFill="background1"/>
                  </w:tcPr>
                  <w:p>
                    <w:pPr>
                      <w:jc w:val="center"/>
                      <w:rPr>
                        <w:sz w:val="20"/>
                      </w:rPr>
                    </w:pPr>
                    <w:r>
                      <w:rPr>
                        <w:sz w:val="20"/>
                      </w:rPr>
                      <w:t>1,8</w:t>
                    </w:r>
                  </w:p>
                  <w:p>
                    <w:pPr>
                      <w:jc w:val="center"/>
                      <w:rPr>
                        <w:sz w:val="20"/>
                      </w:rPr>
                    </w:pPr>
                    <w:r>
                      <w:rPr>
                        <w:sz w:val="20"/>
                      </w:rPr>
                      <w:t>(2019 m.)</w:t>
                    </w:r>
                  </w:p>
                </w:tc>
                <w:tc>
                  <w:tcPr>
                    <w:tcW w:w="945" w:type="dxa"/>
                    <w:shd w:val="clear" w:color="auto" w:fill="FFFFFF" w:themeFill="background1"/>
                  </w:tcPr>
                  <w:p>
                    <w:pPr>
                      <w:jc w:val="center"/>
                      <w:rPr>
                        <w:sz w:val="20"/>
                      </w:rPr>
                    </w:pPr>
                    <w:r>
                      <w:rPr>
                        <w:sz w:val="20"/>
                      </w:rPr>
                      <w:t>2</w:t>
                    </w:r>
                  </w:p>
                  <w:p>
                    <w:pPr>
                      <w:jc w:val="center"/>
                      <w:rPr>
                        <w:sz w:val="20"/>
                      </w:rPr>
                    </w:pPr>
                  </w:p>
                </w:tc>
                <w:tc>
                  <w:tcPr>
                    <w:tcW w:w="1079" w:type="dxa"/>
                    <w:shd w:val="clear" w:color="auto" w:fill="FFFFFF" w:themeFill="background1"/>
                  </w:tcPr>
                  <w:p>
                    <w:pPr>
                      <w:jc w:val="center"/>
                      <w:rPr>
                        <w:sz w:val="20"/>
                        <w:lang w:val="en-US"/>
                      </w:rPr>
                    </w:pPr>
                    <w:r>
                      <w:rPr>
                        <w:sz w:val="20"/>
                        <w:lang w:val="en-US"/>
                      </w:rPr>
                      <w:t>2,5</w:t>
                    </w:r>
                  </w:p>
                  <w:p>
                    <w:pPr>
                      <w:jc w:val="center"/>
                      <w:rPr>
                        <w:sz w:val="20"/>
                      </w:rPr>
                    </w:pPr>
                  </w:p>
                </w:tc>
                <w:tc>
                  <w:tcPr>
                    <w:tcW w:w="1344" w:type="dxa"/>
                    <w:shd w:val="clear" w:color="auto" w:fill="FFFFFF" w:themeFill="background1"/>
                  </w:tcPr>
                  <w:p>
                    <w:pPr>
                      <w:jc w:val="center"/>
                      <w:rPr>
                        <w:sz w:val="20"/>
                      </w:rPr>
                    </w:pPr>
                    <w:r>
                      <w:rPr>
                        <w:bCs/>
                        <w:sz w:val="20"/>
                      </w:rPr>
                      <w:t>EGADP; 2021</w:t>
                    </w:r>
                    <w:r>
                      <w:rPr>
                        <w:szCs w:val="24"/>
                      </w:rPr>
                      <w:t>–</w:t>
                    </w:r>
                    <w:r>
                      <w:rPr>
                        <w:bCs/>
                        <w:sz w:val="20"/>
                      </w:rPr>
                      <w:t>2027 m. IP (ERPF)</w:t>
                    </w:r>
                  </w:p>
                </w:tc>
              </w:tr>
              <w:tr>
                <w:trPr>
                  <w:trHeight w:val="330"/>
                </w:trPr>
                <w:tc>
                  <w:tcPr>
                    <w:tcW w:w="1346" w:type="dxa"/>
                    <w:shd w:val="clear" w:color="auto" w:fill="FFFFFF" w:themeFill="background1"/>
                  </w:tcPr>
                  <w:p>
                    <w:pPr>
                      <w:spacing w:line="276" w:lineRule="auto"/>
                      <w:rPr>
                        <w:sz w:val="20"/>
                      </w:rPr>
                    </w:pPr>
                    <w:r>
                      <w:rPr>
                        <w:sz w:val="20"/>
                      </w:rPr>
                      <w:t>P-11-002-02-11-01-22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b/>
                        <w:bCs/>
                        <w:sz w:val="20"/>
                      </w:rPr>
                    </w:pPr>
                    <w:r>
                      <w:rPr>
                        <w:sz w:val="20"/>
                      </w:rPr>
                      <w:t>Paramą gavusių nacionalinio, regionų ar vietos lygmens viešojo administravimo ar viešąsias paslaugas teikiančių įstaigų skaičius</w:t>
                    </w:r>
                  </w:p>
                </w:tc>
                <w:tc>
                  <w:tcPr>
                    <w:tcW w:w="1078" w:type="dxa"/>
                    <w:shd w:val="clear" w:color="auto" w:fill="FFFFFF" w:themeFill="background1"/>
                  </w:tcPr>
                  <w:p>
                    <w:pPr>
                      <w:spacing w:line="276" w:lineRule="auto"/>
                      <w:jc w:val="center"/>
                      <w:rPr>
                        <w:sz w:val="20"/>
                      </w:rPr>
                    </w:pPr>
                    <w:r>
                      <w:rPr>
                        <w:sz w:val="20"/>
                      </w:rPr>
                      <w:t>Subjektų skaičius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18</w:t>
                    </w:r>
                  </w:p>
                  <w:p>
                    <w:pPr>
                      <w:jc w:val="center"/>
                      <w:rPr>
                        <w:sz w:val="20"/>
                      </w:rPr>
                    </w:pPr>
                    <w:r>
                      <w:rPr>
                        <w:sz w:val="20"/>
                      </w:rPr>
                      <w:t>(2024m.)</w:t>
                    </w:r>
                  </w:p>
                </w:tc>
                <w:tc>
                  <w:tcPr>
                    <w:tcW w:w="1079" w:type="dxa"/>
                    <w:shd w:val="clear" w:color="auto" w:fill="FFFFFF" w:themeFill="background1"/>
                  </w:tcPr>
                  <w:p>
                    <w:pPr>
                      <w:jc w:val="center"/>
                      <w:rPr>
                        <w:sz w:val="20"/>
                      </w:rPr>
                    </w:pPr>
                    <w:r>
                      <w:rPr>
                        <w:sz w:val="20"/>
                      </w:rPr>
                      <w:t>200</w:t>
                    </w:r>
                  </w:p>
                  <w:p>
                    <w:pPr>
                      <w:jc w:val="center"/>
                      <w:rPr>
                        <w:strike/>
                        <w:sz w:val="20"/>
                      </w:rPr>
                    </w:pPr>
                    <w:r>
                      <w:rPr>
                        <w:sz w:val="20"/>
                      </w:rPr>
                      <w:t>(2029 m.)</w:t>
                    </w:r>
                  </w:p>
                </w:tc>
                <w:tc>
                  <w:tcPr>
                    <w:tcW w:w="1344" w:type="dxa"/>
                    <w:shd w:val="clear" w:color="auto" w:fill="FFFFFF" w:themeFill="background1"/>
                  </w:tcPr>
                  <w:p>
                    <w:pPr>
                      <w:jc w:val="center"/>
                      <w:rPr>
                        <w:bCs/>
                        <w:sz w:val="20"/>
                      </w:rPr>
                    </w:pPr>
                    <w:r>
                      <w:rPr>
                        <w:bCs/>
                        <w:sz w:val="20"/>
                      </w:rPr>
                      <w:t>2021–2027 m.</w:t>
                    </w:r>
                  </w:p>
                  <w:p>
                    <w:pPr>
                      <w:ind w:firstLine="53"/>
                      <w:jc w:val="center"/>
                      <w:rPr>
                        <w:bCs/>
                        <w:sz w:val="20"/>
                      </w:rPr>
                    </w:pPr>
                    <w:r>
                      <w:rPr>
                        <w:bCs/>
                        <w:sz w:val="20"/>
                      </w:rPr>
                      <w:t>IP (ESF+)</w:t>
                    </w:r>
                  </w:p>
                </w:tc>
              </w:tr>
              <w:tr>
                <w:trPr>
                  <w:trHeight w:val="330"/>
                </w:trPr>
                <w:tc>
                  <w:tcPr>
                    <w:tcW w:w="1346" w:type="dxa"/>
                    <w:shd w:val="clear" w:color="auto" w:fill="FFFFFF" w:themeFill="background1"/>
                  </w:tcPr>
                  <w:p>
                    <w:pPr>
                      <w:rPr>
                        <w:sz w:val="20"/>
                      </w:rPr>
                    </w:pPr>
                    <w:r>
                      <w:rPr>
                        <w:sz w:val="20"/>
                      </w:rPr>
                      <w:t>R-11-002-02-11-01-23</w:t>
                    </w:r>
                  </w:p>
                </w:tc>
                <w:tc>
                  <w:tcPr>
                    <w:tcW w:w="1079" w:type="dxa"/>
                    <w:shd w:val="clear" w:color="auto" w:fill="FFFFFF" w:themeFill="background1"/>
                  </w:tcPr>
                  <w:p>
                    <w:pPr>
                      <w:rPr>
                        <w:sz w:val="20"/>
                      </w:rPr>
                    </w:pPr>
                    <w:r>
                      <w:rPr>
                        <w:iCs/>
                        <w:sz w:val="20"/>
                      </w:rPr>
                      <w:t xml:space="preserve">Rezultato </w:t>
                    </w:r>
                  </w:p>
                </w:tc>
                <w:tc>
                  <w:tcPr>
                    <w:tcW w:w="2541" w:type="dxa"/>
                    <w:shd w:val="clear" w:color="auto" w:fill="FFFFFF" w:themeFill="background1"/>
                  </w:tcPr>
                  <w:p>
                    <w:pPr>
                      <w:rPr>
                        <w:sz w:val="20"/>
                      </w:rPr>
                    </w:pPr>
                    <w:r>
                      <w:rPr>
                        <w:sz w:val="20"/>
                      </w:rPr>
                      <w:t xml:space="preserve">Sveikatos priežiūros įstaigų, įtrauktų į veiklos rezultatų rodiklių rinkiniu grindžiamą Lietuvos nacionalinės sveikatos sistemos švieslentę,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70</w:t>
                    </w:r>
                  </w:p>
                  <w:p>
                    <w:pPr>
                      <w:jc w:val="center"/>
                      <w:rPr>
                        <w:sz w:val="20"/>
                      </w:rPr>
                    </w:pPr>
                    <w:r>
                      <w:rPr>
                        <w:sz w:val="20"/>
                      </w:rPr>
                      <w:t>(2023 m. II ketv.)</w:t>
                    </w:r>
                  </w:p>
                  <w:p>
                    <w:pPr>
                      <w:jc w:val="center"/>
                      <w:rPr>
                        <w:sz w:val="20"/>
                      </w:rPr>
                    </w:pPr>
                  </w:p>
                </w:tc>
                <w:tc>
                  <w:tcPr>
                    <w:tcW w:w="1079" w:type="dxa"/>
                    <w:shd w:val="clear" w:color="auto" w:fill="FFFFFF" w:themeFill="background1"/>
                  </w:tcPr>
                  <w:p>
                    <w:pPr>
                      <w:jc w:val="center"/>
                      <w:rPr>
                        <w:sz w:val="20"/>
                      </w:rPr>
                    </w:pPr>
                    <w:r>
                      <w:rPr>
                        <w:sz w:val="20"/>
                      </w:rPr>
                      <w:t>100</w:t>
                    </w:r>
                  </w:p>
                  <w:p>
                    <w:pPr>
                      <w:jc w:val="center"/>
                      <w:rPr>
                        <w:sz w:val="20"/>
                        <w:lang w:val="en-US"/>
                      </w:rPr>
                    </w:pPr>
                    <w:r>
                      <w:rPr>
                        <w:sz w:val="20"/>
                      </w:rPr>
                      <w:t>(202</w:t>
                    </w:r>
                    <w:r>
                      <w:rPr>
                        <w:sz w:val="20"/>
                        <w:lang w:val="en-US"/>
                      </w:rPr>
                      <w:t>5</w:t>
                    </w:r>
                    <w:r>
                      <w:rPr>
                        <w:sz w:val="20"/>
                      </w:rPr>
                      <w:t xml:space="preserve"> m. II ketv.)</w:t>
                    </w:r>
                  </w:p>
                  <w:p>
                    <w:pPr>
                      <w:jc w:val="center"/>
                      <w:rPr>
                        <w:sz w:val="20"/>
                      </w:rPr>
                    </w:pP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R-11-002-02-11-01-24</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 xml:space="preserve">Aktyviojo gydymo sveikatos priežiūros įstaigose nustatytų invazinių </w:t>
                    </w:r>
                    <w:r>
                      <w:rPr>
                        <w:i/>
                        <w:iCs/>
                        <w:sz w:val="20"/>
                      </w:rPr>
                      <w:t>Klebsiella pneumoniae</w:t>
                    </w:r>
                    <w:r>
                      <w:rPr>
                        <w:sz w:val="20"/>
                      </w:rPr>
                      <w:t xml:space="preserve">, atsparių  trečios kartos cefalosporinams, dalis (EARS-Net duomenimis)</w:t>
                    </w:r>
                    <w:r>
                      <w:rPr>
                        <w:sz w:val="20"/>
                        <w:vertAlign w:val="superscript"/>
                      </w:rPr>
                      <w:t xml:space="preserve"> 1</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55,2</w:t>
                    </w:r>
                  </w:p>
                  <w:p>
                    <w:pPr>
                      <w:jc w:val="center"/>
                      <w:rPr>
                        <w:sz w:val="20"/>
                      </w:rPr>
                    </w:pPr>
                    <w:r>
                      <w:rPr>
                        <w:sz w:val="20"/>
                      </w:rPr>
                      <w:t>(2019 m.)</w:t>
                    </w:r>
                  </w:p>
                </w:tc>
                <w:tc>
                  <w:tcPr>
                    <w:tcW w:w="945" w:type="dxa"/>
                    <w:shd w:val="clear" w:color="auto" w:fill="FFFFFF" w:themeFill="background1"/>
                  </w:tcPr>
                  <w:p>
                    <w:pPr>
                      <w:jc w:val="center"/>
                      <w:rPr>
                        <w:sz w:val="20"/>
                      </w:rPr>
                    </w:pPr>
                    <w:r>
                      <w:rPr>
                        <w:sz w:val="20"/>
                      </w:rPr>
                      <w:t>36</w:t>
                    </w:r>
                  </w:p>
                  <w:p>
                    <w:pPr>
                      <w:jc w:val="center"/>
                      <w:rPr>
                        <w:sz w:val="20"/>
                      </w:rPr>
                    </w:pPr>
                  </w:p>
                </w:tc>
                <w:tc>
                  <w:tcPr>
                    <w:tcW w:w="1079" w:type="dxa"/>
                    <w:shd w:val="clear" w:color="auto" w:fill="FFFFFF" w:themeFill="background1"/>
                  </w:tcPr>
                  <w:p>
                    <w:pPr>
                      <w:jc w:val="center"/>
                      <w:rPr>
                        <w:sz w:val="20"/>
                        <w:lang w:val="en-US"/>
                      </w:rPr>
                    </w:pPr>
                    <w:r>
                      <w:rPr>
                        <w:sz w:val="20"/>
                        <w:lang w:val="en-US"/>
                      </w:rPr>
                      <w:t>30</w:t>
                    </w:r>
                  </w:p>
                  <w:p>
                    <w:pPr>
                      <w:jc w:val="center"/>
                      <w:rPr>
                        <w:sz w:val="20"/>
                      </w:rPr>
                    </w:pPr>
                  </w:p>
                </w:tc>
                <w:tc>
                  <w:tcPr>
                    <w:tcW w:w="1344" w:type="dxa"/>
                    <w:shd w:val="clear" w:color="auto" w:fill="FFFFFF" w:themeFill="background1"/>
                  </w:tcPr>
                  <w:p>
                    <w:pPr>
                      <w:jc w:val="center"/>
                      <w:rPr>
                        <w:bCs/>
                        <w:sz w:val="20"/>
                      </w:rPr>
                    </w:pPr>
                    <w:r>
                      <w:rPr>
                        <w:bCs/>
                        <w:sz w:val="20"/>
                      </w:rPr>
                      <w:t>EGADP;</w:t>
                    </w:r>
                  </w:p>
                  <w:p>
                    <w:pPr>
                      <w:jc w:val="center"/>
                      <w:rPr>
                        <w:sz w:val="20"/>
                      </w:rPr>
                    </w:pPr>
                    <w:r>
                      <w:rPr>
                        <w:bCs/>
                        <w:sz w:val="20"/>
                      </w:rPr>
                      <w:t>2021</w:t>
                    </w:r>
                    <w:r>
                      <w:rPr>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R-11-002-02-11-01-25</w:t>
                    </w:r>
                  </w:p>
                </w:tc>
                <w:tc>
                  <w:tcPr>
                    <w:tcW w:w="9144" w:type="dxa"/>
                    <w:gridSpan w:val="7"/>
                    <w:shd w:val="clear" w:color="auto" w:fill="FFFFFF" w:themeFill="background1"/>
                  </w:tcPr>
                  <w:p>
                    <w:pPr>
                      <w:rPr>
                        <w:bCs/>
                        <w:sz w:val="20"/>
                      </w:rPr>
                    </w:pPr>
                    <w:r>
                      <w:rPr>
                        <w:i/>
                        <w:sz w:val="20"/>
                      </w:rPr>
                      <w:t>Neteko galios nuo 2025-10-04</w:t>
                    </w:r>
                  </w:p>
                </w:tc>
              </w:tr>
              <w:tr>
                <w:trPr>
                  <w:trHeight w:val="330"/>
                </w:trPr>
                <w:tc>
                  <w:tcPr>
                    <w:tcW w:w="1346" w:type="dxa"/>
                    <w:shd w:val="clear" w:color="auto" w:fill="FFFFFF" w:themeFill="background1"/>
                  </w:tcPr>
                  <w:p>
                    <w:pPr>
                      <w:rPr>
                        <w:sz w:val="20"/>
                      </w:rPr>
                    </w:pPr>
                    <w:r>
                      <w:rPr>
                        <w:sz w:val="20"/>
                      </w:rPr>
                      <w:t>R-11-002-02-11-01-26</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 xml:space="preserve">Asmenų, teigusių, kad pagerėjo jų gyvenimo kokybė po dalyvavimo veiklose, skirtose savarankiškam lėtinės ligos valdymui,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sz w:val="20"/>
                      </w:rPr>
                    </w:pPr>
                    <w:r>
                      <w:rPr>
                        <w:sz w:val="20"/>
                        <w:lang w:val="en-US"/>
                      </w:rPr>
                      <w:t>(2029 m.)</w:t>
                    </w:r>
                  </w:p>
                </w:tc>
                <w:tc>
                  <w:tcPr>
                    <w:tcW w:w="1344" w:type="dxa"/>
                    <w:shd w:val="clear" w:color="auto" w:fill="FFFFFF" w:themeFill="background1"/>
                  </w:tcPr>
                  <w:p>
                    <w:pPr>
                      <w:jc w:val="center"/>
                      <w:rPr>
                        <w:sz w:val="20"/>
                      </w:rPr>
                    </w:pPr>
                    <w:r>
                      <w:rPr>
                        <w:bCs/>
                        <w:sz w:val="20"/>
                      </w:rPr>
                      <w:t>2021</w:t>
                    </w:r>
                    <w:r>
                      <w:rPr>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R-11-002-02-11-01-27</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Pacientų pasitenkinimas gautomis paslaugomis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56</w:t>
                    </w:r>
                  </w:p>
                  <w:p>
                    <w:pPr>
                      <w:jc w:val="center"/>
                      <w:rPr>
                        <w:sz w:val="20"/>
                      </w:rPr>
                    </w:pPr>
                    <w:r>
                      <w:rPr>
                        <w:sz w:val="20"/>
                      </w:rPr>
                      <w:t>(2020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R-11-002-02-11-01-28</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Naujos arba modernizuotos sveikatos priežiūros infrastruktūros naudotojų skaičius per metus </w:t>
                    </w:r>
                  </w:p>
                </w:tc>
                <w:tc>
                  <w:tcPr>
                    <w:tcW w:w="1078" w:type="dxa"/>
                    <w:shd w:val="clear" w:color="auto" w:fill="FFFFFF" w:themeFill="background1"/>
                  </w:tcPr>
                  <w:p>
                    <w:pPr>
                      <w:jc w:val="center"/>
                      <w:rPr>
                        <w:sz w:val="20"/>
                      </w:rPr>
                    </w:pPr>
                    <w:r>
                      <w:rPr>
                        <w:sz w:val="20"/>
                      </w:rPr>
                      <w:t>Naudotojai per metus</w:t>
                    </w:r>
                  </w:p>
                </w:tc>
                <w:tc>
                  <w:tcPr>
                    <w:tcW w:w="1078" w:type="dxa"/>
                    <w:shd w:val="clear" w:color="auto" w:fill="FFFFFF" w:themeFill="background1"/>
                  </w:tcPr>
                  <w:p>
                    <w:pPr>
                      <w:jc w:val="center"/>
                      <w:rPr>
                        <w:sz w:val="20"/>
                      </w:rPr>
                    </w:pPr>
                    <w:r>
                      <w:rPr>
                        <w:sz w:val="20"/>
                      </w:rPr>
                      <w:t>1 801 000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1 823 440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szCs w:val="24"/>
                      </w:rPr>
                      <w:t>–</w:t>
                    </w:r>
                    <w:r>
                      <w:rPr>
                        <w:bCs/>
                        <w:sz w:val="20"/>
                      </w:rPr>
                      <w:t xml:space="preserve">2027 m. IP (ERPF) </w:t>
                    </w:r>
                  </w:p>
                </w:tc>
              </w:tr>
              <w:tr>
                <w:trPr>
                  <w:trHeight w:val="330"/>
                </w:trPr>
                <w:tc>
                  <w:tcPr>
                    <w:tcW w:w="1346" w:type="dxa"/>
                    <w:shd w:val="clear" w:color="auto" w:fill="FFFFFF" w:themeFill="background1"/>
                  </w:tcPr>
                  <w:p>
                    <w:pPr>
                      <w:rPr>
                        <w:sz w:val="20"/>
                      </w:rPr>
                    </w:pPr>
                    <w:r>
                      <w:rPr>
                        <w:sz w:val="20"/>
                      </w:rPr>
                      <w:t>R-11-002-02-11-01-29</w:t>
                    </w:r>
                  </w:p>
                </w:tc>
                <w:tc>
                  <w:tcPr>
                    <w:tcW w:w="9144" w:type="dxa"/>
                    <w:gridSpan w:val="7"/>
                    <w:shd w:val="clear" w:color="auto" w:fill="FFFFFF" w:themeFill="background1"/>
                  </w:tcPr>
                  <w:p>
                    <w:pPr>
                      <w:rPr>
                        <w:sz w:val="20"/>
                      </w:rPr>
                    </w:pPr>
                    <w:r>
                      <w:rPr>
                        <w:i/>
                        <w:sz w:val="20"/>
                      </w:rPr>
                      <w:t>Neteko galios nuo 2025-10-04</w:t>
                    </w:r>
                  </w:p>
                </w:tc>
              </w:tr>
              <w:tr>
                <w:trPr>
                  <w:trHeight w:val="330"/>
                </w:trPr>
                <w:tc>
                  <w:tcPr>
                    <w:tcW w:w="1346" w:type="dxa"/>
                    <w:shd w:val="clear" w:color="auto" w:fill="FFFFFF" w:themeFill="background1"/>
                  </w:tcPr>
                  <w:p>
                    <w:pPr>
                      <w:rPr>
                        <w:sz w:val="20"/>
                      </w:rPr>
                    </w:pPr>
                    <w:r>
                      <w:rPr>
                        <w:sz w:val="20"/>
                      </w:rPr>
                      <w:t>R-11-002-02-11-01-30</w:t>
                    </w:r>
                  </w:p>
                </w:tc>
                <w:tc>
                  <w:tcPr>
                    <w:tcW w:w="9144" w:type="dxa"/>
                    <w:gridSpan w:val="7"/>
                    <w:shd w:val="clear" w:color="auto" w:fill="FFFFFF" w:themeFill="background1"/>
                  </w:tcPr>
                  <w:p>
                    <w:pPr>
                      <w:rPr>
                        <w:sz w:val="20"/>
                      </w:rPr>
                    </w:pPr>
                    <w:r>
                      <w:rPr>
                        <w:i/>
                        <w:iCs/>
                        <w:sz w:val="20"/>
                      </w:rPr>
                      <w:t>Neteko galios nuo 2026-05-22</w:t>
                    </w:r>
                  </w:p>
                </w:tc>
              </w:tr>
              <w:tr>
                <w:trPr>
                  <w:trHeight w:val="330"/>
                </w:trPr>
                <w:tc>
                  <w:tcPr>
                    <w:tcW w:w="1346" w:type="dxa"/>
                    <w:shd w:val="clear" w:color="auto" w:fill="FFFFFF" w:themeFill="background1"/>
                  </w:tcPr>
                  <w:p>
                    <w:pPr>
                      <w:rPr>
                        <w:sz w:val="20"/>
                      </w:rPr>
                    </w:pPr>
                    <w:r>
                      <w:rPr>
                        <w:sz w:val="20"/>
                      </w:rPr>
                      <w:t>P-11-002-02-11-01-31</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rPr>
                      <w:t>Naujos arba modernizuotos sveikatos priežiūros infrastruktūros talpumas</w:t>
                    </w:r>
                  </w:p>
                </w:tc>
                <w:tc>
                  <w:tcPr>
                    <w:tcW w:w="1078" w:type="dxa"/>
                    <w:shd w:val="clear" w:color="auto" w:fill="FFFFFF" w:themeFill="background1"/>
                  </w:tcPr>
                  <w:p>
                    <w:pPr>
                      <w:jc w:val="center"/>
                      <w:rPr>
                        <w:sz w:val="20"/>
                      </w:rPr>
                    </w:pPr>
                    <w:r>
                      <w:rPr>
                        <w:sz w:val="20"/>
                      </w:rPr>
                      <w:t>Asmenys per metus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426 000</w:t>
                    </w:r>
                  </w:p>
                  <w:p>
                    <w:pPr>
                      <w:jc w:val="center"/>
                      <w:rPr>
                        <w:sz w:val="20"/>
                      </w:rPr>
                    </w:pPr>
                    <w:r>
                      <w:rPr>
                        <w:sz w:val="20"/>
                      </w:rPr>
                      <w:t>(2024 m.)</w:t>
                    </w:r>
                  </w:p>
                </w:tc>
                <w:tc>
                  <w:tcPr>
                    <w:tcW w:w="1079" w:type="dxa"/>
                    <w:shd w:val="clear" w:color="auto" w:fill="FFFFFF" w:themeFill="background1"/>
                  </w:tcPr>
                  <w:p>
                    <w:pPr>
                      <w:jc w:val="center"/>
                      <w:rPr>
                        <w:sz w:val="20"/>
                      </w:rPr>
                    </w:pPr>
                    <w:r>
                      <w:rPr>
                        <w:sz w:val="20"/>
                      </w:rPr>
                      <w:t>3 543 550</w:t>
                    </w:r>
                  </w:p>
                  <w:p>
                    <w:pPr>
                      <w:jc w:val="center"/>
                      <w:rPr>
                        <w:sz w:val="20"/>
                      </w:rPr>
                    </w:pPr>
                    <w:r>
                      <w:rPr>
                        <w:sz w:val="20"/>
                      </w:rPr>
                      <w:t>(2029 m.)</w:t>
                    </w:r>
                  </w:p>
                </w:tc>
                <w:tc>
                  <w:tcPr>
                    <w:tcW w:w="1344" w:type="dxa"/>
                    <w:shd w:val="clear" w:color="auto" w:fill="FFFFFF" w:themeFill="background1"/>
                  </w:tcPr>
                  <w:p>
                    <w:pPr>
                      <w:jc w:val="center"/>
                      <w:rPr>
                        <w:sz w:val="20"/>
                      </w:rPr>
                    </w:pPr>
                    <w:r>
                      <w:rPr>
                        <w:sz w:val="20"/>
                      </w:rPr>
                      <w:t>2021–2027 m. IP (ERPF)</w:t>
                    </w:r>
                  </w:p>
                </w:tc>
              </w:tr>
              <w:tr>
                <w:trPr>
                  <w:trHeight w:val="330"/>
                </w:trPr>
                <w:tc>
                  <w:tcPr>
                    <w:tcW w:w="1346" w:type="dxa"/>
                    <w:shd w:val="clear" w:color="auto" w:fill="FFFFFF" w:themeFill="background1"/>
                  </w:tcPr>
                  <w:p>
                    <w:pPr>
                      <w:rPr>
                        <w:sz w:val="20"/>
                      </w:rPr>
                    </w:pPr>
                    <w:r>
                      <w:rPr>
                        <w:sz w:val="20"/>
                      </w:rPr>
                      <w:t>P-11-002-02-11-01-32</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rPr>
                      <w:t>Greitosios medicinos pagalbos paslaugų infrastruktūros, kuriai skirta parama, pajėgumas</w:t>
                    </w:r>
                  </w:p>
                </w:tc>
                <w:tc>
                  <w:tcPr>
                    <w:tcW w:w="1078" w:type="dxa"/>
                    <w:shd w:val="clear" w:color="auto" w:fill="FFFFFF" w:themeFill="background1"/>
                  </w:tcPr>
                  <w:p>
                    <w:pPr>
                      <w:jc w:val="center"/>
                      <w:rPr>
                        <w:sz w:val="20"/>
                      </w:rPr>
                    </w:pPr>
                    <w:r>
                      <w:rPr>
                        <w:sz w:val="20"/>
                      </w:rPr>
                      <w:t>Asmenys per metus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558 000</w:t>
                    </w:r>
                  </w:p>
                  <w:p>
                    <w:pPr>
                      <w:jc w:val="center"/>
                      <w:rPr>
                        <w:sz w:val="20"/>
                      </w:rPr>
                    </w:pPr>
                    <w:r>
                      <w:rPr>
                        <w:sz w:val="20"/>
                      </w:rPr>
                      <w:t>(2024 m.)</w:t>
                    </w:r>
                  </w:p>
                </w:tc>
                <w:tc>
                  <w:tcPr>
                    <w:tcW w:w="1079" w:type="dxa"/>
                    <w:shd w:val="clear" w:color="auto" w:fill="FFFFFF" w:themeFill="background1"/>
                  </w:tcPr>
                  <w:p>
                    <w:pPr>
                      <w:jc w:val="center"/>
                      <w:rPr>
                        <w:sz w:val="20"/>
                      </w:rPr>
                    </w:pPr>
                    <w:r>
                      <w:rPr>
                        <w:sz w:val="20"/>
                      </w:rPr>
                      <w:t>2 790 000</w:t>
                    </w:r>
                  </w:p>
                  <w:p>
                    <w:pPr>
                      <w:jc w:val="center"/>
                      <w:rPr>
                        <w:sz w:val="20"/>
                      </w:rPr>
                    </w:pPr>
                    <w:r>
                      <w:rPr>
                        <w:sz w:val="20"/>
                      </w:rPr>
                      <w:t>(2029 m.)</w:t>
                    </w:r>
                  </w:p>
                </w:tc>
                <w:tc>
                  <w:tcPr>
                    <w:tcW w:w="1344" w:type="dxa"/>
                    <w:shd w:val="clear" w:color="auto" w:fill="FFFFFF" w:themeFill="background1"/>
                  </w:tcPr>
                  <w:p>
                    <w:pPr>
                      <w:jc w:val="center"/>
                      <w:rPr>
                        <w:sz w:val="20"/>
                      </w:rPr>
                    </w:pPr>
                    <w:r>
                      <w:rPr>
                        <w:bCs/>
                        <w:sz w:val="20"/>
                      </w:rPr>
                      <w:t>2021</w:t>
                    </w:r>
                    <w:r>
                      <w:rPr>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R-11-002-02-11-01-33</w:t>
                    </w:r>
                  </w:p>
                </w:tc>
                <w:tc>
                  <w:tcPr>
                    <w:tcW w:w="1079" w:type="dxa"/>
                    <w:shd w:val="clear" w:color="auto" w:fill="FFFFFF" w:themeFill="background1"/>
                  </w:tcPr>
                  <w:p>
                    <w:pPr>
                      <w:rPr>
                        <w:sz w:val="20"/>
                      </w:rPr>
                    </w:pPr>
                    <w:r>
                      <w:rPr>
                        <w:iCs/>
                        <w:sz w:val="20"/>
                      </w:rPr>
                      <w:t>Rezultato</w:t>
                    </w:r>
                  </w:p>
                </w:tc>
                <w:tc>
                  <w:tcPr>
                    <w:tcW w:w="2541" w:type="dxa"/>
                    <w:shd w:val="clear" w:color="auto" w:fill="FFFFFF" w:themeFill="background1"/>
                  </w:tcPr>
                  <w:p>
                    <w:pPr>
                      <w:rPr>
                        <w:sz w:val="20"/>
                      </w:rPr>
                    </w:pPr>
                    <w:r>
                      <w:rPr>
                        <w:sz w:val="20"/>
                      </w:rPr>
                      <w:t>Naujos arba modernizuotos sveikatos priežiūros infrastruktūros talpumas</w:t>
                    </w:r>
                    <w:r>
                      <w:rPr>
                        <w:sz w:val="20"/>
                        <w:vertAlign w:val="superscript"/>
                      </w:rPr>
                      <w:t>2</w:t>
                    </w:r>
                  </w:p>
                </w:tc>
                <w:tc>
                  <w:tcPr>
                    <w:tcW w:w="1078" w:type="dxa"/>
                    <w:shd w:val="clear" w:color="auto" w:fill="FFFFFF" w:themeFill="background1"/>
                  </w:tcPr>
                  <w:p>
                    <w:pPr>
                      <w:jc w:val="center"/>
                      <w:rPr>
                        <w:sz w:val="20"/>
                      </w:rPr>
                    </w:pPr>
                    <w:r>
                      <w:rPr>
                        <w:sz w:val="20"/>
                      </w:rPr>
                      <w:t>Asmenys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41"/>
                </w:trPr>
                <w:tc>
                  <w:tcPr>
                    <w:tcW w:w="1346" w:type="dxa"/>
                    <w:shd w:val="clear" w:color="auto" w:fill="FFFFFF" w:themeFill="background1"/>
                  </w:tcPr>
                  <w:p>
                    <w:pPr>
                      <w:rPr>
                        <w:sz w:val="20"/>
                      </w:rPr>
                    </w:pPr>
                    <w:r>
                      <w:rPr>
                        <w:sz w:val="20"/>
                      </w:rPr>
                      <w:t>R-11-002-02-11-01-34</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Naujų ir patobulintų viešųjų skaitmeninių paslaugų, produktų ir procesų naudotojai</w:t>
                    </w:r>
                    <w:r>
                      <w:rPr>
                        <w:sz w:val="20"/>
                        <w:vertAlign w:val="superscript"/>
                      </w:rPr>
                      <w:t>2</w:t>
                    </w:r>
                  </w:p>
                </w:tc>
                <w:tc>
                  <w:tcPr>
                    <w:tcW w:w="1078" w:type="dxa"/>
                    <w:shd w:val="clear" w:color="auto" w:fill="FFFFFF" w:themeFill="background1"/>
                  </w:tcPr>
                  <w:p>
                    <w:pPr>
                      <w:jc w:val="center"/>
                      <w:rPr>
                        <w:sz w:val="20"/>
                      </w:rPr>
                    </w:pPr>
                    <w:r>
                      <w:rPr>
                        <w:sz w:val="20"/>
                      </w:rPr>
                      <w:t>Naudotojų skaičius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P-11-002-02-11-01-35</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 xml:space="preserve">Socialiniams partneriams pristatytas ir viešai konsultacijai pateiktas ilgalaikės priežiūros  paslaugų teikimo ir finansavimo modelis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P-11-002-02-11-01-36</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ind w:left="38"/>
                      <w:rPr>
                        <w:sz w:val="20"/>
                      </w:rPr>
                    </w:pPr>
                    <w:r>
                      <w:rPr>
                        <w:sz w:val="20"/>
                      </w:rPr>
                      <w:t xml:space="preserve">Įsigalioję teisės aktai, reglamentuojantys ilgalaikės priežiūros paslaugų modelio įgyvendinimą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P-11-002-02-11-01-37</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8"/>
                        <w:szCs w:val="8"/>
                      </w:rPr>
                    </w:pPr>
                  </w:p>
                  <w:p>
                    <w:pPr>
                      <w:rPr>
                        <w:sz w:val="20"/>
                        <w:lang w:eastAsia="lt-LT"/>
                      </w:rPr>
                    </w:pPr>
                    <w:r>
                      <w:rPr>
                        <w:sz w:val="20"/>
                      </w:rPr>
                      <w:t>Sukurtų ilgalaikės priežiūros specialistų komandų, teikiančių paslaugas gyventojų namuose, skaičius</w:t>
                    </w:r>
                    <w:r>
                      <w:rPr>
                        <w:sz w:val="20"/>
                        <w:lang w:eastAsia="lt-LT"/>
                      </w:rPr>
                      <w:t xml:space="preserve">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tcPr>
                  <w:p>
                    <w:pPr>
                      <w:jc w:val="center"/>
                      <w:rPr>
                        <w:sz w:val="20"/>
                      </w:rPr>
                    </w:pPr>
                    <w:r>
                      <w:rPr>
                        <w:sz w:val="20"/>
                      </w:rPr>
                      <w:t>90</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P-11-002-02-11-01-38</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Įkurtų specializuotų dienos priežiūros centrų, skirtų integruotoms ilgalaikės priežiūros paslaugoms teikti,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10</w:t>
                    </w:r>
                  </w:p>
                  <w:p>
                    <w:pPr>
                      <w:jc w:val="center"/>
                      <w:rPr>
                        <w:sz w:val="20"/>
                      </w:rPr>
                    </w:pPr>
                    <w:r>
                      <w:rPr>
                        <w:sz w:val="20"/>
                      </w:rPr>
                      <w:t>(2024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P-11-002-02-11-01-39</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 xml:space="preserve">Sveikatos priežiūros įstaigų bendradarbiavimo gerinimo ir infrastruktūros pritaikymo ekstremalioms situacijoms modernizavimo veiksmų plano projektas pateiktas konsultacijoms su socialiniais partneriais ir kitomis suinteresuotomis šalimis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P-11-002-02-11-01-40</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sz w:val="20"/>
                      </w:rPr>
                    </w:pPr>
                    <w:r>
                      <w:rPr>
                        <w:sz w:val="20"/>
                      </w:rPr>
                      <w:t xml:space="preserve">Įsigaliojęs sveikatos priežiūros įstaigų bendradarbiavimo gerinimo ir infrastruktūros pritaikymo ekstremaliosioms situacijoms modernizavimo veiksmų planas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P-11-002-02-11-01-41</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jc w:val="both"/>
                      <w:rPr>
                        <w:sz w:val="20"/>
                      </w:rPr>
                    </w:pPr>
                    <w:r>
                      <w:rPr>
                        <w:sz w:val="20"/>
                        <w:lang w:eastAsia="lt-LT"/>
                      </w:rPr>
                      <w:t xml:space="preserve">Nustatyti infekcinių ligų centrų infrastruktūros reikalavimai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lang w:eastAsia="lt-LT"/>
                      </w:rPr>
                      <w:t>Atlikta ligoninių tinklo veiklos rezultatų analizė, parodanti, kaip pokyčiai, įskaitant investicijas pagal Ekonomikos gaivinimo ir atsparumo didinimo priemonę, prisideda prie galimybių geriau užtikrinti tam tikrą gydomųjų</w:t>
                    </w:r>
                    <w:r>
                      <w:rPr>
                        <w:b/>
                        <w:bCs/>
                        <w:sz w:val="20"/>
                        <w:lang w:eastAsia="lt-LT"/>
                      </w:rPr>
                      <w:t xml:space="preserve"> </w:t>
                    </w:r>
                    <w:r>
                      <w:rPr>
                        <w:sz w:val="20"/>
                        <w:lang w:eastAsia="lt-LT"/>
                      </w:rPr>
                      <w:t>lovų skaičių jo nedidinant. Analizė taip pat turėtų būti perspektyvinė ir ją atliekant turėtų būti atsižvelgiama į prognozuojamą paklausą</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P-11-002-02-11-01-43</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rPr>
                      <w:t>Modernizuotų infekcinių ligų klasterio kompetencijos centrų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ind w:firstLine="53"/>
                      <w:jc w:val="center"/>
                      <w:rPr>
                        <w:bCs/>
                        <w:sz w:val="20"/>
                      </w:rPr>
                    </w:pPr>
                    <w:r>
                      <w:rPr>
                        <w:bCs/>
                        <w:sz w:val="20"/>
                      </w:rPr>
                      <w:t>5</w:t>
                    </w:r>
                  </w:p>
                  <w:p>
                    <w:pPr>
                      <w:jc w:val="center"/>
                      <w:rPr>
                        <w:sz w:val="20"/>
                      </w:rPr>
                    </w:pPr>
                    <w:r>
                      <w:rPr>
                        <w:bCs/>
                        <w:sz w:val="20"/>
                      </w:rPr>
                      <w:t>(2026 m. II ketv.)</w:t>
                    </w:r>
                  </w:p>
                </w:tc>
                <w:tc>
                  <w:tcPr>
                    <w:tcW w:w="1344" w:type="dxa"/>
                    <w:shd w:val="clear" w:color="auto" w:fill="FFFFFF" w:themeFill="background1"/>
                  </w:tcPr>
                  <w:p>
                    <w:pPr>
                      <w:jc w:val="center"/>
                      <w:rPr>
                        <w:sz w:val="20"/>
                      </w:rPr>
                    </w:pPr>
                    <w:r>
                      <w:rPr>
                        <w:sz w:val="20"/>
                      </w:rPr>
                      <w:t>EGADP</w:t>
                    </w:r>
                  </w:p>
                </w:tc>
              </w:tr>
              <w:tr>
                <w:trPr>
                  <w:trHeight w:val="330"/>
                </w:trPr>
                <w:tc>
                  <w:tcPr>
                    <w:tcW w:w="1346" w:type="dxa"/>
                    <w:shd w:val="clear" w:color="auto" w:fill="FFFFFF" w:themeFill="background1"/>
                  </w:tcPr>
                  <w:p>
                    <w:pPr>
                      <w:rPr>
                        <w:sz w:val="20"/>
                      </w:rPr>
                    </w:pPr>
                    <w:r>
                      <w:rPr>
                        <w:sz w:val="20"/>
                      </w:rPr>
                      <w:t>P-11-002-02-11-01-44</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lang w:eastAsia="lt-LT"/>
                      </w:rPr>
                      <w:t>Nustatyti ligoninių skubiosios medicinos pagalbos, reanimacijos ir intensyviosios terapijos skyrių infrastruktūros reikalavimai</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P-11-002-02-11-01-45</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sz w:val="20"/>
                      </w:rPr>
                    </w:pPr>
                    <w:r>
                      <w:rPr>
                        <w:sz w:val="20"/>
                      </w:rPr>
                      <w:t>Ligoninių, kuriose įrengti modernizuoti skubiosios pagalbos, reanimacijos arba intensyviosios terapijos skyriai,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7</w:t>
                    </w:r>
                  </w:p>
                  <w:p>
                    <w:pPr>
                      <w:jc w:val="center"/>
                      <w:rPr>
                        <w:sz w:val="20"/>
                      </w:rPr>
                    </w:pPr>
                    <w:r>
                      <w:rPr>
                        <w:sz w:val="20"/>
                      </w:rPr>
                      <w:t>(2026 m. II ketv.)</w:t>
                    </w:r>
                  </w:p>
                </w:tc>
                <w:tc>
                  <w:tcPr>
                    <w:tcW w:w="1344" w:type="dxa"/>
                    <w:shd w:val="clear" w:color="auto" w:fill="FFFFFF" w:themeFill="background1"/>
                  </w:tcPr>
                  <w:p>
                    <w:pPr>
                      <w:jc w:val="center"/>
                      <w:rPr>
                        <w:iCs/>
                        <w:sz w:val="20"/>
                      </w:rPr>
                    </w:pPr>
                    <w:r>
                      <w:rPr>
                        <w:sz w:val="20"/>
                      </w:rPr>
                      <w:t>EGADP</w:t>
                    </w:r>
                  </w:p>
                </w:tc>
              </w:tr>
              <w:tr>
                <w:trPr>
                  <w:trHeight w:val="330"/>
                </w:trPr>
                <w:tc>
                  <w:tcPr>
                    <w:tcW w:w="1346" w:type="dxa"/>
                    <w:shd w:val="clear" w:color="auto" w:fill="FFFFFF" w:themeFill="background1"/>
                  </w:tcPr>
                  <w:p>
                    <w:pPr>
                      <w:spacing w:line="276" w:lineRule="auto"/>
                      <w:rPr>
                        <w:sz w:val="20"/>
                      </w:rPr>
                    </w:pPr>
                    <w:r>
                      <w:rPr>
                        <w:sz w:val="20"/>
                      </w:rPr>
                      <w:t>P-11-002-02-11-01-46</w:t>
                    </w:r>
                  </w:p>
                </w:tc>
                <w:tc>
                  <w:tcPr>
                    <w:tcW w:w="1079" w:type="dxa"/>
                    <w:shd w:val="clear" w:color="auto" w:fill="FFFFFF" w:themeFill="background1"/>
                  </w:tcPr>
                  <w:p>
                    <w:pPr>
                      <w:spacing w:line="276" w:lineRule="auto"/>
                      <w:rPr>
                        <w:sz w:val="20"/>
                      </w:rPr>
                    </w:pPr>
                    <w:r>
                      <w:rPr>
                        <w:iCs/>
                        <w:sz w:val="20"/>
                      </w:rPr>
                      <w:t>Produkto</w:t>
                    </w:r>
                  </w:p>
                </w:tc>
                <w:tc>
                  <w:tcPr>
                    <w:tcW w:w="2541" w:type="dxa"/>
                    <w:shd w:val="clear" w:color="auto" w:fill="FFFFFF" w:themeFill="background1"/>
                  </w:tcPr>
                  <w:p>
                    <w:pPr>
                      <w:spacing w:line="276" w:lineRule="auto"/>
                      <w:rPr>
                        <w:sz w:val="20"/>
                      </w:rPr>
                    </w:pPr>
                    <w:r>
                      <w:rPr>
                        <w:sz w:val="20"/>
                      </w:rPr>
                      <w:t xml:space="preserve">Pažangiosios terapijos centro pastato statybos darbų viešojo pirkimo procedūrų užbaigimas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spacing w:line="276" w:lineRule="auto"/>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spacing w:line="276" w:lineRule="auto"/>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spacing w:line="276" w:lineRule="auto"/>
                      <w:rPr>
                        <w:sz w:val="20"/>
                      </w:rPr>
                    </w:pPr>
                    <w:r>
                      <w:rPr>
                        <w:sz w:val="20"/>
                      </w:rPr>
                      <w:t xml:space="preserve">Pažangiosios terapijos centras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(2026 m. II ketv.)</w:t>
                    </w:r>
                  </w:p>
                </w:tc>
                <w:tc>
                  <w:tcPr>
                    <w:tcW w:w="1344" w:type="dxa"/>
                    <w:shd w:val="clear" w:color="auto" w:fill="FFFFFF" w:themeFill="background1"/>
                  </w:tcPr>
                  <w:p>
                    <w:pPr>
                      <w:spacing w:line="276" w:lineRule="auto"/>
                      <w:jc w:val="center"/>
                      <w:rPr>
                        <w:iCs/>
                        <w:sz w:val="20"/>
                      </w:rPr>
                    </w:pPr>
                    <w:r>
                      <w:rPr>
                        <w:sz w:val="20"/>
                      </w:rPr>
                      <w:t>EGADP</w:t>
                    </w:r>
                  </w:p>
                </w:tc>
              </w:tr>
              <w:tr>
                <w:trPr>
                  <w:trHeight w:val="889"/>
                </w:trPr>
                <w:tc>
                  <w:tcPr>
                    <w:tcW w:w="1346" w:type="dxa"/>
                    <w:shd w:val="clear" w:color="auto" w:fill="FFFFFF" w:themeFill="background1"/>
                  </w:tcPr>
                  <w:p>
                    <w:pPr>
                      <w:rPr>
                        <w:sz w:val="20"/>
                      </w:rPr>
                    </w:pPr>
                    <w:r>
                      <w:rPr>
                        <w:sz w:val="20"/>
                      </w:rPr>
                      <w:t>P-11-002-02-11-01-48</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lang w:eastAsia="lt-LT"/>
                      </w:rPr>
                      <w:t xml:space="preserve">Patvirtinti teisės aktai dėl genomo tyrimų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P-11-002-02-11-01-49</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jc w:val="both"/>
                      <w:rPr>
                        <w:sz w:val="20"/>
                      </w:rPr>
                    </w:pPr>
                    <w:r>
                      <w:rPr>
                        <w:sz w:val="20"/>
                      </w:rPr>
                      <w:t xml:space="preserve">Atliktų žmogaus genomo sekos nustatymo tyrimų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1 570</w:t>
                    </w:r>
                  </w:p>
                  <w:p>
                    <w:pPr>
                      <w:jc w:val="center"/>
                      <w:rPr>
                        <w:sz w:val="20"/>
                      </w:rPr>
                    </w:pPr>
                    <w:r>
                      <w:rPr>
                        <w:sz w:val="20"/>
                      </w:rPr>
                      <w:t>(2026 m. I ketv.)</w:t>
                    </w:r>
                  </w:p>
                </w:tc>
                <w:tc>
                  <w:tcPr>
                    <w:tcW w:w="1344" w:type="dxa"/>
                    <w:shd w:val="clear" w:color="auto" w:fill="FFFFFF" w:themeFill="background1"/>
                  </w:tcPr>
                  <w:p>
                    <w:pPr>
                      <w:jc w:val="center"/>
                      <w:rPr>
                        <w:sz w:val="20"/>
                      </w:rPr>
                    </w:pPr>
                    <w:r>
                      <w:rPr>
                        <w:sz w:val="20"/>
                      </w:rPr>
                      <w:t>EGADP</w:t>
                    </w:r>
                  </w:p>
                </w:tc>
              </w:tr>
              <w:tr>
                <w:trPr>
                  <w:trHeight w:val="330"/>
                </w:trPr>
                <w:tc>
                  <w:tcPr>
                    <w:tcW w:w="1346" w:type="dxa"/>
                    <w:shd w:val="clear" w:color="auto" w:fill="FFFFFF" w:themeFill="background1"/>
                  </w:tcPr>
                  <w:p>
                    <w:pPr>
                      <w:rPr>
                        <w:sz w:val="20"/>
                      </w:rPr>
                    </w:pPr>
                    <w:r>
                      <w:rPr>
                        <w:sz w:val="20"/>
                      </w:rPr>
                      <w:t>P-11-002-02-11-01-50</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rPr>
                      <w:t xml:space="preserve">Sudarytas  sveikatos priežiūros sistemos informacinių išteklių žemėlapis ir atlikta informacinių  sistemų brandos analizė, įvertinant integralumą su kitomis informacinėmis sistemomis, siekiant sveikatos priežiūros sistemos skaitmeninimo</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P-11-002-02-11-01-51</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rPr>
                      <w:t xml:space="preserve">Įsigalioję teisės aktai, reglamentuojantys pakartotinį  sveikatos duomenų naudojimą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lang w:eastAsia="lt-LT"/>
                      </w:rPr>
                      <w:t>Atviros viešųjų pirkimų procedūros, skirtos sveikatos priežiūros specialistų gebėjimų platformos informacinių technologijų priemonei įdiegti, užbaigimas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P-11-002-02-11-01-53</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Sveikatos priežiūros specialistų kompetencijų platformos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sz w:val="20"/>
                      </w:rPr>
                    </w:pPr>
                    <w:r>
                      <w:rPr>
                        <w:sz w:val="20"/>
                      </w:rPr>
                      <w:t>EGADP</w:t>
                    </w:r>
                  </w:p>
                </w:tc>
              </w:tr>
              <w:tr>
                <w:trPr>
                  <w:trHeight w:val="330"/>
                </w:trPr>
                <w:tc>
                  <w:tcPr>
                    <w:tcW w:w="1346" w:type="dxa"/>
                    <w:shd w:val="clear" w:color="auto" w:fill="FFFFFF" w:themeFill="background1"/>
                  </w:tcPr>
                  <w:p>
                    <w:pPr>
                      <w:rPr>
                        <w:sz w:val="20"/>
                      </w:rPr>
                    </w:pPr>
                    <w:r>
                      <w:rPr>
                        <w:sz w:val="20"/>
                      </w:rPr>
                      <w:t>P-11-002-02-11-01-54</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lang w:eastAsia="lt-LT"/>
                      </w:rPr>
                      <w:t>Informacinės sistemos (platformos), skirtos sveikatos priežiūros specialistų licencijoms registruoti ir skaitmeninei stebėsenai vykdyti,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P-11-002-02-11-01-55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Atliktų sveikatos sektoriaus analizių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6</w:t>
                    </w:r>
                  </w:p>
                  <w:p>
                    <w:pPr>
                      <w:jc w:val="center"/>
                      <w:rPr>
                        <w:sz w:val="20"/>
                      </w:rPr>
                    </w:pPr>
                    <w:r>
                      <w:rPr>
                        <w:sz w:val="20"/>
                      </w:rPr>
                      <w:t>(2022 m.)</w:t>
                    </w:r>
                  </w:p>
                </w:tc>
                <w:tc>
                  <w:tcPr>
                    <w:tcW w:w="1079" w:type="dxa"/>
                    <w:shd w:val="clear" w:color="auto" w:fill="FFFFFF" w:themeFill="background1"/>
                  </w:tcPr>
                  <w:p>
                    <w:pPr>
                      <w:jc w:val="center"/>
                      <w:rPr>
                        <w:sz w:val="20"/>
                        <w:lang w:val="en-US"/>
                      </w:rPr>
                    </w:pPr>
                    <w:r>
                      <w:rPr>
                        <w:sz w:val="20"/>
                        <w:lang w:val="en-US"/>
                      </w:rPr>
                      <w:t>6</w:t>
                    </w:r>
                  </w:p>
                  <w:p>
                    <w:pPr>
                      <w:jc w:val="center"/>
                      <w:rPr>
                        <w:sz w:val="20"/>
                      </w:rPr>
                    </w:pPr>
                    <w:r>
                      <w:rPr>
                        <w:sz w:val="20"/>
                      </w:rPr>
                      <w:t>(2022 m. )</w:t>
                    </w:r>
                  </w:p>
                </w:tc>
                <w:tc>
                  <w:tcPr>
                    <w:tcW w:w="1344" w:type="dxa"/>
                    <w:shd w:val="clear" w:color="auto" w:fill="FFFFFF" w:themeFill="background1"/>
                  </w:tcPr>
                  <w:p>
                    <w:pPr>
                      <w:spacing w:line="276" w:lineRule="auto"/>
                      <w:ind w:firstLine="53"/>
                      <w:jc w:val="center"/>
                      <w:rPr>
                        <w:bCs/>
                        <w:sz w:val="20"/>
                      </w:rPr>
                    </w:pPr>
                    <w:r>
                      <w:rPr>
                        <w:bCs/>
                        <w:sz w:val="20"/>
                      </w:rPr>
                      <w:t>VB</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R-11-002-02-11-01-56</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Rezultato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lang w:eastAsia="lt-LT"/>
                      </w:rPr>
                      <w:t>Specialistų, kurie po dalyvavimo veiklose įgijo ar patobulino kvalifikaciją, dalis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Proc.</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38</w:t>
                    </w:r>
                  </w:p>
                  <w:p>
                    <w:pPr>
                      <w:jc w:val="center"/>
                      <w:rPr>
                        <w:sz w:val="20"/>
                      </w:rPr>
                    </w:pPr>
                    <w:r>
                      <w:rPr>
                        <w:sz w:val="20"/>
                      </w:rPr>
                      <w:t>(2021 m.)</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n/a</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90</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highlight w:val="yellow"/>
                      </w:rPr>
                    </w:pPr>
                    <w:r>
                      <w:rPr>
                        <w:bCs/>
                        <w:sz w:val="20"/>
                      </w:rPr>
                      <w:t>2021</w:t>
                    </w:r>
                    <w:r>
                      <w:rPr>
                        <w:sz w:val="20"/>
                      </w:rPr>
                      <w:t>–</w:t>
                    </w:r>
                    <w:r>
                      <w:rPr>
                        <w:bCs/>
                        <w:sz w:val="20"/>
                      </w:rPr>
                      <w:t>2027 m. IP (ESF+);</w:t>
                    </w:r>
                  </w:p>
                  <w:p>
                    <w:pPr>
                      <w:jc w:val="center"/>
                      <w:rPr>
                        <w:bCs/>
                        <w:sz w:val="20"/>
                      </w:rPr>
                    </w:pPr>
                    <w:r>
                      <w:rPr>
                        <w:bCs/>
                        <w:sz w:val="20"/>
                      </w:rPr>
                      <w:t>Antrojo Šveicarijos įnašo finansinės paramos lėšos (toliau – AŠĮFP)</w:t>
                    </w:r>
                  </w:p>
                </w:tc>
              </w:tr>
              <w:tr>
                <w:trPr>
                  <w:trHeight w:val="330"/>
                </w:trPr>
                <w:tc>
                  <w:tcPr>
                    <w:tcW w:w="1346" w:type="dxa"/>
                    <w:shd w:val="clear" w:color="auto" w:fill="FFFFFF"/>
                  </w:tcPr>
                  <w:p>
                    <w:pPr>
                      <w:rPr>
                        <w:sz w:val="20"/>
                      </w:rPr>
                    </w:pPr>
                    <w:r>
                      <w:rPr>
                        <w:sz w:val="20"/>
                      </w:rPr>
                      <w:t>P-11-002-02-11-01-57</w:t>
                    </w:r>
                  </w:p>
                </w:tc>
                <w:tc>
                  <w:tcPr>
                    <w:tcW w:w="1079" w:type="dxa"/>
                    <w:shd w:val="clear" w:color="auto" w:fill="FFFFFF"/>
                  </w:tcPr>
                  <w:p>
                    <w:pPr>
                      <w:rPr>
                        <w:sz w:val="20"/>
                      </w:rPr>
                    </w:pPr>
                    <w:r>
                      <w:rPr>
                        <w:sz w:val="20"/>
                      </w:rPr>
                      <w:t>Produkto</w:t>
                    </w:r>
                  </w:p>
                </w:tc>
                <w:tc>
                  <w:tcPr>
                    <w:tcW w:w="2541" w:type="dxa"/>
                    <w:shd w:val="clear" w:color="auto" w:fill="FFFFFF"/>
                  </w:tcPr>
                  <w:p>
                    <w:pPr>
                      <w:rPr>
                        <w:sz w:val="20"/>
                      </w:rPr>
                    </w:pPr>
                    <w:r>
                      <w:rPr>
                        <w:sz w:val="20"/>
                      </w:rPr>
                      <w:t>Sveikatos priežiūros įstaigos, įgyvendinusios sveikatos priežiūros specialistų įgalinimo, pritraukimo ir išlaikymo projektus</w:t>
                    </w:r>
                  </w:p>
                </w:tc>
                <w:tc>
                  <w:tcPr>
                    <w:tcW w:w="1078" w:type="dxa"/>
                    <w:shd w:val="clear" w:color="auto" w:fill="FFFFFF"/>
                  </w:tcPr>
                  <w:p>
                    <w:pPr>
                      <w:jc w:val="center"/>
                      <w:rPr>
                        <w:sz w:val="20"/>
                      </w:rPr>
                    </w:pPr>
                    <w:r>
                      <w:rPr>
                        <w:sz w:val="20"/>
                      </w:rPr>
                      <w:t>Skaičius</w:t>
                    </w:r>
                  </w:p>
                </w:tc>
                <w:tc>
                  <w:tcPr>
                    <w:tcW w:w="1078" w:type="dxa"/>
                    <w:shd w:val="clear" w:color="auto" w:fill="FFFFFF"/>
                  </w:tcPr>
                  <w:p>
                    <w:pPr>
                      <w:jc w:val="center"/>
                      <w:rPr>
                        <w:sz w:val="20"/>
                      </w:rPr>
                    </w:pPr>
                    <w:r>
                      <w:rPr>
                        <w:sz w:val="20"/>
                      </w:rPr>
                      <w:t>0</w:t>
                    </w:r>
                  </w:p>
                </w:tc>
                <w:tc>
                  <w:tcPr>
                    <w:tcW w:w="945" w:type="dxa"/>
                    <w:shd w:val="clear" w:color="auto" w:fill="FFFFFF"/>
                  </w:tcPr>
                  <w:p>
                    <w:pPr>
                      <w:jc w:val="both"/>
                      <w:rPr>
                        <w:sz w:val="20"/>
                      </w:rPr>
                    </w:pPr>
                    <w:r>
                      <w:rPr>
                        <w:sz w:val="20"/>
                      </w:rPr>
                      <w:t>5</w:t>
                    </w:r>
                  </w:p>
                  <w:p>
                    <w:pPr>
                      <w:jc w:val="center"/>
                      <w:rPr>
                        <w:sz w:val="20"/>
                      </w:rPr>
                    </w:pPr>
                    <w:r>
                      <w:rPr>
                        <w:sz w:val="20"/>
                      </w:rPr>
                      <w:t>(2024 m.)</w:t>
                    </w:r>
                  </w:p>
                </w:tc>
                <w:tc>
                  <w:tcPr>
                    <w:tcW w:w="1079" w:type="dxa"/>
                    <w:shd w:val="clear" w:color="auto" w:fill="FFFFFF"/>
                  </w:tcPr>
                  <w:p>
                    <w:pPr>
                      <w:jc w:val="both"/>
                      <w:rPr>
                        <w:sz w:val="20"/>
                      </w:rPr>
                    </w:pPr>
                    <w:r>
                      <w:rPr>
                        <w:sz w:val="20"/>
                      </w:rPr>
                      <w:t>105</w:t>
                    </w:r>
                  </w:p>
                  <w:p>
                    <w:pPr>
                      <w:jc w:val="center"/>
                      <w:rPr>
                        <w:sz w:val="20"/>
                      </w:rPr>
                    </w:pPr>
                    <w:r>
                      <w:rPr>
                        <w:sz w:val="20"/>
                      </w:rPr>
                      <w:t>(2029 m.)</w:t>
                    </w:r>
                  </w:p>
                </w:tc>
                <w:tc>
                  <w:tcPr>
                    <w:tcW w:w="1344" w:type="dxa"/>
                    <w:shd w:val="clear" w:color="auto" w:fill="FFFFFF"/>
                  </w:tcPr>
                  <w:p>
                    <w:pPr>
                      <w:jc w:val="center"/>
                      <w:rPr>
                        <w:bCs/>
                        <w:sz w:val="20"/>
                      </w:rPr>
                    </w:pPr>
                    <w:r>
                      <w:rPr>
                        <w:sz w:val="20"/>
                      </w:rPr>
                      <w:t>2021–2027 m. IP (ESF+)</w:t>
                    </w:r>
                  </w:p>
                </w:tc>
              </w:tr>
              <w:tr>
                <w:trPr>
                  <w:trHeight w:val="330"/>
                </w:trPr>
                <w:tc>
                  <w:tcPr>
                    <w:tcW w:w="1346" w:type="dxa"/>
                    <w:shd w:val="clear" w:color="auto" w:fill="FFFFFF" w:themeFill="background1"/>
                  </w:tcPr>
                  <w:p>
                    <w:pPr>
                      <w:spacing w:line="276" w:lineRule="auto"/>
                      <w:rPr>
                        <w:sz w:val="20"/>
                      </w:rPr>
                    </w:pPr>
                    <w:r>
                      <w:rPr>
                        <w:sz w:val="20"/>
                      </w:rPr>
                      <w:t>P-11-002-02-11-01-58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Tikslinių grupių asmenys, gavę naujas ar patobulintas psichikos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1 050</w:t>
                    </w:r>
                  </w:p>
                  <w:p>
                    <w:pPr>
                      <w:jc w:val="center"/>
                      <w:rPr>
                        <w:sz w:val="20"/>
                      </w:rPr>
                    </w:pPr>
                    <w:r>
                      <w:rPr>
                        <w:sz w:val="20"/>
                      </w:rPr>
                      <w:t>(2024 m.)</w:t>
                    </w:r>
                  </w:p>
                </w:tc>
                <w:tc>
                  <w:tcPr>
                    <w:tcW w:w="1079" w:type="dxa"/>
                    <w:shd w:val="clear" w:color="auto" w:fill="FFFFFF" w:themeFill="background1"/>
                  </w:tcPr>
                  <w:p>
                    <w:pPr>
                      <w:jc w:val="center"/>
                      <w:rPr>
                        <w:b/>
                        <w:bCs/>
                        <w:sz w:val="20"/>
                      </w:rPr>
                    </w:pPr>
                    <w:r>
                      <w:rPr>
                        <w:sz w:val="20"/>
                      </w:rPr>
                      <w:t>7 000</w:t>
                    </w:r>
                    <w:r>
                      <w:rPr>
                        <w:b/>
                        <w:bCs/>
                        <w:sz w:val="20"/>
                      </w:rPr>
                      <w:t xml:space="preserve"> </w:t>
                    </w:r>
                  </w:p>
                  <w:p>
                    <w:pPr>
                      <w:jc w:val="center"/>
                      <w:rPr>
                        <w:sz w:val="20"/>
                      </w:rPr>
                    </w:pPr>
                    <w:r>
                      <w:rPr>
                        <w:sz w:val="20"/>
                      </w:rPr>
                      <w:t>(2029 m.)</w:t>
                    </w:r>
                  </w:p>
                </w:tc>
                <w:tc>
                  <w:tcPr>
                    <w:tcW w:w="1344" w:type="dxa"/>
                    <w:shd w:val="clear" w:color="auto" w:fill="FFFFFF" w:themeFill="background1"/>
                  </w:tcPr>
                  <w:p>
                    <w:pPr>
                      <w:ind w:left="-112" w:firstLine="112"/>
                      <w:jc w:val="center"/>
                      <w:rPr>
                        <w:bCs/>
                        <w:sz w:val="20"/>
                      </w:rPr>
                    </w:pPr>
                    <w:r>
                      <w:rPr>
                        <w:bCs/>
                        <w:sz w:val="20"/>
                      </w:rPr>
                      <w:t>2021</w:t>
                    </w:r>
                    <w:r>
                      <w:rPr>
                        <w:szCs w:val="24"/>
                      </w:rPr>
                      <w:t>–</w:t>
                    </w:r>
                    <w:r>
                      <w:rPr>
                        <w:sz w:val="20"/>
                      </w:rPr>
                      <w:t>2</w:t>
                    </w:r>
                    <w:r>
                      <w:rPr>
                        <w:bCs/>
                        <w:sz w:val="20"/>
                      </w:rPr>
                      <w:t>027 m. IP (ESF+)</w:t>
                    </w:r>
                  </w:p>
                </w:tc>
              </w:tr>
              <w:tr>
                <w:trPr>
                  <w:trHeight w:val="330"/>
                </w:trPr>
                <w:tc>
                  <w:tcPr>
                    <w:tcW w:w="1346" w:type="dxa"/>
                    <w:shd w:val="clear" w:color="auto" w:fill="FFFFFF" w:themeFill="background1"/>
                  </w:tcPr>
                  <w:p>
                    <w:pPr>
                      <w:spacing w:line="276" w:lineRule="auto"/>
                      <w:rPr>
                        <w:sz w:val="20"/>
                      </w:rPr>
                    </w:pPr>
                    <w:r>
                      <w:rPr>
                        <w:sz w:val="20"/>
                      </w:rPr>
                      <w:t>P-11-002-02-11-01-59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ar perkvalifikavimo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900</w:t>
                    </w:r>
                  </w:p>
                  <w:p>
                    <w:pPr>
                      <w:jc w:val="center"/>
                      <w:rPr>
                        <w:sz w:val="20"/>
                      </w:rPr>
                    </w:pPr>
                    <w:r>
                      <w:rPr>
                        <w:sz w:val="20"/>
                      </w:rPr>
                      <w:t>(2024 m.)</w:t>
                    </w:r>
                  </w:p>
                </w:tc>
                <w:tc>
                  <w:tcPr>
                    <w:tcW w:w="1079" w:type="dxa"/>
                    <w:shd w:val="clear" w:color="auto" w:fill="FFFFFF" w:themeFill="background1"/>
                  </w:tcPr>
                  <w:p>
                    <w:pPr>
                      <w:jc w:val="center"/>
                      <w:rPr>
                        <w:sz w:val="20"/>
                      </w:rPr>
                    </w:pPr>
                    <w:r>
                      <w:rPr>
                        <w:sz w:val="20"/>
                      </w:rPr>
                      <w:t>29 810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szCs w:val="24"/>
                      </w:rPr>
                      <w:t>–</w:t>
                    </w:r>
                    <w:r>
                      <w:rPr>
                        <w:bCs/>
                        <w:sz w:val="20"/>
                      </w:rPr>
                      <w:t>2027 m. IP (ESF+)</w:t>
                    </w:r>
                  </w:p>
                </w:tc>
              </w:tr>
              <w:tr>
                <w:trPr>
                  <w:trHeight w:val="330"/>
                </w:trPr>
                <w:tc>
                  <w:tcPr>
                    <w:tcW w:w="1346" w:type="dxa"/>
                    <w:shd w:val="clear" w:color="auto" w:fill="FFFFFF"/>
                  </w:tcPr>
                  <w:p>
                    <w:pPr>
                      <w:spacing w:line="276" w:lineRule="auto"/>
                      <w:rPr>
                        <w:sz w:val="20"/>
                      </w:rPr>
                    </w:pPr>
                    <w:r>
                      <w:rPr>
                        <w:sz w:val="20"/>
                      </w:rPr>
                      <w:t>P-11-002-02-11-01-60</w:t>
                    </w:r>
                  </w:p>
                </w:tc>
                <w:tc>
                  <w:tcPr>
                    <w:tcW w:w="1079" w:type="dxa"/>
                    <w:shd w:val="clear" w:color="auto" w:fill="FFFFFF"/>
                  </w:tcPr>
                  <w:p>
                    <w:pPr>
                      <w:spacing w:line="276" w:lineRule="auto"/>
                      <w:rPr>
                        <w:sz w:val="20"/>
                      </w:rPr>
                    </w:pPr>
                    <w:r>
                      <w:rPr>
                        <w:sz w:val="20"/>
                      </w:rPr>
                      <w:t>Produkto</w:t>
                    </w:r>
                  </w:p>
                </w:tc>
                <w:tc>
                  <w:tcPr>
                    <w:tcW w:w="2541" w:type="dxa"/>
                    <w:shd w:val="clear" w:color="auto" w:fill="FFFFFF"/>
                  </w:tcPr>
                  <w:p>
                    <w:pPr>
                      <w:rPr>
                        <w:sz w:val="20"/>
                      </w:rPr>
                    </w:pPr>
                    <w:r>
                      <w:rPr>
                        <w:sz w:val="20"/>
                      </w:rPr>
                      <w:t>Asmenys, dalyvavę kvalifikacijos įgijimo veiklose</w:t>
                    </w:r>
                  </w:p>
                </w:tc>
                <w:tc>
                  <w:tcPr>
                    <w:tcW w:w="1078" w:type="dxa"/>
                    <w:shd w:val="clear" w:color="auto" w:fill="FFFFFF"/>
                  </w:tcPr>
                  <w:p>
                    <w:pPr>
                      <w:spacing w:line="276" w:lineRule="auto"/>
                      <w:jc w:val="center"/>
                      <w:rPr>
                        <w:sz w:val="20"/>
                      </w:rPr>
                    </w:pPr>
                    <w:r>
                      <w:rPr>
                        <w:sz w:val="20"/>
                      </w:rPr>
                      <w:t>Asmenys</w:t>
                    </w:r>
                  </w:p>
                </w:tc>
                <w:tc>
                  <w:tcPr>
                    <w:tcW w:w="1078" w:type="dxa"/>
                    <w:shd w:val="clear" w:color="auto" w:fill="FFFFFF"/>
                  </w:tcPr>
                  <w:p>
                    <w:pPr>
                      <w:jc w:val="center"/>
                      <w:rPr>
                        <w:sz w:val="20"/>
                      </w:rPr>
                    </w:pPr>
                    <w:r>
                      <w:rPr>
                        <w:sz w:val="20"/>
                      </w:rPr>
                      <w:t>0</w:t>
                    </w:r>
                  </w:p>
                </w:tc>
                <w:tc>
                  <w:tcPr>
                    <w:tcW w:w="945" w:type="dxa"/>
                    <w:shd w:val="clear" w:color="auto" w:fill="FFFFFF"/>
                  </w:tcPr>
                  <w:p>
                    <w:pPr>
                      <w:jc w:val="both"/>
                      <w:rPr>
                        <w:sz w:val="20"/>
                      </w:rPr>
                    </w:pPr>
                    <w:r>
                      <w:rPr>
                        <w:sz w:val="20"/>
                      </w:rPr>
                      <w:t>0</w:t>
                    </w:r>
                  </w:p>
                  <w:p>
                    <w:pPr>
                      <w:jc w:val="center"/>
                      <w:rPr>
                        <w:sz w:val="20"/>
                      </w:rPr>
                    </w:pPr>
                    <w:r>
                      <w:rPr>
                        <w:sz w:val="20"/>
                      </w:rPr>
                      <w:t>(2024 m.)</w:t>
                    </w:r>
                  </w:p>
                </w:tc>
                <w:tc>
                  <w:tcPr>
                    <w:tcW w:w="1079" w:type="dxa"/>
                    <w:shd w:val="clear" w:color="auto" w:fill="FFFFFF"/>
                  </w:tcPr>
                  <w:p>
                    <w:pPr>
                      <w:jc w:val="both"/>
                      <w:rPr>
                        <w:sz w:val="20"/>
                      </w:rPr>
                    </w:pPr>
                    <w:r>
                      <w:rPr>
                        <w:sz w:val="20"/>
                      </w:rPr>
                      <w:t>324</w:t>
                    </w:r>
                  </w:p>
                  <w:p>
                    <w:pPr>
                      <w:jc w:val="center"/>
                      <w:rPr>
                        <w:sz w:val="20"/>
                        <w:lang w:val="en-US"/>
                      </w:rPr>
                    </w:pPr>
                    <w:r>
                      <w:rPr>
                        <w:sz w:val="20"/>
                      </w:rPr>
                      <w:t>(2029 m.)</w:t>
                    </w:r>
                  </w:p>
                </w:tc>
                <w:tc>
                  <w:tcPr>
                    <w:tcW w:w="1344" w:type="dxa"/>
                    <w:shd w:val="clear" w:color="auto" w:fill="FFFFFF"/>
                  </w:tcPr>
                  <w:p>
                    <w:pPr>
                      <w:jc w:val="center"/>
                      <w:rPr>
                        <w:bCs/>
                        <w:sz w:val="20"/>
                      </w:rPr>
                    </w:pPr>
                    <w:r>
                      <w:rPr>
                        <w:sz w:val="20"/>
                      </w:rPr>
                      <w:t>2021–2027 m. IP (ESF+)</w:t>
                    </w:r>
                  </w:p>
                </w:tc>
              </w:tr>
              <w:tr>
                <w:trPr>
                  <w:trHeight w:val="330"/>
                </w:trPr>
                <w:tc>
                  <w:tcPr>
                    <w:tcW w:w="1346" w:type="dxa"/>
                    <w:shd w:val="clear" w:color="auto" w:fill="FFFFFF" w:themeFill="background1"/>
                  </w:tcPr>
                  <w:p>
                    <w:pPr>
                      <w:spacing w:line="276" w:lineRule="auto"/>
                      <w:rPr>
                        <w:sz w:val="20"/>
                      </w:rPr>
                    </w:pPr>
                    <w:r>
                      <w:rPr>
                        <w:sz w:val="20"/>
                      </w:rPr>
                      <w:t>P-11-002-02-11-01-61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Sukurtas ir išbandytas pacientų pavėžėjimo paslaugų teikimo modelis</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lang w:val="en-US"/>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R-11-002-02-11-01-62</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Suteiktų pavėžėjimo paslaugų skaičius pagal bandomąjį pavėžėjimo paslaugų teikimo modelį</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40 000</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R-11-002-02-11-01-63</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Asmenų, kurie po dalyvavimo veiklose įgijo kvalifikaciją,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17</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80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szCs w:val="24"/>
                      </w:rPr>
                      <w:t>–</w:t>
                    </w:r>
                    <w:r>
                      <w:rPr>
                        <w:bCs/>
                        <w:sz w:val="20"/>
                      </w:rPr>
                      <w:t xml:space="preserve">2027 m. IP (ESF+); VB </w:t>
                    </w:r>
                  </w:p>
                </w:tc>
              </w:tr>
              <w:tr>
                <w:trPr>
                  <w:trHeight w:val="330"/>
                </w:trPr>
                <w:tc>
                  <w:tcPr>
                    <w:tcW w:w="1346" w:type="dxa"/>
                    <w:shd w:val="clear" w:color="auto" w:fill="FFFFFF" w:themeFill="background1"/>
                  </w:tcPr>
                  <w:p>
                    <w:pPr>
                      <w:spacing w:line="276" w:lineRule="auto"/>
                      <w:rPr>
                        <w:sz w:val="20"/>
                      </w:rPr>
                    </w:pPr>
                    <w:r>
                      <w:rPr>
                        <w:sz w:val="20"/>
                      </w:rPr>
                      <w:t>P-11-002-02-11-01-64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rFonts w:eastAsia="Calibri"/>
                        <w:sz w:val="20"/>
                        <w:lang w:eastAsia="lt-LT" w:bidi="lt-LT"/>
                      </w:rPr>
                      <w:t>Asmenys, dalyvavę veiklose, skirtose lėtinei ligai savarankiškai valdyti</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5 000</w:t>
                    </w:r>
                  </w:p>
                  <w:p>
                    <w:pPr>
                      <w:jc w:val="center"/>
                      <w:rPr>
                        <w:sz w:val="20"/>
                      </w:rPr>
                    </w:pPr>
                    <w:r>
                      <w:rPr>
                        <w:sz w:val="20"/>
                      </w:rPr>
                      <w:t>(2024 m.)</w:t>
                    </w:r>
                  </w:p>
                </w:tc>
                <w:tc>
                  <w:tcPr>
                    <w:tcW w:w="1079" w:type="dxa"/>
                    <w:shd w:val="clear" w:color="auto" w:fill="FFFFFF" w:themeFill="background1"/>
                  </w:tcPr>
                  <w:p>
                    <w:pPr>
                      <w:jc w:val="center"/>
                      <w:rPr>
                        <w:sz w:val="20"/>
                      </w:rPr>
                    </w:pPr>
                    <w:r>
                      <w:rPr>
                        <w:sz w:val="20"/>
                      </w:rPr>
                      <w:t>25 000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R-11-002-02-11-01-65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Sveikatos priežiūros specialistų, kurie po dalyvavimo veiklose mažiausiai 2 metus dirbo sveikatos priežiūros įstaigose, dalis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80</w:t>
                    </w:r>
                  </w:p>
                  <w:p>
                    <w:pPr>
                      <w:jc w:val="center"/>
                      <w:rPr>
                        <w:sz w:val="20"/>
                        <w:lang w:val="en-US"/>
                      </w:rPr>
                    </w:pPr>
                    <w:r>
                      <w:rPr>
                        <w:sz w:val="20"/>
                        <w:lang w:val="en-US"/>
                      </w:rPr>
                      <w:t>(2029 m.)</w:t>
                    </w:r>
                  </w:p>
                </w:tc>
                <w:tc>
                  <w:tcPr>
                    <w:tcW w:w="1344" w:type="dxa"/>
                    <w:shd w:val="clear" w:color="auto" w:fill="FFFFFF" w:themeFill="background1"/>
                  </w:tcPr>
                  <w:p>
                    <w:pPr>
                      <w:spacing w:line="276" w:lineRule="auto"/>
                      <w:jc w:val="center"/>
                      <w:rPr>
                        <w:bCs/>
                        <w:sz w:val="20"/>
                      </w:rPr>
                    </w:pPr>
                    <w:r>
                      <w:rPr>
                        <w:bCs/>
                        <w:sz w:val="20"/>
                      </w:rPr>
                      <w:t>2021</w:t>
                    </w:r>
                    <w:r>
                      <w:rPr>
                        <w:szCs w:val="24"/>
                      </w:rPr>
                      <w:t>–</w:t>
                    </w:r>
                    <w:r>
                      <w:rPr>
                        <w:bCs/>
                        <w:sz w:val="20"/>
                      </w:rPr>
                      <w:t xml:space="preserve">2027 m. IP (ESF+) </w:t>
                    </w:r>
                  </w:p>
                </w:tc>
              </w:tr>
              <w:tr>
                <w:trPr>
                  <w:trHeight w:val="330"/>
                </w:trPr>
                <w:tc>
                  <w:tcPr>
                    <w:tcW w:w="1346" w:type="dxa"/>
                    <w:shd w:val="clear" w:color="auto" w:fill="FFFFFF" w:themeFill="background1"/>
                  </w:tcPr>
                  <w:p>
                    <w:pPr>
                      <w:spacing w:line="276" w:lineRule="auto"/>
                      <w:rPr>
                        <w:sz w:val="20"/>
                      </w:rPr>
                    </w:pPr>
                    <w:r>
                      <w:rPr>
                        <w:sz w:val="20"/>
                      </w:rPr>
                      <w:t>P-11-002-02-11-01-66</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Modernizuotų asmens sveikatos priežiūros įstaigų skaičius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13</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P-11-002-02-11-01-67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Lietuvos Respublikos sveikatos priežiūros įstaigų įstatymo, Lietuvos Respublikos sveikatos sistemos įstatymo ir susijusių teisės aktų pakeitimų įsigaliojimas</w:t>
                    </w:r>
                    <w:r>
                      <w:rPr>
                        <w:sz w:val="20"/>
                      </w:rPr>
                      <w:t xml:space="preserve"> </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(2022 m. IV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kompetencijos centrų ir regioninio bendradarbiavimo modeliu pagrįsto asmens sveikatos priežiūros įstaigų tinklo sukūrimo ir reglamentavimo</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(2023 m. III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Struktūrinius sveikatos priežiūros paslaugų teikimo pokyčius įgyvendinusių ASPĮ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250</w:t>
                    </w:r>
                  </w:p>
                </w:tc>
                <w:tc>
                  <w:tcPr>
                    <w:tcW w:w="1344" w:type="dxa"/>
                    <w:shd w:val="clear" w:color="auto" w:fill="FFFFFF" w:themeFill="background1"/>
                  </w:tcPr>
                  <w:p>
                    <w:pPr>
                      <w:jc w:val="center"/>
                      <w:rPr>
                        <w:bCs/>
                        <w:sz w:val="20"/>
                      </w:rPr>
                    </w:pPr>
                    <w:r>
                      <w:rPr>
                        <w:bCs/>
                        <w:sz w:val="20"/>
                      </w:rPr>
                      <w:t>VB</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Baigtas mažiausiai 1 000 ilgalaikės priežiūros specialistų mokymas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1 000</w:t>
                    </w:r>
                  </w:p>
                  <w:p>
                    <w:pPr>
                      <w:jc w:val="center"/>
                      <w:rPr>
                        <w:sz w:val="20"/>
                        <w:lang w:val="en-US"/>
                      </w:rPr>
                    </w:pPr>
                    <w:r>
                      <w:rPr>
                        <w:sz w:val="20"/>
                        <w:lang w:val="en-US"/>
                      </w:rPr>
                      <w:t>(2024 m. IV ketv.)</w:t>
                    </w:r>
                  </w:p>
                </w:tc>
                <w:tc>
                  <w:tcPr>
                    <w:tcW w:w="1344" w:type="dxa"/>
                    <w:shd w:val="clear" w:color="auto" w:fill="FFFFFF" w:themeFill="background1"/>
                  </w:tcPr>
                  <w:p>
                    <w:pPr>
                      <w:ind w:left="-57" w:right="-57"/>
                      <w:jc w:val="center"/>
                      <w:rPr>
                        <w:sz w:val="20"/>
                      </w:rPr>
                    </w:pPr>
                    <w:r>
                      <w:rPr>
                        <w:sz w:val="20"/>
                      </w:rPr>
                      <w:t>EGADP</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Parengta reformos komunikacijos strategija</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w:t>
                    </w:r>
                  </w:p>
                </w:tc>
                <w:tc>
                  <w:tcPr>
                    <w:tcW w:w="1344" w:type="dxa"/>
                    <w:shd w:val="clear" w:color="auto" w:fill="FFFFFF" w:themeFill="background1"/>
                  </w:tcPr>
                  <w:p>
                    <w:pPr>
                      <w:spacing w:line="276" w:lineRule="auto"/>
                      <w:jc w:val="center"/>
                      <w:rPr>
                        <w:bCs/>
                        <w:sz w:val="20"/>
                      </w:rPr>
                    </w:pPr>
                    <w:r>
                      <w:rPr>
                        <w:sz w:val="20"/>
                      </w:rPr>
                      <w:t>VB</w:t>
                    </w:r>
                  </w:p>
                </w:tc>
              </w:tr>
              <w:tr>
                <w:trPr>
                  <w:trHeight w:val="330"/>
                </w:trPr>
                <w:tc>
                  <w:tcPr>
                    <w:tcW w:w="1346" w:type="dxa"/>
                    <w:shd w:val="clear" w:color="auto" w:fill="FFFFFF" w:themeFill="background1"/>
                  </w:tcPr>
                  <w:p>
                    <w:pPr>
                      <w:spacing w:line="276" w:lineRule="auto"/>
                      <w:rPr>
                        <w:sz w:val="20"/>
                      </w:rPr>
                    </w:pPr>
                    <w:r>
                      <w:rPr>
                        <w:sz w:val="20"/>
                      </w:rPr>
                      <w:t>P-11-002-02-11-01-72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Sprendimo dėl reguliavimo, investavimo ir komunikacijos veiksmų siekiant sukurti tvarų sveikatos priežiūros įstaigų tinklą, priėmimas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 xml:space="preserve">(2023 m. I ketv.) </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sz w:val="20"/>
                      </w:rPr>
                    </w:pPr>
                    <w:r>
                      <w:rPr>
                        <w:sz w:val="20"/>
                      </w:rPr>
                      <w:t>P-11-002-02-11-01-73</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reglamentuojantys, pavėžėjimo paslaugų teikimo ir organizavimo reikalavimus</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P-11-002-02-11-01-74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veiklose</w:t>
                    </w:r>
                  </w:p>
                </w:tc>
                <w:tc>
                  <w:tcPr>
                    <w:tcW w:w="1078" w:type="dxa"/>
                    <w:shd w:val="clear" w:color="auto" w:fill="FFFFFF" w:themeFill="background1"/>
                  </w:tcPr>
                  <w:p>
                    <w:pPr>
                      <w:spacing w:line="276" w:lineRule="auto"/>
                      <w:jc w:val="center"/>
                      <w:rPr>
                        <w:sz w:val="20"/>
                      </w:rPr>
                    </w:pPr>
                    <w:r>
                      <w:rPr>
                        <w:iCs/>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18 000</w:t>
                    </w:r>
                  </w:p>
                </w:tc>
                <w:tc>
                  <w:tcPr>
                    <w:tcW w:w="1344" w:type="dxa"/>
                    <w:shd w:val="clear" w:color="auto" w:fill="FFFFFF" w:themeFill="background1"/>
                  </w:tcPr>
                  <w:p>
                    <w:pPr>
                      <w:spacing w:line="276" w:lineRule="auto"/>
                      <w:jc w:val="center"/>
                      <w:rPr>
                        <w:bCs/>
                        <w:sz w:val="20"/>
                      </w:rPr>
                    </w:pPr>
                    <w:r>
                      <w:rPr>
                        <w:sz w:val="20"/>
                      </w:rPr>
                      <w:t>VB</w:t>
                    </w:r>
                    <w:r>
                      <w:rPr>
                        <w:bCs/>
                        <w:sz w:val="20"/>
                      </w:rPr>
                      <w:t xml:space="preserve"> </w:t>
                    </w:r>
                  </w:p>
                </w:tc>
              </w:tr>
              <w:tr>
                <w:trPr>
                  <w:trHeight w:val="330"/>
                </w:trPr>
                <w:tc>
                  <w:tcPr>
                    <w:tcW w:w="1346" w:type="dxa"/>
                    <w:shd w:val="clear" w:color="auto" w:fill="FFFFFF" w:themeFill="background1"/>
                  </w:tcPr>
                  <w:p>
                    <w:pPr>
                      <w:spacing w:line="276" w:lineRule="auto"/>
                      <w:rPr>
                        <w:sz w:val="20"/>
                      </w:rPr>
                    </w:pPr>
                    <w:r>
                      <w:rPr>
                        <w:sz w:val="20"/>
                      </w:rPr>
                      <w:t>P-11-002-02-11-01-75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 xml:space="preserve">Patvirtintas atnaujintas Šeimos medicinos plėtros 2016–2025 m. veiksmų planas </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1 </w:t>
                    </w:r>
                  </w:p>
                  <w:p>
                    <w:pPr>
                      <w:jc w:val="center"/>
                      <w:rPr>
                        <w:sz w:val="20"/>
                        <w:lang w:val="en-US"/>
                      </w:rPr>
                    </w:pPr>
                    <w:r>
                      <w:rPr>
                        <w:sz w:val="20"/>
                      </w:rPr>
                      <w:t>(2022 m. IV ketv.)</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sz w:val="20"/>
                      </w:rPr>
                    </w:pPr>
                    <w:r>
                      <w:rPr>
                        <w:sz w:val="20"/>
                      </w:rPr>
                      <w:t>P-11-002-02-11-01-76</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Parengta ir patvirtinta ilgalaikė sveikatos žmogiškųjų išteklių valdymo strategija</w:t>
                    </w:r>
                    <w:r>
                      <w:rPr>
                        <w:sz w:val="20"/>
                        <w:vertAlign w:val="superscript"/>
                      </w:rPr>
                      <w:t>1</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ind w:firstLine="53"/>
                      <w:jc w:val="center"/>
                      <w:rPr>
                        <w:sz w:val="20"/>
                      </w:rPr>
                    </w:pPr>
                    <w:r>
                      <w:rPr>
                        <w:sz w:val="20"/>
                      </w:rPr>
                      <w:t>1</w:t>
                    </w:r>
                  </w:p>
                  <w:p>
                    <w:pPr>
                      <w:ind w:firstLine="53"/>
                      <w:jc w:val="center"/>
                      <w:rPr>
                        <w:sz w:val="20"/>
                      </w:rPr>
                    </w:pPr>
                    <w:r>
                      <w:rPr>
                        <w:sz w:val="20"/>
                      </w:rPr>
                      <w:t>(2026 m.)</w:t>
                    </w:r>
                  </w:p>
                </w:tc>
                <w:tc>
                  <w:tcPr>
                    <w:tcW w:w="1344" w:type="dxa"/>
                    <w:shd w:val="clear" w:color="auto" w:fill="FFFFFF" w:themeFill="background1"/>
                  </w:tcPr>
                  <w:p>
                    <w:pPr>
                      <w:spacing w:line="276" w:lineRule="auto"/>
                      <w:jc w:val="center"/>
                      <w:rPr>
                        <w:bCs/>
                        <w:sz w:val="20"/>
                      </w:rPr>
                    </w:pPr>
                    <w:r>
                      <w:rPr>
                        <w:bCs/>
                        <w:sz w:val="20"/>
                      </w:rPr>
                      <w:t>2021</w:t>
                    </w:r>
                    <w:r>
                      <w:rPr>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P-11-002-02-11-01-77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sveikatos priežiūros specialistų darbo sąlygų gerinimo ir profesinės kvalifikacijos tobulinimo</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 xml:space="preserve">n/d </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Skaitmeninės sveikatos sistemos plėtros veiksmų planas ir projektai</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w:t>
                    </w:r>
                    <w:r>
                      <w:rPr>
                        <w:sz w:val="20"/>
                        <w:lang w:val="en-US"/>
                      </w:rPr>
                      <w:t>6</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Patvirtintas 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(2024 m. 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P-11-002-02-11-01-80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Sveikatos įstaigų ir agentūrų viešųjų pirkimų centralizavimo plano priėmimas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w:t>
                    </w:r>
                    <w:r>
                      <w:rPr>
                        <w:sz w:val="20"/>
                        <w:lang w:val="en-US"/>
                      </w:rPr>
                      <w:t>3</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P-11-002-02-11-01-81</w:t>
                    </w:r>
                  </w:p>
                </w:tc>
                <w:tc>
                  <w:tcPr>
                    <w:tcW w:w="1079" w:type="dxa"/>
                    <w:shd w:val="clear" w:color="auto" w:fill="FFFFFF" w:themeFill="background1"/>
                  </w:tcPr>
                  <w:p>
                    <w:pPr>
                      <w:spacing w:line="276" w:lineRule="auto"/>
                      <w:rPr>
                        <w:sz w:val="20"/>
                      </w:rPr>
                    </w:pPr>
                    <w:r>
                      <w:rPr>
                        <w:sz w:val="20"/>
                      </w:rPr>
                      <w:t xml:space="preserve">Produkto </w:t>
                    </w:r>
                  </w:p>
                </w:tc>
                <w:tc>
                  <w:tcPr>
                    <w:tcW w:w="2541" w:type="dxa"/>
                    <w:shd w:val="clear" w:color="auto" w:fill="FFFFFF" w:themeFill="background1"/>
                  </w:tcPr>
                  <w:p>
                    <w:pPr>
                      <w:rPr>
                        <w:sz w:val="20"/>
                      </w:rPr>
                    </w:pPr>
                    <w:r>
                      <w:rPr>
                        <w:sz w:val="20"/>
                      </w:rPr>
                      <w:t>Sveikatos priežiūros specialistai, dalyvavę programos „Motinos ir vaiko sveikata ir gerovė“ kvalifikacijos tobulinimo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ind w:firstLine="53"/>
                      <w:jc w:val="center"/>
                      <w:rPr>
                        <w:sz w:val="20"/>
                      </w:rPr>
                    </w:pPr>
                    <w:r>
                      <w:rPr>
                        <w:sz w:val="20"/>
                        <w:lang w:val="en-US"/>
                      </w:rPr>
                      <w:t>10 990 (2029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Sukurti paslaugų teikimo metodikos ir organizacinių procesų aprašai</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93</w:t>
                    </w:r>
                  </w:p>
                  <w:p>
                    <w:pPr>
                      <w:ind w:firstLine="53"/>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P-11-002-02-11-01-83</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Savivaldybės,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60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P-11-002-02-11-01-84</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ASPĮ,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46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Asmenys, gavę pagerintas akušerijos bei vaikų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257 220 (2029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R-11-002-02-11-01-86</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Vaikų, kuriems atliktas psichomotorinės raidos vertinimas šeimos gydytojo institucijoje,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55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80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R-11-002-02-11-01-87</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Vaikai (0</w:t>
                    </w:r>
                    <w:r>
                      <w:rPr>
                        <w:bCs/>
                        <w:sz w:val="20"/>
                      </w:rPr>
                      <w:t>–</w:t>
                    </w:r>
                    <w:r>
                      <w:rPr>
                        <w:sz w:val="20"/>
                      </w:rPr>
                      <w:t>10 m.), kuriems nustatyti įvairiapusiai raidos sutrikimai</w:t>
                    </w:r>
                  </w:p>
                </w:tc>
                <w:tc>
                  <w:tcPr>
                    <w:tcW w:w="1078" w:type="dxa"/>
                    <w:shd w:val="clear" w:color="auto" w:fill="FFFFFF" w:themeFill="background1"/>
                  </w:tcPr>
                  <w:p>
                    <w:pPr>
                      <w:spacing w:line="276" w:lineRule="auto"/>
                      <w:jc w:val="center"/>
                      <w:rPr>
                        <w:sz w:val="20"/>
                      </w:rPr>
                    </w:pPr>
                    <w:r>
                      <w:rPr>
                        <w:sz w:val="20"/>
                      </w:rPr>
                      <w:t xml:space="preserve">Atvejų skaičius 100 tūkst. vaikų </w:t>
                    </w:r>
                  </w:p>
                </w:tc>
                <w:tc>
                  <w:tcPr>
                    <w:tcW w:w="1078" w:type="dxa"/>
                    <w:shd w:val="clear" w:color="auto" w:fill="FFFFFF" w:themeFill="background1"/>
                  </w:tcPr>
                  <w:p>
                    <w:pPr>
                      <w:jc w:val="center"/>
                      <w:rPr>
                        <w:sz w:val="20"/>
                      </w:rPr>
                    </w:pPr>
                    <w:r>
                      <w:rPr>
                        <w:sz w:val="20"/>
                      </w:rPr>
                      <w:t>903,3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2 500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R-11-002-02-11-01-88</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Pasitenkinimas pagerintomis akušerijos ir vaikų sveikatos priežiūros paslaugomis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60</w:t>
                    </w:r>
                  </w:p>
                  <w:p>
                    <w:pPr>
                      <w:jc w:val="center"/>
                      <w:rPr>
                        <w:sz w:val="20"/>
                      </w:rPr>
                    </w:pPr>
                    <w:r>
                      <w:rPr>
                        <w:sz w:val="20"/>
                      </w:rPr>
                      <w:t>(2024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 xml:space="preserve">Pacientų: </w:t>
                    </w:r>
                  </w:p>
                  <w:p>
                    <w:pPr>
                      <w:jc w:val="center"/>
                      <w:rPr>
                        <w:sz w:val="20"/>
                        <w:lang w:val="en-US"/>
                      </w:rPr>
                    </w:pPr>
                    <w:r>
                      <w:rPr>
                        <w:sz w:val="20"/>
                        <w:lang w:val="en-US"/>
                      </w:rPr>
                      <w:t>76</w:t>
                    </w:r>
                  </w:p>
                  <w:p>
                    <w:pPr>
                      <w:jc w:val="center"/>
                      <w:rPr>
                        <w:sz w:val="20"/>
                        <w:lang w:val="en-US"/>
                      </w:rPr>
                    </w:pPr>
                    <w:r>
                      <w:rPr>
                        <w:sz w:val="20"/>
                        <w:lang w:val="en-US"/>
                      </w:rPr>
                      <w:t>(2029 m.)</w:t>
                    </w:r>
                  </w:p>
                  <w:p>
                    <w:pPr>
                      <w:jc w:val="center"/>
                      <w:rPr>
                        <w:sz w:val="20"/>
                        <w:lang w:val="en-US"/>
                      </w:rPr>
                    </w:pPr>
                    <w:r>
                      <w:rPr>
                        <w:sz w:val="20"/>
                        <w:lang w:val="en-US"/>
                      </w:rPr>
                      <w:t xml:space="preserve">Specialistų: 84 </w:t>
                    </w:r>
                  </w:p>
                  <w:p>
                    <w:pPr>
                      <w:jc w:val="center"/>
                      <w:rPr>
                        <w:sz w:val="20"/>
                      </w:rPr>
                    </w:pPr>
                    <w:r>
                      <w:rPr>
                        <w:sz w:val="20"/>
                        <w:lang w:val="en-US"/>
                      </w:rPr>
                      <w:t>(2029 m.)</w:t>
                    </w:r>
                  </w:p>
                </w:tc>
                <w:tc>
                  <w:tcPr>
                    <w:tcW w:w="1344" w:type="dxa"/>
                    <w:shd w:val="clear" w:color="auto" w:fill="FFFFFF" w:themeFill="background1"/>
                  </w:tcPr>
                  <w:p>
                    <w:pPr>
                      <w:spacing w:line="276" w:lineRule="auto"/>
                      <w:jc w:val="center"/>
                      <w:rPr>
                        <w:bCs/>
                        <w:sz w:val="20"/>
                      </w:rPr>
                    </w:pPr>
                    <w:r>
                      <w:rPr>
                        <w:bCs/>
                        <w:sz w:val="20"/>
                      </w:rPr>
                      <w:t>AŠĮFP</w:t>
                    </w:r>
                  </w:p>
                </w:tc>
              </w:tr>
              <w:tr>
                <w:trPr>
                  <w:trHeight w:val="330"/>
                </w:trPr>
                <w:tc>
                  <w:tcPr>
                    <w:tcW w:w="1346" w:type="dxa"/>
                    <w:shd w:val="clear" w:color="auto" w:fill="FFFFFF" w:themeFill="background1"/>
                  </w:tcPr>
                  <w:p>
                    <w:pPr>
                      <w:spacing w:line="276" w:lineRule="auto"/>
                      <w:rPr>
                        <w:sz w:val="20"/>
                      </w:rPr>
                    </w:pPr>
                    <w:r>
                      <w:rPr>
                        <w:sz w:val="20"/>
                      </w:rPr>
                      <w:t>R-11-002-02-11-01-89</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Naujų arba modernizuotų e. sveikatos priežiūros</w:t>
                    </w:r>
                  </w:p>
                  <w:p>
                    <w:pPr>
                      <w:rPr>
                        <w:sz w:val="20"/>
                      </w:rPr>
                    </w:pPr>
                    <w:r>
                      <w:rPr>
                        <w:sz w:val="20"/>
                      </w:rPr>
                      <w:t>paslaugų naudotojų skaičius per metus</w:t>
                    </w:r>
                  </w:p>
                </w:tc>
                <w:tc>
                  <w:tcPr>
                    <w:tcW w:w="1078" w:type="dxa"/>
                    <w:shd w:val="clear" w:color="auto" w:fill="FFFFFF" w:themeFill="background1"/>
                  </w:tcPr>
                  <w:p>
                    <w:pPr>
                      <w:spacing w:line="276" w:lineRule="auto"/>
                      <w:jc w:val="center"/>
                      <w:rPr>
                        <w:sz w:val="20"/>
                      </w:rPr>
                    </w:pPr>
                    <w:r>
                      <w:rPr>
                        <w:sz w:val="20"/>
                      </w:rPr>
                      <w:t>Naudotojai per metus</w:t>
                    </w:r>
                  </w:p>
                  <w:p>
                    <w:pPr>
                      <w:spacing w:line="276" w:lineRule="auto"/>
                      <w:jc w:val="center"/>
                      <w:rPr>
                        <w:sz w:val="20"/>
                      </w:rPr>
                    </w:pP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1 400 000</w:t>
                    </w:r>
                  </w:p>
                  <w:p>
                    <w:pPr>
                      <w:jc w:val="center"/>
                      <w:rPr>
                        <w:sz w:val="20"/>
                      </w:rPr>
                    </w:pPr>
                    <w:r>
                      <w:rPr>
                        <w:sz w:val="20"/>
                      </w:rPr>
                      <w:t>(2029 m.)</w:t>
                    </w:r>
                  </w:p>
                  <w:p>
                    <w:pPr>
                      <w:jc w:val="center"/>
                      <w:rPr>
                        <w:sz w:val="20"/>
                        <w:lang w:val="en-US"/>
                      </w:rPr>
                    </w:pPr>
                  </w:p>
                </w:tc>
                <w:tc>
                  <w:tcPr>
                    <w:tcW w:w="1344" w:type="dxa"/>
                    <w:shd w:val="clear" w:color="auto" w:fill="FFFFFF" w:themeFill="background1"/>
                  </w:tcPr>
                  <w:p>
                    <w:pPr>
                      <w:spacing w:line="276" w:lineRule="auto"/>
                      <w:jc w:val="center"/>
                      <w:rPr>
                        <w:bCs/>
                        <w:sz w:val="20"/>
                      </w:rPr>
                    </w:pPr>
                    <w:r>
                      <w:rPr>
                        <w:bCs/>
                        <w:sz w:val="20"/>
                      </w:rPr>
                      <w:t>2021–2027 m. IP (ERPF)</w:t>
                    </w:r>
                  </w:p>
                </w:tc>
              </w:tr>
              <w:tr>
                <w:trPr>
                  <w:trHeight w:val="330"/>
                </w:trPr>
                <w:tc>
                  <w:tcPr>
                    <w:tcW w:w="1346" w:type="dxa"/>
                    <w:shd w:val="clear" w:color="auto" w:fill="FFFFFF" w:themeFill="background1"/>
                  </w:tcPr>
                  <w:p>
                    <w:pPr>
                      <w:spacing w:line="276" w:lineRule="auto"/>
                      <w:rPr>
                        <w:sz w:val="20"/>
                      </w:rPr>
                    </w:pPr>
                    <w:r>
                      <w:rPr>
                        <w:sz w:val="20"/>
                      </w:rPr>
                      <w:t>P-11-002-02-11-01-90</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Pateikta sveikatos priežiūros paslaugų kokybės rodiklių suvestinė internete</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w:t>
                    </w:r>
                    <w:r>
                      <w:rPr>
                        <w:sz w:val="20"/>
                        <w:lang w:val="en-US"/>
                      </w:rPr>
                      <w:t>5</w:t>
                    </w:r>
                    <w:r>
                      <w:rPr>
                        <w:sz w:val="20"/>
                      </w:rPr>
                      <w:t xml:space="preserve"> m. II ketv.)</w:t>
                    </w:r>
                  </w:p>
                </w:tc>
                <w:tc>
                  <w:tcPr>
                    <w:tcW w:w="1344" w:type="dxa"/>
                    <w:shd w:val="clear" w:color="auto" w:fill="FFFFFF" w:themeFill="background1"/>
                  </w:tcPr>
                  <w:p>
                    <w:pPr>
                      <w:spacing w:line="276" w:lineRule="auto"/>
                      <w:jc w:val="center"/>
                      <w:rPr>
                        <w:sz w:val="20"/>
                      </w:rPr>
                    </w:pPr>
                    <w:r>
                      <w:rPr>
                        <w:sz w:val="20"/>
                      </w:rPr>
                      <w:t>EGADP</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P-11-002-02-11-01-91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 xml:space="preserve">Žmogiškųjų išteklių ir infrastruktūros pajėgumų didinimas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tc>
                <w:tc>
                  <w:tcPr>
                    <w:tcW w:w="1079" w:type="dxa"/>
                    <w:shd w:val="clear" w:color="auto" w:fill="FFFFFF" w:themeFill="background1"/>
                  </w:tcPr>
                  <w:p>
                    <w:pPr>
                      <w:jc w:val="center"/>
                      <w:rPr>
                        <w:sz w:val="20"/>
                      </w:rPr>
                    </w:pPr>
                    <w:r>
                      <w:rPr>
                        <w:sz w:val="20"/>
                      </w:rPr>
                      <w:t xml:space="preserve">1085 </w:t>
                    </w:r>
                  </w:p>
                  <w:p>
                    <w:pPr>
                      <w:jc w:val="center"/>
                      <w:rPr>
                        <w:sz w:val="20"/>
                      </w:rPr>
                    </w:pPr>
                    <w:r>
                      <w:rPr>
                        <w:sz w:val="20"/>
                      </w:rPr>
                      <w:t>(202</w:t>
                    </w:r>
                    <w:r>
                      <w:rPr>
                        <w:sz w:val="20"/>
                        <w:lang w:val="en-US"/>
                      </w:rPr>
                      <w:t>5</w:t>
                    </w:r>
                    <w:r>
                      <w:rPr>
                        <w:sz w:val="20"/>
                      </w:rPr>
                      <w:t xml:space="preserve"> m. II ketv.)</w:t>
                    </w:r>
                  </w:p>
                </w:tc>
                <w:tc>
                  <w:tcPr>
                    <w:tcW w:w="1344" w:type="dxa"/>
                    <w:shd w:val="clear" w:color="auto" w:fill="FFFFFF" w:themeFill="background1"/>
                  </w:tcPr>
                  <w:p>
                    <w:pPr>
                      <w:spacing w:line="276" w:lineRule="auto"/>
                      <w:jc w:val="center"/>
                      <w:rPr>
                        <w:sz w:val="20"/>
                      </w:rPr>
                    </w:pPr>
                    <w:r>
                      <w:rPr>
                        <w:sz w:val="20"/>
                      </w:rPr>
                      <w:t>EGADP</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P-11-002-02-11-01-92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rFonts w:eastAsia="Calibri" w:cs="Arial"/>
                        <w:sz w:val="20"/>
                      </w:rPr>
                      <w:t>Infrastruktūros pajėgumų didinimas</w:t>
                    </w:r>
                    <w:r>
                      <w:rPr>
                        <w:sz w:val="20"/>
                      </w:rPr>
                      <w:t xml:space="preserve">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85</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100</w:t>
                    </w:r>
                  </w:p>
                  <w:p>
                    <w:pPr>
                      <w:jc w:val="center"/>
                      <w:rPr>
                        <w:sz w:val="20"/>
                      </w:rPr>
                    </w:pPr>
                    <w:r>
                      <w:rPr>
                        <w:sz w:val="20"/>
                      </w:rPr>
                      <w:t>(202</w:t>
                    </w:r>
                    <w:r>
                      <w:rPr>
                        <w:sz w:val="20"/>
                        <w:lang w:val="en-US"/>
                      </w:rPr>
                      <w:t>6</w:t>
                    </w:r>
                    <w:r>
                      <w:rPr>
                        <w:sz w:val="20"/>
                      </w:rPr>
                      <w:t xml:space="preserve"> m. I ketv.)</w:t>
                    </w:r>
                  </w:p>
                </w:tc>
                <w:tc>
                  <w:tcPr>
                    <w:tcW w:w="1344" w:type="dxa"/>
                    <w:shd w:val="clear" w:color="auto" w:fill="FFFFFF" w:themeFill="background1"/>
                  </w:tcPr>
                  <w:p>
                    <w:pPr>
                      <w:spacing w:line="276" w:lineRule="auto"/>
                      <w:jc w:val="center"/>
                      <w:rPr>
                        <w:sz w:val="20"/>
                      </w:rPr>
                    </w:pPr>
                    <w:r>
                      <w:rPr>
                        <w:sz w:val="20"/>
                      </w:rPr>
                      <w:t>EGADP</w:t>
                    </w:r>
                  </w:p>
                  <w:p>
                    <w:pPr>
                      <w:spacing w:line="276" w:lineRule="auto"/>
                      <w:jc w:val="center"/>
                      <w:rPr>
                        <w:bCs/>
                        <w:sz w:val="20"/>
                      </w:rPr>
                    </w:pPr>
                  </w:p>
                </w:tc>
              </w:tr>
            </w:tbl>
            <w:p>
              <w:pPr>
                <w:rPr>
                  <w:sz w:val="10"/>
                  <w:szCs w:val="10"/>
                </w:rPr>
              </w:pPr>
            </w:p>
            <w:p>
              <w:pPr>
                <w:jc w:val="both"/>
                <w:rPr>
                  <w:b/>
                  <w:bCs/>
                  <w:sz w:val="20"/>
                  <w:lang w:eastAsia="lt-LT"/>
                </w:rPr>
              </w:pPr>
              <w:r>
                <w:rPr>
                  <w:b/>
                  <w:bCs/>
                  <w:sz w:val="20"/>
                  <w:lang w:eastAsia="lt-LT"/>
                </w:rPr>
                <w:t>Pastabos:</w:t>
              </w:r>
            </w:p>
            <w:p>
              <w:pPr>
                <w:jc w:val="both"/>
                <w:rPr>
                  <w:i/>
                  <w:iCs/>
                  <w:sz w:val="16"/>
                  <w:szCs w:val="16"/>
                  <w:lang w:eastAsia="lt-LT"/>
                </w:rPr>
              </w:pPr>
              <w:r>
                <w:rPr>
                  <w:sz w:val="16"/>
                  <w:szCs w:val="16"/>
                  <w:lang w:eastAsia="lt-LT"/>
                </w:rPr>
                <w:t xml:space="preserve">1. </w:t>
              </w:r>
              <w:r>
                <w:rPr>
                  <w:sz w:val="16"/>
                  <w:szCs w:val="16"/>
                  <w:lang w:val="lt"/>
                </w:rPr>
                <w:t>Nacionaliniai rodikliai, kurių bus siekiama vykdant veiklas, finansuojamas iš 2021–2027 m. IP ir (arba) EGDAP lėšų.</w:t>
              </w:r>
            </w:p>
            <w:p>
              <w:pPr>
                <w:jc w:val="both"/>
                <w:rPr>
                  <w:sz w:val="20"/>
                  <w:lang w:eastAsia="lt-LT"/>
                </w:rPr>
              </w:pPr>
              <w:r>
                <w:rPr>
                  <w:sz w:val="16"/>
                  <w:szCs w:val="16"/>
                  <w:lang w:eastAsia="lt-LT"/>
                </w:rPr>
                <w:t>2.</w:t>
              </w:r>
              <w:r>
                <w:rPr>
                  <w:sz w:val="16"/>
                  <w:szCs w:val="16"/>
                  <w:lang w:val="lt"/>
                </w:rPr>
                <w:t xml:space="preserve"> EGADP bendrieji rodikliai. Bendrieji rodikliai nurodyti Ekonomikos gaivinimo ir atsparumo didinimo plane „Naujos kartos Lietuva“ ir neturi siektinų reikšmių. Duomenys bus renkami iš susijusių reformų ir investicijų rodiklių. Ataskaitinis laikotarpis – iki 2026 m. IV ketv</w:t>
              </w:r>
              <w:r>
                <w:rPr>
                  <w:sz w:val="20"/>
                </w:rPr>
                <w:t xml:space="preserve">. </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cb9676fc1411f09a18eb2f15b49eee">
                <w:r w:rsidRPr="00532B9F">
                  <w:rPr>
                    <w:rFonts w:ascii="Times New Roman" w:eastAsia="MS Mincho" w:hAnsi="Times New Roman"/>
                    <w:sz w:val="20"/>
                    <w:i/>
                    <w:iCs/>
                    <w:color w:val="0000FF" w:themeColor="hyperlink"/>
                    <w:u w:val="single"/>
                  </w:rPr>
                  <w:t>V-68</w:t>
                </w:r>
              </w:fldSimple>
              <w:r>
                <w:rPr>
                  <w:rFonts w:ascii="Times New Roman" w:eastAsia="MS Mincho" w:hAnsi="Times New Roman"/>
                  <w:sz w:val="20"/>
                  <w:i/>
                  <w:iCs/>
                </w:rPr>
                <w:t>,
2026-01-28,
paskelbta TAR 2026-01-28, i. k. 2026-01141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ca296643fc11f180c9c618618421ed">
                <w:r w:rsidRPr="00532B9F">
                  <w:rPr>
                    <w:rFonts w:ascii="Times New Roman" w:eastAsia="MS Mincho" w:hAnsi="Times New Roman"/>
                    <w:sz w:val="20"/>
                    <w:i/>
                    <w:iCs/>
                    <w:color w:val="0000FF" w:themeColor="hyperlink"/>
                    <w:u w:val="single"/>
                  </w:rPr>
                  <w:t>V-442</w:t>
                </w:r>
              </w:fldSimple>
              <w:r>
                <w:rPr>
                  <w:rFonts w:ascii="Times New Roman" w:eastAsia="MS Mincho" w:hAnsi="Times New Roman"/>
                  <w:sz w:val="20"/>
                  <w:i/>
                  <w:iCs/>
                </w:rPr>
                <w:t>,
2026-04-29,
paskelbta TAR 2026-04-30, i. k. 2026-07116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170770550d11f180c9c618618421ed">
                <w:r w:rsidRPr="00532B9F">
                  <w:rPr>
                    <w:rFonts w:ascii="Times New Roman" w:eastAsia="MS Mincho" w:hAnsi="Times New Roman"/>
                    <w:sz w:val="20"/>
                    <w:i/>
                    <w:iCs/>
                    <w:color w:val="0000FF" w:themeColor="hyperlink"/>
                    <w:u w:val="single"/>
                  </w:rPr>
                  <w:t>V-513</w:t>
                </w:r>
              </w:fldSimple>
              <w:r>
                <w:rPr>
                  <w:rFonts w:ascii="Times New Roman" w:eastAsia="MS Mincho" w:hAnsi="Times New Roman"/>
                  <w:sz w:val="20"/>
                  <w:i/>
                  <w:iCs/>
                </w:rPr>
                <w:t>,
2026-05-21,
paskelbta TAR 2026-05-21, i. k. 2026-08567            </w:t>
              </w:r>
            </w:p>
            <w:p/>
          </w:sdtContent>
        </w:sdt>
        <w:sdt>
          <w:sdtPr>
            <w:alias w:val="skyrius"/>
            <w:tag w:val="part_9d0aedf2bf194fce908dda4419ffb962"/>
            <w:lock w:val="sdtLocked"/>
            <w:richText/>
          </w:sdtPr>
          <w:sdtContent>
            <w:p>
              <w:pPr>
                <w:ind w:left="720" w:right="-31"/>
                <w:jc w:val="center"/>
                <w:rPr>
                  <w:b/>
                  <w:bCs/>
                  <w:color w:val="000000"/>
                  <w:szCs w:val="24"/>
                </w:rPr>
              </w:pPr>
              <w:sdt>
                <w:sdtPr>
                  <w:alias w:val="Numeris"/>
                  <w:tag w:val="nr_9d0aedf2bf194fce908dda4419ffb962"/>
                  <w:lock w:val="sdtLocked"/>
                  <w:richText/>
                </w:sdtPr>
                <w:sdtContent>
                  <w:r>
                    <w:rPr>
                      <w:b/>
                      <w:bCs/>
                      <w:color w:val="000000"/>
                      <w:szCs w:val="24"/>
                    </w:rPr>
                    <w:t>II</w:t>
                  </w:r>
                </w:sdtContent>
              </w:sdt>
              <w:r>
                <w:rPr>
                  <w:b/>
                  <w:bCs/>
                  <w:color w:val="000000"/>
                  <w:szCs w:val="24"/>
                </w:rPr>
                <w:t xml:space="preserve"> SKYRIUS</w:t>
              </w:r>
            </w:p>
            <w:p>
              <w:pPr>
                <w:ind w:right="-31"/>
                <w:jc w:val="center"/>
              </w:pPr>
              <w:sdt>
                <w:sdtPr>
                  <w:alias w:val="Pavadinimas"/>
                  <w:tag w:val="title_9d0aedf2bf194fce908dda4419ffb962"/>
                  <w:lock w:val="sdtLocked"/>
                  <w:richText/>
                </w:sdtPr>
                <w:sdtContent>
                  <w:r>
                    <w:rPr>
                      <w:b/>
                      <w:bCs/>
                      <w:color w:val="000000"/>
                      <w:szCs w:val="24"/>
                    </w:rPr>
                    <w:t>PLĖTROS PROGRAMOS PAŽANGOS PRIEMONĖS FINANSAVIMO ŠALTINIAI</w:t>
                  </w:r>
                </w:sdtContent>
              </w:sdt>
            </w:p>
            <w:p>
              <w:pPr>
                <w:ind w:left="720" w:firstLine="62"/>
                <w:jc w:val="center"/>
              </w:pPr>
            </w:p>
            <w:tbl>
              <w:tblPr>
                <w:tblW w:w="0" w:type="auto"/>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7475"/>
                <w:gridCol w:w="3149"/>
              </w:tblGrid>
              <w:tr>
                <w:trPr>
                  <w:trHeight w:val="555"/>
                </w:trPr>
                <w:tc>
                  <w:tcPr>
                    <w:tcW w:w="8212" w:type="dxa"/>
                    <w:shd w:val="clear" w:color="auto" w:fill="D9E2F3"/>
                    <w:tcMar>
                      <w:top w:w="28" w:type="dxa"/>
                      <w:left w:w="30" w:type="dxa"/>
                      <w:bottom w:w="28" w:type="dxa"/>
                      <w:right w:w="30" w:type="dxa"/>
                    </w:tcMar>
                    <w:vAlign w:val="center"/>
                  </w:tcPr>
                  <w:p>
                    <w:pPr>
                      <w:rPr>
                        <w:sz w:val="4"/>
                        <w:szCs w:val="4"/>
                      </w:rPr>
                    </w:pPr>
                  </w:p>
                  <w:p>
                    <w:pPr>
                      <w:jc w:val="center"/>
                      <w:rPr>
                        <w:b/>
                        <w:bCs/>
                        <w:color w:val="000000"/>
                        <w:sz w:val="20"/>
                      </w:rPr>
                    </w:pPr>
                    <w:r>
                      <w:rPr>
                        <w:b/>
                        <w:bCs/>
                        <w:color w:val="000000"/>
                        <w:sz w:val="20"/>
                      </w:rPr>
                      <w:t>Finansavimo apimtis ir šaltiniai</w:t>
                    </w:r>
                  </w:p>
                </w:tc>
                <w:tc>
                  <w:tcPr>
                    <w:tcW w:w="3402" w:type="dxa"/>
                    <w:shd w:val="clear" w:color="auto" w:fill="D9E2F3"/>
                    <w:tcMar>
                      <w:top w:w="28" w:type="dxa"/>
                      <w:left w:w="30" w:type="dxa"/>
                      <w:bottom w:w="28" w:type="dxa"/>
                      <w:right w:w="30" w:type="dxa"/>
                    </w:tcMar>
                    <w:vAlign w:val="center"/>
                  </w:tcPr>
                  <w:p>
                    <w:pPr>
                      <w:rPr>
                        <w:sz w:val="4"/>
                        <w:szCs w:val="4"/>
                      </w:rPr>
                    </w:pPr>
                  </w:p>
                  <w:p>
                    <w:pPr>
                      <w:ind w:left="15" w:hanging="15"/>
                      <w:jc w:val="center"/>
                      <w:rPr>
                        <w:b/>
                        <w:bCs/>
                        <w:color w:val="000000"/>
                        <w:sz w:val="20"/>
                      </w:rPr>
                    </w:pPr>
                    <w:r>
                      <w:rPr>
                        <w:b/>
                        <w:bCs/>
                        <w:color w:val="000000"/>
                        <w:sz w:val="20"/>
                      </w:rPr>
                      <w:t>Lėšų poreikis (tūkst. eurų)</w:t>
                    </w:r>
                  </w:p>
                </w:tc>
              </w:tr>
              <w:tr>
                <w:trPr>
                  <w:trHeight w:val="270"/>
                </w:trPr>
                <w:tc>
                  <w:tcPr>
                    <w:tcW w:w="8212" w:type="dxa"/>
                    <w:shd w:val="clear" w:color="auto" w:fill="D9E2F3"/>
                    <w:tcMar>
                      <w:top w:w="28" w:type="dxa"/>
                      <w:left w:w="30" w:type="dxa"/>
                      <w:bottom w:w="28" w:type="dxa"/>
                      <w:right w:w="30" w:type="dxa"/>
                    </w:tcMar>
                    <w:vAlign w:val="center"/>
                  </w:tcPr>
                  <w:p>
                    <w:pPr>
                      <w:rPr>
                        <w:sz w:val="4"/>
                        <w:szCs w:val="4"/>
                      </w:rPr>
                    </w:pPr>
                  </w:p>
                  <w:p>
                    <w:pPr>
                      <w:jc w:val="center"/>
                      <w:rPr>
                        <w:b/>
                        <w:bCs/>
                        <w:color w:val="000000"/>
                        <w:sz w:val="20"/>
                      </w:rPr>
                    </w:pPr>
                    <w:r>
                      <w:rPr>
                        <w:b/>
                        <w:bCs/>
                        <w:color w:val="000000"/>
                        <w:sz w:val="20"/>
                      </w:rPr>
                      <w:t>1</w:t>
                    </w:r>
                  </w:p>
                </w:tc>
                <w:tc>
                  <w:tcPr>
                    <w:tcW w:w="3402" w:type="dxa"/>
                    <w:shd w:val="clear" w:color="auto" w:fill="D9E2F3"/>
                    <w:tcMar>
                      <w:top w:w="28" w:type="dxa"/>
                      <w:left w:w="30" w:type="dxa"/>
                      <w:bottom w:w="28" w:type="dxa"/>
                      <w:right w:w="30" w:type="dxa"/>
                    </w:tcMar>
                    <w:vAlign w:val="center"/>
                  </w:tcPr>
                  <w:p>
                    <w:pPr>
                      <w:rPr>
                        <w:sz w:val="4"/>
                        <w:szCs w:val="4"/>
                      </w:rPr>
                    </w:pPr>
                  </w:p>
                  <w:p>
                    <w:pPr>
                      <w:ind w:left="15" w:hanging="15"/>
                      <w:jc w:val="center"/>
                      <w:rPr>
                        <w:b/>
                        <w:bCs/>
                        <w:color w:val="000000"/>
                        <w:sz w:val="20"/>
                      </w:rPr>
                    </w:pPr>
                    <w:r>
                      <w:rPr>
                        <w:b/>
                        <w:bCs/>
                        <w:color w:val="000000"/>
                        <w:sz w:val="20"/>
                      </w:rPr>
                      <w:t>2</w:t>
                    </w:r>
                  </w:p>
                </w:tc>
              </w:tr>
              <w:tr>
                <w:trPr>
                  <w:trHeight w:val="15"/>
                </w:trPr>
                <w:tc>
                  <w:tcPr>
                    <w:tcW w:w="8212" w:type="dxa"/>
                    <w:tcMar>
                      <w:top w:w="28" w:type="dxa"/>
                      <w:left w:w="30" w:type="dxa"/>
                      <w:bottom w:w="28" w:type="dxa"/>
                      <w:right w:w="30" w:type="dxa"/>
                    </w:tcMar>
                    <w:vAlign w:val="center"/>
                  </w:tcPr>
                  <w:p>
                    <w:pPr>
                      <w:rPr>
                        <w:sz w:val="4"/>
                        <w:szCs w:val="4"/>
                      </w:rPr>
                    </w:pPr>
                  </w:p>
                  <w:p>
                    <w:pPr>
                      <w:ind w:left="104"/>
                      <w:rPr>
                        <w:b/>
                        <w:bCs/>
                        <w:sz w:val="20"/>
                      </w:rPr>
                    </w:pPr>
                    <w:r>
                      <w:rPr>
                        <w:b/>
                        <w:bCs/>
                        <w:sz w:val="20"/>
                      </w:rPr>
                      <w:t>1.1. Valstybės biudžeto lėšos</w:t>
                    </w:r>
                  </w:p>
                </w:tc>
                <w:tc>
                  <w:tcPr>
                    <w:tcW w:w="3402" w:type="dxa"/>
                    <w:tcMar>
                      <w:top w:w="28" w:type="dxa"/>
                      <w:left w:w="30" w:type="dxa"/>
                      <w:bottom w:w="28" w:type="dxa"/>
                      <w:right w:w="30" w:type="dxa"/>
                    </w:tcMar>
                    <w:vAlign w:val="center"/>
                  </w:tcPr>
                  <w:p>
                    <w:pPr>
                      <w:rPr>
                        <w:sz w:val="4"/>
                        <w:szCs w:val="4"/>
                      </w:rPr>
                    </w:pPr>
                  </w:p>
                  <w:p>
                    <w:pPr>
                      <w:jc w:val="center"/>
                      <w:rPr>
                        <w:b/>
                        <w:bCs/>
                        <w:sz w:val="20"/>
                      </w:rPr>
                    </w:pPr>
                    <w:r>
                      <w:rPr>
                        <w:b/>
                        <w:bCs/>
                        <w:sz w:val="20"/>
                      </w:rPr>
                      <w:t>97 485,731</w:t>
                    </w:r>
                  </w:p>
                </w:tc>
              </w:tr>
              <w:tr>
                <w:trPr>
                  <w:trHeight w:val="15"/>
                </w:trPr>
                <w:tc>
                  <w:tcPr>
                    <w:tcW w:w="8212" w:type="dxa"/>
                    <w:tcMar>
                      <w:top w:w="28" w:type="dxa"/>
                      <w:left w:w="30" w:type="dxa"/>
                      <w:bottom w:w="28" w:type="dxa"/>
                      <w:right w:w="30" w:type="dxa"/>
                    </w:tcMar>
                    <w:vAlign w:val="center"/>
                  </w:tcPr>
                  <w:p>
                    <w:pPr>
                      <w:rPr>
                        <w:sz w:val="4"/>
                        <w:szCs w:val="4"/>
                      </w:rPr>
                    </w:pPr>
                  </w:p>
                  <w:p>
                    <w:pPr>
                      <w:ind w:left="104"/>
                      <w:rPr>
                        <w:sz w:val="20"/>
                      </w:rPr>
                    </w:pPr>
                    <w:r>
                      <w:rPr>
                        <w:sz w:val="20"/>
                      </w:rPr>
                      <w:t>1.1.1.1.1. Valstybės biudžeto lėšos</w:t>
                    </w:r>
                  </w:p>
                </w:tc>
                <w:tc>
                  <w:tcPr>
                    <w:tcW w:w="3402" w:type="dxa"/>
                    <w:tcMar>
                      <w:top w:w="28" w:type="dxa"/>
                      <w:left w:w="30" w:type="dxa"/>
                      <w:bottom w:w="28" w:type="dxa"/>
                      <w:right w:w="30" w:type="dxa"/>
                    </w:tcMar>
                    <w:vAlign w:val="center"/>
                  </w:tcPr>
                  <w:p>
                    <w:pPr>
                      <w:rPr>
                        <w:sz w:val="4"/>
                        <w:szCs w:val="4"/>
                      </w:rPr>
                    </w:pPr>
                  </w:p>
                  <w:p>
                    <w:pPr>
                      <w:jc w:val="center"/>
                      <w:rPr>
                        <w:sz w:val="20"/>
                      </w:rPr>
                    </w:pPr>
                    <w:r>
                      <w:rPr>
                        <w:sz w:val="20"/>
                      </w:rPr>
                      <w:t>46 919,719</w:t>
                    </w:r>
                  </w:p>
                </w:tc>
              </w:tr>
              <w:tr>
                <w:trPr>
                  <w:trHeight w:val="15"/>
                </w:trPr>
                <w:tc>
                  <w:tcPr>
                    <w:tcW w:w="8212" w:type="dxa"/>
                    <w:tcMar>
                      <w:top w:w="28" w:type="dxa"/>
                      <w:left w:w="30" w:type="dxa"/>
                      <w:bottom w:w="28" w:type="dxa"/>
                      <w:right w:w="30" w:type="dxa"/>
                    </w:tcMar>
                    <w:vAlign w:val="center"/>
                  </w:tcPr>
                  <w:p>
                    <w:pPr>
                      <w:rPr>
                        <w:sz w:val="4"/>
                        <w:szCs w:val="4"/>
                      </w:rPr>
                    </w:pPr>
                  </w:p>
                  <w:p>
                    <w:pPr>
                      <w:ind w:left="104"/>
                      <w:rPr>
                        <w:b/>
                        <w:bCs/>
                        <w:i/>
                        <w:iCs/>
                        <w:sz w:val="20"/>
                        <w:highlight w:val="yellow"/>
                      </w:rPr>
                    </w:pPr>
                    <w:r>
                      <w:rPr>
                        <w:sz w:val="20"/>
                      </w:rPr>
                      <w:t>1.1.1.1.2. Valstybės biudžeto lėšos, skirtos apmokėti bendrai finansuojamų iš ES fondų lėšų projektų netinkamam finansuoti iš ES fondų lėšų pirkimo ir (arba) importo PVM</w:t>
                    </w:r>
                  </w:p>
                </w:tc>
                <w:tc>
                  <w:tcPr>
                    <w:tcW w:w="3402" w:type="dxa"/>
                    <w:tcMar>
                      <w:top w:w="28" w:type="dxa"/>
                      <w:left w:w="30" w:type="dxa"/>
                      <w:bottom w:w="28" w:type="dxa"/>
                      <w:right w:w="30" w:type="dxa"/>
                    </w:tcMar>
                    <w:vAlign w:val="center"/>
                  </w:tcPr>
                  <w:p>
                    <w:pPr>
                      <w:rPr>
                        <w:sz w:val="4"/>
                        <w:szCs w:val="4"/>
                      </w:rPr>
                    </w:pPr>
                  </w:p>
                  <w:p>
                    <w:pPr>
                      <w:jc w:val="center"/>
                      <w:rPr>
                        <w:color w:val="215E99"/>
                        <w:sz w:val="20"/>
                      </w:rPr>
                    </w:pPr>
                    <w:r>
                      <w:rPr>
                        <w:sz w:val="20"/>
                      </w:rPr>
                      <w:t>50 566,012</w:t>
                    </w:r>
                  </w:p>
                </w:tc>
              </w:tr>
              <w:tr>
                <w:trPr>
                  <w:trHeight w:val="15"/>
                </w:trPr>
                <w:tc>
                  <w:tcPr>
                    <w:tcW w:w="8212" w:type="dxa"/>
                    <w:tcMar>
                      <w:top w:w="28" w:type="dxa"/>
                      <w:left w:w="30" w:type="dxa"/>
                      <w:bottom w:w="28" w:type="dxa"/>
                      <w:right w:w="30" w:type="dxa"/>
                    </w:tcMar>
                    <w:vAlign w:val="center"/>
                  </w:tcPr>
                  <w:p>
                    <w:pPr>
                      <w:rPr>
                        <w:sz w:val="4"/>
                        <w:szCs w:val="4"/>
                      </w:rPr>
                    </w:pPr>
                  </w:p>
                  <w:p>
                    <w:pPr>
                      <w:ind w:left="104"/>
                      <w:rPr>
                        <w:b/>
                        <w:bCs/>
                        <w:sz w:val="20"/>
                      </w:rPr>
                    </w:pPr>
                    <w:r>
                      <w:rPr>
                        <w:b/>
                        <w:bCs/>
                        <w:sz w:val="20"/>
                      </w:rPr>
                      <w:t>1.2. Europos Sąjungos ir kitos tarptautinės finansinės paramos bendrojo finansavimo lėšos</w:t>
                    </w:r>
                  </w:p>
                </w:tc>
                <w:tc>
                  <w:tcPr>
                    <w:tcW w:w="3402" w:type="dxa"/>
                    <w:tcMar>
                      <w:top w:w="28" w:type="dxa"/>
                      <w:left w:w="30" w:type="dxa"/>
                      <w:bottom w:w="28" w:type="dxa"/>
                      <w:right w:w="30" w:type="dxa"/>
                    </w:tcMar>
                    <w:vAlign w:val="center"/>
                  </w:tcPr>
                  <w:p>
                    <w:pPr>
                      <w:rPr>
                        <w:sz w:val="4"/>
                        <w:szCs w:val="4"/>
                      </w:rPr>
                    </w:pPr>
                  </w:p>
                  <w:p>
                    <w:pPr>
                      <w:jc w:val="center"/>
                      <w:rPr>
                        <w:b/>
                        <w:bCs/>
                        <w:sz w:val="20"/>
                      </w:rPr>
                    </w:pPr>
                    <w:r>
                      <w:rPr>
                        <w:b/>
                        <w:bCs/>
                        <w:sz w:val="20"/>
                      </w:rPr>
                      <w:t>89 381,753</w:t>
                    </w:r>
                  </w:p>
                </w:tc>
              </w:tr>
              <w:tr>
                <w:trPr>
                  <w:trHeight w:val="15"/>
                </w:trPr>
                <w:tc>
                  <w:tcPr>
                    <w:tcW w:w="8212" w:type="dxa"/>
                    <w:tcMar>
                      <w:top w:w="28" w:type="dxa"/>
                      <w:left w:w="30" w:type="dxa"/>
                      <w:bottom w:w="28" w:type="dxa"/>
                      <w:right w:w="30" w:type="dxa"/>
                    </w:tcMar>
                    <w:vAlign w:val="center"/>
                  </w:tcPr>
                  <w:p>
                    <w:pPr>
                      <w:rPr>
                        <w:sz w:val="4"/>
                        <w:szCs w:val="4"/>
                      </w:rPr>
                    </w:pPr>
                  </w:p>
                  <w:p>
                    <w:pPr>
                      <w:ind w:left="104"/>
                      <w:rPr>
                        <w:sz w:val="20"/>
                      </w:rPr>
                    </w:pPr>
                    <w:r>
                      <w:rPr>
                        <w:sz w:val="20"/>
                      </w:rPr>
                      <w:t>1.2.2.8.1. 2021–2027 m. ES struktūrinių fondų bendrojo finansavimo lėšos, Sostinės regionas</w:t>
                    </w:r>
                  </w:p>
                </w:tc>
                <w:tc>
                  <w:tcPr>
                    <w:tcW w:w="3402" w:type="dxa"/>
                    <w:tcMar>
                      <w:top w:w="28" w:type="dxa"/>
                      <w:left w:w="30" w:type="dxa"/>
                      <w:bottom w:w="28" w:type="dxa"/>
                      <w:right w:w="30" w:type="dxa"/>
                    </w:tcMar>
                    <w:vAlign w:val="center"/>
                  </w:tcPr>
                  <w:p>
                    <w:pPr>
                      <w:rPr>
                        <w:sz w:val="4"/>
                        <w:szCs w:val="4"/>
                      </w:rPr>
                    </w:pPr>
                  </w:p>
                  <w:p>
                    <w:pPr>
                      <w:jc w:val="center"/>
                      <w:rPr>
                        <w:sz w:val="20"/>
                      </w:rPr>
                    </w:pPr>
                    <w:r>
                      <w:rPr>
                        <w:sz w:val="20"/>
                      </w:rPr>
                      <w:t>36 571,033</w:t>
                    </w:r>
                  </w:p>
                </w:tc>
              </w:tr>
              <w:tr>
                <w:trPr>
                  <w:trHeight w:val="15"/>
                </w:trPr>
                <w:tc>
                  <w:tcPr>
                    <w:tcW w:w="8212" w:type="dxa"/>
                    <w:tcMar>
                      <w:top w:w="28" w:type="dxa"/>
                      <w:left w:w="30" w:type="dxa"/>
                      <w:bottom w:w="28" w:type="dxa"/>
                      <w:right w:w="30" w:type="dxa"/>
                    </w:tcMar>
                    <w:vAlign w:val="center"/>
                  </w:tcPr>
                  <w:p>
                    <w:pPr>
                      <w:rPr>
                        <w:sz w:val="4"/>
                        <w:szCs w:val="4"/>
                      </w:rPr>
                    </w:pPr>
                  </w:p>
                  <w:p>
                    <w:pPr>
                      <w:ind w:left="104"/>
                      <w:rPr>
                        <w:sz w:val="20"/>
                      </w:rPr>
                    </w:pPr>
                    <w:r>
                      <w:rPr>
                        <w:sz w:val="20"/>
                      </w:rPr>
                      <w:t>1.2.2.8.1. 2021–2027 m. ES struktūrinių fondų bendrojo finansavimo lėšos, Vidurio ir vakarų Lietuvos regionas</w:t>
                    </w:r>
                  </w:p>
                </w:tc>
                <w:tc>
                  <w:tcPr>
                    <w:tcW w:w="3402" w:type="dxa"/>
                    <w:tcMar>
                      <w:top w:w="28" w:type="dxa"/>
                      <w:left w:w="30" w:type="dxa"/>
                      <w:bottom w:w="28" w:type="dxa"/>
                      <w:right w:w="30" w:type="dxa"/>
                    </w:tcMar>
                    <w:vAlign w:val="center"/>
                  </w:tcPr>
                  <w:p>
                    <w:pPr>
                      <w:rPr>
                        <w:sz w:val="4"/>
                        <w:szCs w:val="4"/>
                      </w:rPr>
                    </w:pPr>
                  </w:p>
                  <w:p>
                    <w:pPr>
                      <w:jc w:val="center"/>
                      <w:rPr>
                        <w:sz w:val="20"/>
                      </w:rPr>
                    </w:pPr>
                    <w:r>
                      <w:rPr>
                        <w:sz w:val="20"/>
                      </w:rPr>
                      <w:t>47 677,773</w:t>
                    </w:r>
                  </w:p>
                </w:tc>
              </w:tr>
              <w:tr>
                <w:trPr>
                  <w:trHeight w:val="15"/>
                </w:trPr>
                <w:tc>
                  <w:tcPr>
                    <w:tcW w:w="8212" w:type="dxa"/>
                    <w:tcMar>
                      <w:top w:w="28" w:type="dxa"/>
                      <w:left w:w="30" w:type="dxa"/>
                      <w:bottom w:w="28" w:type="dxa"/>
                      <w:right w:w="30" w:type="dxa"/>
                    </w:tcMar>
                    <w:vAlign w:val="center"/>
                  </w:tcPr>
                  <w:p>
                    <w:pPr>
                      <w:rPr>
                        <w:sz w:val="4"/>
                        <w:szCs w:val="4"/>
                      </w:rPr>
                    </w:pPr>
                  </w:p>
                  <w:p>
                    <w:pPr>
                      <w:ind w:left="104"/>
                      <w:rPr>
                        <w:sz w:val="20"/>
                      </w:rPr>
                    </w:pPr>
                    <w:r>
                      <w:rPr>
                        <w:sz w:val="20"/>
                      </w:rPr>
                      <w:t>1.2.3.1.68. Antrojo Šveicarijos įnašo finansinės paramos bendrojo finansavimo lėšos</w:t>
                    </w:r>
                  </w:p>
                </w:tc>
                <w:tc>
                  <w:tcPr>
                    <w:tcW w:w="3402" w:type="dxa"/>
                    <w:tcMar>
                      <w:top w:w="28" w:type="dxa"/>
                      <w:left w:w="30" w:type="dxa"/>
                      <w:bottom w:w="28" w:type="dxa"/>
                      <w:right w:w="30" w:type="dxa"/>
                    </w:tcMar>
                    <w:vAlign w:val="center"/>
                  </w:tcPr>
                  <w:p>
                    <w:pPr>
                      <w:rPr>
                        <w:sz w:val="4"/>
                        <w:szCs w:val="4"/>
                      </w:rPr>
                    </w:pPr>
                  </w:p>
                  <w:p>
                    <w:pPr>
                      <w:jc w:val="center"/>
                      <w:rPr>
                        <w:sz w:val="20"/>
                      </w:rPr>
                    </w:pPr>
                    <w:r>
                      <w:rPr>
                        <w:sz w:val="20"/>
                      </w:rPr>
                      <w:t>5 132,947</w:t>
                    </w:r>
                  </w:p>
                </w:tc>
              </w:tr>
              <w:tr>
                <w:trPr>
                  <w:trHeight w:val="15"/>
                </w:trPr>
                <w:tc>
                  <w:tcPr>
                    <w:tcW w:w="8212" w:type="dxa"/>
                    <w:tcMar>
                      <w:top w:w="28" w:type="dxa"/>
                      <w:left w:w="30" w:type="dxa"/>
                      <w:bottom w:w="28" w:type="dxa"/>
                      <w:right w:w="30" w:type="dxa"/>
                    </w:tcMar>
                    <w:vAlign w:val="center"/>
                  </w:tcPr>
                  <w:p>
                    <w:pPr>
                      <w:rPr>
                        <w:sz w:val="4"/>
                        <w:szCs w:val="4"/>
                      </w:rPr>
                    </w:pPr>
                  </w:p>
                  <w:p>
                    <w:pPr>
                      <w:ind w:left="104"/>
                      <w:rPr>
                        <w:b/>
                        <w:bCs/>
                        <w:sz w:val="20"/>
                      </w:rPr>
                    </w:pPr>
                    <w:r>
                      <w:rPr>
                        <w:b/>
                        <w:bCs/>
                        <w:sz w:val="20"/>
                      </w:rPr>
                      <w:t>1.3. Europos Sąjungos ir kita tarptautinė finansinė parama</w:t>
                    </w:r>
                  </w:p>
                </w:tc>
                <w:tc>
                  <w:tcPr>
                    <w:tcW w:w="3402" w:type="dxa"/>
                    <w:tcMar>
                      <w:top w:w="28" w:type="dxa"/>
                      <w:left w:w="30" w:type="dxa"/>
                      <w:bottom w:w="28" w:type="dxa"/>
                      <w:right w:w="30" w:type="dxa"/>
                    </w:tcMar>
                    <w:vAlign w:val="center"/>
                  </w:tcPr>
                  <w:p>
                    <w:pPr>
                      <w:rPr>
                        <w:sz w:val="4"/>
                        <w:szCs w:val="4"/>
                      </w:rPr>
                    </w:pPr>
                  </w:p>
                  <w:p>
                    <w:pPr>
                      <w:jc w:val="center"/>
                      <w:rPr>
                        <w:b/>
                        <w:color w:val="215E99"/>
                        <w:sz w:val="20"/>
                      </w:rPr>
                    </w:pPr>
                    <w:r>
                      <w:rPr>
                        <w:b/>
                        <w:sz w:val="20"/>
                      </w:rPr>
                      <w:t>641 510,653</w:t>
                    </w:r>
                  </w:p>
                </w:tc>
              </w:tr>
              <w:tr>
                <w:trPr>
                  <w:trHeight w:val="15"/>
                </w:trPr>
                <w:tc>
                  <w:tcPr>
                    <w:tcW w:w="8212" w:type="dxa"/>
                    <w:tcMar>
                      <w:top w:w="28" w:type="dxa"/>
                      <w:left w:w="30" w:type="dxa"/>
                      <w:bottom w:w="28" w:type="dxa"/>
                      <w:right w:w="30" w:type="dxa"/>
                    </w:tcMar>
                    <w:vAlign w:val="center"/>
                  </w:tcPr>
                  <w:p>
                    <w:pPr>
                      <w:rPr>
                        <w:sz w:val="4"/>
                        <w:szCs w:val="4"/>
                      </w:rPr>
                    </w:pPr>
                  </w:p>
                  <w:p>
                    <w:pPr>
                      <w:ind w:left="104"/>
                      <w:rPr>
                        <w:sz w:val="20"/>
                      </w:rPr>
                    </w:pPr>
                    <w:r>
                      <w:rPr>
                        <w:sz w:val="20"/>
                      </w:rPr>
                      <w:t>1.3.2.8.1. 2021–2027 m. ES struktūrinių fondų lėšos, Vidurio ir vakarų Lietuvos regionas (Europos socialinis fondas +)</w:t>
                    </w:r>
                  </w:p>
                </w:tc>
                <w:tc>
                  <w:tcPr>
                    <w:tcW w:w="3402" w:type="dxa"/>
                    <w:tcMar>
                      <w:top w:w="28" w:type="dxa"/>
                      <w:left w:w="30" w:type="dxa"/>
                      <w:bottom w:w="28" w:type="dxa"/>
                      <w:right w:w="30" w:type="dxa"/>
                    </w:tcMar>
                    <w:vAlign w:val="center"/>
                  </w:tcPr>
                  <w:p>
                    <w:pPr>
                      <w:rPr>
                        <w:sz w:val="4"/>
                        <w:szCs w:val="4"/>
                      </w:rPr>
                    </w:pPr>
                  </w:p>
                  <w:p>
                    <w:pPr>
                      <w:jc w:val="center"/>
                      <w:rPr>
                        <w:sz w:val="20"/>
                      </w:rPr>
                    </w:pPr>
                    <w:r>
                      <w:rPr>
                        <w:sz w:val="20"/>
                      </w:rPr>
                      <w:t>88 047,443</w:t>
                    </w:r>
                  </w:p>
                </w:tc>
              </w:tr>
              <w:tr>
                <w:trPr>
                  <w:trHeight w:val="15"/>
                </w:trPr>
                <w:tc>
                  <w:tcPr>
                    <w:tcW w:w="8212" w:type="dxa"/>
                    <w:tcMar>
                      <w:top w:w="28" w:type="dxa"/>
                      <w:left w:w="30" w:type="dxa"/>
                      <w:bottom w:w="28" w:type="dxa"/>
                      <w:right w:w="30" w:type="dxa"/>
                    </w:tcMar>
                    <w:vAlign w:val="center"/>
                  </w:tcPr>
                  <w:p>
                    <w:pPr>
                      <w:rPr>
                        <w:sz w:val="4"/>
                        <w:szCs w:val="4"/>
                      </w:rPr>
                    </w:pPr>
                  </w:p>
                  <w:p>
                    <w:pPr>
                      <w:ind w:left="104"/>
                      <w:rPr>
                        <w:sz w:val="20"/>
                      </w:rPr>
                    </w:pPr>
                    <w:r>
                      <w:rPr>
                        <w:sz w:val="20"/>
                      </w:rPr>
                      <w:t>1.3.2.8.1. 2021–2027 m. ES struktūrinių fondų lėšos, Sostinės regionas (Europos regioninės plėtros fondas)</w:t>
                    </w:r>
                  </w:p>
                </w:tc>
                <w:tc>
                  <w:tcPr>
                    <w:tcW w:w="3402" w:type="dxa"/>
                    <w:tcMar>
                      <w:top w:w="28" w:type="dxa"/>
                      <w:left w:w="30" w:type="dxa"/>
                      <w:bottom w:w="28" w:type="dxa"/>
                      <w:right w:w="30" w:type="dxa"/>
                    </w:tcMar>
                    <w:vAlign w:val="center"/>
                  </w:tcPr>
                  <w:p>
                    <w:pPr>
                      <w:rPr>
                        <w:sz w:val="4"/>
                        <w:szCs w:val="4"/>
                      </w:rPr>
                    </w:pPr>
                  </w:p>
                  <w:p>
                    <w:pPr>
                      <w:jc w:val="center"/>
                      <w:rPr>
                        <w:sz w:val="20"/>
                      </w:rPr>
                    </w:pPr>
                    <w:r>
                      <w:rPr>
                        <w:sz w:val="20"/>
                      </w:rPr>
                      <w:t>38 371,033</w:t>
                    </w:r>
                  </w:p>
                </w:tc>
              </w:tr>
              <w:tr>
                <w:trPr>
                  <w:trHeight w:val="15"/>
                </w:trPr>
                <w:tc>
                  <w:tcPr>
                    <w:tcW w:w="8212" w:type="dxa"/>
                    <w:tcMar>
                      <w:top w:w="28" w:type="dxa"/>
                      <w:left w:w="30" w:type="dxa"/>
                      <w:bottom w:w="28" w:type="dxa"/>
                      <w:right w:w="30" w:type="dxa"/>
                    </w:tcMar>
                    <w:vAlign w:val="center"/>
                  </w:tcPr>
                  <w:p>
                    <w:pPr>
                      <w:rPr>
                        <w:sz w:val="4"/>
                        <w:szCs w:val="4"/>
                      </w:rPr>
                    </w:pPr>
                  </w:p>
                  <w:p>
                    <w:pPr>
                      <w:ind w:left="104"/>
                      <w:rPr>
                        <w:sz w:val="20"/>
                      </w:rPr>
                    </w:pPr>
                    <w:r>
                      <w:rPr>
                        <w:sz w:val="20"/>
                      </w:rPr>
                      <w:t>1.3.2.8.1. 2021–2027 m. ES struktūrinių fondų lėšos, Vidurio ir vakarų Lietuvos regionas (Europos regioninės plėtros fondas)</w:t>
                    </w:r>
                  </w:p>
                </w:tc>
                <w:tc>
                  <w:tcPr>
                    <w:tcW w:w="3402" w:type="dxa"/>
                    <w:tcMar>
                      <w:top w:w="28" w:type="dxa"/>
                      <w:left w:w="30" w:type="dxa"/>
                      <w:bottom w:w="28" w:type="dxa"/>
                      <w:right w:w="30" w:type="dxa"/>
                    </w:tcMar>
                    <w:vAlign w:val="center"/>
                  </w:tcPr>
                  <w:p>
                    <w:pPr>
                      <w:rPr>
                        <w:sz w:val="4"/>
                        <w:szCs w:val="4"/>
                      </w:rPr>
                    </w:pPr>
                  </w:p>
                  <w:p>
                    <w:pPr>
                      <w:jc w:val="center"/>
                      <w:rPr>
                        <w:sz w:val="20"/>
                      </w:rPr>
                    </w:pPr>
                    <w:r>
                      <w:rPr>
                        <w:sz w:val="20"/>
                      </w:rPr>
                      <w:t>182 126,604</w:t>
                    </w:r>
                  </w:p>
                </w:tc>
              </w:tr>
              <w:tr>
                <w:trPr>
                  <w:trHeight w:val="15"/>
                </w:trPr>
                <w:tc>
                  <w:tcPr>
                    <w:tcW w:w="8212" w:type="dxa"/>
                    <w:tcMar>
                      <w:top w:w="28" w:type="dxa"/>
                      <w:left w:w="30" w:type="dxa"/>
                      <w:bottom w:w="28" w:type="dxa"/>
                      <w:right w:w="30" w:type="dxa"/>
                    </w:tcMar>
                    <w:vAlign w:val="center"/>
                  </w:tcPr>
                  <w:p>
                    <w:pPr>
                      <w:rPr>
                        <w:sz w:val="4"/>
                        <w:szCs w:val="4"/>
                      </w:rPr>
                    </w:pPr>
                  </w:p>
                  <w:p>
                    <w:pPr>
                      <w:ind w:left="104"/>
                      <w:rPr>
                        <w:b/>
                        <w:bCs/>
                        <w:sz w:val="20"/>
                        <w:highlight w:val="yellow"/>
                      </w:rPr>
                    </w:pPr>
                    <w:r>
                      <w:rPr>
                        <w:sz w:val="20"/>
                      </w:rPr>
                      <w:t>1.3.3.1.57. Ekonomikos gaivinimo ir atsparumo didinimo priemonės lėšos</w:t>
                    </w:r>
                  </w:p>
                </w:tc>
                <w:tc>
                  <w:tcPr>
                    <w:tcW w:w="3402" w:type="dxa"/>
                    <w:tcMar>
                      <w:top w:w="28" w:type="dxa"/>
                      <w:left w:w="30" w:type="dxa"/>
                      <w:bottom w:w="28" w:type="dxa"/>
                      <w:right w:w="30" w:type="dxa"/>
                    </w:tcMar>
                    <w:vAlign w:val="center"/>
                  </w:tcPr>
                  <w:p>
                    <w:pPr>
                      <w:rPr>
                        <w:sz w:val="4"/>
                        <w:szCs w:val="4"/>
                      </w:rPr>
                    </w:pPr>
                  </w:p>
                  <w:p>
                    <w:pPr>
                      <w:jc w:val="center"/>
                      <w:rPr>
                        <w:sz w:val="20"/>
                        <w:lang w:val="en-US"/>
                      </w:rPr>
                    </w:pPr>
                    <w:r>
                      <w:rPr>
                        <w:sz w:val="20"/>
                        <w:lang w:val="en-US"/>
                      </w:rPr>
                      <w:t>303 878,874</w:t>
                    </w:r>
                  </w:p>
                </w:tc>
              </w:tr>
              <w:tr>
                <w:trPr>
                  <w:trHeight w:val="15"/>
                </w:trPr>
                <w:tc>
                  <w:tcPr>
                    <w:tcW w:w="8212" w:type="dxa"/>
                    <w:tcMar>
                      <w:top w:w="28" w:type="dxa"/>
                      <w:left w:w="30" w:type="dxa"/>
                      <w:bottom w:w="28" w:type="dxa"/>
                      <w:right w:w="30" w:type="dxa"/>
                    </w:tcMar>
                    <w:vAlign w:val="center"/>
                  </w:tcPr>
                  <w:p>
                    <w:pPr>
                      <w:rPr>
                        <w:sz w:val="4"/>
                        <w:szCs w:val="4"/>
                      </w:rPr>
                    </w:pPr>
                  </w:p>
                  <w:p>
                    <w:pPr>
                      <w:ind w:left="104"/>
                      <w:rPr>
                        <w:sz w:val="20"/>
                      </w:rPr>
                    </w:pPr>
                    <w:r>
                      <w:rPr>
                        <w:sz w:val="20"/>
                      </w:rPr>
                      <w:t>1.3.3.1.68. Antrojo Šveicarijos įnašo finansinės paramos lėšos</w:t>
                    </w:r>
                  </w:p>
                </w:tc>
                <w:tc>
                  <w:tcPr>
                    <w:tcW w:w="3402" w:type="dxa"/>
                    <w:tcMar>
                      <w:top w:w="28" w:type="dxa"/>
                      <w:left w:w="30" w:type="dxa"/>
                      <w:bottom w:w="28" w:type="dxa"/>
                      <w:right w:w="30" w:type="dxa"/>
                    </w:tcMar>
                    <w:vAlign w:val="center"/>
                  </w:tcPr>
                  <w:p>
                    <w:pPr>
                      <w:rPr>
                        <w:sz w:val="4"/>
                        <w:szCs w:val="4"/>
                      </w:rPr>
                    </w:pPr>
                  </w:p>
                  <w:p>
                    <w:pPr>
                      <w:jc w:val="center"/>
                      <w:rPr>
                        <w:sz w:val="20"/>
                      </w:rPr>
                    </w:pPr>
                    <w:r>
                      <w:rPr>
                        <w:sz w:val="20"/>
                      </w:rPr>
                      <w:t>29 086,699</w:t>
                    </w:r>
                  </w:p>
                </w:tc>
              </w:tr>
              <w:tr>
                <w:trPr>
                  <w:trHeight w:val="225"/>
                </w:trPr>
                <w:tc>
                  <w:tcPr>
                    <w:tcW w:w="8212" w:type="dxa"/>
                    <w:tcMar>
                      <w:top w:w="28" w:type="dxa"/>
                      <w:left w:w="30" w:type="dxa"/>
                      <w:bottom w:w="28" w:type="dxa"/>
                      <w:right w:w="30" w:type="dxa"/>
                    </w:tcMar>
                    <w:vAlign w:val="center"/>
                  </w:tcPr>
                  <w:p>
                    <w:pPr>
                      <w:rPr>
                        <w:sz w:val="4"/>
                        <w:szCs w:val="4"/>
                      </w:rPr>
                    </w:pPr>
                  </w:p>
                  <w:p>
                    <w:pPr>
                      <w:ind w:left="104"/>
                      <w:jc w:val="both"/>
                      <w:rPr>
                        <w:b/>
                        <w:bCs/>
                        <w:sz w:val="20"/>
                      </w:rPr>
                    </w:pPr>
                    <w:r>
                      <w:rPr>
                        <w:b/>
                        <w:bCs/>
                        <w:sz w:val="20"/>
                      </w:rPr>
                      <w:t>1.4.</w:t>
                    </w:r>
                    <w:r>
                      <w:rPr>
                        <w:b/>
                        <w:bCs/>
                        <w:i/>
                        <w:iCs/>
                        <w:sz w:val="20"/>
                      </w:rPr>
                      <w:t xml:space="preserve"> </w:t>
                    </w:r>
                    <w:r>
                      <w:rPr>
                        <w:b/>
                        <w:bCs/>
                        <w:sz w:val="20"/>
                      </w:rPr>
                      <w:t>Biudžetinių įstaigų pajamų įmokos ir kitos pajamos</w:t>
                    </w:r>
                  </w:p>
                </w:tc>
                <w:tc>
                  <w:tcPr>
                    <w:tcW w:w="3402" w:type="dxa"/>
                    <w:tcMar>
                      <w:top w:w="28" w:type="dxa"/>
                      <w:left w:w="30" w:type="dxa"/>
                      <w:bottom w:w="28" w:type="dxa"/>
                      <w:right w:w="30" w:type="dxa"/>
                    </w:tcMar>
                    <w:vAlign w:val="center"/>
                  </w:tcPr>
                  <w:p>
                    <w:pPr>
                      <w:rPr>
                        <w:sz w:val="4"/>
                        <w:szCs w:val="4"/>
                      </w:rPr>
                    </w:pPr>
                  </w:p>
                  <w:p>
                    <w:pPr>
                      <w:jc w:val="center"/>
                      <w:rPr>
                        <w:b/>
                        <w:bCs/>
                        <w:sz w:val="20"/>
                      </w:rPr>
                    </w:pPr>
                  </w:p>
                </w:tc>
              </w:tr>
              <w:tr>
                <w:trPr>
                  <w:trHeight w:val="15"/>
                </w:trPr>
                <w:tc>
                  <w:tcPr>
                    <w:tcW w:w="8212" w:type="dxa"/>
                    <w:tcMar>
                      <w:top w:w="28" w:type="dxa"/>
                      <w:left w:w="30" w:type="dxa"/>
                      <w:bottom w:w="28" w:type="dxa"/>
                      <w:right w:w="30" w:type="dxa"/>
                    </w:tcMar>
                    <w:vAlign w:val="center"/>
                  </w:tcPr>
                  <w:p>
                    <w:pPr>
                      <w:rPr>
                        <w:sz w:val="4"/>
                        <w:szCs w:val="4"/>
                      </w:rPr>
                    </w:pPr>
                  </w:p>
                  <w:p>
                    <w:pPr>
                      <w:ind w:left="104"/>
                      <w:rPr>
                        <w:b/>
                        <w:bCs/>
                        <w:sz w:val="20"/>
                      </w:rPr>
                    </w:pPr>
                    <w:r>
                      <w:rPr>
                        <w:b/>
                        <w:bCs/>
                        <w:sz w:val="20"/>
                      </w:rPr>
                      <w:t>2. Kitos lėšos</w:t>
                    </w:r>
                  </w:p>
                </w:tc>
                <w:tc>
                  <w:tcPr>
                    <w:tcW w:w="3402" w:type="dxa"/>
                    <w:tcMar>
                      <w:top w:w="28" w:type="dxa"/>
                      <w:left w:w="30" w:type="dxa"/>
                      <w:bottom w:w="28" w:type="dxa"/>
                      <w:right w:w="30" w:type="dxa"/>
                    </w:tcMar>
                    <w:vAlign w:val="center"/>
                  </w:tcPr>
                  <w:p>
                    <w:pPr>
                      <w:rPr>
                        <w:sz w:val="4"/>
                        <w:szCs w:val="4"/>
                      </w:rPr>
                    </w:pPr>
                  </w:p>
                  <w:p>
                    <w:pPr>
                      <w:jc w:val="center"/>
                      <w:rPr>
                        <w:b/>
                        <w:bCs/>
                        <w:sz w:val="20"/>
                      </w:rPr>
                    </w:pPr>
                  </w:p>
                </w:tc>
              </w:tr>
              <w:tr>
                <w:trPr>
                  <w:trHeight w:val="15"/>
                </w:trPr>
                <w:tc>
                  <w:tcPr>
                    <w:tcW w:w="8212" w:type="dxa"/>
                    <w:tcMar>
                      <w:top w:w="28" w:type="dxa"/>
                      <w:left w:w="30" w:type="dxa"/>
                      <w:bottom w:w="28" w:type="dxa"/>
                      <w:right w:w="30" w:type="dxa"/>
                    </w:tcMar>
                    <w:vAlign w:val="center"/>
                  </w:tcPr>
                  <w:p>
                    <w:pPr>
                      <w:rPr>
                        <w:sz w:val="4"/>
                        <w:szCs w:val="4"/>
                      </w:rPr>
                    </w:pPr>
                  </w:p>
                  <w:p>
                    <w:pPr>
                      <w:rPr>
                        <w:sz w:val="20"/>
                      </w:rPr>
                    </w:pPr>
                    <w:r>
                      <w:rPr>
                        <w:sz w:val="20"/>
                      </w:rPr>
                      <w:t>2.1.Savivaldybių biudžetų lėšos</w:t>
                    </w:r>
                  </w:p>
                </w:tc>
                <w:tc>
                  <w:tcPr>
                    <w:tcW w:w="3402" w:type="dxa"/>
                    <w:tcMar>
                      <w:top w:w="28" w:type="dxa"/>
                      <w:left w:w="30" w:type="dxa"/>
                      <w:bottom w:w="28" w:type="dxa"/>
                      <w:right w:w="30" w:type="dxa"/>
                    </w:tcMar>
                    <w:vAlign w:val="center"/>
                  </w:tcPr>
                  <w:p>
                    <w:pPr>
                      <w:rPr>
                        <w:sz w:val="4"/>
                        <w:szCs w:val="4"/>
                      </w:rPr>
                    </w:pPr>
                  </w:p>
                  <w:p>
                    <w:pPr>
                      <w:jc w:val="center"/>
                      <w:rPr>
                        <w:sz w:val="20"/>
                      </w:rPr>
                    </w:pPr>
                  </w:p>
                </w:tc>
              </w:tr>
              <w:tr>
                <w:trPr>
                  <w:trHeight w:val="15"/>
                </w:trPr>
                <w:tc>
                  <w:tcPr>
                    <w:tcW w:w="8212" w:type="dxa"/>
                    <w:tcMar>
                      <w:top w:w="28" w:type="dxa"/>
                      <w:left w:w="30" w:type="dxa"/>
                      <w:bottom w:w="28" w:type="dxa"/>
                      <w:right w:w="30" w:type="dxa"/>
                    </w:tcMar>
                    <w:vAlign w:val="center"/>
                  </w:tcPr>
                  <w:p>
                    <w:pPr>
                      <w:rPr>
                        <w:sz w:val="4"/>
                        <w:szCs w:val="4"/>
                      </w:rPr>
                    </w:pPr>
                  </w:p>
                  <w:p>
                    <w:pPr>
                      <w:rPr>
                        <w:sz w:val="20"/>
                      </w:rPr>
                    </w:pPr>
                    <w:r>
                      <w:rPr>
                        <w:sz w:val="20"/>
                      </w:rPr>
                      <w:t>2.2. Privačios lėšos</w:t>
                    </w:r>
                  </w:p>
                </w:tc>
                <w:tc>
                  <w:tcPr>
                    <w:tcW w:w="3402" w:type="dxa"/>
                    <w:tcMar>
                      <w:top w:w="28" w:type="dxa"/>
                      <w:left w:w="30" w:type="dxa"/>
                      <w:bottom w:w="28" w:type="dxa"/>
                      <w:right w:w="30" w:type="dxa"/>
                    </w:tcMar>
                    <w:vAlign w:val="center"/>
                  </w:tcPr>
                  <w:p>
                    <w:pPr>
                      <w:rPr>
                        <w:sz w:val="4"/>
                        <w:szCs w:val="4"/>
                      </w:rPr>
                    </w:pPr>
                  </w:p>
                  <w:p>
                    <w:pPr>
                      <w:jc w:val="center"/>
                      <w:rPr>
                        <w:sz w:val="20"/>
                      </w:rPr>
                    </w:pPr>
                  </w:p>
                </w:tc>
              </w:tr>
              <w:tr>
                <w:trPr>
                  <w:trHeight w:val="15"/>
                </w:trPr>
                <w:tc>
                  <w:tcPr>
                    <w:tcW w:w="8212" w:type="dxa"/>
                    <w:tcMar>
                      <w:top w:w="28" w:type="dxa"/>
                      <w:left w:w="30" w:type="dxa"/>
                      <w:bottom w:w="28" w:type="dxa"/>
                      <w:right w:w="30" w:type="dxa"/>
                    </w:tcMar>
                    <w:vAlign w:val="center"/>
                  </w:tcPr>
                  <w:p>
                    <w:pPr>
                      <w:rPr>
                        <w:sz w:val="4"/>
                        <w:szCs w:val="4"/>
                      </w:rPr>
                    </w:pPr>
                  </w:p>
                  <w:p>
                    <w:pPr>
                      <w:rPr>
                        <w:sz w:val="20"/>
                      </w:rPr>
                    </w:pPr>
                    <w:r>
                      <w:rPr>
                        <w:sz w:val="20"/>
                      </w:rPr>
                      <w:t>2.3. Kitos viešosios lėšos</w:t>
                    </w:r>
                  </w:p>
                </w:tc>
                <w:tc>
                  <w:tcPr>
                    <w:tcW w:w="3402" w:type="dxa"/>
                    <w:tcMar>
                      <w:top w:w="28" w:type="dxa"/>
                      <w:left w:w="30" w:type="dxa"/>
                      <w:bottom w:w="28" w:type="dxa"/>
                      <w:right w:w="30" w:type="dxa"/>
                    </w:tcMar>
                    <w:vAlign w:val="center"/>
                  </w:tcPr>
                  <w:p>
                    <w:pPr>
                      <w:rPr>
                        <w:sz w:val="4"/>
                        <w:szCs w:val="4"/>
                      </w:rPr>
                    </w:pPr>
                  </w:p>
                  <w:p>
                    <w:pPr>
                      <w:jc w:val="center"/>
                      <w:rPr>
                        <w:sz w:val="20"/>
                      </w:rPr>
                    </w:pPr>
                  </w:p>
                </w:tc>
              </w:tr>
              <w:tr>
                <w:trPr>
                  <w:trHeight w:val="15"/>
                </w:trPr>
                <w:tc>
                  <w:tcPr>
                    <w:tcW w:w="8212" w:type="dxa"/>
                    <w:shd w:val="clear" w:color="auto" w:fill="D9E2F3"/>
                    <w:tcMar>
                      <w:top w:w="28" w:type="dxa"/>
                      <w:left w:w="30" w:type="dxa"/>
                      <w:bottom w:w="28" w:type="dxa"/>
                      <w:right w:w="30" w:type="dxa"/>
                    </w:tcMar>
                    <w:vAlign w:val="center"/>
                  </w:tcPr>
                  <w:p>
                    <w:pPr>
                      <w:rPr>
                        <w:sz w:val="4"/>
                        <w:szCs w:val="4"/>
                      </w:rPr>
                    </w:pPr>
                  </w:p>
                  <w:p>
                    <w:pPr>
                      <w:rPr>
                        <w:b/>
                        <w:bCs/>
                        <w:color w:val="000000"/>
                        <w:sz w:val="20"/>
                      </w:rPr>
                    </w:pPr>
                    <w:r>
                      <w:rPr>
                        <w:b/>
                        <w:bCs/>
                        <w:color w:val="000000"/>
                        <w:sz w:val="20"/>
                      </w:rPr>
                      <w:t>IŠ VISO:</w:t>
                    </w:r>
                  </w:p>
                </w:tc>
                <w:tc>
                  <w:tcPr>
                    <w:tcW w:w="3402" w:type="dxa"/>
                    <w:shd w:val="clear" w:color="auto" w:fill="D9E2F3"/>
                    <w:tcMar>
                      <w:top w:w="28" w:type="dxa"/>
                      <w:left w:w="30" w:type="dxa"/>
                      <w:bottom w:w="28" w:type="dxa"/>
                      <w:right w:w="30" w:type="dxa"/>
                    </w:tcMar>
                    <w:vAlign w:val="center"/>
                  </w:tcPr>
                  <w:p>
                    <w:pPr>
                      <w:rPr>
                        <w:sz w:val="4"/>
                        <w:szCs w:val="4"/>
                      </w:rPr>
                    </w:pPr>
                  </w:p>
                  <w:p>
                    <w:pPr>
                      <w:ind w:left="360"/>
                      <w:jc w:val="center"/>
                      <w:rPr>
                        <w:b/>
                        <w:bCs/>
                        <w:color w:val="000000"/>
                        <w:sz w:val="20"/>
                        <w:lang w:val="en-US"/>
                      </w:rPr>
                    </w:pPr>
                    <w:r>
                      <w:rPr>
                        <w:b/>
                        <w:bCs/>
                        <w:color w:val="000000"/>
                        <w:sz w:val="20"/>
                        <w:lang w:val="en-US"/>
                      </w:rPr>
                      <w:t>828 378,137</w:t>
                    </w:r>
                  </w:p>
                </w:tc>
              </w:tr>
            </w:tbl>
            <w:p>
              <w:pPr>
                <w:rPr>
                  <w:sz w:val="6"/>
                  <w:szCs w:val="6"/>
                </w:rPr>
              </w:pPr>
            </w:p>
            <w:p>
              <w:pPr>
                <w:jc w:val="both"/>
                <w:rPr>
                  <w:sz w:val="22"/>
                  <w:szCs w:val="22"/>
                </w:rPr>
              </w:pPr>
              <w:r>
                <w:rPr>
                  <w:b/>
                  <w:bCs/>
                  <w:sz w:val="22"/>
                  <w:szCs w:val="22"/>
                </w:rPr>
                <w:t>Pastaba</w:t>
              </w:r>
              <w:r>
                <w:rPr>
                  <w:sz w:val="22"/>
                  <w:szCs w:val="22"/>
                </w:rPr>
                <w:t>.</w:t>
              </w:r>
              <w:r>
                <w:rPr>
                  <w:b/>
                  <w:bCs/>
                  <w:sz w:val="22"/>
                  <w:szCs w:val="22"/>
                </w:rPr>
                <w:t xml:space="preserve"> </w:t>
              </w:r>
              <w:r>
                <w:rPr>
                  <w:sz w:val="22"/>
                  <w:szCs w:val="22"/>
                </w:rPr>
                <w:t>Priimant sprendimą dėl projektų finansavimo ir prisiimant įsipareigojimus pagal sudarytas projektų finansavimo sutartis, sudaryta galimybė viršyti Ekonomikos gaivinimo ir atsparumo didinimo plano „Naujos kartos Lietuva“ lėšų paskirstymo plane, patvirtintame Lietuvos Respublikos Vyriausybės 2023 m. liepos 31 d. nutarimu Nr. 612 „Dėl 2021–2027 metų Europos Sąjungos fondų investicijų programos ir Ekonomikos gaivinimo ir atsparumo didinimo plano „Naujos kartos Lietuva“ Lietuvai skirtų lėšų paskirstymo“ (toliau – Nutarimas Nr. 612), nurodytas EGADP subsidijos lėšas ir jas finansuoti iš nepanaudotų EGADP lėšų, kurios sudaro ne daugiau, negu nurodyta Nutarimo Nr.  612 2.5.14 papunktyje ir ne daugiau kaip 62 980 973 eurus.</w:t>
              </w:r>
            </w:p>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cb9676fc1411f09a18eb2f15b49eee">
                <w:r w:rsidRPr="00532B9F">
                  <w:rPr>
                    <w:rFonts w:ascii="Times New Roman" w:eastAsia="MS Mincho" w:hAnsi="Times New Roman"/>
                    <w:sz w:val="20"/>
                    <w:i/>
                    <w:iCs/>
                    <w:color w:val="0000FF" w:themeColor="hyperlink"/>
                    <w:u w:val="single"/>
                  </w:rPr>
                  <w:t>V-68</w:t>
                </w:r>
              </w:fldSimple>
              <w:r>
                <w:rPr>
                  <w:rFonts w:ascii="Times New Roman" w:eastAsia="MS Mincho" w:hAnsi="Times New Roman"/>
                  <w:sz w:val="20"/>
                  <w:i/>
                  <w:iCs/>
                </w:rPr>
                <w:t>,
2026-01-28,
paskelbta TAR 2026-01-28, i. k. 2026-01141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170770550d11f180c9c618618421ed">
                <w:r w:rsidRPr="00532B9F">
                  <w:rPr>
                    <w:rFonts w:ascii="Times New Roman" w:eastAsia="MS Mincho" w:hAnsi="Times New Roman"/>
                    <w:sz w:val="20"/>
                    <w:i/>
                    <w:iCs/>
                    <w:color w:val="0000FF" w:themeColor="hyperlink"/>
                    <w:u w:val="single"/>
                  </w:rPr>
                  <w:t>V-513</w:t>
                </w:r>
              </w:fldSimple>
              <w:r>
                <w:rPr>
                  <w:rFonts w:ascii="Times New Roman" w:eastAsia="MS Mincho" w:hAnsi="Times New Roman"/>
                  <w:sz w:val="20"/>
                  <w:i/>
                  <w:iCs/>
                </w:rPr>
                <w:t>,
2026-05-21,
paskelbta TAR 2026-05-21, i. k. 2026-08567            </w:t>
              </w:r>
            </w:p>
            <w:p/>
          </w:sdtContent>
        </w:sdt>
        <w:sdt>
          <w:sdtPr>
            <w:alias w:val="skyrius"/>
            <w:tag w:val="part_97e34dcf80da4018ac4c7410a4644e64"/>
            <w:lock w:val="sdtLocked"/>
            <w:richText/>
          </w:sdtPr>
          <w:sdtContent>
            <w:p>
              <w:pPr>
                <w:ind w:left="-284"/>
                <w:jc w:val="center"/>
                <w:sectPr>
                  <w:headerReference w:type="even" r:id="rId26"/>
                  <w:headerReference w:type="default" r:id="rId27"/>
                  <w:footerReference w:type="even" r:id="rId28"/>
                  <w:footerReference w:type="default" r:id="rId29"/>
                  <w:headerReference w:type="first" r:id="rId30"/>
                  <w:footerReference w:type="first" r:id="rId31"/>
                  <w:pgSz w:w="11906" w:h="16838" w:code="9"/>
                  <w:pgMar w:top="1701" w:right="567" w:bottom="1134" w:left="709" w:header="1134" w:footer="1134" w:gutter="0"/>
                  <w:cols w:space="1296"/>
                  <w:titlePg/>
                  <w:docGrid w:linePitch="326"/>
                </w:sectPr>
              </w:pPr>
            </w:p>
            <w:p>
              <w:pPr>
                <w:ind w:left="-284"/>
                <w:jc w:val="center"/>
                <w:rPr>
                  <w:b/>
                  <w:bCs/>
                </w:rPr>
              </w:pPr>
              <w:sdt>
                <w:sdtPr>
                  <w:alias w:val="Numeris"/>
                  <w:tag w:val="nr_97e34dcf80da4018ac4c7410a4644e64"/>
                  <w:lock w:val="sdtLocked"/>
                  <w:richText/>
                </w:sdtPr>
                <w:sdtContent>
                  <w:r>
                    <w:rPr>
                      <w:b/>
                      <w:bCs/>
                    </w:rPr>
                    <w:t>III</w:t>
                  </w:r>
                </w:sdtContent>
              </w:sdt>
              <w:r>
                <w:rPr>
                  <w:b/>
                  <w:bCs/>
                </w:rPr>
                <w:t xml:space="preserve"> SKYRIUS</w:t>
              </w:r>
            </w:p>
            <w:p>
              <w:pPr>
                <w:jc w:val="center"/>
                <w:rPr>
                  <w:b/>
                  <w:bCs/>
                </w:rPr>
              </w:pPr>
              <w:sdt>
                <w:sdtPr>
                  <w:alias w:val="Pavadinimas"/>
                  <w:tag w:val="title_97e34dcf80da4018ac4c7410a4644e64"/>
                  <w:lock w:val="sdtLocked"/>
                  <w:richText/>
                </w:sdtPr>
                <w:sdtContent>
                  <w:r>
                    <w:rPr>
                      <w:b/>
                      <w:bCs/>
                    </w:rPr>
                    <w:t>PLĖTROS PROGRAMOS PAŽANGOS PRIEMONĖS VEIKLŲ SUVESTINĖ</w:t>
                  </w:r>
                </w:sdtContent>
              </w:sdt>
            </w:p>
            <w:p>
              <w:pPr>
                <w:jc w:val="center"/>
                <w:rPr>
                  <w:b/>
                  <w:bCs/>
                </w:rPr>
              </w:pPr>
            </w:p>
            <w:tbl>
              <w:tblPr>
                <w:tblW w:w="15029"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
                <w:gridCol w:w="2124"/>
                <w:gridCol w:w="699"/>
                <w:gridCol w:w="1985"/>
                <w:gridCol w:w="114"/>
                <w:gridCol w:w="680"/>
                <w:gridCol w:w="35"/>
                <w:gridCol w:w="20"/>
                <w:gridCol w:w="986"/>
                <w:gridCol w:w="8"/>
                <w:gridCol w:w="32"/>
                <w:gridCol w:w="625"/>
                <w:gridCol w:w="24"/>
                <w:gridCol w:w="27"/>
                <w:gridCol w:w="1140"/>
                <w:gridCol w:w="1118"/>
                <w:gridCol w:w="16"/>
                <w:gridCol w:w="1985"/>
                <w:gridCol w:w="1001"/>
                <w:gridCol w:w="133"/>
                <w:gridCol w:w="992"/>
                <w:gridCol w:w="1279"/>
              </w:tblGrid>
              <w:tr>
                <w:trPr>
                  <w:trHeight w:val="1425"/>
                </w:trPr>
                <w:tc>
                  <w:tcPr>
                    <w:tcW w:w="2130"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Veikla</w:t>
                    </w:r>
                  </w:p>
                </w:tc>
                <w:tc>
                  <w:tcPr>
                    <w:tcW w:w="69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Veiklos (poveik-lės, projekto) tipas</w:t>
                    </w:r>
                  </w:p>
                </w:tc>
                <w:tc>
                  <w:tcPr>
                    <w:tcW w:w="1985"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Galimi pareiškėjai</w:t>
                    </w:r>
                  </w:p>
                </w:tc>
                <w:tc>
                  <w:tcPr>
                    <w:tcW w:w="829" w:type="dxa"/>
                    <w:gridSpan w:val="3"/>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 xml:space="preserve">Projektų </w:t>
                    </w:r>
                  </w:p>
                  <w:p>
                    <w:pPr>
                      <w:ind w:left="-57" w:right="-57"/>
                      <w:jc w:val="center"/>
                      <w:rPr>
                        <w:b/>
                        <w:sz w:val="16"/>
                        <w:szCs w:val="16"/>
                      </w:rPr>
                    </w:pPr>
                    <w:r>
                      <w:rPr>
                        <w:b/>
                        <w:sz w:val="16"/>
                        <w:szCs w:val="16"/>
                      </w:rPr>
                      <w:t>atrankos būdas</w:t>
                    </w:r>
                  </w:p>
                </w:tc>
                <w:tc>
                  <w:tcPr>
                    <w:tcW w:w="1014" w:type="dxa"/>
                    <w:gridSpan w:val="3"/>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Tiesiogiai prisidedama prie HP</w:t>
                    </w:r>
                  </w:p>
                  <w:p>
                    <w:pPr>
                      <w:ind w:left="-57" w:right="-57"/>
                      <w:jc w:val="center"/>
                      <w:rPr>
                        <w:b/>
                        <w:sz w:val="16"/>
                        <w:szCs w:val="16"/>
                      </w:rPr>
                    </w:pPr>
                    <w:r>
                      <w:rPr>
                        <w:b/>
                        <w:sz w:val="16"/>
                        <w:szCs w:val="16"/>
                      </w:rPr>
                      <w:t>(Taip / Ne)</w:t>
                    </w:r>
                  </w:p>
                </w:tc>
                <w:tc>
                  <w:tcPr>
                    <w:tcW w:w="681" w:type="dxa"/>
                    <w:gridSpan w:val="3"/>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forma</w:t>
                    </w:r>
                  </w:p>
                </w:tc>
                <w:tc>
                  <w:tcPr>
                    <w:tcW w:w="1167"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suma(tūkst. eurų)</w:t>
                    </w:r>
                  </w:p>
                </w:tc>
                <w:tc>
                  <w:tcPr>
                    <w:tcW w:w="1118"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(-iai)</w:t>
                    </w:r>
                  </w:p>
                </w:tc>
                <w:tc>
                  <w:tcPr>
                    <w:tcW w:w="2001"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Rodiklio pavadinimas ir tipas</w:t>
                    </w:r>
                  </w:p>
                </w:tc>
                <w:tc>
                  <w:tcPr>
                    <w:tcW w:w="1134"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Siektina galutinė rodiklio reikšmė, metai</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trike/>
                        <w:sz w:val="16"/>
                        <w:szCs w:val="16"/>
                      </w:rPr>
                    </w:pPr>
                    <w:r>
                      <w:rPr>
                        <w:b/>
                        <w:sz w:val="16"/>
                        <w:szCs w:val="16"/>
                      </w:rPr>
                      <w:t>Adminis-truojančioji institucija</w:t>
                    </w:r>
                  </w:p>
                </w:tc>
                <w:tc>
                  <w:tcPr>
                    <w:tcW w:w="127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Dalyvaujanti institucija</w:t>
                    </w:r>
                  </w:p>
                </w:tc>
              </w:tr>
              <w:tr>
                <w:trPr>
                  <w:trHeight w:val="279"/>
                </w:trPr>
                <w:tc>
                  <w:tcPr>
                    <w:tcW w:w="2130"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w:t>
                    </w:r>
                  </w:p>
                </w:tc>
                <w:tc>
                  <w:tcPr>
                    <w:tcW w:w="69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2</w:t>
                    </w:r>
                  </w:p>
                </w:tc>
                <w:tc>
                  <w:tcPr>
                    <w:tcW w:w="1985"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3</w:t>
                    </w:r>
                  </w:p>
                </w:tc>
                <w:tc>
                  <w:tcPr>
                    <w:tcW w:w="829" w:type="dxa"/>
                    <w:gridSpan w:val="3"/>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4</w:t>
                    </w:r>
                  </w:p>
                </w:tc>
                <w:tc>
                  <w:tcPr>
                    <w:tcW w:w="1014" w:type="dxa"/>
                    <w:gridSpan w:val="3"/>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5</w:t>
                    </w:r>
                  </w:p>
                </w:tc>
                <w:tc>
                  <w:tcPr>
                    <w:tcW w:w="681" w:type="dxa"/>
                    <w:gridSpan w:val="3"/>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6</w:t>
                    </w:r>
                  </w:p>
                </w:tc>
                <w:tc>
                  <w:tcPr>
                    <w:tcW w:w="1167"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7</w:t>
                    </w:r>
                  </w:p>
                </w:tc>
                <w:tc>
                  <w:tcPr>
                    <w:tcW w:w="1118"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8</w:t>
                    </w:r>
                  </w:p>
                </w:tc>
                <w:tc>
                  <w:tcPr>
                    <w:tcW w:w="2001"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9</w:t>
                    </w:r>
                  </w:p>
                </w:tc>
                <w:tc>
                  <w:tcPr>
                    <w:tcW w:w="1134"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10</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11</w:t>
                    </w:r>
                  </w:p>
                </w:tc>
                <w:tc>
                  <w:tcPr>
                    <w:tcW w:w="127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12</w:t>
                    </w:r>
                  </w:p>
                </w:tc>
              </w:tr>
              <w:tr>
                <w:trPr>
                  <w:trHeight w:val="382"/>
                </w:trPr>
                <w:tc>
                  <w:tcPr>
                    <w:tcW w:w="2130"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b/>
                        <w:bCs/>
                        <w:iCs/>
                        <w:sz w:val="20"/>
                      </w:rPr>
                    </w:pPr>
                    <w:r>
                      <w:rPr>
                        <w:b/>
                        <w:bCs/>
                        <w:iCs/>
                        <w:sz w:val="20"/>
                      </w:rPr>
                      <w:t>1. Ilgalaikės priežiūros paslaugų diegimas</w:t>
                    </w:r>
                  </w:p>
                </w:tc>
                <w:tc>
                  <w:tcPr>
                    <w:tcW w:w="69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985"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829" w:type="dxa"/>
                    <w:gridSpan w:val="3"/>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014" w:type="dxa"/>
                    <w:gridSpan w:val="3"/>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681" w:type="dxa"/>
                    <w:gridSpan w:val="3"/>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167" w:type="dxa"/>
                    <w:gridSpan w:val="2"/>
                    <w:tcBorders>
                      <w:top w:val="single" w:sz="2" w:space="0" w:color="auto"/>
                      <w:left w:val="single" w:sz="2" w:space="0" w:color="auto"/>
                      <w:bottom w:val="single" w:sz="2" w:space="0" w:color="auto"/>
                      <w:right w:val="single" w:sz="2" w:space="0" w:color="auto"/>
                    </w:tcBorders>
                    <w:shd w:val="clear" w:color="auto" w:fill="F2F2F2" w:themeFill="background1" w:themeFillShade="F2"/>
                  </w:tcPr>
                  <w:p>
                    <w:pPr>
                      <w:ind w:left="-57" w:right="-57"/>
                      <w:jc w:val="center"/>
                      <w:rPr>
                        <w:b/>
                        <w:bCs/>
                        <w:color w:val="000000"/>
                        <w:sz w:val="20"/>
                      </w:rPr>
                    </w:pPr>
                    <w:r>
                      <w:rPr>
                        <w:color w:val="000000" w:themeColor="text1"/>
                        <w:kern w:val="2"/>
                        <w:sz w:val="20"/>
                        <w:lang w:val="en-US"/>
                        <w14:ligatures w14:val="standardContextual"/>
                      </w:rPr>
                      <w:t>10 425</w:t>
                    </w:r>
                  </w:p>
                </w:tc>
                <w:tc>
                  <w:tcPr>
                    <w:tcW w:w="1118" w:type="dxa"/>
                    <w:tcBorders>
                      <w:top w:val="single" w:sz="2" w:space="0" w:color="auto"/>
                      <w:left w:val="single" w:sz="2" w:space="0" w:color="auto"/>
                      <w:bottom w:val="single" w:sz="2" w:space="0" w:color="auto"/>
                      <w:right w:val="single" w:sz="2" w:space="0" w:color="auto"/>
                    </w:tcBorders>
                    <w:shd w:val="clear" w:color="auto" w:fill="F2F2F2" w:themeFill="background1" w:themeFillShade="F2"/>
                  </w:tcPr>
                  <w:p>
                    <w:pPr>
                      <w:ind w:left="-57" w:right="-57"/>
                      <w:rPr>
                        <w:color w:val="000000"/>
                        <w:sz w:val="20"/>
                      </w:rPr>
                    </w:pPr>
                    <w:r>
                      <w:rPr>
                        <w:color w:val="000000" w:themeColor="text1"/>
                        <w:kern w:val="2"/>
                        <w:sz w:val="20"/>
                        <w14:ligatures w14:val="standardContextual"/>
                      </w:rPr>
                      <w:t>-</w:t>
                    </w:r>
                  </w:p>
                </w:tc>
                <w:tc>
                  <w:tcPr>
                    <w:tcW w:w="2001"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sz w:val="20"/>
                      </w:rPr>
                    </w:pPr>
                  </w:p>
                  <w:p>
                    <w:pPr>
                      <w:ind w:left="-57" w:right="-57"/>
                      <w:rPr>
                        <w:color w:val="000000"/>
                        <w:sz w:val="20"/>
                      </w:rPr>
                    </w:pPr>
                  </w:p>
                </w:tc>
                <w:tc>
                  <w:tcPr>
                    <w:tcW w:w="1134"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r>
              <w:tr>
                <w:trPr>
                  <w:trHeight w:val="382"/>
                </w:trPr>
                <w:tc>
                  <w:tcPr>
                    <w:tcW w:w="2130" w:type="dxa"/>
                    <w:gridSpan w:val="2"/>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69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985"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829"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014"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167" w:type="dxa"/>
                    <w:gridSpan w:val="2"/>
                    <w:tcBorders>
                      <w:top w:val="single" w:sz="2" w:space="0" w:color="auto"/>
                      <w:left w:val="single" w:sz="2" w:space="0" w:color="auto"/>
                      <w:bottom w:val="single" w:sz="2" w:space="0" w:color="auto"/>
                      <w:right w:val="single" w:sz="2" w:space="0" w:color="auto"/>
                    </w:tcBorders>
                    <w:shd w:val="clear" w:color="auto" w:fill="F2F2F2" w:themeFill="background1" w:themeFillShade="F2"/>
                  </w:tcPr>
                  <w:p>
                    <w:pPr>
                      <w:ind w:left="-57" w:right="-57"/>
                      <w:jc w:val="center"/>
                      <w:rPr>
                        <w:color w:val="000000"/>
                        <w:sz w:val="20"/>
                      </w:rPr>
                    </w:pPr>
                    <w:r>
                      <w:rPr>
                        <w:color w:val="000000" w:themeColor="text1"/>
                        <w:kern w:val="2"/>
                        <w:sz w:val="20"/>
                        <w:lang w:val="en-US"/>
                        <w14:ligatures w14:val="standardContextual"/>
                      </w:rPr>
                      <w:t>8 612</w:t>
                    </w:r>
                  </w:p>
                </w:tc>
                <w:tc>
                  <w:tcPr>
                    <w:tcW w:w="1118" w:type="dxa"/>
                    <w:tcBorders>
                      <w:top w:val="single" w:sz="2" w:space="0" w:color="auto"/>
                      <w:left w:val="single" w:sz="2" w:space="0" w:color="auto"/>
                      <w:bottom w:val="single" w:sz="2" w:space="0" w:color="auto"/>
                      <w:right w:val="single" w:sz="2" w:space="0" w:color="auto"/>
                    </w:tcBorders>
                    <w:shd w:val="clear" w:color="auto" w:fill="F2F2F2" w:themeFill="background1" w:themeFillShade="F2"/>
                  </w:tcPr>
                  <w:p>
                    <w:pPr>
                      <w:ind w:left="-57" w:right="-57"/>
                      <w:rPr>
                        <w:color w:val="000000"/>
                        <w:sz w:val="20"/>
                      </w:rPr>
                    </w:pPr>
                    <w:r>
                      <w:rPr>
                        <w:color w:val="000000" w:themeColor="text1"/>
                        <w:kern w:val="2"/>
                        <w:sz w:val="20"/>
                        <w14:ligatures w14:val="standardContextual"/>
                      </w:rPr>
                      <w:t>EGADP</w:t>
                    </w:r>
                  </w:p>
                </w:tc>
                <w:tc>
                  <w:tcPr>
                    <w:tcW w:w="2001" w:type="dxa"/>
                    <w:gridSpan w:val="2"/>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1134" w:type="dxa"/>
                    <w:gridSpan w:val="2"/>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415"/>
                </w:trPr>
                <w:tc>
                  <w:tcPr>
                    <w:tcW w:w="2130" w:type="dxa"/>
                    <w:gridSpan w:val="2"/>
                    <w:vMerge/>
                    <w:tcBorders>
                      <w:left w:val="single" w:sz="4" w:space="0" w:color="auto"/>
                      <w:right w:val="single" w:sz="4" w:space="0" w:color="auto"/>
                    </w:tcBorders>
                    <w:shd w:val="clear" w:color="auto" w:fill="F2F2F2" w:themeFill="background1" w:themeFillShade="F2"/>
                  </w:tcPr>
                  <w:p>
                    <w:pPr>
                      <w:ind w:left="-57" w:right="-57"/>
                      <w:rPr>
                        <w:b/>
                        <w:bCs/>
                        <w:iCs/>
                        <w:sz w:val="20"/>
                      </w:rPr>
                    </w:pPr>
                  </w:p>
                </w:tc>
                <w:tc>
                  <w:tcPr>
                    <w:tcW w:w="69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985"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829"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014"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167" w:type="dxa"/>
                    <w:gridSpan w:val="2"/>
                    <w:tcBorders>
                      <w:top w:val="single" w:sz="2" w:space="0" w:color="auto"/>
                      <w:left w:val="single" w:sz="2" w:space="0" w:color="auto"/>
                      <w:bottom w:val="single" w:sz="2" w:space="0" w:color="auto"/>
                      <w:right w:val="single" w:sz="2" w:space="0" w:color="auto"/>
                    </w:tcBorders>
                    <w:shd w:val="clear" w:color="auto" w:fill="F2F2F2" w:themeFill="background1" w:themeFillShade="F2"/>
                  </w:tcPr>
                  <w:p>
                    <w:pPr>
                      <w:ind w:left="-57" w:right="-57"/>
                      <w:jc w:val="center"/>
                      <w:rPr>
                        <w:color w:val="000000"/>
                        <w:sz w:val="20"/>
                      </w:rPr>
                    </w:pPr>
                    <w:r>
                      <w:rPr>
                        <w:color w:val="000000" w:themeColor="text1"/>
                        <w:kern w:val="2"/>
                        <w:sz w:val="20"/>
                        <w:lang w:val="en-US"/>
                        <w14:ligatures w14:val="standardContextual"/>
                      </w:rPr>
                      <w:t>1 813</w:t>
                    </w:r>
                  </w:p>
                </w:tc>
                <w:tc>
                  <w:tcPr>
                    <w:tcW w:w="1118" w:type="dxa"/>
                    <w:tcBorders>
                      <w:top w:val="single" w:sz="2" w:space="0" w:color="auto"/>
                      <w:left w:val="single" w:sz="2" w:space="0" w:color="auto"/>
                      <w:bottom w:val="single" w:sz="2" w:space="0" w:color="auto"/>
                      <w:right w:val="single" w:sz="2" w:space="0" w:color="auto"/>
                    </w:tcBorders>
                    <w:shd w:val="clear" w:color="auto" w:fill="F2F2F2" w:themeFill="background1" w:themeFillShade="F2"/>
                  </w:tcPr>
                  <w:p>
                    <w:pPr>
                      <w:ind w:left="-57" w:right="-57"/>
                      <w:rPr>
                        <w:color w:val="000000"/>
                        <w:sz w:val="20"/>
                      </w:rPr>
                    </w:pPr>
                    <w:r>
                      <w:rPr>
                        <w:color w:val="000000" w:themeColor="text1"/>
                        <w:kern w:val="2"/>
                        <w:sz w:val="20"/>
                        <w14:ligatures w14:val="standardContextual"/>
                      </w:rPr>
                      <w:t xml:space="preserve">VB lėšos netinka-mam PVM apmokėti (toliau – PVM iš VB </w:t>
                    </w:r>
                  </w:p>
                </w:tc>
                <w:tc>
                  <w:tcPr>
                    <w:tcW w:w="2001" w:type="dxa"/>
                    <w:gridSpan w:val="2"/>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1134" w:type="dxa"/>
                    <w:gridSpan w:val="2"/>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265"/>
                </w:trPr>
                <w:tc>
                  <w:tcPr>
                    <w:tcW w:w="2130" w:type="dxa"/>
                    <w:gridSpan w:val="2"/>
                    <w:vMerge/>
                    <w:tcBorders>
                      <w:left w:val="single" w:sz="4" w:space="0" w:color="auto"/>
                      <w:bottom w:val="single" w:sz="4" w:space="0" w:color="auto"/>
                      <w:right w:val="single" w:sz="4" w:space="0" w:color="auto"/>
                    </w:tcBorders>
                    <w:shd w:val="clear" w:color="auto" w:fill="F2F2F2" w:themeFill="background1" w:themeFillShade="F2"/>
                  </w:tcPr>
                  <w:p>
                    <w:pPr>
                      <w:ind w:left="-57" w:right="-57"/>
                      <w:rPr>
                        <w:b/>
                        <w:bCs/>
                        <w:iCs/>
                        <w:sz w:val="20"/>
                      </w:rPr>
                    </w:pPr>
                  </w:p>
                </w:tc>
                <w:tc>
                  <w:tcPr>
                    <w:tcW w:w="69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985"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829" w:type="dxa"/>
                    <w:gridSpan w:val="3"/>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014" w:type="dxa"/>
                    <w:gridSpan w:val="3"/>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681" w:type="dxa"/>
                    <w:gridSpan w:val="3"/>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p>
                </w:tc>
                <w:tc>
                  <w:tcPr>
                    <w:tcW w:w="2001" w:type="dxa"/>
                    <w:gridSpan w:val="2"/>
                    <w:vMerge/>
                    <w:tcBorders>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p>
                </w:tc>
                <w:tc>
                  <w:tcPr>
                    <w:tcW w:w="1134" w:type="dxa"/>
                    <w:gridSpan w:val="2"/>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1112"/>
                </w:trPr>
                <w:tc>
                  <w:tcPr>
                    <w:tcW w:w="2130" w:type="dxa"/>
                    <w:gridSpan w:val="2"/>
                    <w:vMerge w:val="restart"/>
                    <w:tcBorders>
                      <w:top w:val="single" w:sz="4" w:space="0" w:color="auto"/>
                      <w:left w:val="single" w:sz="4" w:space="0" w:color="auto"/>
                      <w:right w:val="single" w:sz="4" w:space="0" w:color="auto"/>
                    </w:tcBorders>
                  </w:tcPr>
                  <w:p>
                    <w:pPr>
                      <w:ind w:left="-57" w:right="-57"/>
                      <w:rPr>
                        <w:b/>
                        <w:bCs/>
                        <w:sz w:val="20"/>
                      </w:rPr>
                    </w:pPr>
                    <w:r>
                      <w:rPr>
                        <w:sz w:val="20"/>
                      </w:rPr>
                      <w:t xml:space="preserve">1.1. Ilgalaikę priežiūrą reglamentuojančių teisės aktų  parengimas</w:t>
                    </w:r>
                  </w:p>
                </w:tc>
                <w:tc>
                  <w:tcPr>
                    <w:tcW w:w="699" w:type="dxa"/>
                    <w:vMerge w:val="restart"/>
                    <w:tcBorders>
                      <w:top w:val="single" w:sz="4" w:space="0" w:color="auto"/>
                      <w:left w:val="single" w:sz="4" w:space="0" w:color="auto"/>
                      <w:right w:val="single" w:sz="4" w:space="0" w:color="auto"/>
                    </w:tcBorders>
                  </w:tcPr>
                  <w:p>
                    <w:pPr>
                      <w:ind w:left="-57" w:right="-57"/>
                      <w:jc w:val="center"/>
                      <w:rPr>
                        <w:sz w:val="20"/>
                      </w:rPr>
                    </w:pPr>
                    <w:r>
                      <w:rPr>
                        <w:sz w:val="20"/>
                      </w:rPr>
                      <w:t>R</w:t>
                    </w:r>
                  </w:p>
                </w:tc>
                <w:tc>
                  <w:tcPr>
                    <w:tcW w:w="1985"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829"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014"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167" w:type="dxa"/>
                    <w:gridSpan w:val="2"/>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118" w:type="dxa"/>
                    <w:vMerge w:val="restart"/>
                    <w:tcBorders>
                      <w:top w:val="single" w:sz="4" w:space="0" w:color="auto"/>
                      <w:left w:val="single" w:sz="4" w:space="0" w:color="auto"/>
                      <w:right w:val="single" w:sz="4" w:space="0" w:color="auto"/>
                    </w:tcBorders>
                  </w:tcPr>
                  <w:p>
                    <w:pPr>
                      <w:ind w:left="-57" w:right="-57"/>
                      <w:rPr>
                        <w:sz w:val="20"/>
                      </w:rPr>
                    </w:pPr>
                    <w:r>
                      <w:rPr>
                        <w:sz w:val="20"/>
                      </w:rPr>
                      <w:t>-</w:t>
                    </w:r>
                  </w:p>
                </w:tc>
                <w:tc>
                  <w:tcPr>
                    <w:tcW w:w="2001" w:type="dxa"/>
                    <w:gridSpan w:val="2"/>
                    <w:tcBorders>
                      <w:top w:val="single" w:sz="2" w:space="0" w:color="auto"/>
                      <w:left w:val="single" w:sz="2" w:space="0" w:color="auto"/>
                      <w:bottom w:val="single" w:sz="2" w:space="0" w:color="auto"/>
                      <w:right w:val="single" w:sz="2" w:space="0" w:color="auto"/>
                    </w:tcBorders>
                    <w:shd w:val="clear" w:color="auto" w:fill="FFFFFF" w:themeFill="background1"/>
                  </w:tcPr>
                  <w:p>
                    <w:pPr>
                      <w:ind w:left="-57" w:right="-57"/>
                      <w:rPr>
                        <w:sz w:val="20"/>
                      </w:rPr>
                    </w:pPr>
                    <w:r>
                      <w:rPr>
                        <w:color w:val="000000" w:themeColor="text1"/>
                        <w:kern w:val="2"/>
                        <w:sz w:val="20"/>
                        <w14:ligatures w14:val="standardContextual"/>
                      </w:rPr>
                      <w:t>P – Socialiniams partneriams pristatytas ir viešai konsultacijai pateiktas ilgalaikės priežiūros paslaugų teikimo ir finansavimo modelis, vnt.</w:t>
                    </w:r>
                  </w:p>
                </w:tc>
                <w:tc>
                  <w:tcPr>
                    <w:tcW w:w="1134" w:type="dxa"/>
                    <w:gridSpan w:val="2"/>
                    <w:tcBorders>
                      <w:top w:val="single" w:sz="2" w:space="0" w:color="auto"/>
                      <w:left w:val="single" w:sz="2" w:space="0" w:color="auto"/>
                      <w:bottom w:val="single" w:sz="2" w:space="0" w:color="auto"/>
                      <w:right w:val="single" w:sz="2" w:space="0" w:color="auto"/>
                    </w:tcBorders>
                    <w:shd w:val="clear" w:color="auto" w:fill="FFFFFF" w:themeFill="background1"/>
                  </w:tcPr>
                  <w:p>
                    <w:pPr>
                      <w:spacing w:line="276" w:lineRule="auto"/>
                      <w:ind w:left="-57" w:right="-57"/>
                      <w:jc w:val="center"/>
                      <w:rPr>
                        <w:kern w:val="2"/>
                        <w14:ligatures w14:val="standardContextual"/>
                      </w:rPr>
                    </w:pPr>
                    <w:r>
                      <w:rPr>
                        <w:color w:val="000000" w:themeColor="text1"/>
                        <w:kern w:val="2"/>
                        <w:sz w:val="20"/>
                        <w14:ligatures w14:val="standardContextual"/>
                      </w:rPr>
                      <w:t>1</w:t>
                    </w:r>
                  </w:p>
                  <w:p>
                    <w:pPr>
                      <w:ind w:left="-57" w:right="-57"/>
                      <w:jc w:val="center"/>
                      <w:rPr>
                        <w:sz w:val="20"/>
                      </w:rPr>
                    </w:pPr>
                    <w:r>
                      <w:rPr>
                        <w:color w:val="000000" w:themeColor="text1"/>
                        <w:kern w:val="2"/>
                        <w:sz w:val="20"/>
                        <w14:ligatures w14:val="standardContextual"/>
                      </w:rPr>
                      <w:t>(2022 m. III ketv.)</w:t>
                    </w:r>
                  </w:p>
                </w:tc>
                <w:tc>
                  <w:tcPr>
                    <w:tcW w:w="992" w:type="dxa"/>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w:t>
                    </w:r>
                  </w:p>
                </w:tc>
                <w:tc>
                  <w:tcPr>
                    <w:tcW w:w="1279" w:type="dxa"/>
                    <w:vMerge w:val="restart"/>
                    <w:tcBorders>
                      <w:top w:val="single" w:sz="2" w:space="0" w:color="auto"/>
                      <w:left w:val="single" w:sz="2" w:space="0" w:color="auto"/>
                      <w:bottom w:val="single" w:sz="2" w:space="0" w:color="auto"/>
                      <w:right w:val="single" w:sz="2" w:space="0" w:color="auto"/>
                    </w:tcBorders>
                  </w:tcPr>
                  <w:p>
                    <w:pPr>
                      <w:spacing w:line="276" w:lineRule="auto"/>
                      <w:ind w:left="-57" w:right="-57"/>
                      <w:jc w:val="center"/>
                      <w:rPr>
                        <w:kern w:val="2"/>
                        <w14:ligatures w14:val="standardContextual"/>
                      </w:rPr>
                    </w:pPr>
                    <w:r>
                      <w:rPr>
                        <w:kern w:val="2"/>
                        <w:sz w:val="20"/>
                        <w14:ligatures w14:val="standardContextual"/>
                      </w:rPr>
                      <w:t>Sveikatos apsaugos ministerija (toliau – SAM);</w:t>
                    </w:r>
                  </w:p>
                  <w:p>
                    <w:pPr>
                      <w:ind w:left="-57" w:right="-57"/>
                      <w:jc w:val="center"/>
                      <w:rPr>
                        <w:sz w:val="20"/>
                      </w:rPr>
                    </w:pPr>
                    <w:r>
                      <w:rPr>
                        <w:kern w:val="2"/>
                        <w:sz w:val="20"/>
                        <w14:ligatures w14:val="standardContextual"/>
                      </w:rPr>
                      <w:t xml:space="preserve">Socialinės apsaugos ir darbo ministerija (toliau – SADM) </w:t>
                    </w:r>
                  </w:p>
                </w:tc>
              </w:tr>
              <w:tr>
                <w:trPr>
                  <w:trHeight w:val="599"/>
                </w:trPr>
                <w:tc>
                  <w:tcPr>
                    <w:tcW w:w="2130" w:type="dxa"/>
                    <w:gridSpan w:val="2"/>
                    <w:vMerge/>
                    <w:tcBorders>
                      <w:left w:val="single" w:sz="4" w:space="0" w:color="auto"/>
                      <w:bottom w:val="single" w:sz="4" w:space="0" w:color="auto"/>
                      <w:right w:val="single" w:sz="4" w:space="0" w:color="auto"/>
                    </w:tcBorders>
                  </w:tcPr>
                  <w:p>
                    <w:pPr>
                      <w:ind w:left="-57" w:right="-57"/>
                      <w:rPr>
                        <w:sz w:val="20"/>
                      </w:rPr>
                    </w:pPr>
                  </w:p>
                </w:tc>
                <w:tc>
                  <w:tcPr>
                    <w:tcW w:w="699" w:type="dxa"/>
                    <w:vMerge/>
                    <w:tcBorders>
                      <w:left w:val="single" w:sz="4" w:space="0" w:color="auto"/>
                      <w:bottom w:val="single" w:sz="4" w:space="0" w:color="auto"/>
                      <w:right w:val="single" w:sz="4" w:space="0" w:color="auto"/>
                    </w:tcBorders>
                  </w:tcPr>
                  <w:p>
                    <w:pPr>
                      <w:ind w:left="-57" w:right="-57"/>
                      <w:jc w:val="center"/>
                      <w:rPr>
                        <w:sz w:val="20"/>
                      </w:rPr>
                    </w:pPr>
                  </w:p>
                </w:tc>
                <w:tc>
                  <w:tcPr>
                    <w:tcW w:w="1985" w:type="dxa"/>
                    <w:vMerge/>
                    <w:tcBorders>
                      <w:left w:val="single" w:sz="4" w:space="0" w:color="auto"/>
                      <w:bottom w:val="single" w:sz="4" w:space="0" w:color="auto"/>
                      <w:right w:val="single" w:sz="4" w:space="0" w:color="auto"/>
                    </w:tcBorders>
                  </w:tcPr>
                  <w:p>
                    <w:pPr>
                      <w:ind w:left="-57" w:right="-57"/>
                      <w:jc w:val="center"/>
                      <w:rPr>
                        <w:sz w:val="20"/>
                      </w:rPr>
                    </w:pPr>
                  </w:p>
                </w:tc>
                <w:tc>
                  <w:tcPr>
                    <w:tcW w:w="829"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014"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681"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167" w:type="dxa"/>
                    <w:gridSpan w:val="2"/>
                    <w:vMerge/>
                    <w:tcBorders>
                      <w:left w:val="single" w:sz="4" w:space="0" w:color="auto"/>
                      <w:bottom w:val="single" w:sz="4" w:space="0" w:color="auto"/>
                      <w:right w:val="single" w:sz="4" w:space="0" w:color="auto"/>
                    </w:tcBorders>
                  </w:tcPr>
                  <w:p>
                    <w:pPr>
                      <w:ind w:left="-57" w:right="-57"/>
                      <w:jc w:val="center"/>
                      <w:rPr>
                        <w:sz w:val="20"/>
                      </w:rPr>
                    </w:pPr>
                  </w:p>
                </w:tc>
                <w:tc>
                  <w:tcPr>
                    <w:tcW w:w="1118" w:type="dxa"/>
                    <w:vMerge/>
                    <w:tcBorders>
                      <w:left w:val="single" w:sz="4" w:space="0" w:color="auto"/>
                      <w:bottom w:val="single" w:sz="4" w:space="0" w:color="auto"/>
                      <w:right w:val="single" w:sz="4" w:space="0" w:color="auto"/>
                    </w:tcBorders>
                  </w:tcPr>
                  <w:p>
                    <w:pPr>
                      <w:ind w:left="-57" w:right="-57"/>
                      <w:rPr>
                        <w:sz w:val="20"/>
                      </w:rPr>
                    </w:pPr>
                  </w:p>
                </w:tc>
                <w:tc>
                  <w:tcPr>
                    <w:tcW w:w="2001" w:type="dxa"/>
                    <w:gridSpan w:val="2"/>
                    <w:tcBorders>
                      <w:top w:val="single" w:sz="2" w:space="0" w:color="auto"/>
                      <w:left w:val="single" w:sz="2" w:space="0" w:color="auto"/>
                      <w:bottom w:val="single" w:sz="2" w:space="0" w:color="auto"/>
                      <w:right w:val="single" w:sz="2" w:space="0" w:color="auto"/>
                    </w:tcBorders>
                    <w:shd w:val="clear" w:color="auto" w:fill="FFFFFF" w:themeFill="background1"/>
                  </w:tcPr>
                  <w:p>
                    <w:pPr>
                      <w:ind w:left="-57" w:right="-57"/>
                      <w:rPr>
                        <w:sz w:val="20"/>
                      </w:rPr>
                    </w:pPr>
                    <w:r>
                      <w:rPr>
                        <w:color w:val="000000" w:themeColor="text1"/>
                        <w:kern w:val="2"/>
                        <w:sz w:val="20"/>
                        <w14:ligatures w14:val="standardContextual"/>
                      </w:rPr>
                      <w:t>P – Įsigalioję teisės aktai, reglamentuojantys ilgalaikės priežiūros paslaugų modelio įgyvendinimą, kompl.</w:t>
                    </w:r>
                  </w:p>
                </w:tc>
                <w:tc>
                  <w:tcPr>
                    <w:tcW w:w="1134" w:type="dxa"/>
                    <w:gridSpan w:val="2"/>
                    <w:tcBorders>
                      <w:top w:val="single" w:sz="2" w:space="0" w:color="auto"/>
                      <w:left w:val="single" w:sz="2" w:space="0" w:color="auto"/>
                      <w:bottom w:val="single" w:sz="2" w:space="0" w:color="auto"/>
                      <w:right w:val="single" w:sz="2" w:space="0" w:color="auto"/>
                    </w:tcBorders>
                    <w:shd w:val="clear" w:color="auto" w:fill="FFFFFF" w:themeFill="background1"/>
                  </w:tcPr>
                  <w:p>
                    <w:pPr>
                      <w:spacing w:line="276" w:lineRule="auto"/>
                      <w:ind w:left="-57" w:right="-57"/>
                      <w:jc w:val="center"/>
                      <w:rPr>
                        <w:kern w:val="2"/>
                        <w14:ligatures w14:val="standardContextual"/>
                      </w:rPr>
                    </w:pPr>
                    <w:r>
                      <w:rPr>
                        <w:color w:val="000000" w:themeColor="text1"/>
                        <w:kern w:val="2"/>
                        <w:sz w:val="20"/>
                        <w14:ligatures w14:val="standardContextual"/>
                      </w:rPr>
                      <w:t>1</w:t>
                    </w:r>
                  </w:p>
                  <w:p>
                    <w:pPr>
                      <w:ind w:left="-57" w:right="-57"/>
                      <w:jc w:val="center"/>
                      <w:rPr>
                        <w:sz w:val="20"/>
                      </w:rPr>
                    </w:pPr>
                    <w:r>
                      <w:rPr>
                        <w:color w:val="000000" w:themeColor="text1"/>
                        <w:kern w:val="2"/>
                        <w:sz w:val="20"/>
                        <w14:ligatures w14:val="standardContextual"/>
                      </w:rPr>
                      <w:t>(2024 m. I ketv.)</w:t>
                    </w:r>
                  </w:p>
                </w:tc>
                <w:tc>
                  <w:tcPr>
                    <w:tcW w:w="992" w:type="dxa"/>
                    <w:vMerge/>
                    <w:tcBorders>
                      <w:top w:val="single" w:sz="2" w:space="0" w:color="auto"/>
                      <w:left w:val="single" w:sz="2" w:space="0" w:color="auto"/>
                      <w:bottom w:val="single" w:sz="2" w:space="0" w:color="auto"/>
                      <w:right w:val="single" w:sz="2" w:space="0" w:color="auto"/>
                    </w:tcBorders>
                    <w:vAlign w:val="center"/>
                  </w:tcPr>
                  <w:p>
                    <w:pPr>
                      <w:rPr>
                        <w:sz w:val="20"/>
                      </w:rPr>
                    </w:pPr>
                  </w:p>
                </w:tc>
                <w:tc>
                  <w:tcPr>
                    <w:tcW w:w="1279" w:type="dxa"/>
                    <w:vMerge/>
                    <w:tcBorders>
                      <w:top w:val="single" w:sz="2" w:space="0" w:color="auto"/>
                      <w:left w:val="single" w:sz="2" w:space="0" w:color="auto"/>
                      <w:bottom w:val="single" w:sz="2" w:space="0" w:color="auto"/>
                      <w:right w:val="single" w:sz="2" w:space="0" w:color="auto"/>
                    </w:tcBorders>
                    <w:vAlign w:val="center"/>
                  </w:tcPr>
                  <w:p>
                    <w:pPr>
                      <w:ind w:left="-57" w:right="-57"/>
                      <w:jc w:val="center"/>
                      <w:rPr>
                        <w:sz w:val="20"/>
                      </w:rPr>
                    </w:pPr>
                  </w:p>
                </w:tc>
              </w:tr>
              <w:tr>
                <w:trPr>
                  <w:trHeight w:val="926"/>
                </w:trPr>
                <w:tc>
                  <w:tcPr>
                    <w:tcW w:w="2130" w:type="dxa"/>
                    <w:gridSpan w:val="2"/>
                    <w:vMerge w:val="restart"/>
                    <w:tcBorders>
                      <w:top w:val="single" w:sz="4" w:space="0" w:color="auto"/>
                      <w:left w:val="single" w:sz="4" w:space="0" w:color="auto"/>
                      <w:bottom w:val="single" w:sz="4" w:space="0" w:color="auto"/>
                      <w:right w:val="single" w:sz="4" w:space="0" w:color="auto"/>
                    </w:tcBorders>
                  </w:tcPr>
                  <w:p>
                    <w:pPr>
                      <w:ind w:left="-57" w:right="-57"/>
                      <w:rPr>
                        <w:iCs/>
                        <w:sz w:val="20"/>
                      </w:rPr>
                    </w:pPr>
                    <w:r>
                      <w:rPr>
                        <w:iCs/>
                        <w:sz w:val="20"/>
                      </w:rPr>
                      <w:t>1.2. Ilgalaikės priežiūros dienos centrų įrengimas</w:t>
                    </w:r>
                  </w:p>
                </w:tc>
                <w:tc>
                  <w:tcPr>
                    <w:tcW w:w="699" w:type="dxa"/>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Asmens sveikatos priežiūros įstaigos (toliau – ASPĮ); savivaldybių administracijos; savivaldybių įstaigos, teikiančios globos paslaugas</w:t>
                    </w:r>
                  </w:p>
                </w:tc>
                <w:tc>
                  <w:tcPr>
                    <w:tcW w:w="829" w:type="dxa"/>
                    <w:gridSpan w:val="3"/>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D</w:t>
                    </w:r>
                  </w:p>
                </w:tc>
                <w:tc>
                  <w:tcPr>
                    <w:tcW w:w="1167" w:type="dxa"/>
                    <w:gridSpan w:val="2"/>
                    <w:vMerge w:val="restart"/>
                    <w:tcBorders>
                      <w:top w:val="single" w:sz="2" w:space="0" w:color="auto"/>
                      <w:left w:val="single" w:sz="2" w:space="0" w:color="auto"/>
                      <w:bottom w:val="single" w:sz="2" w:space="0" w:color="auto"/>
                      <w:right w:val="single" w:sz="2" w:space="0" w:color="auto"/>
                    </w:tcBorders>
                  </w:tcPr>
                  <w:p>
                    <w:pPr>
                      <w:spacing w:line="276" w:lineRule="auto"/>
                      <w:ind w:left="-57" w:right="-57"/>
                      <w:jc w:val="center"/>
                      <w:rPr>
                        <w:kern w:val="2"/>
                        <w14:ligatures w14:val="standardContextual"/>
                      </w:rPr>
                    </w:pPr>
                    <w:r>
                      <w:rPr>
                        <w:kern w:val="2"/>
                        <w:sz w:val="20"/>
                        <w14:ligatures w14:val="standardContextual"/>
                      </w:rPr>
                      <w:t>5 220</w:t>
                    </w:r>
                  </w:p>
                  <w:p>
                    <w:pPr>
                      <w:spacing w:line="276" w:lineRule="auto"/>
                      <w:rPr>
                        <w:kern w:val="2"/>
                        <w14:ligatures w14:val="standardContextual"/>
                      </w:rPr>
                    </w:pPr>
                    <w:r>
                      <w:rPr>
                        <w:kern w:val="2"/>
                        <w:sz w:val="20"/>
                        <w14:ligatures w14:val="standardContextual"/>
                      </w:rPr>
                      <w:t xml:space="preserve"> </w:t>
                    </w:r>
                  </w:p>
                  <w:p>
                    <w:pPr>
                      <w:spacing w:line="276" w:lineRule="auto"/>
                      <w:rPr>
                        <w:sz w:val="20"/>
                      </w:rPr>
                    </w:pPr>
                  </w:p>
                </w:tc>
                <w:tc>
                  <w:tcPr>
                    <w:tcW w:w="1118" w:type="dxa"/>
                    <w:vMerge w:val="restart"/>
                    <w:tcBorders>
                      <w:top w:val="single" w:sz="2" w:space="0" w:color="auto"/>
                      <w:left w:val="single" w:sz="2" w:space="0" w:color="auto"/>
                      <w:bottom w:val="single" w:sz="2" w:space="0" w:color="auto"/>
                      <w:right w:val="single" w:sz="2" w:space="0" w:color="auto"/>
                    </w:tcBorders>
                  </w:tcPr>
                  <w:p>
                    <w:pPr>
                      <w:spacing w:line="276" w:lineRule="auto"/>
                      <w:ind w:left="-57" w:right="-57"/>
                      <w:rPr>
                        <w:kern w:val="2"/>
                        <w14:ligatures w14:val="standardContextual"/>
                      </w:rPr>
                    </w:pPr>
                    <w:r>
                      <w:rPr>
                        <w:kern w:val="2"/>
                        <w:sz w:val="20"/>
                        <w14:ligatures w14:val="standardContextual"/>
                      </w:rPr>
                      <w:t>EGADP</w:t>
                    </w:r>
                  </w:p>
                  <w:p>
                    <w:pPr>
                      <w:spacing w:line="276" w:lineRule="auto"/>
                      <w:ind w:left="-57" w:right="-57"/>
                      <w:rPr>
                        <w:sz w:val="20"/>
                      </w:rPr>
                    </w:pPr>
                  </w:p>
                </w:tc>
                <w:tc>
                  <w:tcPr>
                    <w:tcW w:w="2001" w:type="dxa"/>
                    <w:gridSpan w:val="2"/>
                    <w:tcBorders>
                      <w:top w:val="single" w:sz="2" w:space="0" w:color="auto"/>
                      <w:left w:val="single" w:sz="2" w:space="0" w:color="auto"/>
                      <w:bottom w:val="single" w:sz="2" w:space="0" w:color="auto"/>
                      <w:right w:val="single" w:sz="2" w:space="0" w:color="auto"/>
                    </w:tcBorders>
                  </w:tcPr>
                  <w:p>
                    <w:pPr>
                      <w:ind w:left="-57" w:right="-57"/>
                      <w:rPr>
                        <w:sz w:val="20"/>
                      </w:rPr>
                    </w:pPr>
                    <w:r>
                      <w:rPr>
                        <w:kern w:val="2"/>
                        <w:sz w:val="20"/>
                        <w14:ligatures w14:val="standardContextual"/>
                      </w:rPr>
                      <w:t>P – Įkurtų specializuotų dienos priežiūros centrų, skirtų integruotoms ilgalaikės priežiūros paslaugoms teikti, skaičius, vnt.</w:t>
                    </w:r>
                  </w:p>
                </w:tc>
                <w:tc>
                  <w:tcPr>
                    <w:tcW w:w="1134" w:type="dxa"/>
                    <w:gridSpan w:val="2"/>
                    <w:tcBorders>
                      <w:top w:val="single" w:sz="2" w:space="0" w:color="auto"/>
                      <w:left w:val="single" w:sz="2" w:space="0" w:color="auto"/>
                      <w:bottom w:val="single" w:sz="2" w:space="0" w:color="auto"/>
                      <w:right w:val="single" w:sz="2" w:space="0" w:color="auto"/>
                    </w:tcBorders>
                  </w:tcPr>
                  <w:p>
                    <w:pPr>
                      <w:spacing w:line="276" w:lineRule="auto"/>
                      <w:ind w:left="-57" w:right="-57"/>
                      <w:jc w:val="center"/>
                      <w:rPr>
                        <w:kern w:val="2"/>
                        <w14:ligatures w14:val="standardContextual"/>
                      </w:rPr>
                    </w:pPr>
                    <w:r>
                      <w:rPr>
                        <w:kern w:val="2"/>
                        <w:sz w:val="20"/>
                        <w14:ligatures w14:val="standardContextual"/>
                      </w:rPr>
                      <w:t>10</w:t>
                    </w:r>
                  </w:p>
                  <w:p>
                    <w:pPr>
                      <w:ind w:left="-57" w:right="-57"/>
                      <w:jc w:val="center"/>
                      <w:rPr>
                        <w:sz w:val="20"/>
                      </w:rPr>
                    </w:pPr>
                    <w:r>
                      <w:rPr>
                        <w:kern w:val="2"/>
                        <w:sz w:val="20"/>
                        <w14:ligatures w14:val="standardContextual"/>
                      </w:rPr>
                      <w:t>(2026 m. I ketv.)</w:t>
                    </w:r>
                  </w:p>
                </w:tc>
                <w:tc>
                  <w:tcPr>
                    <w:tcW w:w="992" w:type="dxa"/>
                    <w:vMerge w:val="restart"/>
                    <w:tcBorders>
                      <w:top w:val="single" w:sz="4" w:space="0" w:color="auto"/>
                      <w:left w:val="single" w:sz="4" w:space="0" w:color="auto"/>
                      <w:bottom w:val="single" w:sz="4" w:space="0" w:color="auto"/>
                      <w:right w:val="single" w:sz="4" w:space="0" w:color="auto"/>
                    </w:tcBorders>
                  </w:tcPr>
                  <w:p>
                    <w:pPr>
                      <w:spacing w:line="276" w:lineRule="auto"/>
                      <w:ind w:left="-57" w:right="-57"/>
                      <w:jc w:val="center"/>
                      <w:rPr>
                        <w:kern w:val="2"/>
                        <w14:ligatures w14:val="standardContextual"/>
                      </w:rPr>
                    </w:pPr>
                    <w:r>
                      <w:rPr>
                        <w:kern w:val="2"/>
                        <w:sz w:val="20"/>
                        <w14:ligatures w14:val="standardContextual"/>
                      </w:rPr>
                      <w:t>VšĮ Centrinė projektų valdymo agentūra (toliau – CPVA)</w:t>
                    </w:r>
                  </w:p>
                  <w:p>
                    <w:pPr>
                      <w:ind w:left="-57" w:right="-57"/>
                      <w:jc w:val="center"/>
                      <w:rPr>
                        <w:sz w:val="20"/>
                      </w:rPr>
                    </w:pPr>
                  </w:p>
                </w:tc>
                <w:tc>
                  <w:tcPr>
                    <w:tcW w:w="1279" w:type="dxa"/>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SAM; SADM</w:t>
                    </w:r>
                  </w:p>
                </w:tc>
              </w:tr>
              <w:tr>
                <w:trPr>
                  <w:trHeight w:val="962"/>
                </w:trPr>
                <w:tc>
                  <w:tcPr>
                    <w:tcW w:w="2130" w:type="dxa"/>
                    <w:gridSpan w:val="2"/>
                    <w:vMerge/>
                    <w:tcBorders>
                      <w:left w:val="single" w:sz="4" w:space="0" w:color="auto"/>
                      <w:right w:val="single" w:sz="4" w:space="0" w:color="auto"/>
                    </w:tcBorders>
                    <w:shd w:val="clear" w:color="auto" w:fill="FFFFFF" w:themeFill="background1"/>
                  </w:tcPr>
                  <w:p>
                    <w:pPr>
                      <w:ind w:left="-57" w:right="-57"/>
                      <w:rPr>
                        <w:iCs/>
                        <w:sz w:val="20"/>
                      </w:rPr>
                    </w:pPr>
                  </w:p>
                </w:tc>
                <w:tc>
                  <w:tcPr>
                    <w:tcW w:w="69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985"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829"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014"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6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167" w:type="dxa"/>
                    <w:gridSpan w:val="2"/>
                    <w:vMerge/>
                    <w:tcBorders>
                      <w:top w:val="single" w:sz="2" w:space="0" w:color="auto"/>
                      <w:left w:val="single" w:sz="2" w:space="0" w:color="auto"/>
                      <w:bottom w:val="single" w:sz="2" w:space="0" w:color="auto"/>
                      <w:right w:val="single" w:sz="2" w:space="0" w:color="auto"/>
                    </w:tcBorders>
                    <w:vAlign w:val="center"/>
                  </w:tcPr>
                  <w:p>
                    <w:pPr>
                      <w:jc w:val="center"/>
                      <w:rPr>
                        <w:color w:val="000000"/>
                        <w:sz w:val="20"/>
                      </w:rPr>
                    </w:pPr>
                  </w:p>
                </w:tc>
                <w:tc>
                  <w:tcPr>
                    <w:tcW w:w="1118" w:type="dxa"/>
                    <w:vMerge/>
                    <w:tcBorders>
                      <w:top w:val="single" w:sz="2" w:space="0" w:color="auto"/>
                      <w:left w:val="single" w:sz="2" w:space="0" w:color="auto"/>
                      <w:bottom w:val="single" w:sz="2" w:space="0" w:color="auto"/>
                      <w:right w:val="single" w:sz="2" w:space="0" w:color="auto"/>
                    </w:tcBorders>
                    <w:vAlign w:val="center"/>
                  </w:tcPr>
                  <w:p>
                    <w:pPr>
                      <w:jc w:val="center"/>
                      <w:rPr>
                        <w:color w:val="000000"/>
                        <w:sz w:val="20"/>
                      </w:rPr>
                    </w:pPr>
                  </w:p>
                </w:tc>
                <w:tc>
                  <w:tcPr>
                    <w:tcW w:w="2001" w:type="dxa"/>
                    <w:gridSpan w:val="2"/>
                    <w:tcBorders>
                      <w:top w:val="single" w:sz="2" w:space="0" w:color="auto"/>
                      <w:left w:val="single" w:sz="2" w:space="0" w:color="auto"/>
                      <w:bottom w:val="single" w:sz="2" w:space="0" w:color="auto"/>
                      <w:right w:val="single" w:sz="2" w:space="0" w:color="auto"/>
                    </w:tcBorders>
                    <w:shd w:val="clear" w:color="auto" w:fill="FFFFFF" w:themeFill="background1"/>
                  </w:tcPr>
                  <w:p>
                    <w:pPr>
                      <w:ind w:left="-57" w:right="-57"/>
                      <w:jc w:val="both"/>
                      <w:rPr>
                        <w:sz w:val="20"/>
                      </w:rPr>
                    </w:pPr>
                    <w:r>
                      <w:rPr>
                        <w:color w:val="000000" w:themeColor="text1"/>
                        <w:kern w:val="2"/>
                        <w:sz w:val="20"/>
                        <w14:ligatures w14:val="standardContextual"/>
                      </w:rPr>
                      <w:t>R – Naujos arba modernizuotos sveikatos priežiūros infrastruktūros talpumas, asmenys per metus</w:t>
                    </w:r>
                  </w:p>
                </w:tc>
                <w:tc>
                  <w:tcPr>
                    <w:tcW w:w="1134" w:type="dxa"/>
                    <w:gridSpan w:val="2"/>
                    <w:tcBorders>
                      <w:top w:val="single" w:sz="2" w:space="0" w:color="auto"/>
                      <w:left w:val="single" w:sz="2" w:space="0" w:color="auto"/>
                      <w:bottom w:val="single" w:sz="2" w:space="0" w:color="auto"/>
                      <w:right w:val="single" w:sz="2" w:space="0" w:color="auto"/>
                    </w:tcBorders>
                    <w:shd w:val="clear" w:color="auto" w:fill="FFFFFF" w:themeFill="background1"/>
                  </w:tcPr>
                  <w:p>
                    <w:pPr>
                      <w:ind w:left="-57" w:right="-57"/>
                      <w:jc w:val="center"/>
                      <w:rPr>
                        <w:color w:val="000000"/>
                        <w:sz w:val="20"/>
                      </w:rPr>
                    </w:pPr>
                    <w:r>
                      <w:rPr>
                        <w:color w:val="000000" w:themeColor="text1"/>
                        <w:kern w:val="2"/>
                        <w:sz w:val="20"/>
                        <w14:ligatures w14:val="standardContextual"/>
                      </w:rPr>
                      <w:t>n/a</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9"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38"/>
                </w:trPr>
                <w:tc>
                  <w:tcPr>
                    <w:tcW w:w="2130" w:type="dxa"/>
                    <w:gridSpan w:val="2"/>
                    <w:vMerge/>
                    <w:tcBorders>
                      <w:left w:val="single" w:sz="4" w:space="0" w:color="auto"/>
                      <w:right w:val="single" w:sz="4" w:space="0" w:color="auto"/>
                    </w:tcBorders>
                    <w:shd w:val="clear" w:color="auto" w:fill="FFFFFF" w:themeFill="background1"/>
                  </w:tcPr>
                  <w:p>
                    <w:pPr>
                      <w:ind w:left="-57" w:right="-57"/>
                      <w:rPr>
                        <w:iCs/>
                        <w:sz w:val="20"/>
                      </w:rPr>
                    </w:pPr>
                  </w:p>
                </w:tc>
                <w:tc>
                  <w:tcPr>
                    <w:tcW w:w="69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985"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829"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014"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6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167" w:type="dxa"/>
                    <w:gridSpan w:val="2"/>
                    <w:vMerge w:val="restart"/>
                    <w:tcBorders>
                      <w:top w:val="single" w:sz="2" w:space="0" w:color="auto"/>
                      <w:left w:val="single" w:sz="2" w:space="0" w:color="auto"/>
                      <w:bottom w:val="single" w:sz="2" w:space="0" w:color="auto"/>
                      <w:right w:val="single" w:sz="2" w:space="0" w:color="auto"/>
                    </w:tcBorders>
                  </w:tcPr>
                  <w:p>
                    <w:pPr>
                      <w:spacing w:line="276" w:lineRule="auto"/>
                      <w:jc w:val="center"/>
                      <w:rPr>
                        <w:kern w:val="2"/>
                        <w14:ligatures w14:val="standardContextual"/>
                      </w:rPr>
                    </w:pPr>
                    <w:r>
                      <w:rPr>
                        <w:kern w:val="2"/>
                        <w:sz w:val="20"/>
                        <w14:ligatures w14:val="standardContextual"/>
                      </w:rPr>
                      <w:t>1 096</w:t>
                    </w:r>
                  </w:p>
                  <w:p>
                    <w:pPr>
                      <w:jc w:val="center"/>
                      <w:rPr>
                        <w:color w:val="000000"/>
                        <w:sz w:val="20"/>
                      </w:rPr>
                    </w:pPr>
                  </w:p>
                </w:tc>
                <w:tc>
                  <w:tcPr>
                    <w:tcW w:w="1118" w:type="dxa"/>
                    <w:vMerge w:val="restart"/>
                    <w:tcBorders>
                      <w:top w:val="single" w:sz="2" w:space="0" w:color="auto"/>
                      <w:left w:val="single" w:sz="2" w:space="0" w:color="auto"/>
                      <w:bottom w:val="single" w:sz="2" w:space="0" w:color="auto"/>
                      <w:right w:val="single" w:sz="2" w:space="0" w:color="auto"/>
                    </w:tcBorders>
                  </w:tcPr>
                  <w:p>
                    <w:pPr>
                      <w:spacing w:line="276" w:lineRule="auto"/>
                      <w:jc w:val="center"/>
                      <w:rPr>
                        <w:kern w:val="2"/>
                        <w14:ligatures w14:val="standardContextual"/>
                      </w:rPr>
                    </w:pPr>
                    <w:r>
                      <w:rPr>
                        <w:color w:val="000000" w:themeColor="text1"/>
                        <w:kern w:val="2"/>
                        <w:sz w:val="20"/>
                        <w14:ligatures w14:val="standardContextual"/>
                      </w:rPr>
                      <w:t>PVM iš VB</w:t>
                    </w:r>
                  </w:p>
                  <w:p>
                    <w:pPr>
                      <w:jc w:val="center"/>
                      <w:rPr>
                        <w:color w:val="000000"/>
                        <w:sz w:val="20"/>
                      </w:rPr>
                    </w:pPr>
                  </w:p>
                </w:tc>
                <w:tc>
                  <w:tcPr>
                    <w:tcW w:w="2001" w:type="dxa"/>
                    <w:gridSpan w:val="2"/>
                    <w:tcBorders>
                      <w:top w:val="single" w:sz="2" w:space="0" w:color="auto"/>
                      <w:left w:val="single" w:sz="2" w:space="0" w:color="auto"/>
                      <w:bottom w:val="single" w:sz="2" w:space="0" w:color="auto"/>
                      <w:right w:val="single" w:sz="2" w:space="0" w:color="auto"/>
                    </w:tcBorders>
                    <w:shd w:val="clear" w:color="auto" w:fill="FFFFFF" w:themeFill="background1"/>
                  </w:tcPr>
                  <w:p>
                    <w:pPr>
                      <w:ind w:left="-57" w:right="-57"/>
                      <w:jc w:val="both"/>
                      <w:rPr>
                        <w:color w:val="000000"/>
                        <w:sz w:val="20"/>
                      </w:rPr>
                    </w:pPr>
                    <w:r>
                      <w:rPr>
                        <w:color w:val="000000" w:themeColor="text1"/>
                        <w:kern w:val="2"/>
                        <w:sz w:val="20"/>
                        <w14:ligatures w14:val="standardContextual"/>
                      </w:rPr>
                      <w:t xml:space="preserve">P – Žmogiškųjų išteklių ir infrastruktūros pajėgumų didinimas, vnt.  </w:t>
                    </w:r>
                  </w:p>
                </w:tc>
                <w:tc>
                  <w:tcPr>
                    <w:tcW w:w="1134" w:type="dxa"/>
                    <w:gridSpan w:val="2"/>
                    <w:tcBorders>
                      <w:top w:val="single" w:sz="2" w:space="0" w:color="auto"/>
                      <w:left w:val="single" w:sz="2" w:space="0" w:color="auto"/>
                      <w:bottom w:val="single" w:sz="2" w:space="0" w:color="auto"/>
                      <w:right w:val="single" w:sz="2" w:space="0" w:color="auto"/>
                    </w:tcBorders>
                    <w:shd w:val="clear" w:color="auto" w:fill="FFFFFF" w:themeFill="background1"/>
                  </w:tcPr>
                  <w:p>
                    <w:pPr>
                      <w:ind w:left="-57" w:right="-57"/>
                      <w:jc w:val="center"/>
                      <w:rPr>
                        <w:color w:val="000000"/>
                        <w:sz w:val="20"/>
                      </w:rPr>
                    </w:pPr>
                    <w:r>
                      <w:rPr>
                        <w:color w:val="000000" w:themeColor="text1"/>
                        <w:kern w:val="2"/>
                        <w:sz w:val="20"/>
                        <w14:ligatures w14:val="standardContextual"/>
                      </w:rPr>
                      <w:t xml:space="preserve">3           (202</w:t>
                    </w:r>
                    <w:r>
                      <w:rPr>
                        <w:color w:val="000000" w:themeColor="text1"/>
                        <w:kern w:val="2"/>
                        <w:sz w:val="20"/>
                        <w:lang w:val="en-US"/>
                        <w14:ligatures w14:val="standardContextual"/>
                      </w:rPr>
                      <w:t>5</w:t>
                    </w:r>
                    <w:r>
                      <w:rPr>
                        <w:color w:val="000000" w:themeColor="text1"/>
                        <w:kern w:val="2"/>
                        <w:sz w:val="20"/>
                        <w14:ligatures w14:val="standardContextual"/>
                      </w:rPr>
                      <w:t xml:space="preserve"> m. II ketv.)</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9"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962"/>
                </w:trPr>
                <w:tc>
                  <w:tcPr>
                    <w:tcW w:w="2130" w:type="dxa"/>
                    <w:gridSpan w:val="2"/>
                    <w:vMerge/>
                    <w:tcBorders>
                      <w:left w:val="single" w:sz="4" w:space="0" w:color="auto"/>
                      <w:right w:val="single" w:sz="4" w:space="0" w:color="auto"/>
                    </w:tcBorders>
                    <w:shd w:val="clear" w:color="auto" w:fill="FFFFFF" w:themeFill="background1"/>
                  </w:tcPr>
                  <w:p>
                    <w:pPr>
                      <w:ind w:left="-57" w:right="-57"/>
                      <w:rPr>
                        <w:iCs/>
                        <w:sz w:val="20"/>
                      </w:rPr>
                    </w:pPr>
                  </w:p>
                </w:tc>
                <w:tc>
                  <w:tcPr>
                    <w:tcW w:w="69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985"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829"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014"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6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167" w:type="dxa"/>
                    <w:gridSpan w:val="2"/>
                    <w:vMerge/>
                    <w:tcBorders>
                      <w:top w:val="single" w:sz="2" w:space="0" w:color="auto"/>
                      <w:left w:val="single" w:sz="2" w:space="0" w:color="auto"/>
                      <w:bottom w:val="single" w:sz="2" w:space="0" w:color="auto"/>
                      <w:right w:val="single" w:sz="2" w:space="0" w:color="auto"/>
                    </w:tcBorders>
                    <w:vAlign w:val="center"/>
                  </w:tcPr>
                  <w:p>
                    <w:pPr>
                      <w:jc w:val="center"/>
                      <w:rPr>
                        <w:color w:val="000000"/>
                        <w:sz w:val="20"/>
                      </w:rPr>
                    </w:pPr>
                  </w:p>
                </w:tc>
                <w:tc>
                  <w:tcPr>
                    <w:tcW w:w="1118" w:type="dxa"/>
                    <w:vMerge/>
                    <w:tcBorders>
                      <w:top w:val="single" w:sz="2" w:space="0" w:color="auto"/>
                      <w:left w:val="single" w:sz="2" w:space="0" w:color="auto"/>
                      <w:bottom w:val="single" w:sz="2" w:space="0" w:color="auto"/>
                      <w:right w:val="single" w:sz="2" w:space="0" w:color="auto"/>
                    </w:tcBorders>
                    <w:vAlign w:val="center"/>
                  </w:tcPr>
                  <w:p>
                    <w:pPr>
                      <w:jc w:val="center"/>
                      <w:rPr>
                        <w:color w:val="000000"/>
                        <w:sz w:val="20"/>
                      </w:rPr>
                    </w:pPr>
                  </w:p>
                </w:tc>
                <w:tc>
                  <w:tcPr>
                    <w:tcW w:w="2001" w:type="dxa"/>
                    <w:gridSpan w:val="2"/>
                    <w:tcBorders>
                      <w:top w:val="single" w:sz="2" w:space="0" w:color="auto"/>
                      <w:left w:val="single" w:sz="2" w:space="0" w:color="auto"/>
                      <w:bottom w:val="single" w:sz="2" w:space="0" w:color="auto"/>
                      <w:right w:val="single" w:sz="2" w:space="0" w:color="auto"/>
                    </w:tcBorders>
                    <w:shd w:val="clear" w:color="auto" w:fill="FFFFFF" w:themeFill="background1"/>
                  </w:tcPr>
                  <w:p>
                    <w:pPr>
                      <w:ind w:left="-57" w:right="-57"/>
                      <w:jc w:val="both"/>
                      <w:rPr>
                        <w:sz w:val="20"/>
                      </w:rPr>
                    </w:pPr>
                    <w:r>
                      <w:rPr>
                        <w:color w:val="000000" w:themeColor="text1"/>
                        <w:kern w:val="2"/>
                        <w:sz w:val="20"/>
                        <w14:ligatures w14:val="standardContextual"/>
                      </w:rPr>
                      <w:t xml:space="preserve">P – Infrastruktūros pajėgumų didinimas  </w:t>
                    </w:r>
                  </w:p>
                </w:tc>
                <w:tc>
                  <w:tcPr>
                    <w:tcW w:w="1134" w:type="dxa"/>
                    <w:gridSpan w:val="2"/>
                    <w:tcBorders>
                      <w:top w:val="single" w:sz="2" w:space="0" w:color="auto"/>
                      <w:left w:val="single" w:sz="2" w:space="0" w:color="auto"/>
                      <w:bottom w:val="single" w:sz="2" w:space="0" w:color="auto"/>
                      <w:right w:val="single" w:sz="2" w:space="0" w:color="auto"/>
                    </w:tcBorders>
                    <w:shd w:val="clear" w:color="auto" w:fill="FFFFFF" w:themeFill="background1"/>
                  </w:tcPr>
                  <w:p>
                    <w:pPr>
                      <w:spacing w:line="276" w:lineRule="auto"/>
                      <w:jc w:val="center"/>
                      <w:rPr>
                        <w:kern w:val="2"/>
                        <w14:ligatures w14:val="standardContextual"/>
                      </w:rPr>
                    </w:pPr>
                    <w:r>
                      <w:rPr>
                        <w:color w:val="000000" w:themeColor="text1"/>
                        <w:kern w:val="2"/>
                        <w:sz w:val="20"/>
                        <w:lang w:val="en-US"/>
                        <w14:ligatures w14:val="standardContextual"/>
                      </w:rPr>
                      <w:t>7</w:t>
                    </w:r>
                  </w:p>
                  <w:p>
                    <w:pPr>
                      <w:ind w:left="-57" w:right="-57"/>
                      <w:jc w:val="center"/>
                      <w:rPr>
                        <w:color w:val="000000"/>
                        <w:sz w:val="20"/>
                      </w:rPr>
                    </w:pPr>
                    <w:r>
                      <w:rPr>
                        <w:color w:val="000000" w:themeColor="text1"/>
                        <w:kern w:val="2"/>
                        <w:sz w:val="20"/>
                        <w14:ligatures w14:val="standardContextual"/>
                      </w:rPr>
                      <w:t>(202</w:t>
                    </w:r>
                    <w:r>
                      <w:rPr>
                        <w:color w:val="000000" w:themeColor="text1"/>
                        <w:kern w:val="2"/>
                        <w:sz w:val="20"/>
                        <w:lang w:val="en-US"/>
                        <w14:ligatures w14:val="standardContextual"/>
                      </w:rPr>
                      <w:t>6</w:t>
                    </w:r>
                    <w:r>
                      <w:rPr>
                        <w:color w:val="000000" w:themeColor="text1"/>
                        <w:kern w:val="2"/>
                        <w:sz w:val="20"/>
                        <w14:ligatures w14:val="standardContextual"/>
                      </w:rPr>
                      <w:t xml:space="preserve"> m. I ketv.)</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9"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923"/>
                </w:trPr>
                <w:tc>
                  <w:tcPr>
                    <w:tcW w:w="2130" w:type="dxa"/>
                    <w:gridSpan w:val="2"/>
                    <w:vMerge w:val="restart"/>
                    <w:tcBorders>
                      <w:top w:val="single" w:sz="4" w:space="0" w:color="auto"/>
                      <w:left w:val="single" w:sz="4" w:space="0" w:color="auto"/>
                      <w:right w:val="single" w:sz="4" w:space="0" w:color="auto"/>
                    </w:tcBorders>
                  </w:tcPr>
                  <w:p>
                    <w:pPr>
                      <w:ind w:left="-57" w:right="-57"/>
                      <w:rPr>
                        <w:iCs/>
                        <w:sz w:val="20"/>
                      </w:rPr>
                    </w:pPr>
                    <w:r>
                      <w:rPr>
                        <w:sz w:val="20"/>
                      </w:rPr>
                      <w:t>1.3. Mobiliųjų komandų aprūpinimas įranga ir transporto priemonėmis</w:t>
                    </w:r>
                  </w:p>
                </w:tc>
                <w:tc>
                  <w:tcPr>
                    <w:tcW w:w="69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sz w:val="20"/>
                      </w:rPr>
                      <w:t>I</w:t>
                    </w:r>
                  </w:p>
                </w:tc>
                <w:tc>
                  <w:tcPr>
                    <w:tcW w:w="1985" w:type="dxa"/>
                    <w:vMerge w:val="restart"/>
                    <w:tcBorders>
                      <w:top w:val="single" w:sz="4" w:space="0" w:color="auto"/>
                      <w:left w:val="single" w:sz="4" w:space="0" w:color="auto"/>
                      <w:right w:val="single" w:sz="4" w:space="0" w:color="auto"/>
                    </w:tcBorders>
                  </w:tcPr>
                  <w:p>
                    <w:pPr>
                      <w:ind w:left="-57" w:right="-57" w:firstLine="53"/>
                      <w:jc w:val="center"/>
                      <w:rPr>
                        <w:sz w:val="20"/>
                      </w:rPr>
                    </w:pPr>
                    <w:r>
                      <w:rPr>
                        <w:sz w:val="20"/>
                      </w:rPr>
                      <w:t>ASPĮ;</w:t>
                    </w:r>
                  </w:p>
                  <w:p>
                    <w:pPr>
                      <w:ind w:left="-57" w:right="-57"/>
                      <w:jc w:val="center"/>
                      <w:rPr>
                        <w:color w:val="FF0000"/>
                        <w:sz w:val="20"/>
                      </w:rPr>
                    </w:pPr>
                    <w:r>
                      <w:rPr>
                        <w:sz w:val="20"/>
                      </w:rPr>
                      <w:t>savivaldybių administracijos</w:t>
                    </w:r>
                  </w:p>
                </w:tc>
                <w:tc>
                  <w:tcPr>
                    <w:tcW w:w="829"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sz w:val="20"/>
                      </w:rPr>
                      <w:t>P</w:t>
                    </w:r>
                  </w:p>
                </w:tc>
                <w:tc>
                  <w:tcPr>
                    <w:tcW w:w="1014"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spacing w:line="276" w:lineRule="auto"/>
                      <w:ind w:left="-57" w:right="-57"/>
                      <w:jc w:val="center"/>
                      <w:rPr>
                        <w:kern w:val="2"/>
                        <w14:ligatures w14:val="standardContextual"/>
                      </w:rPr>
                    </w:pPr>
                    <w:r>
                      <w:rPr>
                        <w:kern w:val="2"/>
                        <w:sz w:val="20"/>
                        <w14:ligatures w14:val="standardContextual"/>
                      </w:rPr>
                      <w:t>D</w:t>
                    </w:r>
                  </w:p>
                  <w:p>
                    <w:pPr>
                      <w:ind w:left="-57" w:right="-57"/>
                      <w:jc w:val="center"/>
                      <w:rPr>
                        <w:color w:val="000000"/>
                        <w:sz w:val="20"/>
                      </w:rPr>
                    </w:pPr>
                  </w:p>
                </w:tc>
                <w:tc>
                  <w:tcPr>
                    <w:tcW w:w="1167" w:type="dxa"/>
                    <w:gridSpan w:val="2"/>
                    <w:tcBorders>
                      <w:top w:val="single" w:sz="4" w:space="0" w:color="auto"/>
                      <w:left w:val="single" w:sz="4" w:space="0" w:color="auto"/>
                      <w:right w:val="single" w:sz="4" w:space="0" w:color="auto"/>
                    </w:tcBorders>
                  </w:tcPr>
                  <w:p>
                    <w:pPr/>
                    <w:r>
                      <w:rPr>
                        <w:b/>
                        <w:bCs/>
                        <w:sz w:val="20"/>
                      </w:rPr>
                      <w:t xml:space="preserve">   </w:t>
                    </w:r>
                    <w:r>
                      <w:rPr>
                        <w:sz w:val="20"/>
                      </w:rPr>
                      <w:t xml:space="preserve"> 3 392</w:t>
                    </w:r>
                  </w:p>
                  <w:p>
                    <w:pPr>
                      <w:ind w:left="-57" w:right="-57"/>
                      <w:jc w:val="center"/>
                      <w:rPr>
                        <w:sz w:val="20"/>
                      </w:rPr>
                    </w:pPr>
                  </w:p>
                </w:tc>
                <w:tc>
                  <w:tcPr>
                    <w:tcW w:w="1118" w:type="dxa"/>
                    <w:tcBorders>
                      <w:top w:val="single" w:sz="4" w:space="0" w:color="auto"/>
                      <w:left w:val="single" w:sz="4" w:space="0" w:color="auto"/>
                      <w:right w:val="single" w:sz="4" w:space="0" w:color="auto"/>
                    </w:tcBorders>
                  </w:tcPr>
                  <w:p>
                    <w:pPr>
                      <w:jc w:val="center"/>
                      <w:rPr>
                        <w:sz w:val="20"/>
                      </w:rPr>
                    </w:pPr>
                    <w:r>
                      <w:rPr>
                        <w:sz w:val="20"/>
                      </w:rPr>
                      <w:t>EGADP</w:t>
                    </w:r>
                  </w:p>
                  <w:p>
                    <w:pPr>
                      <w:ind w:left="-57" w:right="-57"/>
                      <w:rPr>
                        <w:sz w:val="20"/>
                      </w:rPr>
                    </w:pPr>
                  </w:p>
                </w:tc>
                <w:tc>
                  <w:tcPr>
                    <w:tcW w:w="2001" w:type="dxa"/>
                    <w:gridSpan w:val="2"/>
                    <w:vMerge w:val="restart"/>
                    <w:tcBorders>
                      <w:top w:val="single" w:sz="4" w:space="0" w:color="auto"/>
                      <w:left w:val="single" w:sz="4" w:space="0" w:color="auto"/>
                      <w:right w:val="single" w:sz="4" w:space="0" w:color="auto"/>
                    </w:tcBorders>
                  </w:tcPr>
                  <w:p>
                    <w:pPr>
                      <w:ind w:left="-57" w:right="-57"/>
                      <w:rPr>
                        <w:sz w:val="20"/>
                      </w:rPr>
                    </w:pPr>
                    <w:r>
                      <w:rPr>
                        <w:sz w:val="20"/>
                      </w:rPr>
                      <w:t>P – Sukurtų ilgalaikės priežiūros specialistų komandų, teikiančių paslaugas gyventojų namuose, skaičius, vnt.</w:t>
                    </w:r>
                  </w:p>
                </w:tc>
                <w:tc>
                  <w:tcPr>
                    <w:tcW w:w="1134" w:type="dxa"/>
                    <w:gridSpan w:val="2"/>
                    <w:vMerge w:val="restart"/>
                    <w:tcBorders>
                      <w:top w:val="single" w:sz="4" w:space="0" w:color="auto"/>
                      <w:left w:val="single" w:sz="4" w:space="0" w:color="auto"/>
                      <w:right w:val="single" w:sz="4" w:space="0" w:color="auto"/>
                    </w:tcBorders>
                  </w:tcPr>
                  <w:p>
                    <w:pPr>
                      <w:spacing w:line="276" w:lineRule="auto"/>
                      <w:ind w:left="-57" w:right="-57"/>
                      <w:jc w:val="center"/>
                      <w:rPr>
                        <w:kern w:val="2"/>
                        <w14:ligatures w14:val="standardContextual"/>
                      </w:rPr>
                    </w:pPr>
                    <w:r>
                      <w:rPr>
                        <w:kern w:val="2"/>
                        <w:sz w:val="20"/>
                        <w14:ligatures w14:val="standardContextual"/>
                      </w:rPr>
                      <w:t>90</w:t>
                    </w:r>
                  </w:p>
                  <w:p>
                    <w:pPr>
                      <w:ind w:left="-57" w:right="-57"/>
                      <w:jc w:val="center"/>
                      <w:rPr>
                        <w:sz w:val="20"/>
                      </w:rPr>
                    </w:pPr>
                    <w:r>
                      <w:rPr>
                        <w:kern w:val="2"/>
                        <w:sz w:val="20"/>
                        <w14:ligatures w14:val="standardContextual"/>
                      </w:rPr>
                      <w:t>(2026 m. I ketv.)</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CPVA</w:t>
                    </w:r>
                  </w:p>
                </w:tc>
                <w:tc>
                  <w:tcPr>
                    <w:tcW w:w="1279" w:type="dxa"/>
                    <w:vMerge w:val="restart"/>
                    <w:tcBorders>
                      <w:top w:val="single" w:sz="4" w:space="0" w:color="auto"/>
                      <w:left w:val="single" w:sz="4" w:space="0" w:color="auto"/>
                      <w:right w:val="single" w:sz="4" w:space="0" w:color="auto"/>
                    </w:tcBorders>
                  </w:tcPr>
                  <w:p>
                    <w:pPr>
                      <w:ind w:left="-57" w:right="-57"/>
                      <w:jc w:val="center"/>
                      <w:rPr>
                        <w:sz w:val="20"/>
                      </w:rPr>
                    </w:pPr>
                    <w:r>
                      <w:rPr>
                        <w:sz w:val="20"/>
                      </w:rPr>
                      <w:t>SAM; SADM“</w:t>
                    </w:r>
                  </w:p>
                </w:tc>
              </w:tr>
              <w:tr>
                <w:trPr>
                  <w:trHeight w:val="419"/>
                </w:trPr>
                <w:tc>
                  <w:tcPr>
                    <w:tcW w:w="2130" w:type="dxa"/>
                    <w:gridSpan w:val="2"/>
                    <w:vMerge/>
                    <w:tcBorders>
                      <w:left w:val="single" w:sz="4" w:space="0" w:color="auto"/>
                      <w:bottom w:val="single" w:sz="4" w:space="0" w:color="auto"/>
                      <w:right w:val="single" w:sz="4" w:space="0" w:color="auto"/>
                    </w:tcBorders>
                  </w:tcPr>
                  <w:p>
                    <w:pPr>
                      <w:ind w:left="-57" w:right="-57"/>
                      <w:rPr>
                        <w:iCs/>
                        <w:sz w:val="20"/>
                      </w:rPr>
                    </w:pPr>
                  </w:p>
                </w:tc>
                <w:tc>
                  <w:tcPr>
                    <w:tcW w:w="69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985" w:type="dxa"/>
                    <w:vMerge/>
                    <w:tcBorders>
                      <w:left w:val="single" w:sz="4" w:space="0" w:color="auto"/>
                      <w:bottom w:val="single" w:sz="4" w:space="0" w:color="auto"/>
                      <w:right w:val="single" w:sz="4" w:space="0" w:color="auto"/>
                    </w:tcBorders>
                  </w:tcPr>
                  <w:p>
                    <w:pPr>
                      <w:ind w:left="-57" w:right="-57"/>
                      <w:jc w:val="center"/>
                      <w:rPr>
                        <w:color w:val="FF0000"/>
                        <w:sz w:val="20"/>
                      </w:rPr>
                    </w:pPr>
                  </w:p>
                </w:tc>
                <w:tc>
                  <w:tcPr>
                    <w:tcW w:w="829" w:type="dxa"/>
                    <w:gridSpan w:val="3"/>
                    <w:vMerge/>
                    <w:tcBorders>
                      <w:left w:val="single" w:sz="4" w:space="0" w:color="auto"/>
                      <w:bottom w:val="single" w:sz="4" w:space="0" w:color="auto"/>
                      <w:right w:val="single" w:sz="4" w:space="0" w:color="auto"/>
                    </w:tcBorders>
                  </w:tcPr>
                  <w:p>
                    <w:pPr>
                      <w:ind w:left="-57" w:right="-57"/>
                      <w:jc w:val="center"/>
                      <w:rPr>
                        <w:color w:val="000000"/>
                        <w:sz w:val="20"/>
                      </w:rPr>
                    </w:pPr>
                  </w:p>
                </w:tc>
                <w:tc>
                  <w:tcPr>
                    <w:tcW w:w="1014" w:type="dxa"/>
                    <w:gridSpan w:val="3"/>
                    <w:vMerge/>
                    <w:tcBorders>
                      <w:left w:val="single" w:sz="4" w:space="0" w:color="auto"/>
                      <w:bottom w:val="single" w:sz="4" w:space="0" w:color="auto"/>
                      <w:right w:val="single" w:sz="4" w:space="0" w:color="auto"/>
                    </w:tcBorders>
                  </w:tcPr>
                  <w:p>
                    <w:pPr>
                      <w:ind w:left="-57" w:right="-57"/>
                      <w:jc w:val="center"/>
                      <w:rPr>
                        <w:color w:val="000000"/>
                        <w:sz w:val="20"/>
                      </w:rPr>
                    </w:pPr>
                  </w:p>
                </w:tc>
                <w:tc>
                  <w:tcPr>
                    <w:tcW w:w="681" w:type="dxa"/>
                    <w:gridSpan w:val="3"/>
                    <w:vMerge/>
                    <w:tcBorders>
                      <w:left w:val="single" w:sz="4" w:space="0" w:color="auto"/>
                      <w:bottom w:val="single" w:sz="4" w:space="0" w:color="auto"/>
                      <w:right w:val="single" w:sz="4" w:space="0" w:color="auto"/>
                    </w:tcBorders>
                  </w:tcPr>
                  <w:p>
                    <w:pPr>
                      <w:ind w:left="-57" w:right="-57"/>
                      <w:jc w:val="center"/>
                      <w:rPr>
                        <w:color w:val="000000"/>
                        <w:sz w:val="20"/>
                      </w:rPr>
                    </w:pPr>
                  </w:p>
                </w:tc>
                <w:tc>
                  <w:tcPr>
                    <w:tcW w:w="1167" w:type="dxa"/>
                    <w:gridSpan w:val="2"/>
                    <w:vMerge w:val="restart"/>
                    <w:tcBorders>
                      <w:left w:val="single" w:sz="4" w:space="0" w:color="auto"/>
                      <w:bottom w:val="single" w:sz="4" w:space="0" w:color="auto"/>
                      <w:right w:val="single" w:sz="4" w:space="0" w:color="auto"/>
                    </w:tcBorders>
                    <w:vAlign w:val="center"/>
                  </w:tcPr>
                  <w:p>
                    <w:pPr>
                      <w:ind w:left="-57" w:right="-57"/>
                      <w:jc w:val="center"/>
                      <w:rPr>
                        <w:sz w:val="20"/>
                      </w:rPr>
                    </w:pPr>
                  </w:p>
                  <w:p>
                    <w:pPr>
                      <w:ind w:left="-57" w:right="-57"/>
                      <w:jc w:val="center"/>
                      <w:rPr>
                        <w:sz w:val="20"/>
                      </w:rPr>
                    </w:pPr>
                    <w:r>
                      <w:rPr>
                        <w:sz w:val="20"/>
                      </w:rPr>
                      <w:t>717</w:t>
                    </w:r>
                  </w:p>
                </w:tc>
                <w:tc>
                  <w:tcPr>
                    <w:tcW w:w="1118" w:type="dxa"/>
                    <w:vMerge w:val="restart"/>
                    <w:tcBorders>
                      <w:top w:val="single" w:sz="4" w:space="0" w:color="auto"/>
                      <w:left w:val="single" w:sz="4" w:space="0" w:color="auto"/>
                      <w:bottom w:val="single" w:sz="4" w:space="0" w:color="auto"/>
                      <w:right w:val="single" w:sz="4" w:space="0" w:color="auto"/>
                    </w:tcBorders>
                    <w:vAlign w:val="center"/>
                  </w:tcPr>
                  <w:p>
                    <w:pPr>
                      <w:ind w:left="-57" w:right="-57"/>
                      <w:rPr>
                        <w:sz w:val="20"/>
                      </w:rPr>
                    </w:pPr>
                  </w:p>
                  <w:p>
                    <w:pPr>
                      <w:ind w:left="-57" w:right="-57"/>
                      <w:rPr>
                        <w:sz w:val="20"/>
                      </w:rPr>
                    </w:pPr>
                    <w:r>
                      <w:rPr>
                        <w:sz w:val="20"/>
                      </w:rPr>
                      <w:t>PVM iš VB</w:t>
                    </w:r>
                  </w:p>
                </w:tc>
                <w:tc>
                  <w:tcPr>
                    <w:tcW w:w="2001" w:type="dxa"/>
                    <w:gridSpan w:val="2"/>
                    <w:vMerge/>
                    <w:tcBorders>
                      <w:left w:val="single" w:sz="4" w:space="0" w:color="auto"/>
                      <w:bottom w:val="single" w:sz="4" w:space="0" w:color="auto"/>
                      <w:right w:val="single" w:sz="4" w:space="0" w:color="auto"/>
                    </w:tcBorders>
                  </w:tcPr>
                  <w:p>
                    <w:pPr>
                      <w:ind w:left="-57" w:right="-57"/>
                      <w:rPr>
                        <w:sz w:val="20"/>
                      </w:rPr>
                    </w:pPr>
                  </w:p>
                </w:tc>
                <w:tc>
                  <w:tcPr>
                    <w:tcW w:w="1134" w:type="dxa"/>
                    <w:gridSpan w:val="2"/>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right w:val="single" w:sz="4" w:space="0" w:color="auto"/>
                    </w:tcBorders>
                  </w:tcPr>
                  <w:p>
                    <w:pPr>
                      <w:ind w:left="-57" w:right="-57"/>
                      <w:jc w:val="center"/>
                      <w:rPr>
                        <w:sz w:val="20"/>
                      </w:rPr>
                    </w:pPr>
                  </w:p>
                </w:tc>
                <w:tc>
                  <w:tcPr>
                    <w:tcW w:w="1279" w:type="dxa"/>
                    <w:vMerge/>
                    <w:tcBorders>
                      <w:left w:val="single" w:sz="4" w:space="0" w:color="auto"/>
                      <w:right w:val="single" w:sz="4" w:space="0" w:color="auto"/>
                    </w:tcBorders>
                  </w:tcPr>
                  <w:p>
                    <w:pPr>
                      <w:ind w:left="-57" w:right="-57"/>
                      <w:jc w:val="center"/>
                      <w:rPr>
                        <w:sz w:val="20"/>
                      </w:rPr>
                    </w:pPr>
                  </w:p>
                </w:tc>
              </w:tr>
              <w:tr>
                <w:trPr>
                  <w:trHeight w:val="414"/>
                </w:trPr>
                <w:tc>
                  <w:tcPr>
                    <w:tcW w:w="2130" w:type="dxa"/>
                    <w:gridSpan w:val="2"/>
                    <w:vMerge/>
                    <w:tcBorders>
                      <w:left w:val="single" w:sz="4" w:space="0" w:color="auto"/>
                      <w:right w:val="single" w:sz="4" w:space="0" w:color="auto"/>
                    </w:tcBorders>
                    <w:vAlign w:val="center"/>
                  </w:tcPr>
                  <w:p>
                    <w:pPr>
                      <w:rPr>
                        <w:color w:val="000000"/>
                        <w:sz w:val="20"/>
                      </w:rPr>
                    </w:pPr>
                  </w:p>
                </w:tc>
                <w:tc>
                  <w:tcPr>
                    <w:tcW w:w="699" w:type="dxa"/>
                    <w:vMerge/>
                    <w:tcBorders>
                      <w:left w:val="single" w:sz="4" w:space="0" w:color="auto"/>
                      <w:right w:val="single" w:sz="4" w:space="0" w:color="auto"/>
                    </w:tcBorders>
                    <w:vAlign w:val="center"/>
                  </w:tcPr>
                  <w:p>
                    <w:pPr>
                      <w:rPr>
                        <w:color w:val="000000"/>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bottom w:val="single" w:sz="4" w:space="0" w:color="auto"/>
                      <w:right w:val="single" w:sz="4" w:space="0" w:color="auto"/>
                    </w:tcBorders>
                    <w:vAlign w:val="center"/>
                  </w:tcPr>
                  <w:p>
                    <w:pPr>
                      <w:rPr>
                        <w:color w:val="000000"/>
                        <w:sz w:val="20"/>
                      </w:rPr>
                    </w:pPr>
                  </w:p>
                </w:tc>
                <w:tc>
                  <w:tcPr>
                    <w:tcW w:w="1118" w:type="dxa"/>
                    <w:vMerge/>
                    <w:tcBorders>
                      <w:left w:val="single" w:sz="4" w:space="0" w:color="auto"/>
                      <w:bottom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tcPr>
                  <w:p>
                    <w:pPr>
                      <w:spacing w:line="276" w:lineRule="auto"/>
                      <w:ind w:left="-57" w:right="-57"/>
                      <w:rPr>
                        <w:kern w:val="2"/>
                        <w14:ligatures w14:val="standardContextual"/>
                      </w:rPr>
                    </w:pPr>
                    <w:r>
                      <w:rPr>
                        <w:kern w:val="2"/>
                        <w:sz w:val="20"/>
                        <w14:ligatures w14:val="standardContextual"/>
                      </w:rPr>
                      <w:t xml:space="preserve">P – Žmogiškųjų išteklių ir infrastruktūros pajėgumų didinimas, vnt.  </w:t>
                    </w:r>
                  </w:p>
                  <w:p>
                    <w:pPr>
                      <w:ind w:left="-57" w:right="-57"/>
                      <w:rPr>
                        <w:color w:val="000000"/>
                        <w:sz w:val="20"/>
                      </w:rPr>
                    </w:pP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r>
                      <w:rPr>
                        <w:color w:val="000000"/>
                        <w:sz w:val="20"/>
                      </w:rPr>
                      <w:t xml:space="preserve">82 </w:t>
                    </w:r>
                  </w:p>
                  <w:p>
                    <w:pPr>
                      <w:ind w:left="-57" w:right="-57"/>
                      <w:jc w:val="center"/>
                      <w:rPr>
                        <w:color w:val="000000"/>
                        <w:sz w:val="20"/>
                      </w:rPr>
                    </w:pPr>
                    <w:r>
                      <w:rPr>
                        <w:color w:val="000000"/>
                        <w:sz w:val="20"/>
                      </w:rPr>
                      <w:t>(202</w:t>
                    </w:r>
                    <w:r>
                      <w:rPr>
                        <w:color w:val="000000"/>
                        <w:sz w:val="20"/>
                        <w:lang w:val="en-US"/>
                      </w:rPr>
                      <w:t>5</w:t>
                    </w:r>
                    <w:r>
                      <w:rPr>
                        <w:color w:val="000000"/>
                        <w:sz w:val="20"/>
                      </w:rPr>
                      <w:t xml:space="preserve"> m. II ketv.)</w:t>
                    </w: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tcPr>
                  <w:p>
                    <w:pPr>
                      <w:rPr>
                        <w:color w:val="000000"/>
                        <w:sz w:val="20"/>
                      </w:rPr>
                    </w:pPr>
                  </w:p>
                </w:tc>
                <w:tc>
                  <w:tcPr>
                    <w:tcW w:w="699" w:type="dxa"/>
                    <w:vMerge/>
                    <w:tcBorders>
                      <w:left w:val="single" w:sz="4" w:space="0" w:color="auto"/>
                      <w:right w:val="single" w:sz="4" w:space="0" w:color="auto"/>
                    </w:tcBorders>
                    <w:vAlign w:val="center"/>
                  </w:tcPr>
                  <w:p>
                    <w:pPr>
                      <w:rPr>
                        <w:color w:val="000000"/>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bottom w:val="single" w:sz="4" w:space="0" w:color="auto"/>
                      <w:right w:val="single" w:sz="4" w:space="0" w:color="auto"/>
                    </w:tcBorders>
                    <w:vAlign w:val="center"/>
                  </w:tcPr>
                  <w:p>
                    <w:pPr>
                      <w:rPr>
                        <w:color w:val="000000"/>
                        <w:sz w:val="20"/>
                      </w:rPr>
                    </w:pPr>
                  </w:p>
                </w:tc>
                <w:tc>
                  <w:tcPr>
                    <w:tcW w:w="1118" w:type="dxa"/>
                    <w:vMerge/>
                    <w:tcBorders>
                      <w:left w:val="single" w:sz="4" w:space="0" w:color="auto"/>
                      <w:bottom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color w:val="000000"/>
                        <w:sz w:val="20"/>
                      </w:rPr>
                    </w:pPr>
                    <w:r>
                      <w:rPr>
                        <w:color w:val="000000"/>
                        <w:sz w:val="20"/>
                      </w:rPr>
                      <w:t xml:space="preserve">P – Infrastruktūros pajėgumų didinimas  </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r>
                      <w:rPr>
                        <w:color w:val="000000"/>
                        <w:sz w:val="20"/>
                        <w:lang w:val="en-US"/>
                      </w:rPr>
                      <w:t>8</w:t>
                    </w:r>
                  </w:p>
                  <w:p>
                    <w:pPr>
                      <w:ind w:left="-57" w:right="-57"/>
                      <w:jc w:val="center"/>
                      <w:rPr>
                        <w:color w:val="000000"/>
                        <w:sz w:val="20"/>
                      </w:rPr>
                    </w:pPr>
                    <w:r>
                      <w:rPr>
                        <w:color w:val="000000"/>
                        <w:sz w:val="20"/>
                      </w:rPr>
                      <w:t>(202</w:t>
                    </w:r>
                    <w:r>
                      <w:rPr>
                        <w:color w:val="000000"/>
                        <w:sz w:val="20"/>
                        <w:lang w:val="en-US"/>
                      </w:rPr>
                      <w:t>6</w:t>
                    </w:r>
                    <w:r>
                      <w:rPr>
                        <w:color w:val="000000"/>
                        <w:sz w:val="20"/>
                      </w:rPr>
                      <w:t xml:space="preserve"> m. I ketv.)</w:t>
                    </w: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279"/>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2. Pasirengimo grėsmėms stiprinimas:</w:t>
                    </w:r>
                  </w:p>
                </w:tc>
                <w:tc>
                  <w:tcPr>
                    <w:tcW w:w="699"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w:t>
                    </w:r>
                  </w:p>
                </w:tc>
                <w:tc>
                  <w:tcPr>
                    <w:tcW w:w="1985"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bCs/>
                        <w:sz w:val="20"/>
                      </w:rPr>
                    </w:pPr>
                    <w:r>
                      <w:rPr>
                        <w:bCs/>
                        <w:sz w:val="20"/>
                      </w:rPr>
                      <w:t>-</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ind w:left="-57" w:right="-57"/>
                      <w:jc w:val="center"/>
                      <w:rPr>
                        <w:bCs/>
                        <w:sz w:val="20"/>
                      </w:rPr>
                    </w:pPr>
                    <w:r>
                      <w:rPr>
                        <w:bCs/>
                        <w:sz w:val="20"/>
                      </w:rPr>
                      <w:t>-</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ind w:left="-57" w:right="-57"/>
                      <w:jc w:val="center"/>
                      <w:rPr>
                        <w:bCs/>
                        <w:sz w:val="20"/>
                      </w:rPr>
                    </w:pPr>
                    <w:r>
                      <w:rPr>
                        <w:bCs/>
                        <w:sz w:val="20"/>
                      </w:rPr>
                      <w:t>-</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ind w:left="-57" w:right="-57"/>
                      <w:jc w:val="center"/>
                      <w:rPr>
                        <w:bCs/>
                        <w:sz w:val="20"/>
                      </w:rPr>
                    </w:pPr>
                    <w:r>
                      <w:rPr>
                        <w:bCs/>
                        <w:sz w:val="20"/>
                      </w:rPr>
                      <w:t>-</w:t>
                    </w: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hanging="16"/>
                      <w:jc w:val="center"/>
                      <w:rPr>
                        <w:sz w:val="20"/>
                        <w:lang w:val="en-US"/>
                      </w:rPr>
                    </w:pPr>
                    <w:r>
                      <w:rPr>
                        <w:sz w:val="20"/>
                        <w:lang w:val="en-US"/>
                      </w:rPr>
                      <w:t>352 437,552</w:t>
                    </w:r>
                  </w:p>
                  <w:p>
                    <w:pPr>
                      <w:ind w:left="-57" w:right="-57"/>
                      <w:jc w:val="center"/>
                      <w:rPr>
                        <w:sz w:val="20"/>
                      </w:rPr>
                    </w:pP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R – Mirštamumas nuo miokardo infarkto per 30 dienų nuo hospitalizacijos, proc.</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9</w:t>
                    </w:r>
                  </w:p>
                  <w:p>
                    <w:pPr>
                      <w:ind w:left="-57" w:right="-57"/>
                      <w:jc w:val="center"/>
                      <w:rPr>
                        <w:bCs/>
                        <w:sz w:val="20"/>
                      </w:rPr>
                    </w:pPr>
                    <w:r>
                      <w:rPr>
                        <w:bCs/>
                        <w:sz w:val="20"/>
                      </w:rPr>
                      <w:t>(2030 m.)</w:t>
                    </w:r>
                  </w:p>
                  <w:p>
                    <w:pPr>
                      <w:ind w:left="-57" w:right="-57"/>
                      <w:jc w:val="center"/>
                      <w:rPr>
                        <w:bCs/>
                        <w:sz w:val="20"/>
                      </w:rPr>
                    </w:pPr>
                  </w:p>
                  <w:p>
                    <w:pPr>
                      <w:ind w:left="-57" w:right="-57"/>
                      <w:jc w:val="center"/>
                      <w:rPr>
                        <w:bCs/>
                        <w:sz w:val="20"/>
                      </w:rPr>
                    </w:pPr>
                  </w:p>
                </w:tc>
                <w:tc>
                  <w:tcPr>
                    <w:tcW w:w="2271" w:type="dxa"/>
                    <w:gridSpan w:val="2"/>
                    <w:vMerge w:val="restart"/>
                    <w:tcBorders>
                      <w:top w:val="single" w:sz="4" w:space="0" w:color="auto"/>
                      <w:left w:val="single" w:sz="4" w:space="0" w:color="auto"/>
                      <w:right w:val="single" w:sz="4" w:space="0" w:color="auto"/>
                    </w:tcBorders>
                  </w:tcPr>
                  <w:p>
                    <w:pPr>
                      <w:ind w:left="-57" w:right="-57"/>
                      <w:jc w:val="center"/>
                      <w:rPr>
                        <w:b/>
                        <w:sz w:val="16"/>
                        <w:szCs w:val="16"/>
                      </w:rPr>
                    </w:pPr>
                  </w:p>
                </w:tc>
              </w:tr>
              <w:tr>
                <w:trPr>
                  <w:trHeight w:val="279"/>
                </w:trPr>
                <w:tc>
                  <w:tcPr>
                    <w:tcW w:w="2130" w:type="dxa"/>
                    <w:gridSpan w:val="2"/>
                    <w:vMerge/>
                    <w:vAlign w:val="center"/>
                    <w:hideMark/>
                  </w:tcPr>
                  <w:p>
                    <w:pPr>
                      <w:rPr>
                        <w:b/>
                        <w:bCs/>
                        <w:sz w:val="20"/>
                      </w:rPr>
                    </w:pPr>
                  </w:p>
                </w:tc>
                <w:tc>
                  <w:tcPr>
                    <w:tcW w:w="699" w:type="dxa"/>
                    <w:vMerge/>
                    <w:vAlign w:val="center"/>
                    <w:hideMark/>
                  </w:tcPr>
                  <w:p>
                    <w:pPr>
                      <w:rPr>
                        <w:sz w:val="20"/>
                      </w:rPr>
                    </w:pPr>
                  </w:p>
                </w:tc>
                <w:tc>
                  <w:tcPr>
                    <w:tcW w:w="1985" w:type="dxa"/>
                    <w:vMerge/>
                    <w:vAlign w:val="center"/>
                    <w:hideMark/>
                  </w:tcPr>
                  <w:p>
                    <w:pPr>
                      <w:rPr>
                        <w:bCs/>
                        <w:sz w:val="20"/>
                      </w:rPr>
                    </w:pPr>
                  </w:p>
                </w:tc>
                <w:tc>
                  <w:tcPr>
                    <w:tcW w:w="829" w:type="dxa"/>
                    <w:gridSpan w:val="3"/>
                    <w:vMerge/>
                    <w:vAlign w:val="center"/>
                    <w:hideMark/>
                  </w:tcPr>
                  <w:p>
                    <w:pPr>
                      <w:rPr>
                        <w:bCs/>
                        <w:sz w:val="20"/>
                      </w:rPr>
                    </w:pPr>
                  </w:p>
                </w:tc>
                <w:tc>
                  <w:tcPr>
                    <w:tcW w:w="1014" w:type="dxa"/>
                    <w:gridSpan w:val="3"/>
                    <w:vMerge/>
                    <w:vAlign w:val="center"/>
                    <w:hideMark/>
                  </w:tcPr>
                  <w:p>
                    <w:pPr>
                      <w:rPr>
                        <w:bCs/>
                        <w:sz w:val="20"/>
                      </w:rPr>
                    </w:pPr>
                  </w:p>
                </w:tc>
                <w:tc>
                  <w:tcPr>
                    <w:tcW w:w="681" w:type="dxa"/>
                    <w:gridSpan w:val="3"/>
                    <w:vMerge/>
                    <w:vAlign w:val="center"/>
                    <w:hideMark/>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rPr>
                        <w:sz w:val="4"/>
                        <w:szCs w:val="4"/>
                      </w:rPr>
                    </w:pPr>
                  </w:p>
                  <w:p>
                    <w:pPr>
                      <w:ind w:hanging="73"/>
                      <w:jc w:val="center"/>
                      <w:rPr>
                        <w:sz w:val="20"/>
                        <w:lang w:val="en-US"/>
                      </w:rPr>
                    </w:pPr>
                    <w:r>
                      <w:rPr>
                        <w:sz w:val="20"/>
                      </w:rPr>
                      <w:t>231 608,707</w:t>
                    </w:r>
                  </w:p>
                  <w:p>
                    <w:pPr>
                      <w:rPr>
                        <w:sz w:val="4"/>
                        <w:szCs w:val="4"/>
                      </w:rPr>
                    </w:pPr>
                  </w:p>
                  <w:p>
                    <w:pPr>
                      <w:ind w:left="-57" w:right="-57"/>
                      <w:jc w:val="center"/>
                      <w:rPr>
                        <w:sz w:val="20"/>
                      </w:rPr>
                    </w:pP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EGADP</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R – Mirštamumas nuo išeminio galvos smegenų insulto per 30 dienų po hospitalizacijos, proc.</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12</w:t>
                    </w:r>
                  </w:p>
                  <w:p>
                    <w:pPr>
                      <w:ind w:left="-57" w:right="-57"/>
                      <w:jc w:val="center"/>
                      <w:rPr>
                        <w:bCs/>
                        <w:sz w:val="20"/>
                      </w:rPr>
                    </w:pPr>
                    <w:r>
                      <w:rPr>
                        <w:bCs/>
                        <w:sz w:val="20"/>
                      </w:rPr>
                      <w:t>(2030 m.)</w:t>
                    </w:r>
                  </w:p>
                  <w:p>
                    <w:pPr>
                      <w:ind w:left="-57" w:right="-57"/>
                      <w:jc w:val="center"/>
                      <w:rPr>
                        <w:bCs/>
                        <w:sz w:val="20"/>
                      </w:rPr>
                    </w:pPr>
                  </w:p>
                </w:tc>
                <w:tc>
                  <w:tcPr>
                    <w:tcW w:w="2271" w:type="dxa"/>
                    <w:gridSpan w:val="2"/>
                    <w:vMerge/>
                    <w:tcBorders>
                      <w:left w:val="single" w:sz="4" w:space="0" w:color="auto"/>
                      <w:right w:val="single" w:sz="4" w:space="0" w:color="auto"/>
                    </w:tcBorders>
                    <w:vAlign w:val="center"/>
                    <w:hideMark/>
                  </w:tcPr>
                  <w:p>
                    <w:pPr>
                      <w:rPr>
                        <w:b/>
                        <w:sz w:val="16"/>
                        <w:szCs w:val="16"/>
                      </w:rPr>
                    </w:pPr>
                  </w:p>
                </w:tc>
              </w:tr>
              <w:tr>
                <w:trPr>
                  <w:trHeight w:val="279"/>
                </w:trPr>
                <w:tc>
                  <w:tcPr>
                    <w:tcW w:w="2130" w:type="dxa"/>
                    <w:gridSpan w:val="2"/>
                    <w:vMerge/>
                    <w:vAlign w:val="center"/>
                    <w:hideMark/>
                  </w:tcPr>
                  <w:p>
                    <w:pPr>
                      <w:rPr>
                        <w:b/>
                        <w:bCs/>
                        <w:sz w:val="20"/>
                      </w:rPr>
                    </w:pPr>
                  </w:p>
                </w:tc>
                <w:tc>
                  <w:tcPr>
                    <w:tcW w:w="699" w:type="dxa"/>
                    <w:vMerge/>
                    <w:vAlign w:val="center"/>
                    <w:hideMark/>
                  </w:tcPr>
                  <w:p>
                    <w:pPr>
                      <w:rPr>
                        <w:sz w:val="20"/>
                      </w:rPr>
                    </w:pPr>
                  </w:p>
                </w:tc>
                <w:tc>
                  <w:tcPr>
                    <w:tcW w:w="1985" w:type="dxa"/>
                    <w:vMerge/>
                    <w:vAlign w:val="center"/>
                    <w:hideMark/>
                  </w:tcPr>
                  <w:p>
                    <w:pPr>
                      <w:rPr>
                        <w:bCs/>
                        <w:sz w:val="20"/>
                      </w:rPr>
                    </w:pPr>
                  </w:p>
                </w:tc>
                <w:tc>
                  <w:tcPr>
                    <w:tcW w:w="829" w:type="dxa"/>
                    <w:gridSpan w:val="3"/>
                    <w:vMerge/>
                    <w:vAlign w:val="center"/>
                    <w:hideMark/>
                  </w:tcPr>
                  <w:p>
                    <w:pPr>
                      <w:rPr>
                        <w:bCs/>
                        <w:sz w:val="20"/>
                      </w:rPr>
                    </w:pPr>
                  </w:p>
                </w:tc>
                <w:tc>
                  <w:tcPr>
                    <w:tcW w:w="1014" w:type="dxa"/>
                    <w:gridSpan w:val="3"/>
                    <w:vMerge/>
                    <w:vAlign w:val="center"/>
                    <w:hideMark/>
                  </w:tcPr>
                  <w:p>
                    <w:pPr>
                      <w:rPr>
                        <w:bCs/>
                        <w:sz w:val="20"/>
                      </w:rPr>
                    </w:pPr>
                  </w:p>
                </w:tc>
                <w:tc>
                  <w:tcPr>
                    <w:tcW w:w="681" w:type="dxa"/>
                    <w:gridSpan w:val="3"/>
                    <w:vMerge/>
                    <w:vAlign w:val="center"/>
                    <w:hideMark/>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firstLine="53"/>
                      <w:jc w:val="center"/>
                      <w:rPr>
                        <w:sz w:val="20"/>
                      </w:rPr>
                    </w:pPr>
                    <w:r>
                      <w:rPr>
                        <w:sz w:val="20"/>
                      </w:rPr>
                      <w:t>35 411,806</w:t>
                    </w:r>
                  </w:p>
                  <w:p>
                    <w:pPr>
                      <w:ind w:left="-57" w:right="-57"/>
                      <w:jc w:val="center"/>
                      <w:rPr>
                        <w:sz w:val="20"/>
                      </w:rPr>
                    </w:pP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PVM iš VB</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R – Efektyvių organų donorų skaičius 1 mln. gyventojų</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30</w:t>
                    </w:r>
                  </w:p>
                  <w:p>
                    <w:pPr>
                      <w:ind w:left="-57" w:right="-57"/>
                      <w:jc w:val="center"/>
                      <w:rPr>
                        <w:bCs/>
                        <w:sz w:val="20"/>
                      </w:rPr>
                    </w:pPr>
                    <w:r>
                      <w:rPr>
                        <w:bCs/>
                        <w:sz w:val="20"/>
                      </w:rPr>
                      <w:t>(2030 m.)</w:t>
                    </w:r>
                  </w:p>
                  <w:p>
                    <w:pPr>
                      <w:ind w:left="-57" w:right="-57"/>
                      <w:jc w:val="center"/>
                      <w:rPr>
                        <w:bCs/>
                        <w:sz w:val="20"/>
                      </w:rPr>
                    </w:pPr>
                  </w:p>
                </w:tc>
                <w:tc>
                  <w:tcPr>
                    <w:tcW w:w="2271" w:type="dxa"/>
                    <w:gridSpan w:val="2"/>
                    <w:vMerge/>
                    <w:tcBorders>
                      <w:left w:val="single" w:sz="4" w:space="0" w:color="auto"/>
                      <w:right w:val="single" w:sz="4" w:space="0" w:color="auto"/>
                    </w:tcBorders>
                    <w:vAlign w:val="center"/>
                    <w:hideMark/>
                  </w:tcPr>
                  <w:p>
                    <w:pPr>
                      <w:rPr>
                        <w:b/>
                        <w:sz w:val="16"/>
                        <w:szCs w:val="16"/>
                      </w:rPr>
                    </w:pPr>
                  </w:p>
                </w:tc>
              </w:tr>
              <w:tr>
                <w:trPr>
                  <w:trHeight w:val="2070"/>
                </w:trPr>
                <w:tc>
                  <w:tcPr>
                    <w:tcW w:w="2130" w:type="dxa"/>
                    <w:gridSpan w:val="2"/>
                    <w:vMerge/>
                    <w:vAlign w:val="center"/>
                    <w:hideMark/>
                  </w:tcPr>
                  <w:p>
                    <w:pPr>
                      <w:rPr>
                        <w:b/>
                        <w:bCs/>
                        <w:sz w:val="20"/>
                      </w:rPr>
                    </w:pPr>
                  </w:p>
                </w:tc>
                <w:tc>
                  <w:tcPr>
                    <w:tcW w:w="699" w:type="dxa"/>
                    <w:vMerge/>
                    <w:vAlign w:val="center"/>
                    <w:hideMark/>
                  </w:tcPr>
                  <w:p>
                    <w:pPr>
                      <w:rPr>
                        <w:sz w:val="20"/>
                      </w:rPr>
                    </w:pPr>
                  </w:p>
                </w:tc>
                <w:tc>
                  <w:tcPr>
                    <w:tcW w:w="1985" w:type="dxa"/>
                    <w:vMerge/>
                    <w:vAlign w:val="center"/>
                    <w:hideMark/>
                  </w:tcPr>
                  <w:p>
                    <w:pPr>
                      <w:rPr>
                        <w:bCs/>
                        <w:sz w:val="20"/>
                      </w:rPr>
                    </w:pPr>
                  </w:p>
                </w:tc>
                <w:tc>
                  <w:tcPr>
                    <w:tcW w:w="829" w:type="dxa"/>
                    <w:gridSpan w:val="3"/>
                    <w:vMerge/>
                    <w:vAlign w:val="center"/>
                    <w:hideMark/>
                  </w:tcPr>
                  <w:p>
                    <w:pPr>
                      <w:rPr>
                        <w:bCs/>
                        <w:sz w:val="20"/>
                      </w:rPr>
                    </w:pPr>
                  </w:p>
                </w:tc>
                <w:tc>
                  <w:tcPr>
                    <w:tcW w:w="1014" w:type="dxa"/>
                    <w:gridSpan w:val="3"/>
                    <w:vMerge/>
                    <w:vAlign w:val="center"/>
                    <w:hideMark/>
                  </w:tcPr>
                  <w:p>
                    <w:pPr>
                      <w:rPr>
                        <w:bCs/>
                        <w:sz w:val="20"/>
                      </w:rPr>
                    </w:pPr>
                  </w:p>
                </w:tc>
                <w:tc>
                  <w:tcPr>
                    <w:tcW w:w="681" w:type="dxa"/>
                    <w:gridSpan w:val="3"/>
                    <w:vMerge/>
                    <w:vAlign w:val="center"/>
                    <w:hideMark/>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11 933,495</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2021–2027 m. IP (ERPF, Sostinės regionas)</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R – Aktyviojo gydymo sveikatos priežiūros įstaigose nustatytų invazinių </w:t>
                    </w:r>
                    <w:r>
                      <w:rPr>
                        <w:bCs/>
                        <w:i/>
                        <w:iCs/>
                        <w:sz w:val="20"/>
                      </w:rPr>
                      <w:t>Klebsiella pneumoniae</w:t>
                    </w:r>
                    <w:r>
                      <w:rPr>
                        <w:bCs/>
                        <w:sz w:val="20"/>
                      </w:rPr>
                      <w:t>, atsparių  trečios kartos cefalosporinams, dalis (EARS-Net duomenimis), proc.</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30</w:t>
                    </w:r>
                  </w:p>
                  <w:p>
                    <w:pPr>
                      <w:ind w:left="-57" w:right="-57"/>
                      <w:jc w:val="center"/>
                      <w:rPr>
                        <w:bCs/>
                        <w:sz w:val="20"/>
                      </w:rPr>
                    </w:pPr>
                    <w:r>
                      <w:rPr>
                        <w:bCs/>
                        <w:sz w:val="20"/>
                      </w:rPr>
                      <w:t>(2030 m.)</w:t>
                    </w:r>
                  </w:p>
                  <w:p>
                    <w:pPr>
                      <w:ind w:left="-57" w:right="-57"/>
                      <w:jc w:val="center"/>
                      <w:rPr>
                        <w:bCs/>
                        <w:sz w:val="20"/>
                      </w:rPr>
                    </w:pPr>
                  </w:p>
                </w:tc>
                <w:tc>
                  <w:tcPr>
                    <w:tcW w:w="2271" w:type="dxa"/>
                    <w:gridSpan w:val="2"/>
                    <w:vMerge/>
                    <w:tcBorders>
                      <w:left w:val="single" w:sz="4" w:space="0" w:color="auto"/>
                      <w:right w:val="single" w:sz="4" w:space="0" w:color="auto"/>
                    </w:tcBorders>
                    <w:vAlign w:val="center"/>
                    <w:hideMark/>
                  </w:tcPr>
                  <w:p>
                    <w:pPr>
                      <w:rPr>
                        <w:b/>
                        <w:sz w:val="16"/>
                        <w:szCs w:val="16"/>
                      </w:rPr>
                    </w:pPr>
                  </w:p>
                </w:tc>
              </w:tr>
              <w:tr>
                <w:trPr>
                  <w:trHeight w:val="279"/>
                </w:trPr>
                <w:tc>
                  <w:tcPr>
                    <w:tcW w:w="2130" w:type="dxa"/>
                    <w:gridSpan w:val="2"/>
                    <w:vMerge/>
                    <w:vAlign w:val="center"/>
                    <w:hideMark/>
                  </w:tcPr>
                  <w:p>
                    <w:pPr>
                      <w:rPr>
                        <w:b/>
                        <w:bCs/>
                        <w:sz w:val="20"/>
                      </w:rPr>
                    </w:pPr>
                  </w:p>
                </w:tc>
                <w:tc>
                  <w:tcPr>
                    <w:tcW w:w="699" w:type="dxa"/>
                    <w:vMerge/>
                    <w:vAlign w:val="center"/>
                    <w:hideMark/>
                  </w:tcPr>
                  <w:p>
                    <w:pPr>
                      <w:rPr>
                        <w:sz w:val="20"/>
                      </w:rPr>
                    </w:pPr>
                  </w:p>
                </w:tc>
                <w:tc>
                  <w:tcPr>
                    <w:tcW w:w="1985" w:type="dxa"/>
                    <w:vMerge/>
                    <w:vAlign w:val="center"/>
                    <w:hideMark/>
                  </w:tcPr>
                  <w:p>
                    <w:pPr>
                      <w:rPr>
                        <w:bCs/>
                        <w:sz w:val="20"/>
                      </w:rPr>
                    </w:pPr>
                  </w:p>
                </w:tc>
                <w:tc>
                  <w:tcPr>
                    <w:tcW w:w="829" w:type="dxa"/>
                    <w:gridSpan w:val="3"/>
                    <w:vMerge/>
                    <w:vAlign w:val="center"/>
                    <w:hideMark/>
                  </w:tcPr>
                  <w:p>
                    <w:pPr>
                      <w:rPr>
                        <w:bCs/>
                        <w:sz w:val="20"/>
                      </w:rPr>
                    </w:pPr>
                  </w:p>
                </w:tc>
                <w:tc>
                  <w:tcPr>
                    <w:tcW w:w="1014" w:type="dxa"/>
                    <w:gridSpan w:val="3"/>
                    <w:vMerge/>
                    <w:vAlign w:val="center"/>
                    <w:hideMark/>
                  </w:tcPr>
                  <w:p>
                    <w:pPr>
                      <w:rPr>
                        <w:bCs/>
                        <w:sz w:val="20"/>
                      </w:rPr>
                    </w:pPr>
                  </w:p>
                </w:tc>
                <w:tc>
                  <w:tcPr>
                    <w:tcW w:w="681" w:type="dxa"/>
                    <w:gridSpan w:val="3"/>
                    <w:vMerge/>
                    <w:vAlign w:val="center"/>
                    <w:hideMark/>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lang w:val="en-US"/>
                      </w:rPr>
                      <w:t>10 133,495</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2021–2027 m. IP (BF, Sostinės regionas)</w:t>
                    </w:r>
                  </w:p>
                </w:tc>
                <w:tc>
                  <w:tcPr>
                    <w:tcW w:w="2001" w:type="dxa"/>
                    <w:gridSpan w:val="2"/>
                    <w:tcBorders>
                      <w:top w:val="single" w:sz="4" w:space="0" w:color="auto"/>
                      <w:left w:val="single" w:sz="4" w:space="0" w:color="auto"/>
                      <w:bottom w:val="single" w:sz="4" w:space="0" w:color="auto"/>
                      <w:right w:val="single" w:sz="4" w:space="0" w:color="auto"/>
                    </w:tcBorders>
                    <w:vAlign w:val="center"/>
                  </w:tcPr>
                  <w:p>
                    <w:pPr>
                      <w:ind w:left="-57" w:right="-57"/>
                      <w:jc w:val="center"/>
                      <w:rPr>
                        <w:sz w:val="20"/>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pPr>
                      <w:ind w:left="-57" w:right="-57"/>
                      <w:jc w:val="center"/>
                      <w:rPr>
                        <w:sz w:val="20"/>
                      </w:rPr>
                    </w:pPr>
                  </w:p>
                </w:tc>
                <w:tc>
                  <w:tcPr>
                    <w:tcW w:w="2271" w:type="dxa"/>
                    <w:gridSpan w:val="2"/>
                    <w:vMerge/>
                    <w:tcBorders>
                      <w:left w:val="single" w:sz="4" w:space="0" w:color="auto"/>
                      <w:right w:val="single" w:sz="4" w:space="0" w:color="auto"/>
                    </w:tcBorders>
                    <w:vAlign w:val="center"/>
                    <w:hideMark/>
                  </w:tcPr>
                  <w:p>
                    <w:pPr>
                      <w:rPr>
                        <w:b/>
                        <w:sz w:val="16"/>
                        <w:szCs w:val="16"/>
                      </w:rPr>
                    </w:pPr>
                  </w:p>
                </w:tc>
              </w:tr>
              <w:tr>
                <w:trPr>
                  <w:trHeight w:val="983"/>
                </w:trPr>
                <w:tc>
                  <w:tcPr>
                    <w:tcW w:w="2130" w:type="dxa"/>
                    <w:gridSpan w:val="2"/>
                    <w:vMerge/>
                    <w:vAlign w:val="center"/>
                  </w:tcPr>
                  <w:p>
                    <w:pPr>
                      <w:rPr>
                        <w:b/>
                        <w:bCs/>
                        <w:sz w:val="20"/>
                      </w:rPr>
                    </w:pPr>
                  </w:p>
                </w:tc>
                <w:tc>
                  <w:tcPr>
                    <w:tcW w:w="699" w:type="dxa"/>
                    <w:vMerge/>
                    <w:vAlign w:val="center"/>
                  </w:tcPr>
                  <w:p>
                    <w:pPr>
                      <w:rPr>
                        <w:sz w:val="20"/>
                      </w:rPr>
                    </w:pPr>
                  </w:p>
                </w:tc>
                <w:tc>
                  <w:tcPr>
                    <w:tcW w:w="1985" w:type="dxa"/>
                    <w:vMerge/>
                    <w:vAlign w:val="center"/>
                  </w:tcPr>
                  <w:p>
                    <w:pPr>
                      <w:rPr>
                        <w:bCs/>
                        <w:sz w:val="20"/>
                      </w:rPr>
                    </w:pPr>
                  </w:p>
                </w:tc>
                <w:tc>
                  <w:tcPr>
                    <w:tcW w:w="829" w:type="dxa"/>
                    <w:gridSpan w:val="3"/>
                    <w:vMerge/>
                    <w:vAlign w:val="center"/>
                  </w:tcPr>
                  <w:p>
                    <w:pPr>
                      <w:rPr>
                        <w:bCs/>
                        <w:sz w:val="20"/>
                      </w:rPr>
                    </w:pPr>
                  </w:p>
                </w:tc>
                <w:tc>
                  <w:tcPr>
                    <w:tcW w:w="1014" w:type="dxa"/>
                    <w:gridSpan w:val="3"/>
                    <w:vMerge/>
                    <w:vAlign w:val="center"/>
                  </w:tcPr>
                  <w:p>
                    <w:pPr>
                      <w:rPr>
                        <w:bCs/>
                        <w:sz w:val="20"/>
                      </w:rPr>
                    </w:pPr>
                  </w:p>
                </w:tc>
                <w:tc>
                  <w:tcPr>
                    <w:tcW w:w="681" w:type="dxa"/>
                    <w:gridSpan w:val="3"/>
                    <w:vMerge/>
                    <w:vAlign w:val="center"/>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hanging="73"/>
                      <w:rPr>
                        <w:b/>
                        <w:bCs/>
                        <w:sz w:val="20"/>
                      </w:rPr>
                    </w:pPr>
                    <w:r>
                      <w:rPr>
                        <w:sz w:val="20"/>
                      </w:rPr>
                      <w:t>45 507,182</w:t>
                    </w:r>
                  </w:p>
                  <w:p>
                    <w:pPr>
                      <w:ind w:left="-57" w:right="-57" w:hanging="70"/>
                      <w:jc w:val="center"/>
                      <w:rPr>
                        <w:bCs/>
                        <w:sz w:val="20"/>
                      </w:rPr>
                    </w:pP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2021–2027 m. IP (ERPF,</w:t>
                    </w:r>
                  </w:p>
                  <w:p>
                    <w:pPr>
                      <w:ind w:left="-57" w:right="-57"/>
                      <w:jc w:val="center"/>
                      <w:rPr>
                        <w:bCs/>
                        <w:sz w:val="20"/>
                      </w:rPr>
                    </w:pPr>
                    <w:r>
                      <w:rPr>
                        <w:sz w:val="20"/>
                      </w:rPr>
                      <w:t>Vidurio ir vakarų Lietuvos (toliau – VVL) regionas)</w:t>
                    </w:r>
                  </w:p>
                </w:tc>
                <w:tc>
                  <w:tcPr>
                    <w:tcW w:w="2001" w:type="dxa"/>
                    <w:gridSpan w:val="2"/>
                    <w:tcBorders>
                      <w:top w:val="single" w:sz="4" w:space="0" w:color="auto"/>
                      <w:left w:val="single" w:sz="4" w:space="0" w:color="auto"/>
                      <w:bottom w:val="single" w:sz="4" w:space="0" w:color="auto"/>
                      <w:right w:val="single" w:sz="4" w:space="0" w:color="auto"/>
                    </w:tcBorders>
                    <w:vAlign w:val="center"/>
                  </w:tcPr>
                  <w:p>
                    <w:pPr>
                      <w:rPr>
                        <w:sz w:val="20"/>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pPr>
                      <w:rPr>
                        <w:sz w:val="20"/>
                      </w:rPr>
                    </w:pPr>
                  </w:p>
                </w:tc>
                <w:tc>
                  <w:tcPr>
                    <w:tcW w:w="2271" w:type="dxa"/>
                    <w:gridSpan w:val="2"/>
                    <w:vMerge/>
                    <w:tcBorders>
                      <w:left w:val="single" w:sz="4" w:space="0" w:color="auto"/>
                      <w:right w:val="single" w:sz="4" w:space="0" w:color="auto"/>
                    </w:tcBorders>
                    <w:vAlign w:val="center"/>
                  </w:tcPr>
                  <w:p>
                    <w:pPr>
                      <w:rPr>
                        <w:b/>
                        <w:sz w:val="16"/>
                        <w:szCs w:val="16"/>
                      </w:rPr>
                    </w:pPr>
                  </w:p>
                </w:tc>
              </w:tr>
              <w:tr>
                <w:trPr>
                  <w:trHeight w:val="983"/>
                </w:trPr>
                <w:tc>
                  <w:tcPr>
                    <w:tcW w:w="2130" w:type="dxa"/>
                    <w:gridSpan w:val="2"/>
                    <w:vMerge/>
                    <w:vAlign w:val="center"/>
                  </w:tcPr>
                  <w:p>
                    <w:pPr>
                      <w:rPr>
                        <w:b/>
                        <w:bCs/>
                        <w:sz w:val="20"/>
                      </w:rPr>
                    </w:pPr>
                  </w:p>
                </w:tc>
                <w:tc>
                  <w:tcPr>
                    <w:tcW w:w="699" w:type="dxa"/>
                    <w:vMerge/>
                    <w:vAlign w:val="center"/>
                  </w:tcPr>
                  <w:p>
                    <w:pPr>
                      <w:rPr>
                        <w:sz w:val="20"/>
                      </w:rPr>
                    </w:pPr>
                  </w:p>
                </w:tc>
                <w:tc>
                  <w:tcPr>
                    <w:tcW w:w="1985" w:type="dxa"/>
                    <w:vMerge/>
                    <w:vAlign w:val="center"/>
                  </w:tcPr>
                  <w:p>
                    <w:pPr>
                      <w:rPr>
                        <w:bCs/>
                        <w:sz w:val="20"/>
                      </w:rPr>
                    </w:pPr>
                  </w:p>
                </w:tc>
                <w:tc>
                  <w:tcPr>
                    <w:tcW w:w="829" w:type="dxa"/>
                    <w:gridSpan w:val="3"/>
                    <w:vMerge/>
                    <w:vAlign w:val="center"/>
                  </w:tcPr>
                  <w:p>
                    <w:pPr>
                      <w:rPr>
                        <w:bCs/>
                        <w:sz w:val="20"/>
                      </w:rPr>
                    </w:pPr>
                  </w:p>
                </w:tc>
                <w:tc>
                  <w:tcPr>
                    <w:tcW w:w="1014" w:type="dxa"/>
                    <w:gridSpan w:val="3"/>
                    <w:vMerge/>
                    <w:vAlign w:val="center"/>
                  </w:tcPr>
                  <w:p>
                    <w:pPr>
                      <w:rPr>
                        <w:bCs/>
                        <w:sz w:val="20"/>
                      </w:rPr>
                    </w:pPr>
                  </w:p>
                </w:tc>
                <w:tc>
                  <w:tcPr>
                    <w:tcW w:w="681" w:type="dxa"/>
                    <w:gridSpan w:val="3"/>
                    <w:vMerge/>
                    <w:vAlign w:val="center"/>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firstLine="106"/>
                      <w:rPr>
                        <w:b/>
                        <w:bCs/>
                        <w:sz w:val="20"/>
                      </w:rPr>
                    </w:pPr>
                    <w:r>
                      <w:rPr>
                        <w:sz w:val="20"/>
                      </w:rPr>
                      <w:t>8 030,679</w:t>
                    </w:r>
                    <w:r>
                      <w:rPr>
                        <w:b/>
                        <w:bCs/>
                        <w:sz w:val="20"/>
                      </w:rPr>
                      <w:t xml:space="preserve"> </w:t>
                    </w:r>
                  </w:p>
                  <w:p>
                    <w:pPr>
                      <w:ind w:left="-57" w:right="-57"/>
                      <w:jc w:val="center"/>
                      <w:rPr>
                        <w:sz w:val="20"/>
                      </w:rPr>
                    </w:pP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bCs/>
                        <w:sz w:val="20"/>
                      </w:rPr>
                      <w:t>2021–2027 m. IP (BF, VVL regionas)</w:t>
                    </w:r>
                  </w:p>
                </w:tc>
                <w:tc>
                  <w:tcPr>
                    <w:tcW w:w="2001" w:type="dxa"/>
                    <w:gridSpan w:val="2"/>
                    <w:tcBorders>
                      <w:top w:val="single" w:sz="4" w:space="0" w:color="auto"/>
                      <w:left w:val="single" w:sz="4" w:space="0" w:color="auto"/>
                      <w:bottom w:val="single" w:sz="4" w:space="0" w:color="auto"/>
                      <w:right w:val="single" w:sz="4" w:space="0" w:color="auto"/>
                    </w:tcBorders>
                    <w:vAlign w:val="center"/>
                  </w:tcPr>
                  <w:p>
                    <w:pPr>
                      <w:ind w:left="-57" w:right="-57"/>
                      <w:jc w:val="center"/>
                      <w:rPr>
                        <w:sz w:val="20"/>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pPr>
                      <w:ind w:left="-57" w:right="-57"/>
                      <w:jc w:val="center"/>
                      <w:rPr>
                        <w:sz w:val="20"/>
                      </w:rPr>
                    </w:pPr>
                  </w:p>
                </w:tc>
                <w:tc>
                  <w:tcPr>
                    <w:tcW w:w="2271" w:type="dxa"/>
                    <w:gridSpan w:val="2"/>
                    <w:vMerge/>
                    <w:tcBorders>
                      <w:left w:val="single" w:sz="4" w:space="0" w:color="auto"/>
                      <w:right w:val="single" w:sz="4" w:space="0" w:color="auto"/>
                    </w:tcBorders>
                    <w:vAlign w:val="center"/>
                  </w:tcPr>
                  <w:p>
                    <w:pPr>
                      <w:rPr>
                        <w:b/>
                        <w:sz w:val="16"/>
                        <w:szCs w:val="16"/>
                      </w:rPr>
                    </w:pPr>
                  </w:p>
                </w:tc>
              </w:tr>
              <w:tr>
                <w:trPr>
                  <w:trHeight w:val="1554"/>
                </w:trPr>
                <w:tc>
                  <w:tcPr>
                    <w:tcW w:w="2130" w:type="dxa"/>
                    <w:gridSpan w:val="2"/>
                    <w:vMerge/>
                    <w:vAlign w:val="center"/>
                  </w:tcPr>
                  <w:p>
                    <w:pPr>
                      <w:rPr>
                        <w:b/>
                        <w:bCs/>
                        <w:sz w:val="20"/>
                      </w:rPr>
                    </w:pPr>
                  </w:p>
                </w:tc>
                <w:tc>
                  <w:tcPr>
                    <w:tcW w:w="699" w:type="dxa"/>
                    <w:vMerge/>
                    <w:vAlign w:val="center"/>
                  </w:tcPr>
                  <w:p>
                    <w:pPr>
                      <w:rPr>
                        <w:sz w:val="20"/>
                      </w:rPr>
                    </w:pPr>
                  </w:p>
                </w:tc>
                <w:tc>
                  <w:tcPr>
                    <w:tcW w:w="1985" w:type="dxa"/>
                    <w:vMerge/>
                    <w:vAlign w:val="center"/>
                  </w:tcPr>
                  <w:p>
                    <w:pPr>
                      <w:rPr>
                        <w:bCs/>
                        <w:sz w:val="20"/>
                      </w:rPr>
                    </w:pPr>
                  </w:p>
                </w:tc>
                <w:tc>
                  <w:tcPr>
                    <w:tcW w:w="829" w:type="dxa"/>
                    <w:gridSpan w:val="3"/>
                    <w:vMerge/>
                    <w:vAlign w:val="center"/>
                  </w:tcPr>
                  <w:p>
                    <w:pPr>
                      <w:rPr>
                        <w:bCs/>
                        <w:sz w:val="20"/>
                      </w:rPr>
                    </w:pPr>
                  </w:p>
                </w:tc>
                <w:tc>
                  <w:tcPr>
                    <w:tcW w:w="1014" w:type="dxa"/>
                    <w:gridSpan w:val="3"/>
                    <w:vMerge/>
                    <w:vAlign w:val="center"/>
                  </w:tcPr>
                  <w:p>
                    <w:pPr>
                      <w:rPr>
                        <w:bCs/>
                        <w:sz w:val="20"/>
                      </w:rPr>
                    </w:pPr>
                  </w:p>
                </w:tc>
                <w:tc>
                  <w:tcPr>
                    <w:tcW w:w="681" w:type="dxa"/>
                    <w:gridSpan w:val="3"/>
                    <w:vMerge/>
                    <w:vAlign w:val="center"/>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8 340,359</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2021–2027 m. IP (ESF+,</w:t>
                    </w:r>
                  </w:p>
                  <w:p>
                    <w:pPr>
                      <w:ind w:left="-57" w:right="-57"/>
                      <w:jc w:val="center"/>
                      <w:rPr>
                        <w:sz w:val="20"/>
                      </w:rPr>
                    </w:pPr>
                    <w:r>
                      <w:rPr>
                        <w:sz w:val="20"/>
                      </w:rPr>
                      <w:t>VVL regionas)</w:t>
                    </w:r>
                  </w:p>
                </w:tc>
                <w:tc>
                  <w:tcPr>
                    <w:tcW w:w="2001"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R – Specialistų, kurie po dalyvavimo veiklose įgijo ar patobulino kvalifikaciją, dalis proc.</w:t>
                    </w:r>
                  </w:p>
                </w:tc>
                <w:tc>
                  <w:tcPr>
                    <w:tcW w:w="1134"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(90 proc.)</w:t>
                    </w:r>
                  </w:p>
                </w:tc>
                <w:tc>
                  <w:tcPr>
                    <w:tcW w:w="2271" w:type="dxa"/>
                    <w:gridSpan w:val="2"/>
                    <w:vMerge/>
                    <w:tcBorders>
                      <w:left w:val="single" w:sz="4" w:space="0" w:color="auto"/>
                      <w:right w:val="single" w:sz="4" w:space="0" w:color="auto"/>
                    </w:tcBorders>
                    <w:vAlign w:val="center"/>
                  </w:tcPr>
                  <w:p>
                    <w:pPr>
                      <w:rPr>
                        <w:b/>
                        <w:sz w:val="16"/>
                        <w:szCs w:val="16"/>
                      </w:rPr>
                    </w:pPr>
                  </w:p>
                </w:tc>
              </w:tr>
              <w:tr>
                <w:trPr>
                  <w:trHeight w:val="1122"/>
                </w:trPr>
                <w:tc>
                  <w:tcPr>
                    <w:tcW w:w="2130" w:type="dxa"/>
                    <w:gridSpan w:val="2"/>
                    <w:vMerge/>
                    <w:vAlign w:val="center"/>
                  </w:tcPr>
                  <w:p>
                    <w:pPr>
                      <w:rPr>
                        <w:b/>
                        <w:bCs/>
                        <w:sz w:val="20"/>
                      </w:rPr>
                    </w:pPr>
                  </w:p>
                </w:tc>
                <w:tc>
                  <w:tcPr>
                    <w:tcW w:w="699" w:type="dxa"/>
                    <w:vMerge/>
                    <w:vAlign w:val="center"/>
                  </w:tcPr>
                  <w:p>
                    <w:pPr>
                      <w:rPr>
                        <w:sz w:val="20"/>
                      </w:rPr>
                    </w:pPr>
                  </w:p>
                </w:tc>
                <w:tc>
                  <w:tcPr>
                    <w:tcW w:w="1985" w:type="dxa"/>
                    <w:vMerge/>
                    <w:vAlign w:val="center"/>
                  </w:tcPr>
                  <w:p>
                    <w:pPr>
                      <w:rPr>
                        <w:bCs/>
                        <w:sz w:val="20"/>
                      </w:rPr>
                    </w:pPr>
                  </w:p>
                </w:tc>
                <w:tc>
                  <w:tcPr>
                    <w:tcW w:w="829" w:type="dxa"/>
                    <w:gridSpan w:val="3"/>
                    <w:vMerge/>
                    <w:vAlign w:val="center"/>
                  </w:tcPr>
                  <w:p>
                    <w:pPr>
                      <w:rPr>
                        <w:bCs/>
                        <w:sz w:val="20"/>
                      </w:rPr>
                    </w:pPr>
                  </w:p>
                </w:tc>
                <w:tc>
                  <w:tcPr>
                    <w:tcW w:w="1014" w:type="dxa"/>
                    <w:gridSpan w:val="3"/>
                    <w:vMerge/>
                    <w:vAlign w:val="center"/>
                  </w:tcPr>
                  <w:p>
                    <w:pPr>
                      <w:rPr>
                        <w:bCs/>
                        <w:sz w:val="20"/>
                      </w:rPr>
                    </w:pPr>
                  </w:p>
                </w:tc>
                <w:tc>
                  <w:tcPr>
                    <w:tcW w:w="681" w:type="dxa"/>
                    <w:gridSpan w:val="3"/>
                    <w:vMerge/>
                    <w:vAlign w:val="center"/>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kern w:val="2"/>
                        <w:sz w:val="20"/>
                        <w14:ligatures w14:val="standardContextual"/>
                      </w:rPr>
                    </w:pPr>
                    <w:r>
                      <w:rPr>
                        <w:sz w:val="20"/>
                      </w:rPr>
                      <w:t>1 471,829</w:t>
                    </w:r>
                  </w:p>
                </w:tc>
                <w:tc>
                  <w:tcPr>
                    <w:tcW w:w="1118" w:type="dxa"/>
                    <w:tcBorders>
                      <w:top w:val="single" w:sz="4" w:space="0" w:color="auto"/>
                      <w:left w:val="single" w:sz="4" w:space="0" w:color="auto"/>
                      <w:bottom w:val="single" w:sz="4" w:space="0" w:color="auto"/>
                      <w:right w:val="single" w:sz="4" w:space="0" w:color="auto"/>
                    </w:tcBorders>
                  </w:tcPr>
                  <w:p>
                    <w:pPr>
                      <w:spacing w:line="276" w:lineRule="auto"/>
                      <w:ind w:left="-57" w:right="-57"/>
                      <w:jc w:val="center"/>
                      <w:rPr>
                        <w:kern w:val="2"/>
                        <w:sz w:val="20"/>
                        <w14:ligatures w14:val="standardContextual"/>
                      </w:rPr>
                    </w:pPr>
                    <w:r>
                      <w:rPr>
                        <w:sz w:val="20"/>
                      </w:rPr>
                      <w:t>2021–2027 m. IP (BF, VVL regionas)</w:t>
                    </w:r>
                  </w:p>
                </w:tc>
                <w:tc>
                  <w:tcPr>
                    <w:tcW w:w="2001" w:type="dxa"/>
                    <w:gridSpan w:val="2"/>
                    <w:tcBorders>
                      <w:top w:val="single" w:sz="4" w:space="0" w:color="auto"/>
                      <w:left w:val="single" w:sz="4" w:space="0" w:color="auto"/>
                      <w:bottom w:val="single" w:sz="4" w:space="0" w:color="auto"/>
                      <w:right w:val="single" w:sz="4" w:space="0" w:color="auto"/>
                    </w:tcBorders>
                    <w:vAlign w:val="center"/>
                  </w:tcPr>
                  <w:p>
                    <w:pPr>
                      <w:rPr>
                        <w:kern w:val="2"/>
                        <w:sz w:val="20"/>
                        <w14:ligatures w14:val="standardContextual"/>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pPr>
                      <w:rPr>
                        <w:kern w:val="2"/>
                        <w:sz w:val="20"/>
                        <w14:ligatures w14:val="standardContextual"/>
                      </w:rPr>
                    </w:pPr>
                  </w:p>
                </w:tc>
                <w:tc>
                  <w:tcPr>
                    <w:tcW w:w="2271" w:type="dxa"/>
                    <w:gridSpan w:val="2"/>
                    <w:vMerge/>
                    <w:tcBorders>
                      <w:left w:val="single" w:sz="4" w:space="0" w:color="auto"/>
                      <w:bottom w:val="single" w:sz="4" w:space="0" w:color="auto"/>
                      <w:right w:val="single" w:sz="4" w:space="0" w:color="auto"/>
                    </w:tcBorders>
                    <w:vAlign w:val="center"/>
                  </w:tcPr>
                  <w:p>
                    <w:pPr>
                      <w:rPr>
                        <w:b/>
                        <w:sz w:val="16"/>
                        <w:szCs w:val="16"/>
                      </w:rPr>
                    </w:pPr>
                  </w:p>
                </w:tc>
              </w:tr>
              <w:tr>
                <w:trPr>
                  <w:trHeight w:val="2126"/>
                </w:trPr>
                <w:tc>
                  <w:tcPr>
                    <w:tcW w:w="2130" w:type="dxa"/>
                    <w:gridSpan w:val="2"/>
                    <w:vMerge w:val="restart"/>
                    <w:tcBorders>
                      <w:top w:val="single" w:sz="4" w:space="0" w:color="auto"/>
                      <w:left w:val="single" w:sz="4" w:space="0" w:color="auto"/>
                      <w:right w:val="single" w:sz="4" w:space="0" w:color="auto"/>
                    </w:tcBorders>
                  </w:tcPr>
                  <w:p>
                    <w:pPr>
                      <w:ind w:left="-57" w:right="-57"/>
                      <w:rPr>
                        <w:iCs/>
                        <w:sz w:val="20"/>
                      </w:rPr>
                    </w:pPr>
                    <w:r>
                      <w:rPr>
                        <w:iCs/>
                        <w:sz w:val="20"/>
                      </w:rPr>
                      <w:t>2.1. Teisės aktų, skirtų įstaigų pasirengimui dirbti ekstremaliomis situacijomis didinti, parengimas</w:t>
                    </w:r>
                  </w:p>
                </w:tc>
                <w:tc>
                  <w:tcPr>
                    <w:tcW w:w="699" w:type="dxa"/>
                    <w:vMerge w:val="restart"/>
                    <w:tcBorders>
                      <w:top w:val="single" w:sz="4" w:space="0" w:color="auto"/>
                      <w:left w:val="single" w:sz="4" w:space="0" w:color="auto"/>
                      <w:right w:val="single" w:sz="4" w:space="0" w:color="auto"/>
                    </w:tcBorders>
                  </w:tcPr>
                  <w:p>
                    <w:pPr>
                      <w:ind w:left="-57" w:right="-57"/>
                      <w:rPr>
                        <w:iCs/>
                        <w:sz w:val="20"/>
                      </w:rPr>
                    </w:pPr>
                    <w:r>
                      <w:rPr>
                        <w:iCs/>
                        <w:sz w:val="20"/>
                      </w:rPr>
                      <w:t>R</w:t>
                    </w:r>
                  </w:p>
                </w:tc>
                <w:tc>
                  <w:tcPr>
                    <w:tcW w:w="1985" w:type="dxa"/>
                    <w:vMerge w:val="restart"/>
                    <w:tcBorders>
                      <w:top w:val="single" w:sz="4" w:space="0" w:color="auto"/>
                      <w:left w:val="single" w:sz="4" w:space="0" w:color="auto"/>
                      <w:right w:val="single" w:sz="4" w:space="0" w:color="auto"/>
                    </w:tcBorders>
                  </w:tcPr>
                  <w:p>
                    <w:pPr>
                      <w:ind w:left="-57" w:right="-57"/>
                      <w:jc w:val="center"/>
                      <w:rPr>
                        <w:color w:val="FF0000"/>
                        <w:sz w:val="20"/>
                      </w:rPr>
                    </w:pPr>
                    <w:r>
                      <w:rPr>
                        <w:sz w:val="20"/>
                      </w:rPr>
                      <w:t>-</w:t>
                    </w:r>
                  </w:p>
                </w:tc>
                <w:tc>
                  <w:tcPr>
                    <w:tcW w:w="829"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1014"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1167" w:type="dxa"/>
                    <w:gridSpan w:val="2"/>
                    <w:vMerge w:val="restart"/>
                    <w:tcBorders>
                      <w:top w:val="single" w:sz="4" w:space="0" w:color="auto"/>
                      <w:left w:val="single" w:sz="4" w:space="0" w:color="auto"/>
                      <w:right w:val="single" w:sz="4" w:space="0" w:color="auto"/>
                    </w:tcBorders>
                  </w:tcPr>
                  <w:p>
                    <w:pPr>
                      <w:jc w:val="center"/>
                      <w:rPr>
                        <w:sz w:val="20"/>
                      </w:rPr>
                    </w:pPr>
                    <w:r>
                      <w:rPr>
                        <w:sz w:val="20"/>
                      </w:rPr>
                      <w:t>-</w:t>
                    </w:r>
                  </w:p>
                </w:tc>
                <w:tc>
                  <w:tcPr>
                    <w:tcW w:w="1118"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sz w:val="20"/>
                      </w:rPr>
                    </w:pPr>
                    <w:r>
                      <w:rPr>
                        <w:sz w:val="20"/>
                      </w:rPr>
                      <w:t>P – Sveikatos priežiūros įstaigų bendradarbiavimo gerinimo ir infrastruktūros pritaikymo ekstremalioms situacijoms modernizavimo veiksmų plano projektas pateiktas konsultacijoms su socialiniais partneriais ir kitomis suinteresuotomis šalimis, vnt.</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w:t>
                    </w:r>
                  </w:p>
                  <w:p>
                    <w:pPr>
                      <w:ind w:left="-57" w:right="-57"/>
                      <w:jc w:val="center"/>
                      <w:rPr>
                        <w:sz w:val="20"/>
                      </w:rPr>
                    </w:pPr>
                    <w:r>
                      <w:rPr>
                        <w:sz w:val="20"/>
                      </w:rPr>
                      <w:t>(2022 m. II ketv.)</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27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1025"/>
                </w:trPr>
                <w:tc>
                  <w:tcPr>
                    <w:tcW w:w="2130" w:type="dxa"/>
                    <w:gridSpan w:val="2"/>
                    <w:vMerge/>
                    <w:tcBorders>
                      <w:left w:val="single" w:sz="4" w:space="0" w:color="auto"/>
                      <w:right w:val="single" w:sz="4" w:space="0" w:color="auto"/>
                    </w:tcBorders>
                    <w:vAlign w:val="center"/>
                    <w:hideMark/>
                  </w:tcPr>
                  <w:p>
                    <w:pPr>
                      <w:rPr>
                        <w:color w:val="000000"/>
                        <w:sz w:val="20"/>
                      </w:rPr>
                    </w:pPr>
                  </w:p>
                </w:tc>
                <w:tc>
                  <w:tcPr>
                    <w:tcW w:w="699" w:type="dxa"/>
                    <w:vMerge/>
                    <w:tcBorders>
                      <w:left w:val="single" w:sz="4" w:space="0" w:color="auto"/>
                      <w:right w:val="single" w:sz="4" w:space="0" w:color="auto"/>
                    </w:tcBorders>
                    <w:vAlign w:val="center"/>
                  </w:tcPr>
                  <w:p>
                    <w:pPr>
                      <w:ind w:left="-57" w:right="-57"/>
                      <w:rPr>
                        <w:iCs/>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rPr>
                        <w:color w:val="000000"/>
                        <w:sz w:val="20"/>
                      </w:rPr>
                    </w:pPr>
                  </w:p>
                </w:tc>
                <w:tc>
                  <w:tcPr>
                    <w:tcW w:w="1118" w:type="dxa"/>
                    <w:vMerge/>
                    <w:tcBorders>
                      <w:left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jc w:val="both"/>
                      <w:rPr>
                        <w:color w:val="000000"/>
                        <w:sz w:val="20"/>
                      </w:rPr>
                    </w:pPr>
                    <w:r>
                      <w:rPr>
                        <w:color w:val="000000"/>
                        <w:sz w:val="20"/>
                      </w:rPr>
                      <w:t xml:space="preserve">P  – Įsigaliojęs sveikatos priežiūros įstaigų bendradarbiavimo gerinimo ir infrastruktūros pritaikymo ekstremaliosioms situacijoms modernizavimo veiksmų planas, vnt.</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 ketv)</w:t>
                    </w:r>
                  </w:p>
                </w:tc>
                <w:tc>
                  <w:tcPr>
                    <w:tcW w:w="992" w:type="dxa"/>
                    <w:vMerge/>
                    <w:tcBorders>
                      <w:left w:val="single" w:sz="4" w:space="0" w:color="auto"/>
                      <w:right w:val="single" w:sz="4" w:space="0" w:color="auto"/>
                    </w:tcBorders>
                    <w:vAlign w:val="center"/>
                    <w:hideMark/>
                  </w:tcPr>
                  <w:p>
                    <w:pPr>
                      <w:rPr>
                        <w:color w:val="000000"/>
                        <w:sz w:val="20"/>
                      </w:rPr>
                    </w:pPr>
                  </w:p>
                </w:tc>
                <w:tc>
                  <w:tcPr>
                    <w:tcW w:w="1279" w:type="dxa"/>
                    <w:vMerge/>
                    <w:tcBorders>
                      <w:left w:val="single" w:sz="4" w:space="0" w:color="auto"/>
                      <w:right w:val="single" w:sz="4" w:space="0" w:color="auto"/>
                    </w:tcBorders>
                    <w:vAlign w:val="center"/>
                    <w:hideMark/>
                  </w:tcPr>
                  <w:p>
                    <w:pPr>
                      <w:rPr>
                        <w:color w:val="000000"/>
                        <w:sz w:val="20"/>
                      </w:rPr>
                    </w:pPr>
                  </w:p>
                </w:tc>
              </w:tr>
              <w:tr>
                <w:trPr>
                  <w:trHeight w:val="875"/>
                </w:trPr>
                <w:tc>
                  <w:tcPr>
                    <w:tcW w:w="2130" w:type="dxa"/>
                    <w:gridSpan w:val="2"/>
                    <w:vMerge/>
                    <w:tcBorders>
                      <w:left w:val="single" w:sz="4" w:space="0" w:color="auto"/>
                      <w:right w:val="single" w:sz="4" w:space="0" w:color="auto"/>
                    </w:tcBorders>
                    <w:vAlign w:val="center"/>
                    <w:hideMark/>
                  </w:tcPr>
                  <w:p>
                    <w:pPr>
                      <w:rPr>
                        <w:color w:val="000000"/>
                        <w:sz w:val="20"/>
                      </w:rPr>
                    </w:pPr>
                  </w:p>
                </w:tc>
                <w:tc>
                  <w:tcPr>
                    <w:tcW w:w="699" w:type="dxa"/>
                    <w:vMerge/>
                    <w:tcBorders>
                      <w:left w:val="single" w:sz="4" w:space="0" w:color="auto"/>
                      <w:right w:val="single" w:sz="4" w:space="0" w:color="auto"/>
                    </w:tcBorders>
                    <w:vAlign w:val="center"/>
                  </w:tcPr>
                  <w:p>
                    <w:pPr>
                      <w:ind w:left="-57" w:right="-57"/>
                      <w:rPr>
                        <w:iCs/>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ind w:left="-57" w:right="-57"/>
                      <w:jc w:val="center"/>
                      <w:rPr>
                        <w:color w:val="000000"/>
                        <w:sz w:val="20"/>
                      </w:rPr>
                    </w:pPr>
                  </w:p>
                </w:tc>
                <w:tc>
                  <w:tcPr>
                    <w:tcW w:w="1118" w:type="dxa"/>
                    <w:vMerge/>
                    <w:tcBorders>
                      <w:left w:val="single" w:sz="4" w:space="0" w:color="auto"/>
                      <w:right w:val="single" w:sz="4" w:space="0" w:color="auto"/>
                    </w:tcBorders>
                    <w:vAlign w:val="center"/>
                  </w:tcPr>
                  <w:p>
                    <w:pPr>
                      <w:ind w:left="-57" w:right="-57"/>
                      <w:jc w:val="cente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color w:val="000000"/>
                        <w:sz w:val="20"/>
                      </w:rPr>
                    </w:pPr>
                    <w:r>
                      <w:rPr>
                        <w:color w:val="000000"/>
                        <w:sz w:val="20"/>
                      </w:rPr>
                      <w:t>P – Nustatyti infekcinių ligų centrų infrastruktūros reikalavimai, kompl.</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 ketv.)</w:t>
                    </w:r>
                  </w:p>
                </w:tc>
                <w:tc>
                  <w:tcPr>
                    <w:tcW w:w="992" w:type="dxa"/>
                    <w:vMerge/>
                    <w:tcBorders>
                      <w:left w:val="single" w:sz="4" w:space="0" w:color="auto"/>
                      <w:right w:val="single" w:sz="4" w:space="0" w:color="auto"/>
                    </w:tcBorders>
                    <w:vAlign w:val="center"/>
                    <w:hideMark/>
                  </w:tcPr>
                  <w:p>
                    <w:pPr>
                      <w:rPr>
                        <w:color w:val="000000"/>
                        <w:sz w:val="20"/>
                      </w:rPr>
                    </w:pPr>
                  </w:p>
                </w:tc>
                <w:tc>
                  <w:tcPr>
                    <w:tcW w:w="1279" w:type="dxa"/>
                    <w:vMerge/>
                    <w:tcBorders>
                      <w:left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hideMark/>
                  </w:tcPr>
                  <w:p>
                    <w:pPr>
                      <w:rPr>
                        <w:color w:val="000000"/>
                        <w:sz w:val="20"/>
                      </w:rPr>
                    </w:pPr>
                  </w:p>
                </w:tc>
                <w:tc>
                  <w:tcPr>
                    <w:tcW w:w="699" w:type="dxa"/>
                    <w:vMerge/>
                    <w:tcBorders>
                      <w:left w:val="single" w:sz="4" w:space="0" w:color="auto"/>
                      <w:right w:val="single" w:sz="4" w:space="0" w:color="auto"/>
                    </w:tcBorders>
                    <w:vAlign w:val="center"/>
                  </w:tcPr>
                  <w:p>
                    <w:pPr>
                      <w:ind w:left="-57" w:right="-57"/>
                      <w:rPr>
                        <w:iCs/>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rPr>
                        <w:color w:val="000000"/>
                        <w:sz w:val="20"/>
                      </w:rPr>
                    </w:pPr>
                  </w:p>
                </w:tc>
                <w:tc>
                  <w:tcPr>
                    <w:tcW w:w="1118" w:type="dxa"/>
                    <w:vMerge/>
                    <w:tcBorders>
                      <w:left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jc w:val="both"/>
                      <w:rPr>
                        <w:color w:val="000000"/>
                        <w:sz w:val="20"/>
                      </w:rPr>
                    </w:pPr>
                    <w:r>
                      <w:rPr>
                        <w:color w:val="000000"/>
                        <w:sz w:val="20"/>
                      </w:rPr>
                      <w:t>P – Nustatyti ligoninių skubiosios medicinos pagalbos, reanimacijos ir intensyviosios terapijos skyrių infrastruktūros reikalavimai, kompl.</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II ketv.)</w:t>
                    </w:r>
                  </w:p>
                </w:tc>
                <w:tc>
                  <w:tcPr>
                    <w:tcW w:w="992" w:type="dxa"/>
                    <w:vMerge/>
                    <w:tcBorders>
                      <w:left w:val="single" w:sz="4" w:space="0" w:color="auto"/>
                      <w:right w:val="single" w:sz="4" w:space="0" w:color="auto"/>
                    </w:tcBorders>
                    <w:vAlign w:val="center"/>
                    <w:hideMark/>
                  </w:tcPr>
                  <w:p>
                    <w:pPr>
                      <w:rPr>
                        <w:color w:val="000000"/>
                        <w:sz w:val="20"/>
                      </w:rPr>
                    </w:pPr>
                  </w:p>
                </w:tc>
                <w:tc>
                  <w:tcPr>
                    <w:tcW w:w="1279" w:type="dxa"/>
                    <w:vMerge/>
                    <w:tcBorders>
                      <w:left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tcPr>
                  <w:p>
                    <w:pPr>
                      <w:rPr>
                        <w:color w:val="000000"/>
                        <w:sz w:val="20"/>
                      </w:rPr>
                    </w:pPr>
                  </w:p>
                </w:tc>
                <w:tc>
                  <w:tcPr>
                    <w:tcW w:w="699" w:type="dxa"/>
                    <w:vMerge/>
                    <w:tcBorders>
                      <w:left w:val="single" w:sz="4" w:space="0" w:color="auto"/>
                      <w:right w:val="single" w:sz="4" w:space="0" w:color="auto"/>
                    </w:tcBorders>
                    <w:vAlign w:val="center"/>
                  </w:tcPr>
                  <w:p>
                    <w:pPr>
                      <w:ind w:left="-57" w:right="-57"/>
                      <w:rPr>
                        <w:iCs/>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rPr>
                        <w:color w:val="000000"/>
                        <w:sz w:val="20"/>
                      </w:rPr>
                    </w:pPr>
                  </w:p>
                </w:tc>
                <w:tc>
                  <w:tcPr>
                    <w:tcW w:w="1118" w:type="dxa"/>
                    <w:vMerge/>
                    <w:tcBorders>
                      <w:left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color w:val="000000"/>
                        <w:sz w:val="20"/>
                      </w:rPr>
                    </w:pPr>
                    <w:r>
                      <w:rPr>
                        <w:color w:val="000000"/>
                        <w:sz w:val="20"/>
                      </w:rPr>
                      <w:t xml:space="preserve">P – Atlikta ligoninių tinklo veiklos rezultatų analizė, parodanti, kaip pokyčiai, įskaitant investicijas pagal Ekonomikos gaivinimo ir atsparumo didinimo priemonę, prisideda prie galimybių geriau užtikrinti tam tikrą  gydomųjų lovų skaičių, jo nedidinant. Analizė taip pat turėtų būti perspektyvinė ir ją atliekant turėtų būti atsižvelgiama į prognozuojamą paklausą, vnt.</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III ketv)</w:t>
                    </w: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1294"/>
                </w:trPr>
                <w:tc>
                  <w:tcPr>
                    <w:tcW w:w="2130" w:type="dxa"/>
                    <w:gridSpan w:val="2"/>
                    <w:vMerge w:val="restart"/>
                    <w:tcBorders>
                      <w:top w:val="single" w:sz="4" w:space="0" w:color="auto"/>
                      <w:left w:val="single" w:sz="4" w:space="0" w:color="auto"/>
                      <w:right w:val="single" w:sz="4" w:space="0" w:color="auto"/>
                    </w:tcBorders>
                  </w:tcPr>
                  <w:p>
                    <w:pPr>
                      <w:rPr>
                        <w:sz w:val="20"/>
                      </w:rPr>
                    </w:pPr>
                    <w:r>
                      <w:rPr>
                        <w:sz w:val="20"/>
                      </w:rPr>
                      <w:t>2.2. Infekcinių ligų klasterių centrų įrengimas</w:t>
                    </w:r>
                  </w:p>
                </w:tc>
                <w:tc>
                  <w:tcPr>
                    <w:tcW w:w="699" w:type="dxa"/>
                    <w:vMerge w:val="restart"/>
                    <w:tcBorders>
                      <w:top w:val="single" w:sz="4" w:space="0" w:color="auto"/>
                      <w:left w:val="single" w:sz="4" w:space="0" w:color="auto"/>
                      <w:bottom w:val="single" w:sz="4" w:space="0" w:color="auto"/>
                      <w:right w:val="single" w:sz="4" w:space="0" w:color="auto"/>
                    </w:tcBorders>
                  </w:tcPr>
                  <w:p>
                    <w:pPr>
                      <w:rPr>
                        <w:sz w:val="20"/>
                      </w:rPr>
                    </w:pPr>
                    <w:r>
                      <w:rPr>
                        <w:kern w:val="2"/>
                        <w:sz w:val="20"/>
                        <w14:ligatures w14:val="standardContextual"/>
                      </w:rPr>
                      <w:t>I</w:t>
                    </w:r>
                  </w:p>
                </w:tc>
                <w:tc>
                  <w:tcPr>
                    <w:tcW w:w="1985" w:type="dxa"/>
                    <w:vMerge w:val="restart"/>
                    <w:tcBorders>
                      <w:top w:val="single" w:sz="4" w:space="0" w:color="auto"/>
                      <w:left w:val="single" w:sz="4" w:space="0" w:color="auto"/>
                      <w:bottom w:val="single" w:sz="4" w:space="0" w:color="auto"/>
                      <w:right w:val="single" w:sz="4" w:space="0" w:color="auto"/>
                    </w:tcBorders>
                  </w:tcPr>
                  <w:p>
                    <w:pPr>
                      <w:spacing w:line="276" w:lineRule="auto"/>
                      <w:rPr>
                        <w:kern w:val="2"/>
                        <w:sz w:val="20"/>
                        <w14:ligatures w14:val="standardContextual"/>
                      </w:rPr>
                    </w:pPr>
                    <w:r>
                      <w:rPr>
                        <w:kern w:val="2"/>
                        <w:sz w:val="20"/>
                        <w14:ligatures w14:val="standardContextual"/>
                      </w:rPr>
                      <w:t>ASPĮ</w:t>
                    </w:r>
                  </w:p>
                  <w:p>
                    <w:pPr>
                      <w:rPr>
                        <w:sz w:val="20"/>
                      </w:rPr>
                    </w:pPr>
                  </w:p>
                </w:tc>
                <w:tc>
                  <w:tcPr>
                    <w:tcW w:w="829" w:type="dxa"/>
                    <w:gridSpan w:val="3"/>
                    <w:vMerge w:val="restart"/>
                    <w:tcBorders>
                      <w:top w:val="single" w:sz="4" w:space="0" w:color="auto"/>
                      <w:left w:val="single" w:sz="4" w:space="0" w:color="auto"/>
                      <w:bottom w:val="single" w:sz="4" w:space="0" w:color="auto"/>
                      <w:right w:val="single" w:sz="4" w:space="0" w:color="auto"/>
                    </w:tcBorders>
                  </w:tcPr>
                  <w:p>
                    <w:pPr>
                      <w:rPr>
                        <w:sz w:val="20"/>
                      </w:rPr>
                    </w:pPr>
                    <w:r>
                      <w:rPr>
                        <w:kern w:val="2"/>
                        <w:sz w:val="20"/>
                        <w14:ligatures w14:val="standardContextual"/>
                      </w:rPr>
                      <w:t>P</w:t>
                    </w:r>
                  </w:p>
                </w:tc>
                <w:tc>
                  <w:tcPr>
                    <w:tcW w:w="1014" w:type="dxa"/>
                    <w:gridSpan w:val="3"/>
                    <w:vMerge w:val="restart"/>
                    <w:tcBorders>
                      <w:top w:val="single" w:sz="4" w:space="0" w:color="auto"/>
                      <w:left w:val="single" w:sz="4" w:space="0" w:color="auto"/>
                      <w:bottom w:val="single" w:sz="4" w:space="0" w:color="auto"/>
                      <w:right w:val="single" w:sz="4" w:space="0" w:color="auto"/>
                    </w:tcBorders>
                  </w:tcPr>
                  <w:p>
                    <w:pPr>
                      <w:rPr>
                        <w:sz w:val="20"/>
                      </w:rPr>
                    </w:pPr>
                    <w:r>
                      <w:rPr>
                        <w:kern w:val="2"/>
                        <w:sz w:val="20"/>
                        <w14:ligatures w14:val="standardContextual"/>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tcPr>
                  <w:p>
                    <w:pPr>
                      <w:rPr>
                        <w:sz w:val="20"/>
                      </w:rPr>
                    </w:pPr>
                    <w:r>
                      <w:rPr>
                        <w:kern w:val="2"/>
                        <w:sz w:val="20"/>
                        <w14:ligatures w14:val="standardContextual"/>
                      </w:rPr>
                      <w:t>D</w:t>
                    </w:r>
                  </w:p>
                </w:tc>
                <w:tc>
                  <w:tcPr>
                    <w:tcW w:w="1167" w:type="dxa"/>
                    <w:gridSpan w:val="2"/>
                    <w:tcBorders>
                      <w:top w:val="single" w:sz="4" w:space="0" w:color="auto"/>
                      <w:left w:val="single" w:sz="4" w:space="0" w:color="auto"/>
                      <w:bottom w:val="single" w:sz="4" w:space="0" w:color="auto"/>
                      <w:right w:val="single" w:sz="4" w:space="0" w:color="auto"/>
                    </w:tcBorders>
                  </w:tcPr>
                  <w:p>
                    <w:pPr>
                      <w:rPr>
                        <w:sz w:val="20"/>
                      </w:rPr>
                    </w:pPr>
                    <w:r>
                      <w:rPr>
                        <w:kern w:val="2"/>
                        <w:sz w:val="20"/>
                        <w14:ligatures w14:val="standardContextual"/>
                      </w:rPr>
                      <w:t>117 472,921</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kern w:val="2"/>
                        <w:sz w:val="20"/>
                        <w14:ligatures w14:val="standardContextual"/>
                      </w:rPr>
                      <w:t>EGADP</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sz w:val="20"/>
                      </w:rPr>
                    </w:pPr>
                    <w:r>
                      <w:rPr>
                        <w:kern w:val="2"/>
                        <w:sz w:val="20"/>
                        <w14:ligatures w14:val="standardContextual"/>
                      </w:rPr>
                      <w:t>P – Modernizuotų infekcinių ligų klasterio kompetencijos centrų skaičius, vnt.</w:t>
                    </w:r>
                  </w:p>
                </w:tc>
                <w:tc>
                  <w:tcPr>
                    <w:tcW w:w="1134" w:type="dxa"/>
                    <w:gridSpan w:val="2"/>
                    <w:tcBorders>
                      <w:top w:val="single" w:sz="4" w:space="0" w:color="auto"/>
                      <w:left w:val="single" w:sz="4" w:space="0" w:color="auto"/>
                      <w:bottom w:val="single" w:sz="4" w:space="0" w:color="auto"/>
                      <w:right w:val="single" w:sz="4" w:space="0" w:color="auto"/>
                    </w:tcBorders>
                  </w:tcPr>
                  <w:p>
                    <w:pPr>
                      <w:spacing w:line="276" w:lineRule="auto"/>
                      <w:ind w:left="-57" w:right="-57"/>
                      <w:jc w:val="center"/>
                      <w:rPr>
                        <w:kern w:val="2"/>
                        <w:sz w:val="20"/>
                        <w14:ligatures w14:val="standardContextual"/>
                      </w:rPr>
                    </w:pPr>
                    <w:r>
                      <w:rPr>
                        <w:kern w:val="2"/>
                        <w:sz w:val="20"/>
                        <w14:ligatures w14:val="standardContextual"/>
                      </w:rPr>
                      <w:t>4</w:t>
                    </w:r>
                  </w:p>
                  <w:p>
                    <w:pPr>
                      <w:ind w:left="-57" w:right="-57"/>
                      <w:jc w:val="center"/>
                      <w:rPr>
                        <w:sz w:val="20"/>
                      </w:rPr>
                    </w:pPr>
                    <w:r>
                      <w:rPr>
                        <w:kern w:val="2"/>
                        <w:sz w:val="20"/>
                        <w14:ligatures w14:val="standardContextual"/>
                      </w:rPr>
                      <w:t>(2026 m. II ketv.)</w:t>
                    </w:r>
                  </w:p>
                </w:tc>
                <w:tc>
                  <w:tcPr>
                    <w:tcW w:w="992" w:type="dxa"/>
                    <w:vMerge w:val="restart"/>
                    <w:tcBorders>
                      <w:top w:val="single" w:sz="4" w:space="0" w:color="auto"/>
                      <w:left w:val="single" w:sz="4" w:space="0" w:color="auto"/>
                      <w:bottom w:val="single" w:sz="4" w:space="0" w:color="auto"/>
                      <w:right w:val="single" w:sz="4" w:space="0" w:color="auto"/>
                    </w:tcBorders>
                  </w:tcPr>
                  <w:p>
                    <w:pPr>
                      <w:rPr>
                        <w:color w:val="000000"/>
                        <w:sz w:val="20"/>
                      </w:rPr>
                    </w:pPr>
                    <w:r>
                      <w:rPr>
                        <w:kern w:val="2"/>
                        <w:sz w:val="20"/>
                        <w14:ligatures w14:val="standardContextual"/>
                      </w:rPr>
                      <w:t>CPVA</w:t>
                    </w:r>
                  </w:p>
                </w:tc>
                <w:tc>
                  <w:tcPr>
                    <w:tcW w:w="1279" w:type="dxa"/>
                    <w:vMerge w:val="restart"/>
                    <w:tcBorders>
                      <w:top w:val="single" w:sz="4" w:space="0" w:color="auto"/>
                      <w:left w:val="single" w:sz="4" w:space="0" w:color="auto"/>
                      <w:bottom w:val="single" w:sz="4" w:space="0" w:color="auto"/>
                      <w:right w:val="single" w:sz="4" w:space="0" w:color="auto"/>
                    </w:tcBorders>
                  </w:tcPr>
                  <w:p>
                    <w:pPr>
                      <w:rPr>
                        <w:color w:val="000000"/>
                        <w:sz w:val="20"/>
                      </w:rPr>
                    </w:pPr>
                    <w:r>
                      <w:rPr>
                        <w:color w:val="000000"/>
                        <w:kern w:val="2"/>
                        <w:sz w:val="20"/>
                        <w14:ligatures w14:val="standardContextual"/>
                      </w:rPr>
                      <w:t>SAM</w:t>
                    </w:r>
                  </w:p>
                </w:tc>
              </w:tr>
              <w:tr>
                <w:trPr>
                  <w:trHeight w:val="787"/>
                </w:trPr>
                <w:tc>
                  <w:tcPr>
                    <w:tcW w:w="2130" w:type="dxa"/>
                    <w:gridSpan w:val="2"/>
                    <w:vMerge/>
                    <w:tcBorders>
                      <w:left w:val="single" w:sz="4" w:space="0" w:color="auto"/>
                      <w:bottom w:val="single" w:sz="4" w:space="0" w:color="auto"/>
                      <w:right w:val="single" w:sz="4" w:space="0" w:color="auto"/>
                    </w:tcBorders>
                    <w:vAlign w:val="center"/>
                  </w:tcPr>
                  <w:p>
                    <w:pPr>
                      <w:rPr>
                        <w:color w:val="000000"/>
                        <w:sz w:val="20"/>
                      </w:rPr>
                    </w:pPr>
                  </w:p>
                </w:tc>
                <w:tc>
                  <w:tcPr>
                    <w:tcW w:w="699" w:type="dxa"/>
                    <w:vMerge/>
                    <w:tcBorders>
                      <w:left w:val="single" w:sz="4" w:space="0" w:color="auto"/>
                      <w:bottom w:val="single" w:sz="4" w:space="0" w:color="auto"/>
                      <w:right w:val="single" w:sz="4" w:space="0" w:color="auto"/>
                    </w:tcBorders>
                    <w:vAlign w:val="center"/>
                  </w:tcPr>
                  <w:p>
                    <w:pPr>
                      <w:rPr>
                        <w:color w:val="000000"/>
                        <w:sz w:val="20"/>
                      </w:rPr>
                    </w:pPr>
                  </w:p>
                </w:tc>
                <w:tc>
                  <w:tcPr>
                    <w:tcW w:w="1985" w:type="dxa"/>
                    <w:vMerge/>
                    <w:tcBorders>
                      <w:left w:val="single" w:sz="4" w:space="0" w:color="auto"/>
                      <w:bottom w:val="single" w:sz="4" w:space="0" w:color="auto"/>
                      <w:right w:val="single" w:sz="4" w:space="0" w:color="auto"/>
                    </w:tcBorders>
                    <w:vAlign w:val="center"/>
                  </w:tcPr>
                  <w:p>
                    <w:pPr>
                      <w:rPr>
                        <w:sz w:val="20"/>
                      </w:rPr>
                    </w:pPr>
                  </w:p>
                </w:tc>
                <w:tc>
                  <w:tcPr>
                    <w:tcW w:w="829" w:type="dxa"/>
                    <w:gridSpan w:val="3"/>
                    <w:vMerge/>
                    <w:tcBorders>
                      <w:left w:val="single" w:sz="4" w:space="0" w:color="auto"/>
                      <w:bottom w:val="single" w:sz="4" w:space="0" w:color="auto"/>
                      <w:right w:val="single" w:sz="4" w:space="0" w:color="auto"/>
                    </w:tcBorders>
                    <w:vAlign w:val="center"/>
                  </w:tcPr>
                  <w:p>
                    <w:pPr>
                      <w:rPr>
                        <w:sz w:val="20"/>
                      </w:rPr>
                    </w:pPr>
                  </w:p>
                </w:tc>
                <w:tc>
                  <w:tcPr>
                    <w:tcW w:w="1014" w:type="dxa"/>
                    <w:gridSpan w:val="3"/>
                    <w:vMerge/>
                    <w:tcBorders>
                      <w:left w:val="single" w:sz="4" w:space="0" w:color="auto"/>
                      <w:bottom w:val="single" w:sz="4" w:space="0" w:color="auto"/>
                      <w:right w:val="single" w:sz="4" w:space="0" w:color="auto"/>
                    </w:tcBorders>
                    <w:vAlign w:val="center"/>
                  </w:tcPr>
                  <w:p>
                    <w:pPr>
                      <w:rPr>
                        <w:sz w:val="20"/>
                      </w:rPr>
                    </w:pPr>
                  </w:p>
                </w:tc>
                <w:tc>
                  <w:tcPr>
                    <w:tcW w:w="681" w:type="dxa"/>
                    <w:gridSpan w:val="3"/>
                    <w:vMerge/>
                    <w:tcBorders>
                      <w:left w:val="single" w:sz="4" w:space="0" w:color="auto"/>
                      <w:bottom w:val="single" w:sz="4" w:space="0" w:color="auto"/>
                      <w:right w:val="single" w:sz="4" w:space="0" w:color="auto"/>
                    </w:tcBorders>
                    <w:vAlign w:val="center"/>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rPr>
                        <w:sz w:val="20"/>
                      </w:rPr>
                    </w:pPr>
                    <w:r>
                      <w:rPr>
                        <w:kern w:val="2"/>
                        <w:sz w:val="20"/>
                        <w14:ligatures w14:val="standardContextual"/>
                      </w:rPr>
                      <w:t>24 669,314</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kern w:val="2"/>
                        <w:sz w:val="20"/>
                        <w14:ligatures w14:val="standardContextual"/>
                      </w:rPr>
                      <w:t>PVM iš VB</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sz w:val="20"/>
                      </w:rPr>
                    </w:pPr>
                    <w:r>
                      <w:rPr>
                        <w:kern w:val="2"/>
                        <w:sz w:val="20"/>
                        <w14:ligatures w14:val="standardContextual"/>
                      </w:rPr>
                      <w:t>R – Naujos arba modernizuotos sveikatos priežiūros infrastruktūros talpumas, asmenys per metus</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kern w:val="2"/>
                        <w:sz w:val="20"/>
                        <w14:ligatures w14:val="standardContextual"/>
                      </w:rPr>
                      <w:t>n/a</w:t>
                    </w: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1279" w:type="dxa"/>
                    <w:vMerge/>
                    <w:tcBorders>
                      <w:left w:val="single" w:sz="4" w:space="0" w:color="auto"/>
                      <w:bottom w:val="single" w:sz="4" w:space="0" w:color="auto"/>
                      <w:right w:val="single" w:sz="4" w:space="0" w:color="auto"/>
                    </w:tcBorders>
                    <w:vAlign w:val="center"/>
                  </w:tcPr>
                  <w:p>
                    <w:pPr>
                      <w:rPr>
                        <w:color w:val="000000"/>
                        <w:sz w:val="20"/>
                      </w:rPr>
                    </w:pPr>
                  </w:p>
                </w:tc>
              </w:tr>
              <w:tr>
                <w:trPr>
                  <w:trHeight w:val="2966"/>
                </w:trPr>
                <w:tc>
                  <w:tcPr>
                    <w:tcW w:w="2130" w:type="dxa"/>
                    <w:gridSpan w:val="2"/>
                    <w:vMerge w:val="restart"/>
                    <w:hideMark/>
                  </w:tcPr>
                  <w:p>
                    <w:pPr>
                      <w:ind w:left="-57" w:right="-57"/>
                      <w:rPr>
                        <w:iCs/>
                        <w:sz w:val="20"/>
                      </w:rPr>
                    </w:pPr>
                    <w:r>
                      <w:rPr>
                        <w:iCs/>
                        <w:sz w:val="20"/>
                      </w:rPr>
                      <w:t>2.3. Regioninių sveikatos priežiūros įstaigų infrastruktūros modernizavimas</w:t>
                    </w:r>
                  </w:p>
                </w:tc>
                <w:tc>
                  <w:tcPr>
                    <w:tcW w:w="699" w:type="dxa"/>
                    <w:vMerge w:val="restart"/>
                    <w:hideMark/>
                  </w:tcPr>
                  <w:p>
                    <w:pPr>
                      <w:ind w:left="-57" w:right="-57"/>
                      <w:jc w:val="center"/>
                      <w:rPr>
                        <w:color w:val="000000"/>
                        <w:sz w:val="20"/>
                      </w:rPr>
                    </w:pPr>
                    <w:r>
                      <w:rPr>
                        <w:sz w:val="20"/>
                      </w:rPr>
                      <w:t>I</w:t>
                    </w:r>
                  </w:p>
                </w:tc>
                <w:tc>
                  <w:tcPr>
                    <w:tcW w:w="1985" w:type="dxa"/>
                    <w:vMerge w:val="restart"/>
                    <w:hideMark/>
                  </w:tcPr>
                  <w:p>
                    <w:pPr>
                      <w:rPr>
                        <w:sz w:val="20"/>
                      </w:rPr>
                    </w:pPr>
                    <w:r>
                      <w:rPr>
                        <w:sz w:val="20"/>
                      </w:rPr>
                      <w:t>ASPĮ</w:t>
                    </w:r>
                  </w:p>
                  <w:p>
                    <w:pPr>
                      <w:ind w:left="-57" w:right="-57"/>
                      <w:jc w:val="center"/>
                      <w:rPr>
                        <w:sz w:val="20"/>
                      </w:rPr>
                    </w:pPr>
                  </w:p>
                </w:tc>
                <w:tc>
                  <w:tcPr>
                    <w:tcW w:w="829" w:type="dxa"/>
                    <w:gridSpan w:val="3"/>
                    <w:vMerge w:val="restart"/>
                    <w:hideMark/>
                  </w:tcPr>
                  <w:p>
                    <w:pPr>
                      <w:ind w:left="-57" w:right="-57"/>
                      <w:jc w:val="center"/>
                      <w:rPr>
                        <w:sz w:val="20"/>
                      </w:rPr>
                    </w:pPr>
                    <w:r>
                      <w:rPr>
                        <w:sz w:val="20"/>
                      </w:rPr>
                      <w:t>P</w:t>
                    </w:r>
                  </w:p>
                </w:tc>
                <w:tc>
                  <w:tcPr>
                    <w:tcW w:w="1014" w:type="dxa"/>
                    <w:gridSpan w:val="3"/>
                    <w:vMerge w:val="restart"/>
                    <w:hideMark/>
                  </w:tcPr>
                  <w:p>
                    <w:pPr>
                      <w:ind w:left="-57" w:right="-57"/>
                      <w:jc w:val="center"/>
                      <w:rPr>
                        <w:sz w:val="20"/>
                      </w:rPr>
                    </w:pPr>
                    <w:r>
                      <w:rPr>
                        <w:sz w:val="20"/>
                      </w:rPr>
                      <w:t>Taip</w:t>
                    </w:r>
                  </w:p>
                </w:tc>
                <w:tc>
                  <w:tcPr>
                    <w:tcW w:w="681" w:type="dxa"/>
                    <w:gridSpan w:val="3"/>
                    <w:vMerge w:val="restart"/>
                    <w:hideMark/>
                  </w:tcPr>
                  <w:p>
                    <w:pPr>
                      <w:ind w:left="-57" w:right="-57"/>
                      <w:jc w:val="center"/>
                      <w:rPr>
                        <w:sz w:val="20"/>
                      </w:rPr>
                    </w:pPr>
                    <w:r>
                      <w:rPr>
                        <w:sz w:val="20"/>
                      </w:rPr>
                      <w:t>D</w:t>
                    </w:r>
                  </w:p>
                </w:tc>
                <w:tc>
                  <w:tcPr>
                    <w:tcW w:w="1167" w:type="dxa"/>
                    <w:gridSpan w:val="2"/>
                  </w:tcPr>
                  <w:p>
                    <w:pPr>
                      <w:ind w:left="-57" w:right="-57"/>
                      <w:jc w:val="center"/>
                      <w:rPr>
                        <w:sz w:val="20"/>
                        <w:lang w:val="en-US"/>
                      </w:rPr>
                    </w:pPr>
                    <w:r>
                      <w:rPr>
                        <w:sz w:val="20"/>
                      </w:rPr>
                      <w:t>51 154,813</w:t>
                    </w:r>
                  </w:p>
                </w:tc>
                <w:tc>
                  <w:tcPr>
                    <w:tcW w:w="1118" w:type="dxa"/>
                  </w:tcPr>
                  <w:p>
                    <w:pPr>
                      <w:ind w:left="-57" w:right="-57"/>
                      <w:rPr>
                        <w:sz w:val="20"/>
                      </w:rPr>
                    </w:pPr>
                    <w:r>
                      <w:rPr>
                        <w:sz w:val="20"/>
                      </w:rPr>
                      <w:t>EGADP</w:t>
                    </w:r>
                  </w:p>
                </w:tc>
                <w:tc>
                  <w:tcPr>
                    <w:tcW w:w="2001" w:type="dxa"/>
                    <w:gridSpan w:val="2"/>
                    <w:vMerge w:val="restart"/>
                  </w:tcPr>
                  <w:p>
                    <w:pPr>
                      <w:ind w:left="-57" w:right="-57"/>
                      <w:rPr>
                        <w:b/>
                        <w:bCs/>
                        <w:sz w:val="20"/>
                      </w:rPr>
                    </w:pPr>
                    <w:r>
                      <w:rPr>
                        <w:sz w:val="20"/>
                      </w:rPr>
                      <w:t>P –</w:t>
                    </w:r>
                  </w:p>
                  <w:p>
                    <w:pPr>
                      <w:ind w:left="-57" w:right="-57"/>
                      <w:rPr>
                        <w:sz w:val="20"/>
                      </w:rPr>
                    </w:pPr>
                    <w:r>
                      <w:rPr>
                        <w:sz w:val="20"/>
                      </w:rPr>
                      <w:t>Ligoninių, kuriose įrengti modernizuoti skubiosios pagalbos, reanimacijos arba intensyviosios terapijos skyriai,</w:t>
                    </w:r>
                    <w:r>
                      <w:rPr>
                        <w:b/>
                        <w:bCs/>
                        <w:sz w:val="20"/>
                      </w:rPr>
                      <w:t xml:space="preserve"> </w:t>
                    </w:r>
                    <w:r>
                      <w:rPr>
                        <w:sz w:val="20"/>
                      </w:rPr>
                      <w:t>skaičius, vnt.</w:t>
                    </w:r>
                  </w:p>
                  <w:p>
                    <w:pPr>
                      <w:ind w:left="-57" w:right="-57"/>
                      <w:rPr>
                        <w:sz w:val="20"/>
                      </w:rPr>
                    </w:pPr>
                    <w:r>
                      <w:rPr>
                        <w:sz w:val="20"/>
                      </w:rPr>
                      <w:t>R – Naujos arba modernizuotos sveikatos priežiūros infrastruktūros talpumas, asmenys per metus</w:t>
                    </w:r>
                  </w:p>
                </w:tc>
                <w:tc>
                  <w:tcPr>
                    <w:tcW w:w="1134" w:type="dxa"/>
                    <w:gridSpan w:val="2"/>
                    <w:vMerge w:val="restart"/>
                  </w:tcPr>
                  <w:p>
                    <w:pPr>
                      <w:jc w:val="center"/>
                      <w:rPr>
                        <w:sz w:val="20"/>
                      </w:rPr>
                    </w:pPr>
                    <w:r>
                      <w:rPr>
                        <w:sz w:val="20"/>
                      </w:rPr>
                      <w:t>7</w:t>
                    </w:r>
                  </w:p>
                  <w:p>
                    <w:pPr>
                      <w:ind w:left="-57" w:right="-57"/>
                      <w:jc w:val="center"/>
                      <w:rPr>
                        <w:sz w:val="20"/>
                      </w:rPr>
                    </w:pPr>
                    <w:r>
                      <w:rPr>
                        <w:sz w:val="20"/>
                      </w:rPr>
                      <w:t>(2026 m. II ketv.)</w:t>
                    </w:r>
                  </w:p>
                  <w:p>
                    <w:pPr>
                      <w:ind w:left="-57" w:right="-57"/>
                      <w:jc w:val="center"/>
                      <w:rPr>
                        <w:sz w:val="20"/>
                      </w:rPr>
                    </w:pPr>
                    <w:r>
                      <w:rPr>
                        <w:sz w:val="20"/>
                      </w:rPr>
                      <w:t>n/a</w:t>
                    </w:r>
                  </w:p>
                </w:tc>
                <w:tc>
                  <w:tcPr>
                    <w:tcW w:w="992" w:type="dxa"/>
                    <w:vMerge w:val="restart"/>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r>
                      <w:rPr>
                        <w:color w:val="000000"/>
                        <w:sz w:val="20"/>
                      </w:rPr>
                      <w:t>CPVA</w:t>
                    </w:r>
                  </w:p>
                </w:tc>
                <w:tc>
                  <w:tcPr>
                    <w:tcW w:w="1279" w:type="dxa"/>
                    <w:vMerge w:val="restart"/>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r>
                      <w:rPr>
                        <w:color w:val="000000"/>
                        <w:sz w:val="20"/>
                      </w:rPr>
                      <w:t>SAM</w:t>
                    </w:r>
                  </w:p>
                </w:tc>
              </w:tr>
              <w:tr>
                <w:trPr>
                  <w:trHeight w:val="276"/>
                </w:trPr>
                <w:tc>
                  <w:tcPr>
                    <w:tcW w:w="2130" w:type="dxa"/>
                    <w:gridSpan w:val="2"/>
                    <w:vMerge/>
                    <w:hideMark/>
                  </w:tcPr>
                  <w:p>
                    <w:pPr>
                      <w:rPr>
                        <w:iCs/>
                        <w:sz w:val="20"/>
                      </w:rPr>
                    </w:pPr>
                  </w:p>
                </w:tc>
                <w:tc>
                  <w:tcPr>
                    <w:tcW w:w="699" w:type="dxa"/>
                    <w:vMerge/>
                    <w:hideMark/>
                  </w:tcPr>
                  <w:p>
                    <w:pPr>
                      <w:rPr>
                        <w:color w:val="000000"/>
                        <w:sz w:val="20"/>
                      </w:rPr>
                    </w:pPr>
                  </w:p>
                </w:tc>
                <w:tc>
                  <w:tcPr>
                    <w:tcW w:w="1985" w:type="dxa"/>
                    <w:vMerge/>
                    <w:hideMark/>
                  </w:tcPr>
                  <w:p>
                    <w:pPr>
                      <w:rPr>
                        <w:sz w:val="20"/>
                      </w:rPr>
                    </w:pPr>
                  </w:p>
                </w:tc>
                <w:tc>
                  <w:tcPr>
                    <w:tcW w:w="829" w:type="dxa"/>
                    <w:gridSpan w:val="3"/>
                    <w:vMerge/>
                    <w:hideMark/>
                  </w:tcPr>
                  <w:p>
                    <w:pPr>
                      <w:rPr>
                        <w:sz w:val="20"/>
                      </w:rPr>
                    </w:pPr>
                  </w:p>
                </w:tc>
                <w:tc>
                  <w:tcPr>
                    <w:tcW w:w="1014" w:type="dxa"/>
                    <w:gridSpan w:val="3"/>
                    <w:vMerge/>
                    <w:hideMark/>
                  </w:tcPr>
                  <w:p>
                    <w:pPr>
                      <w:rPr>
                        <w:sz w:val="20"/>
                      </w:rPr>
                    </w:pPr>
                  </w:p>
                </w:tc>
                <w:tc>
                  <w:tcPr>
                    <w:tcW w:w="681" w:type="dxa"/>
                    <w:gridSpan w:val="3"/>
                    <w:vMerge/>
                    <w:hideMark/>
                  </w:tcPr>
                  <w:p>
                    <w:pPr>
                      <w:rPr>
                        <w:sz w:val="20"/>
                      </w:rPr>
                    </w:pPr>
                  </w:p>
                </w:tc>
                <w:tc>
                  <w:tcPr>
                    <w:tcW w:w="1167" w:type="dxa"/>
                    <w:gridSpan w:val="2"/>
                    <w:vMerge w:val="restart"/>
                  </w:tcPr>
                  <w:p>
                    <w:pPr>
                      <w:ind w:left="-57" w:right="-57"/>
                      <w:jc w:val="center"/>
                      <w:rPr>
                        <w:sz w:val="20"/>
                      </w:rPr>
                    </w:pPr>
                    <w:r>
                      <w:rPr>
                        <w:sz w:val="20"/>
                      </w:rPr>
                      <w:t>10 742,492</w:t>
                    </w:r>
                  </w:p>
                </w:tc>
                <w:tc>
                  <w:tcPr>
                    <w:tcW w:w="1118" w:type="dxa"/>
                    <w:vMerge w:val="restart"/>
                  </w:tcPr>
                  <w:p>
                    <w:pPr>
                      <w:ind w:left="-57" w:right="-57"/>
                      <w:rPr>
                        <w:sz w:val="20"/>
                      </w:rPr>
                    </w:pPr>
                    <w:r>
                      <w:rPr>
                        <w:sz w:val="20"/>
                      </w:rPr>
                      <w:t>PVM iš VB</w:t>
                    </w:r>
                  </w:p>
                </w:tc>
                <w:tc>
                  <w:tcPr>
                    <w:tcW w:w="2001" w:type="dxa"/>
                    <w:gridSpan w:val="2"/>
                    <w:vMerge/>
                  </w:tcPr>
                  <w:p>
                    <w:pPr>
                      <w:rPr>
                        <w:sz w:val="20"/>
                      </w:rPr>
                    </w:pPr>
                  </w:p>
                </w:tc>
                <w:tc>
                  <w:tcPr>
                    <w:tcW w:w="1134" w:type="dxa"/>
                    <w:gridSpan w:val="2"/>
                    <w:vMerge/>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tcPr>
                  <w:p>
                    <w:pPr>
                      <w:rPr>
                        <w:color w:val="000000"/>
                        <w:sz w:val="20"/>
                      </w:rPr>
                    </w:pPr>
                  </w:p>
                </w:tc>
                <w:tc>
                  <w:tcPr>
                    <w:tcW w:w="1279" w:type="dxa"/>
                    <w:vMerge/>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719"/>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i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sz w:val="20"/>
                      </w:rPr>
                    </w:pPr>
                    <w:r>
                      <w:rPr>
                        <w:sz w:val="20"/>
                      </w:rPr>
                      <w:t>R – Naujos arba modernizuotos sveikatos priežiūros infrastruktūros talpumas, asmenys per metus</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n/a</w:t>
                    </w:r>
                  </w:p>
                </w:tc>
                <w:tc>
                  <w:tcPr>
                    <w:tcW w:w="992" w:type="dxa"/>
                    <w:vMerge/>
                    <w:tcBorders>
                      <w:top w:val="single" w:sz="4" w:space="0" w:color="auto"/>
                      <w:left w:val="single" w:sz="4" w:space="0" w:color="auto"/>
                      <w:bottom w:val="single" w:sz="4" w:space="0" w:color="auto"/>
                      <w:right w:val="single" w:sz="4" w:space="0" w:color="auto"/>
                    </w:tcBorders>
                    <w:vAlign w:val="center"/>
                  </w:tcPr>
                  <w:p>
                    <w:pPr>
                      <w:rPr>
                        <w:color w:val="000000"/>
                        <w:sz w:val="20"/>
                      </w:rPr>
                    </w:pPr>
                  </w:p>
                </w:tc>
                <w:tc>
                  <w:tcPr>
                    <w:tcW w:w="1279" w:type="dxa"/>
                    <w:vMerge/>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gridBefore w:val="1"/>
                  <w:wBefore w:w="6" w:type="dxa"/>
                  <w:trHeight w:val="1025"/>
                </w:trPr>
                <w:tc>
                  <w:tcPr>
                    <w:tcW w:w="2124" w:type="dxa"/>
                    <w:vMerge w:val="restart"/>
                  </w:tcPr>
                  <w:p>
                    <w:pPr>
                      <w:rPr>
                        <w:sz w:val="20"/>
                      </w:rPr>
                    </w:pPr>
                    <w:r>
                      <w:rPr>
                        <w:color w:val="000000"/>
                        <w:sz w:val="20"/>
                      </w:rPr>
                      <w:t>2.4. Regionų ir savivaldybių sveikatos priežiūros įstaigų infrastruktūros modernizavimas, Sostinės regionas</w:t>
                    </w:r>
                  </w:p>
                </w:tc>
                <w:tc>
                  <w:tcPr>
                    <w:tcW w:w="699" w:type="dxa"/>
                    <w:vMerge w:val="restart"/>
                  </w:tcPr>
                  <w:p>
                    <w:pPr>
                      <w:rPr>
                        <w:sz w:val="20"/>
                      </w:rPr>
                    </w:pPr>
                    <w:r>
                      <w:rPr>
                        <w:color w:val="000000"/>
                        <w:sz w:val="20"/>
                      </w:rPr>
                      <w:t>I</w:t>
                    </w:r>
                  </w:p>
                </w:tc>
                <w:tc>
                  <w:tcPr>
                    <w:tcW w:w="1985" w:type="dxa"/>
                    <w:vMerge w:val="restart"/>
                  </w:tcPr>
                  <w:p>
                    <w:pPr>
                      <w:tabs>
                        <w:tab w:val="center" w:pos="4153"/>
                        <w:tab w:val="right" w:pos="8306"/>
                      </w:tabs>
                      <w:jc w:val="both"/>
                      <w:rPr>
                        <w:sz w:val="20"/>
                      </w:rPr>
                    </w:pPr>
                    <w:r>
                      <w:rPr>
                        <w:color w:val="000000"/>
                        <w:sz w:val="20"/>
                      </w:rPr>
                      <w:t>ASPĮ</w:t>
                    </w:r>
                  </w:p>
                </w:tc>
                <w:tc>
                  <w:tcPr>
                    <w:tcW w:w="849" w:type="dxa"/>
                    <w:gridSpan w:val="4"/>
                    <w:vMerge w:val="restart"/>
                  </w:tcPr>
                  <w:p>
                    <w:pPr>
                      <w:rPr>
                        <w:sz w:val="20"/>
                      </w:rPr>
                    </w:pPr>
                    <w:r>
                      <w:rPr>
                        <w:color w:val="000000"/>
                        <w:sz w:val="20"/>
                      </w:rPr>
                      <w:t>P</w:t>
                    </w:r>
                  </w:p>
                </w:tc>
                <w:tc>
                  <w:tcPr>
                    <w:tcW w:w="994" w:type="dxa"/>
                    <w:gridSpan w:val="2"/>
                    <w:vMerge w:val="restart"/>
                  </w:tcPr>
                  <w:p>
                    <w:pPr>
                      <w:rPr>
                        <w:sz w:val="20"/>
                      </w:rPr>
                    </w:pPr>
                    <w:r>
                      <w:rPr>
                        <w:color w:val="000000"/>
                        <w:sz w:val="20"/>
                      </w:rPr>
                      <w:t>Taip</w:t>
                    </w:r>
                  </w:p>
                </w:tc>
                <w:tc>
                  <w:tcPr>
                    <w:tcW w:w="708" w:type="dxa"/>
                    <w:gridSpan w:val="4"/>
                    <w:vMerge w:val="restart"/>
                  </w:tcPr>
                  <w:p>
                    <w:pPr>
                      <w:rPr>
                        <w:sz w:val="20"/>
                      </w:rPr>
                    </w:pPr>
                    <w:r>
                      <w:rPr>
                        <w:color w:val="000000"/>
                        <w:sz w:val="20"/>
                      </w:rPr>
                      <w:t>D</w:t>
                    </w:r>
                  </w:p>
                </w:tc>
                <w:tc>
                  <w:tcPr>
                    <w:tcW w:w="1140" w:type="dxa"/>
                  </w:tcPr>
                  <w:p>
                    <w:pPr>
                      <w:jc w:val="center"/>
                      <w:rPr>
                        <w:sz w:val="20"/>
                      </w:rPr>
                    </w:pPr>
                    <w:r>
                      <w:rPr>
                        <w:color w:val="000000"/>
                        <w:sz w:val="20"/>
                      </w:rPr>
                      <w:t>5 850,490</w:t>
                    </w:r>
                  </w:p>
                </w:tc>
                <w:tc>
                  <w:tcPr>
                    <w:tcW w:w="1134" w:type="dxa"/>
                    <w:gridSpan w:val="2"/>
                  </w:tcPr>
                  <w:p>
                    <w:pPr>
                      <w:rPr>
                        <w:sz w:val="20"/>
                      </w:rPr>
                    </w:pPr>
                    <w:r>
                      <w:rPr>
                        <w:color w:val="000000"/>
                        <w:sz w:val="20"/>
                      </w:rPr>
                      <w:t>2021–2027 m. IP (ERPF)</w:t>
                    </w:r>
                  </w:p>
                </w:tc>
                <w:tc>
                  <w:tcPr>
                    <w:tcW w:w="1985" w:type="dxa"/>
                  </w:tcPr>
                  <w:p>
                    <w:pPr>
                      <w:ind w:left="-57" w:right="-57"/>
                      <w:rPr>
                        <w:sz w:val="20"/>
                      </w:rPr>
                    </w:pPr>
                    <w:r>
                      <w:rPr>
                        <w:color w:val="000000"/>
                        <w:sz w:val="20"/>
                      </w:rPr>
                      <w:t>P – Naujos arba modernizuotos sveikatos priežiūros infrastruktūros talpumas, asmenys per metus</w:t>
                    </w:r>
                  </w:p>
                </w:tc>
                <w:tc>
                  <w:tcPr>
                    <w:tcW w:w="1134" w:type="dxa"/>
                    <w:gridSpan w:val="2"/>
                  </w:tcPr>
                  <w:p>
                    <w:pPr>
                      <w:tabs>
                        <w:tab w:val="center" w:pos="4153"/>
                        <w:tab w:val="right" w:pos="8306"/>
                      </w:tabs>
                      <w:jc w:val="both"/>
                      <w:rPr>
                        <w:color w:val="000000"/>
                        <w:sz w:val="20"/>
                      </w:rPr>
                    </w:pPr>
                    <w:r>
                      <w:rPr>
                        <w:color w:val="000000"/>
                        <w:sz w:val="20"/>
                      </w:rPr>
                      <w:t>51 500</w:t>
                    </w:r>
                  </w:p>
                  <w:p>
                    <w:pPr>
                      <w:ind w:left="-57" w:right="-57"/>
                      <w:jc w:val="center"/>
                      <w:rPr>
                        <w:sz w:val="20"/>
                      </w:rPr>
                    </w:pPr>
                    <w:r>
                      <w:rPr>
                        <w:color w:val="000000"/>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gridBefore w:val="1"/>
                  <w:wBefore w:w="6" w:type="dxa"/>
                  <w:trHeight w:val="983"/>
                </w:trPr>
                <w:tc>
                  <w:tcPr>
                    <w:tcW w:w="2124" w:type="dxa"/>
                    <w:vMerge/>
                    <w:vAlign w:val="center"/>
                  </w:tcPr>
                  <w:p>
                    <w:pPr>
                      <w:rPr>
                        <w:color w:val="000000"/>
                        <w:sz w:val="20"/>
                      </w:rPr>
                    </w:pPr>
                  </w:p>
                </w:tc>
                <w:tc>
                  <w:tcPr>
                    <w:tcW w:w="699" w:type="dxa"/>
                    <w:vMerge/>
                    <w:vAlign w:val="center"/>
                  </w:tcPr>
                  <w:p>
                    <w:pPr>
                      <w:rPr>
                        <w:color w:val="000000"/>
                        <w:sz w:val="20"/>
                      </w:rPr>
                    </w:pPr>
                  </w:p>
                </w:tc>
                <w:tc>
                  <w:tcPr>
                    <w:tcW w:w="1985" w:type="dxa"/>
                    <w:vMerge/>
                    <w:vAlign w:val="center"/>
                  </w:tcPr>
                  <w:p>
                    <w:pPr>
                      <w:rPr>
                        <w:color w:val="000000"/>
                        <w:sz w:val="20"/>
                      </w:rPr>
                    </w:pPr>
                  </w:p>
                </w:tc>
                <w:tc>
                  <w:tcPr>
                    <w:tcW w:w="849" w:type="dxa"/>
                    <w:gridSpan w:val="4"/>
                    <w:vMerge/>
                    <w:vAlign w:val="center"/>
                  </w:tcPr>
                  <w:p>
                    <w:pPr>
                      <w:rPr>
                        <w:color w:val="000000"/>
                        <w:sz w:val="20"/>
                      </w:rPr>
                    </w:pPr>
                  </w:p>
                </w:tc>
                <w:tc>
                  <w:tcPr>
                    <w:tcW w:w="994" w:type="dxa"/>
                    <w:gridSpan w:val="2"/>
                    <w:vMerge/>
                    <w:vAlign w:val="center"/>
                  </w:tcPr>
                  <w:p>
                    <w:pPr>
                      <w:rPr>
                        <w:color w:val="000000"/>
                        <w:sz w:val="20"/>
                      </w:rPr>
                    </w:pPr>
                  </w:p>
                </w:tc>
                <w:tc>
                  <w:tcPr>
                    <w:tcW w:w="708" w:type="dxa"/>
                    <w:gridSpan w:val="4"/>
                    <w:vMerge/>
                    <w:vAlign w:val="center"/>
                  </w:tcPr>
                  <w:p>
                    <w:pPr>
                      <w:rPr>
                        <w:color w:val="000000"/>
                        <w:sz w:val="20"/>
                      </w:rPr>
                    </w:pPr>
                  </w:p>
                </w:tc>
                <w:tc>
                  <w:tcPr>
                    <w:tcW w:w="1140" w:type="dxa"/>
                  </w:tcPr>
                  <w:p>
                    <w:pPr>
                      <w:tabs>
                        <w:tab w:val="center" w:pos="4153"/>
                        <w:tab w:val="right" w:pos="8306"/>
                      </w:tabs>
                      <w:jc w:val="both"/>
                      <w:rPr>
                        <w:color w:val="000000"/>
                        <w:sz w:val="20"/>
                      </w:rPr>
                    </w:pPr>
                    <w:r>
                      <w:rPr>
                        <w:color w:val="000000"/>
                        <w:sz w:val="20"/>
                      </w:rPr>
                      <w:t>5 850,490</w:t>
                    </w:r>
                    <w:r>
                      <w:rPr>
                        <w:strike/>
                        <w:color w:val="000000"/>
                        <w:sz w:val="20"/>
                      </w:rPr>
                      <w:t xml:space="preserve">  </w:t>
                    </w:r>
                  </w:p>
                </w:tc>
                <w:tc>
                  <w:tcPr>
                    <w:tcW w:w="1134" w:type="dxa"/>
                    <w:gridSpan w:val="2"/>
                  </w:tcPr>
                  <w:p>
                    <w:pPr>
                      <w:rPr>
                        <w:sz w:val="20"/>
                      </w:rPr>
                    </w:pPr>
                    <w:r>
                      <w:rPr>
                        <w:color w:val="000000"/>
                        <w:sz w:val="20"/>
                      </w:rPr>
                      <w:t>2021–2027 m. IP (BF)</w:t>
                    </w:r>
                  </w:p>
                </w:tc>
                <w:tc>
                  <w:tcPr>
                    <w:tcW w:w="1985" w:type="dxa"/>
                  </w:tcPr>
                  <w:p>
                    <w:pPr>
                      <w:ind w:left="-57" w:right="-57"/>
                      <w:rPr>
                        <w:sz w:val="20"/>
                      </w:rPr>
                    </w:pPr>
                    <w:r>
                      <w:rPr>
                        <w:color w:val="000000"/>
                        <w:sz w:val="20"/>
                      </w:rPr>
                      <w:t>R – Naujos arba modernizuotos sveikatos priežiūros infrastruktūros naudotojų skaičius per metus, asmenys per metus</w:t>
                    </w:r>
                  </w:p>
                </w:tc>
                <w:tc>
                  <w:tcPr>
                    <w:tcW w:w="1134" w:type="dxa"/>
                    <w:gridSpan w:val="2"/>
                  </w:tcPr>
                  <w:p>
                    <w:pPr>
                      <w:tabs>
                        <w:tab w:val="center" w:pos="4153"/>
                        <w:tab w:val="right" w:pos="8306"/>
                      </w:tabs>
                      <w:jc w:val="both"/>
                      <w:rPr>
                        <w:color w:val="000000"/>
                        <w:sz w:val="20"/>
                      </w:rPr>
                    </w:pPr>
                    <w:r>
                      <w:rPr>
                        <w:color w:val="000000"/>
                        <w:sz w:val="20"/>
                      </w:rPr>
                      <w:t>46 480</w:t>
                    </w:r>
                  </w:p>
                  <w:p>
                    <w:pPr>
                      <w:ind w:left="423" w:right="-57" w:hanging="480"/>
                      <w:jc w:val="center"/>
                      <w:rPr>
                        <w:sz w:val="20"/>
                      </w:rPr>
                    </w:pPr>
                    <w:r>
                      <w:rPr>
                        <w:color w:val="000000"/>
                        <w:sz w:val="20"/>
                      </w:rPr>
                      <w:t>(2029 m.)</w:t>
                    </w:r>
                  </w:p>
                </w:tc>
                <w:tc>
                  <w:tcPr>
                    <w:tcW w:w="992" w:type="dxa"/>
                    <w:vMerge/>
                  </w:tcPr>
                  <w:p>
                    <w:pPr>
                      <w:rPr>
                        <w:color w:val="000000"/>
                        <w:sz w:val="20"/>
                      </w:rPr>
                    </w:pPr>
                  </w:p>
                </w:tc>
                <w:tc>
                  <w:tcPr>
                    <w:tcW w:w="1279" w:type="dxa"/>
                    <w:vMerge/>
                    <w:tcBorders>
                      <w:left w:val="single" w:sz="4" w:space="0" w:color="auto"/>
                      <w:right w:val="single" w:sz="4" w:space="0" w:color="auto"/>
                    </w:tcBorders>
                  </w:tcPr>
                  <w:p>
                    <w:pPr>
                      <w:rPr>
                        <w:color w:val="000000"/>
                        <w:sz w:val="20"/>
                      </w:rPr>
                    </w:pPr>
                  </w:p>
                </w:tc>
              </w:tr>
              <w:tr>
                <w:trPr>
                  <w:trHeight w:val="1023"/>
                </w:trPr>
                <w:tc>
                  <w:tcPr>
                    <w:tcW w:w="2130" w:type="dxa"/>
                    <w:gridSpan w:val="2"/>
                    <w:vMerge w:val="restart"/>
                  </w:tcPr>
                  <w:p>
                    <w:pPr>
                      <w:rPr>
                        <w:sz w:val="20"/>
                      </w:rPr>
                    </w:pPr>
                    <w:r>
                      <w:rPr>
                        <w:sz w:val="20"/>
                      </w:rPr>
                      <w:t>2.5. Regionų ir savivaldybių sveikatos priežiūros įstaigų  infrastruktūros modernizavimas, Vidurio ir vakarų Lietuvos regionas</w:t>
                    </w:r>
                  </w:p>
                </w:tc>
                <w:tc>
                  <w:tcPr>
                    <w:tcW w:w="699" w:type="dxa"/>
                    <w:vMerge w:val="restart"/>
                  </w:tcPr>
                  <w:p>
                    <w:pPr>
                      <w:rPr>
                        <w:sz w:val="20"/>
                      </w:rPr>
                    </w:pPr>
                    <w:r>
                      <w:rPr>
                        <w:sz w:val="20"/>
                      </w:rPr>
                      <w:t>I</w:t>
                    </w:r>
                  </w:p>
                </w:tc>
                <w:tc>
                  <w:tcPr>
                    <w:tcW w:w="1985" w:type="dxa"/>
                    <w:vMerge w:val="restart"/>
                  </w:tcPr>
                  <w:p>
                    <w:pPr>
                      <w:rPr>
                        <w:sz w:val="20"/>
                      </w:rPr>
                    </w:pPr>
                    <w:r>
                      <w:rPr>
                        <w:sz w:val="20"/>
                      </w:rPr>
                      <w:t>ASPĮ</w:t>
                    </w:r>
                  </w:p>
                  <w:p>
                    <w:pPr>
                      <w:rPr>
                        <w:sz w:val="20"/>
                      </w:rPr>
                    </w:pP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ind w:firstLine="53"/>
                      <w:rPr>
                        <w:sz w:val="20"/>
                      </w:rPr>
                    </w:pPr>
                    <w:r>
                      <w:rPr>
                        <w:sz w:val="20"/>
                      </w:rPr>
                      <w:t>38 972,928</w:t>
                    </w:r>
                  </w:p>
                </w:tc>
                <w:tc>
                  <w:tcPr>
                    <w:tcW w:w="1118" w:type="dxa"/>
                  </w:tcPr>
                  <w:p>
                    <w:pPr>
                      <w:rPr>
                        <w:sz w:val="20"/>
                      </w:rPr>
                    </w:pPr>
                    <w:r>
                      <w:rPr>
                        <w:sz w:val="20"/>
                      </w:rPr>
                      <w:t>2021–2027 m. IP (ERPF)</w:t>
                    </w:r>
                  </w:p>
                </w:tc>
                <w:tc>
                  <w:tcPr>
                    <w:tcW w:w="2001" w:type="dxa"/>
                    <w:gridSpan w:val="2"/>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1134" w:type="dxa"/>
                    <w:gridSpan w:val="2"/>
                  </w:tcPr>
                  <w:p>
                    <w:pPr>
                      <w:ind w:left="-57" w:right="-57"/>
                      <w:jc w:val="center"/>
                      <w:rPr>
                        <w:sz w:val="20"/>
                      </w:rPr>
                    </w:pPr>
                    <w:r>
                      <w:rPr>
                        <w:sz w:val="20"/>
                      </w:rPr>
                      <w:t>149 950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585"/>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Pr>
                  <w:p>
                    <w:pPr>
                      <w:ind w:firstLine="106"/>
                      <w:rPr>
                        <w:sz w:val="20"/>
                      </w:rPr>
                    </w:pPr>
                    <w:r>
                      <w:rPr>
                        <w:sz w:val="20"/>
                      </w:rPr>
                      <w:t>6 877,575</w:t>
                    </w:r>
                  </w:p>
                </w:tc>
                <w:tc>
                  <w:tcPr>
                    <w:tcW w:w="1118" w:type="dxa"/>
                  </w:tcPr>
                  <w:p>
                    <w:pPr>
                      <w:rPr>
                        <w:sz w:val="20"/>
                      </w:rPr>
                    </w:pPr>
                    <w:r>
                      <w:rPr>
                        <w:sz w:val="20"/>
                      </w:rPr>
                      <w:t>2021–2027 m. IP (BF)</w:t>
                    </w:r>
                  </w:p>
                </w:tc>
                <w:tc>
                  <w:tcPr>
                    <w:tcW w:w="2001" w:type="dxa"/>
                    <w:gridSpan w:val="2"/>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1134" w:type="dxa"/>
                    <w:gridSpan w:val="2"/>
                  </w:tcPr>
                  <w:p>
                    <w:pPr>
                      <w:ind w:left="-57" w:right="-57"/>
                      <w:jc w:val="center"/>
                      <w:rPr>
                        <w:sz w:val="20"/>
                      </w:rPr>
                    </w:pPr>
                    <w:r>
                      <w:rPr>
                        <w:sz w:val="20"/>
                      </w:rPr>
                      <w:t>134 490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960"/>
                </w:trPr>
                <w:tc>
                  <w:tcPr>
                    <w:tcW w:w="2130" w:type="dxa"/>
                    <w:gridSpan w:val="2"/>
                    <w:vMerge w:val="restart"/>
                  </w:tcPr>
                  <w:p>
                    <w:pPr>
                      <w:rPr>
                        <w:sz w:val="20"/>
                      </w:rPr>
                    </w:pPr>
                    <w:r>
                      <w:rPr>
                        <w:sz w:val="20"/>
                      </w:rPr>
                      <w:t>2.6. Skubios telemedicinos paslaugų diegimas, Vidurio ir vakarų Lietuvos regionas</w:t>
                    </w:r>
                  </w:p>
                </w:tc>
                <w:tc>
                  <w:tcPr>
                    <w:tcW w:w="699" w:type="dxa"/>
                    <w:vMerge w:val="restart"/>
                  </w:tcPr>
                  <w:p>
                    <w:pPr>
                      <w:rPr>
                        <w:sz w:val="20"/>
                      </w:rPr>
                    </w:pPr>
                    <w:r>
                      <w:rPr>
                        <w:sz w:val="20"/>
                      </w:rPr>
                      <w:t>I</w:t>
                    </w:r>
                  </w:p>
                </w:tc>
                <w:tc>
                  <w:tcPr>
                    <w:tcW w:w="1985" w:type="dxa"/>
                    <w:vMerge w:val="restart"/>
                  </w:tcPr>
                  <w:p>
                    <w:pPr>
                      <w:rPr>
                        <w:sz w:val="20"/>
                      </w:rPr>
                    </w:pPr>
                    <w:r>
                      <w:rPr>
                        <w:sz w:val="20"/>
                      </w:rPr>
                      <w:t>ASPĮ</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rPr>
                        <w:sz w:val="20"/>
                      </w:rPr>
                    </w:pPr>
                    <w:r>
                      <w:rPr>
                        <w:sz w:val="20"/>
                      </w:rPr>
                      <w:t>3 825</w:t>
                    </w:r>
                  </w:p>
                  <w:p>
                    <w:pPr>
                      <w:rPr>
                        <w:sz w:val="20"/>
                      </w:rPr>
                    </w:pPr>
                  </w:p>
                </w:tc>
                <w:tc>
                  <w:tcPr>
                    <w:tcW w:w="1118" w:type="dxa"/>
                  </w:tcPr>
                  <w:p>
                    <w:pPr>
                      <w:rPr>
                        <w:sz w:val="20"/>
                      </w:rPr>
                    </w:pPr>
                    <w:r>
                      <w:rPr>
                        <w:sz w:val="20"/>
                      </w:rPr>
                      <w:t>2021–2027 m. IP (ERPF)</w:t>
                    </w:r>
                  </w:p>
                </w:tc>
                <w:tc>
                  <w:tcPr>
                    <w:tcW w:w="2001" w:type="dxa"/>
                    <w:gridSpan w:val="2"/>
                    <w:vMerge w:val="restart"/>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vMerge w:val="restart"/>
                  </w:tcPr>
                  <w:p>
                    <w:pPr>
                      <w:ind w:left="-57" w:right="-57"/>
                      <w:jc w:val="center"/>
                      <w:rPr>
                        <w:sz w:val="20"/>
                      </w:rPr>
                    </w:pPr>
                    <w:r>
                      <w:rPr>
                        <w:sz w:val="20"/>
                      </w:rPr>
                      <w:t xml:space="preserve">3 600 </w:t>
                    </w:r>
                  </w:p>
                  <w:p>
                    <w:pPr>
                      <w:ind w:left="-57" w:right="-57"/>
                      <w:jc w:val="center"/>
                      <w:rPr>
                        <w:sz w:val="20"/>
                      </w:rPr>
                    </w:pPr>
                    <w:r>
                      <w:rPr>
                        <w:sz w:val="20"/>
                      </w:rPr>
                      <w:t>(2029 m.)</w:t>
                    </w:r>
                  </w:p>
                </w:tc>
                <w:tc>
                  <w:tcPr>
                    <w:tcW w:w="992" w:type="dxa"/>
                    <w:vMerge w:val="restart"/>
                  </w:tcPr>
                  <w:p>
                    <w:pPr>
                      <w:ind w:firstLine="53"/>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230"/>
                </w:trPr>
                <w:tc>
                  <w:tcPr>
                    <w:tcW w:w="2130" w:type="dxa"/>
                    <w:gridSpan w:val="2"/>
                    <w:vMerge/>
                  </w:tcPr>
                  <w:p>
                    <w:pPr>
                      <w:rPr>
                        <w:color w:val="000000"/>
                        <w:sz w:val="20"/>
                      </w:rPr>
                    </w:pPr>
                  </w:p>
                </w:tc>
                <w:tc>
                  <w:tcPr>
                    <w:tcW w:w="699" w:type="dxa"/>
                    <w:vMerge/>
                  </w:tcPr>
                  <w:p>
                    <w:pPr>
                      <w:rPr>
                        <w:color w:val="000000"/>
                        <w:sz w:val="20"/>
                      </w:rPr>
                    </w:pPr>
                  </w:p>
                </w:tc>
                <w:tc>
                  <w:tcPr>
                    <w:tcW w:w="1985" w:type="dxa"/>
                    <w:vMerge/>
                  </w:tcPr>
                  <w:p>
                    <w:pPr>
                      <w:rPr>
                        <w:color w:val="000000"/>
                        <w:sz w:val="20"/>
                      </w:rPr>
                    </w:pPr>
                  </w:p>
                </w:tc>
                <w:tc>
                  <w:tcPr>
                    <w:tcW w:w="829" w:type="dxa"/>
                    <w:gridSpan w:val="3"/>
                    <w:vMerge/>
                  </w:tcPr>
                  <w:p>
                    <w:pPr>
                      <w:rPr>
                        <w:color w:val="000000"/>
                        <w:sz w:val="20"/>
                      </w:rPr>
                    </w:pPr>
                  </w:p>
                </w:tc>
                <w:tc>
                  <w:tcPr>
                    <w:tcW w:w="1014" w:type="dxa"/>
                    <w:gridSpan w:val="3"/>
                    <w:vMerge/>
                  </w:tcPr>
                  <w:p>
                    <w:pPr>
                      <w:rPr>
                        <w:color w:val="000000"/>
                        <w:sz w:val="20"/>
                      </w:rPr>
                    </w:pPr>
                  </w:p>
                </w:tc>
                <w:tc>
                  <w:tcPr>
                    <w:tcW w:w="681" w:type="dxa"/>
                    <w:gridSpan w:val="3"/>
                    <w:vMerge/>
                  </w:tcPr>
                  <w:p>
                    <w:pPr>
                      <w:rPr>
                        <w:color w:val="000000"/>
                        <w:sz w:val="20"/>
                      </w:rPr>
                    </w:pPr>
                  </w:p>
                </w:tc>
                <w:tc>
                  <w:tcPr>
                    <w:tcW w:w="1167" w:type="dxa"/>
                    <w:gridSpan w:val="2"/>
                    <w:vMerge w:val="restart"/>
                  </w:tcPr>
                  <w:p>
                    <w:pPr>
                      <w:rPr>
                        <w:sz w:val="20"/>
                      </w:rPr>
                    </w:pPr>
                    <w:r>
                      <w:rPr>
                        <w:sz w:val="20"/>
                      </w:rPr>
                      <w:t>675</w:t>
                    </w:r>
                  </w:p>
                  <w:p>
                    <w:pPr>
                      <w:rPr>
                        <w:color w:val="000000"/>
                        <w:sz w:val="20"/>
                      </w:rPr>
                    </w:pPr>
                  </w:p>
                </w:tc>
                <w:tc>
                  <w:tcPr>
                    <w:tcW w:w="1118" w:type="dxa"/>
                    <w:vMerge w:val="restart"/>
                  </w:tcPr>
                  <w:p>
                    <w:pPr>
                      <w:rPr>
                        <w:color w:val="000000"/>
                        <w:sz w:val="20"/>
                      </w:rPr>
                    </w:pPr>
                    <w:r>
                      <w:rPr>
                        <w:sz w:val="20"/>
                      </w:rPr>
                      <w:t>2021–2027 m. IP (BF)</w:t>
                    </w:r>
                  </w:p>
                </w:tc>
                <w:tc>
                  <w:tcPr>
                    <w:tcW w:w="2001" w:type="dxa"/>
                    <w:gridSpan w:val="2"/>
                    <w:vMerge/>
                  </w:tcPr>
                  <w:p>
                    <w:pPr>
                      <w:ind w:left="-57" w:right="-57"/>
                      <w:rPr>
                        <w:color w:val="FF0000"/>
                        <w:sz w:val="20"/>
                      </w:rPr>
                    </w:pPr>
                  </w:p>
                </w:tc>
                <w:tc>
                  <w:tcPr>
                    <w:tcW w:w="1134" w:type="dxa"/>
                    <w:gridSpan w:val="2"/>
                    <w:vMerge/>
                  </w:tcPr>
                  <w:p>
                    <w:pPr>
                      <w:ind w:left="-57" w:right="-57"/>
                      <w:jc w:val="center"/>
                      <w:rPr>
                        <w:color w:val="FF0000"/>
                        <w:sz w:val="20"/>
                      </w:rPr>
                    </w:pPr>
                  </w:p>
                </w:tc>
                <w:tc>
                  <w:tcPr>
                    <w:tcW w:w="992" w:type="dxa"/>
                    <w:vMerge/>
                  </w:tcPr>
                  <w:p>
                    <w:pPr>
                      <w:rPr>
                        <w:color w:val="000000"/>
                        <w:sz w:val="20"/>
                      </w:rPr>
                    </w:pPr>
                  </w:p>
                </w:tc>
                <w:tc>
                  <w:tcPr>
                    <w:tcW w:w="1279" w:type="dxa"/>
                    <w:vMerge/>
                    <w:tcBorders>
                      <w:left w:val="single" w:sz="4" w:space="0" w:color="auto"/>
                      <w:right w:val="single" w:sz="4" w:space="0" w:color="auto"/>
                    </w:tcBorders>
                  </w:tcPr>
                  <w:p>
                    <w:pPr>
                      <w:rPr>
                        <w:color w:val="000000"/>
                        <w:sz w:val="20"/>
                      </w:rPr>
                    </w:pPr>
                  </w:p>
                </w:tc>
              </w:tr>
              <w:tr>
                <w:trPr>
                  <w:trHeight w:val="970"/>
                </w:trPr>
                <w:tc>
                  <w:tcPr>
                    <w:tcW w:w="2130" w:type="dxa"/>
                    <w:gridSpan w:val="2"/>
                    <w:vMerge/>
                    <w:vAlign w:val="center"/>
                  </w:tcPr>
                  <w:p>
                    <w:pPr>
                      <w:rPr>
                        <w:color w:val="000000"/>
                        <w:sz w:val="20"/>
                      </w:rPr>
                    </w:pPr>
                  </w:p>
                </w:tc>
                <w:tc>
                  <w:tcPr>
                    <w:tcW w:w="699" w:type="dxa"/>
                    <w:vMerge/>
                    <w:vAlign w:val="center"/>
                  </w:tcPr>
                  <w:p>
                    <w:pPr>
                      <w:rPr>
                        <w:color w:val="000000"/>
                        <w:sz w:val="20"/>
                      </w:rPr>
                    </w:pPr>
                  </w:p>
                </w:tc>
                <w:tc>
                  <w:tcPr>
                    <w:tcW w:w="1985" w:type="dxa"/>
                    <w:vMerge/>
                    <w:vAlign w:val="center"/>
                  </w:tcPr>
                  <w:p>
                    <w:pPr>
                      <w:rPr>
                        <w:color w:val="000000"/>
                        <w:sz w:val="20"/>
                      </w:rPr>
                    </w:pPr>
                  </w:p>
                </w:tc>
                <w:tc>
                  <w:tcPr>
                    <w:tcW w:w="829" w:type="dxa"/>
                    <w:gridSpan w:val="3"/>
                    <w:vMerge/>
                    <w:vAlign w:val="center"/>
                  </w:tcPr>
                  <w:p>
                    <w:pPr>
                      <w:rPr>
                        <w:color w:val="000000"/>
                        <w:sz w:val="20"/>
                      </w:rPr>
                    </w:pPr>
                  </w:p>
                </w:tc>
                <w:tc>
                  <w:tcPr>
                    <w:tcW w:w="1014" w:type="dxa"/>
                    <w:gridSpan w:val="3"/>
                    <w:vMerge/>
                    <w:vAlign w:val="center"/>
                  </w:tcPr>
                  <w:p>
                    <w:pPr>
                      <w:rPr>
                        <w:color w:val="000000"/>
                        <w:sz w:val="20"/>
                      </w:rPr>
                    </w:pPr>
                  </w:p>
                </w:tc>
                <w:tc>
                  <w:tcPr>
                    <w:tcW w:w="681" w:type="dxa"/>
                    <w:gridSpan w:val="3"/>
                    <w:vMerge/>
                    <w:vAlign w:val="center"/>
                  </w:tcPr>
                  <w:p>
                    <w:pPr>
                      <w:rPr>
                        <w:color w:val="000000"/>
                        <w:sz w:val="20"/>
                      </w:rPr>
                    </w:pPr>
                  </w:p>
                </w:tc>
                <w:tc>
                  <w:tcPr>
                    <w:tcW w:w="1167" w:type="dxa"/>
                    <w:gridSpan w:val="2"/>
                    <w:vMerge/>
                    <w:vAlign w:val="center"/>
                  </w:tcPr>
                  <w:p>
                    <w:pPr>
                      <w:rPr>
                        <w:color w:val="000000"/>
                        <w:sz w:val="20"/>
                      </w:rPr>
                    </w:pPr>
                  </w:p>
                </w:tc>
                <w:tc>
                  <w:tcPr>
                    <w:tcW w:w="1118" w:type="dxa"/>
                    <w:vMerge/>
                    <w:vAlign w:val="center"/>
                  </w:tcPr>
                  <w:p>
                    <w:pPr>
                      <w:rPr>
                        <w:color w:val="000000"/>
                        <w:sz w:val="20"/>
                      </w:rPr>
                    </w:pPr>
                  </w:p>
                </w:tc>
                <w:tc>
                  <w:tcPr>
                    <w:tcW w:w="2001" w:type="dxa"/>
                    <w:gridSpan w:val="2"/>
                  </w:tcPr>
                  <w:p>
                    <w:pPr>
                      <w:ind w:left="-57" w:right="-57"/>
                      <w:rPr>
                        <w:color w:val="FF0000"/>
                        <w:sz w:val="20"/>
                      </w:rPr>
                    </w:pPr>
                    <w:r>
                      <w:rPr>
                        <w:sz w:val="20"/>
                      </w:rPr>
                      <w:t xml:space="preserve">R </w:t>
                    </w:r>
                    <w:r>
                      <w:rPr>
                        <w:color w:val="000000"/>
                        <w:szCs w:val="24"/>
                      </w:rPr>
                      <w:t xml:space="preserve">– </w:t>
                    </w:r>
                    <w:r>
                      <w:rPr>
                        <w:sz w:val="20"/>
                      </w:rPr>
                      <w:t>Naujos arba modernizuotos sveikatos priežiūros infrastruktūros naudotojų skaičius per metus</w:t>
                    </w:r>
                  </w:p>
                </w:tc>
                <w:tc>
                  <w:tcPr>
                    <w:tcW w:w="1134" w:type="dxa"/>
                    <w:gridSpan w:val="2"/>
                  </w:tcPr>
                  <w:p>
                    <w:pPr>
                      <w:ind w:left="-57" w:right="-57"/>
                      <w:jc w:val="center"/>
                      <w:rPr>
                        <w:sz w:val="20"/>
                      </w:rPr>
                    </w:pPr>
                    <w:r>
                      <w:rPr>
                        <w:sz w:val="20"/>
                      </w:rPr>
                      <w:t>2880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510"/>
                </w:trPr>
                <w:tc>
                  <w:tcPr>
                    <w:tcW w:w="2130" w:type="dxa"/>
                    <w:gridSpan w:val="2"/>
                    <w:tcMar>
                      <w:left w:w="105" w:type="dxa"/>
                      <w:right w:w="105" w:type="dxa"/>
                    </w:tcMar>
                  </w:tcPr>
                  <w:p>
                    <w:pPr>
                      <w:rPr>
                        <w:color w:val="000000"/>
                        <w:sz w:val="20"/>
                      </w:rPr>
                    </w:pPr>
                    <w:r>
                      <w:rPr>
                        <w:color w:val="000000"/>
                        <w:sz w:val="20"/>
                      </w:rPr>
                      <w:t xml:space="preserve">2.7.  .</w:t>
                    </w:r>
                  </w:p>
                </w:tc>
                <w:tc>
                  <w:tcPr>
                    <w:tcW w:w="12899" w:type="dxa"/>
                    <w:gridSpan w:val="20"/>
                  </w:tcPr>
                  <w:p>
                    <w:pPr>
                      <w:rPr>
                        <w:color w:val="000000"/>
                        <w:sz w:val="20"/>
                      </w:rPr>
                    </w:pPr>
                    <w:r>
                      <w:rPr>
                        <w:i/>
                        <w:color w:val="000000"/>
                        <w:sz w:val="20"/>
                      </w:rPr>
                      <w:t>Neteko galios 2026-03-06.</w:t>
                    </w:r>
                  </w:p>
                </w:tc>
              </w:tr>
              <w:tr>
                <w:trPr>
                  <w:trHeight w:val="975"/>
                </w:trPr>
                <w:tc>
                  <w:tcPr>
                    <w:tcW w:w="2130" w:type="dxa"/>
                    <w:gridSpan w:val="2"/>
                    <w:vMerge w:val="restart"/>
                    <w:tcMar>
                      <w:left w:w="105" w:type="dxa"/>
                      <w:right w:w="105" w:type="dxa"/>
                    </w:tcMar>
                  </w:tcPr>
                  <w:p>
                    <w:pPr>
                      <w:rPr>
                        <w:color w:val="000000"/>
                        <w:sz w:val="20"/>
                      </w:rPr>
                    </w:pPr>
                    <w:r>
                      <w:rPr>
                        <w:color w:val="000000"/>
                        <w:sz w:val="20"/>
                      </w:rPr>
                      <w:t>2.8. Skubiosios medicinos pagalbos paslaugų skaitmeninių sprendimų diegimas, Sostinės regionas</w:t>
                    </w:r>
                  </w:p>
                </w:tc>
                <w:tc>
                  <w:tcPr>
                    <w:tcW w:w="699" w:type="dxa"/>
                    <w:vMerge w:val="restart"/>
                    <w:tcMar>
                      <w:left w:w="105" w:type="dxa"/>
                      <w:right w:w="105" w:type="dxa"/>
                    </w:tcMar>
                  </w:tcPr>
                  <w:p>
                    <w:pPr>
                      <w:rPr>
                        <w:color w:val="000000"/>
                        <w:sz w:val="20"/>
                      </w:rPr>
                    </w:pPr>
                    <w:r>
                      <w:rPr>
                        <w:color w:val="000000"/>
                        <w:sz w:val="20"/>
                      </w:rPr>
                      <w:t>I</w:t>
                    </w:r>
                  </w:p>
                </w:tc>
                <w:tc>
                  <w:tcPr>
                    <w:tcW w:w="1985" w:type="dxa"/>
                    <w:vMerge w:val="restart"/>
                    <w:tcMar>
                      <w:left w:w="105" w:type="dxa"/>
                      <w:right w:w="105" w:type="dxa"/>
                    </w:tcMar>
                  </w:tcPr>
                  <w:p>
                    <w:pPr>
                      <w:rPr>
                        <w:color w:val="000000"/>
                        <w:sz w:val="20"/>
                      </w:rPr>
                    </w:pPr>
                    <w:r>
                      <w:rPr>
                        <w:color w:val="000000"/>
                        <w:sz w:val="20"/>
                      </w:rPr>
                      <w:t>VĮ Registrų centras</w:t>
                    </w:r>
                  </w:p>
                </w:tc>
                <w:tc>
                  <w:tcPr>
                    <w:tcW w:w="829" w:type="dxa"/>
                    <w:gridSpan w:val="3"/>
                    <w:vMerge w:val="restart"/>
                    <w:tcMar>
                      <w:left w:w="105" w:type="dxa"/>
                      <w:right w:w="105" w:type="dxa"/>
                    </w:tcMar>
                  </w:tcPr>
                  <w:p>
                    <w:pPr>
                      <w:rPr>
                        <w:color w:val="000000"/>
                        <w:sz w:val="20"/>
                      </w:rPr>
                    </w:pPr>
                    <w:r>
                      <w:rPr>
                        <w:color w:val="000000"/>
                        <w:sz w:val="20"/>
                      </w:rPr>
                      <w:t>P</w:t>
                    </w:r>
                  </w:p>
                </w:tc>
                <w:tc>
                  <w:tcPr>
                    <w:tcW w:w="1014" w:type="dxa"/>
                    <w:gridSpan w:val="3"/>
                    <w:vMerge w:val="restart"/>
                    <w:tcMar>
                      <w:left w:w="105" w:type="dxa"/>
                      <w:right w:w="105" w:type="dxa"/>
                    </w:tcMar>
                  </w:tcPr>
                  <w:p>
                    <w:pPr>
                      <w:rPr>
                        <w:color w:val="000000"/>
                        <w:sz w:val="20"/>
                      </w:rPr>
                    </w:pPr>
                    <w:r>
                      <w:rPr>
                        <w:color w:val="000000"/>
                        <w:sz w:val="20"/>
                      </w:rPr>
                      <w:t>Taip</w:t>
                    </w:r>
                  </w:p>
                </w:tc>
                <w:tc>
                  <w:tcPr>
                    <w:tcW w:w="681" w:type="dxa"/>
                    <w:gridSpan w:val="3"/>
                    <w:vMerge w:val="restart"/>
                    <w:tcMar>
                      <w:left w:w="105" w:type="dxa"/>
                      <w:right w:w="105" w:type="dxa"/>
                    </w:tcMar>
                  </w:tcPr>
                  <w:p>
                    <w:pPr>
                      <w:rPr>
                        <w:color w:val="000000"/>
                        <w:sz w:val="20"/>
                      </w:rPr>
                    </w:pPr>
                    <w:r>
                      <w:rPr>
                        <w:color w:val="000000"/>
                        <w:sz w:val="20"/>
                      </w:rPr>
                      <w:t>D</w:t>
                    </w:r>
                  </w:p>
                </w:tc>
                <w:tc>
                  <w:tcPr>
                    <w:tcW w:w="1167" w:type="dxa"/>
                    <w:gridSpan w:val="2"/>
                    <w:tcMar>
                      <w:left w:w="105" w:type="dxa"/>
                      <w:right w:w="105" w:type="dxa"/>
                    </w:tcMar>
                  </w:tcPr>
                  <w:p>
                    <w:pPr>
                      <w:jc w:val="center"/>
                      <w:rPr>
                        <w:color w:val="000000"/>
                        <w:sz w:val="20"/>
                      </w:rPr>
                    </w:pPr>
                    <w:r>
                      <w:rPr>
                        <w:color w:val="000000"/>
                        <w:sz w:val="20"/>
                      </w:rPr>
                      <w:t xml:space="preserve">683,005 </w:t>
                    </w:r>
                  </w:p>
                </w:tc>
                <w:tc>
                  <w:tcPr>
                    <w:tcW w:w="1118" w:type="dxa"/>
                    <w:tcMar>
                      <w:left w:w="105" w:type="dxa"/>
                      <w:right w:w="105" w:type="dxa"/>
                    </w:tcMar>
                  </w:tcPr>
                  <w:p>
                    <w:pPr>
                      <w:rPr>
                        <w:color w:val="000000"/>
                        <w:sz w:val="20"/>
                      </w:rPr>
                    </w:pPr>
                    <w:r>
                      <w:rPr>
                        <w:color w:val="000000"/>
                        <w:sz w:val="20"/>
                      </w:rPr>
                      <w:t>2021–2027 m. IP (ERPF)</w:t>
                    </w:r>
                  </w:p>
                </w:tc>
                <w:tc>
                  <w:tcPr>
                    <w:tcW w:w="2001" w:type="dxa"/>
                    <w:gridSpan w:val="2"/>
                    <w:tcMar>
                      <w:left w:w="105" w:type="dxa"/>
                      <w:right w:w="105" w:type="dxa"/>
                    </w:tcMar>
                  </w:tcPr>
                  <w:p>
                    <w:pPr>
                      <w:ind w:left="-57" w:right="-57"/>
                      <w:rPr>
                        <w:color w:val="000000"/>
                        <w:sz w:val="20"/>
                      </w:rPr>
                    </w:pPr>
                    <w:r>
                      <w:rPr>
                        <w:color w:val="000000"/>
                        <w:sz w:val="20"/>
                      </w:rPr>
                      <w:t>P</w:t>
                    </w:r>
                    <w:r>
                      <w:rPr>
                        <w:color w:val="000000"/>
                        <w:szCs w:val="24"/>
                      </w:rPr>
                      <w:t xml:space="preserve"> – </w:t>
                    </w:r>
                    <w:r>
                      <w:rPr>
                        <w:color w:val="000000"/>
                        <w:sz w:val="20"/>
                      </w:rPr>
                      <w:t xml:space="preserve">Naujos arba modernizuotos sveikatos priežiūros infrastruktūros talpumas, asmenys per metus </w:t>
                    </w:r>
                  </w:p>
                </w:tc>
                <w:tc>
                  <w:tcPr>
                    <w:tcW w:w="1134" w:type="dxa"/>
                    <w:gridSpan w:val="2"/>
                    <w:tcMar>
                      <w:left w:w="105" w:type="dxa"/>
                      <w:right w:w="105" w:type="dxa"/>
                    </w:tcMar>
                  </w:tcPr>
                  <w:p>
                    <w:pPr>
                      <w:ind w:left="-57" w:right="-57"/>
                      <w:jc w:val="center"/>
                      <w:rPr>
                        <w:color w:val="000000"/>
                        <w:sz w:val="20"/>
                      </w:rPr>
                    </w:pPr>
                    <w:r>
                      <w:rPr>
                        <w:color w:val="000000"/>
                        <w:sz w:val="20"/>
                      </w:rPr>
                      <w:t>55 000</w:t>
                    </w:r>
                  </w:p>
                  <w:p>
                    <w:pPr>
                      <w:ind w:left="-57" w:right="-57"/>
                      <w:jc w:val="center"/>
                      <w:rPr>
                        <w:color w:val="000000"/>
                        <w:sz w:val="20"/>
                      </w:rPr>
                    </w:pPr>
                    <w:r>
                      <w:rPr>
                        <w:color w:val="000000"/>
                        <w:sz w:val="20"/>
                      </w:rPr>
                      <w:t>(2029 m.)</w:t>
                    </w:r>
                  </w:p>
                </w:tc>
                <w:tc>
                  <w:tcPr>
                    <w:tcW w:w="992" w:type="dxa"/>
                    <w:vMerge w:val="restart"/>
                    <w:tcMar>
                      <w:left w:w="105" w:type="dxa"/>
                      <w:right w:w="105" w:type="dxa"/>
                    </w:tcMar>
                  </w:tcPr>
                  <w:p>
                    <w:pPr>
                      <w:rPr>
                        <w:color w:val="000000"/>
                        <w:sz w:val="20"/>
                      </w:rPr>
                    </w:pPr>
                    <w:r>
                      <w:rPr>
                        <w:color w:val="000000"/>
                        <w:sz w:val="20"/>
                      </w:rPr>
                      <w:t>CPVA</w:t>
                    </w:r>
                  </w:p>
                </w:tc>
                <w:tc>
                  <w:tcPr>
                    <w:tcW w:w="1279" w:type="dxa"/>
                    <w:vMerge w:val="restart"/>
                    <w:tcMar>
                      <w:left w:w="105" w:type="dxa"/>
                      <w:right w:w="105" w:type="dxa"/>
                    </w:tcMar>
                  </w:tcPr>
                  <w:p>
                    <w:pPr>
                      <w:rPr>
                        <w:color w:val="000000"/>
                        <w:sz w:val="20"/>
                      </w:rPr>
                    </w:pPr>
                    <w:r>
                      <w:rPr>
                        <w:color w:val="000000"/>
                        <w:sz w:val="20"/>
                      </w:rPr>
                      <w:t>SAM</w:t>
                    </w:r>
                  </w:p>
                </w:tc>
              </w:tr>
              <w:tr>
                <w:trPr>
                  <w:trHeight w:val="975"/>
                </w:trPr>
                <w:tc>
                  <w:tcPr>
                    <w:tcW w:w="2130" w:type="dxa"/>
                    <w:gridSpan w:val="2"/>
                    <w:vMerge/>
                    <w:vAlign w:val="center"/>
                  </w:tcPr>
                  <w:p>
                    <w:pPr/>
                  </w:p>
                </w:tc>
                <w:tc>
                  <w:tcPr>
                    <w:tcW w:w="699" w:type="dxa"/>
                    <w:vMerge/>
                    <w:vAlign w:val="center"/>
                  </w:tcPr>
                  <w:p>
                    <w:pPr/>
                  </w:p>
                </w:tc>
                <w:tc>
                  <w:tcPr>
                    <w:tcW w:w="1985" w:type="dxa"/>
                    <w:vMerge/>
                    <w:vAlign w:val="center"/>
                  </w:tcPr>
                  <w:p>
                    <w:pPr/>
                  </w:p>
                </w:tc>
                <w:tc>
                  <w:tcPr>
                    <w:tcW w:w="829" w:type="dxa"/>
                    <w:gridSpan w:val="3"/>
                    <w:vMerge/>
                    <w:vAlign w:val="center"/>
                  </w:tcPr>
                  <w:p>
                    <w:pPr/>
                  </w:p>
                </w:tc>
                <w:tc>
                  <w:tcPr>
                    <w:tcW w:w="1014" w:type="dxa"/>
                    <w:gridSpan w:val="3"/>
                    <w:vMerge/>
                    <w:vAlign w:val="center"/>
                  </w:tcPr>
                  <w:p>
                    <w:pPr/>
                  </w:p>
                </w:tc>
                <w:tc>
                  <w:tcPr>
                    <w:tcW w:w="681" w:type="dxa"/>
                    <w:gridSpan w:val="3"/>
                    <w:vMerge/>
                    <w:vAlign w:val="center"/>
                  </w:tcPr>
                  <w:p>
                    <w:pPr/>
                  </w:p>
                </w:tc>
                <w:tc>
                  <w:tcPr>
                    <w:tcW w:w="1167" w:type="dxa"/>
                    <w:gridSpan w:val="2"/>
                    <w:tcMar>
                      <w:left w:w="105" w:type="dxa"/>
                      <w:right w:w="105" w:type="dxa"/>
                    </w:tcMar>
                  </w:tcPr>
                  <w:p>
                    <w:pPr>
                      <w:jc w:val="center"/>
                      <w:rPr>
                        <w:color w:val="000000"/>
                        <w:sz w:val="20"/>
                      </w:rPr>
                    </w:pPr>
                    <w:r>
                      <w:rPr>
                        <w:color w:val="000000"/>
                        <w:sz w:val="20"/>
                      </w:rPr>
                      <w:t xml:space="preserve">683,005 </w:t>
                    </w:r>
                  </w:p>
                </w:tc>
                <w:tc>
                  <w:tcPr>
                    <w:tcW w:w="1118" w:type="dxa"/>
                    <w:tcMar>
                      <w:left w:w="105" w:type="dxa"/>
                      <w:right w:w="105" w:type="dxa"/>
                    </w:tcMar>
                  </w:tcPr>
                  <w:p>
                    <w:pPr>
                      <w:rPr>
                        <w:color w:val="000000"/>
                        <w:sz w:val="20"/>
                      </w:rPr>
                    </w:pPr>
                    <w:r>
                      <w:rPr>
                        <w:color w:val="000000"/>
                        <w:sz w:val="20"/>
                      </w:rPr>
                      <w:t>2021–2027 m. IP (BF)</w:t>
                    </w:r>
                  </w:p>
                </w:tc>
                <w:tc>
                  <w:tcPr>
                    <w:tcW w:w="2001" w:type="dxa"/>
                    <w:gridSpan w:val="2"/>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Naujos arba modernizuotos sveikatos priežiūros infrastruktūros naudotojų skaičius per metus,</w:t>
                    </w:r>
                  </w:p>
                  <w:p>
                    <w:pPr>
                      <w:ind w:left="-57" w:right="-57"/>
                      <w:rPr>
                        <w:color w:val="000000"/>
                        <w:sz w:val="20"/>
                      </w:rPr>
                    </w:pPr>
                    <w:r>
                      <w:rPr>
                        <w:color w:val="000000"/>
                        <w:sz w:val="20"/>
                      </w:rPr>
                      <w:t xml:space="preserve">asmenys per metus </w:t>
                    </w:r>
                  </w:p>
                </w:tc>
                <w:tc>
                  <w:tcPr>
                    <w:tcW w:w="1134" w:type="dxa"/>
                    <w:gridSpan w:val="2"/>
                    <w:tcMar>
                      <w:left w:w="105" w:type="dxa"/>
                      <w:right w:w="105" w:type="dxa"/>
                    </w:tcMar>
                  </w:tcPr>
                  <w:p>
                    <w:pPr>
                      <w:ind w:left="-57" w:right="-57"/>
                      <w:jc w:val="center"/>
                      <w:rPr>
                        <w:color w:val="000000"/>
                        <w:sz w:val="20"/>
                      </w:rPr>
                    </w:pPr>
                    <w:r>
                      <w:rPr>
                        <w:color w:val="000000"/>
                        <w:sz w:val="20"/>
                      </w:rPr>
                      <w:t>55 000</w:t>
                    </w:r>
                  </w:p>
                  <w:p>
                    <w:pPr>
                      <w:ind w:left="-57" w:right="-57"/>
                      <w:jc w:val="center"/>
                      <w:rPr>
                        <w:color w:val="000000"/>
                        <w:sz w:val="20"/>
                      </w:rPr>
                    </w:pPr>
                    <w:r>
                      <w:rPr>
                        <w:color w:val="000000"/>
                        <w:sz w:val="20"/>
                      </w:rPr>
                      <w:t>(2029 m.)</w:t>
                    </w:r>
                  </w:p>
                </w:tc>
                <w:tc>
                  <w:tcPr>
                    <w:tcW w:w="992" w:type="dxa"/>
                    <w:vMerge/>
                    <w:vAlign w:val="center"/>
                  </w:tcPr>
                  <w:p>
                    <w:pPr/>
                  </w:p>
                </w:tc>
                <w:tc>
                  <w:tcPr>
                    <w:tcW w:w="1279" w:type="dxa"/>
                    <w:vMerge/>
                    <w:vAlign w:val="center"/>
                  </w:tcPr>
                  <w:p>
                    <w:pPr/>
                  </w:p>
                </w:tc>
              </w:tr>
              <w:tr>
                <w:trPr>
                  <w:trHeight w:val="975"/>
                </w:trPr>
                <w:tc>
                  <w:tcPr>
                    <w:tcW w:w="2130" w:type="dxa"/>
                    <w:gridSpan w:val="2"/>
                    <w:vMerge w:val="restart"/>
                    <w:tcMar>
                      <w:left w:w="105" w:type="dxa"/>
                      <w:right w:w="105" w:type="dxa"/>
                    </w:tcMar>
                  </w:tcPr>
                  <w:p>
                    <w:pPr>
                      <w:rPr>
                        <w:color w:val="000000"/>
                        <w:sz w:val="20"/>
                      </w:rPr>
                    </w:pPr>
                    <w:r>
                      <w:rPr>
                        <w:color w:val="000000"/>
                        <w:sz w:val="20"/>
                      </w:rPr>
                      <w:t>2.9. Skubiosios medicinos pagalbos paslaugų skaitmeninių sprendimų diegimas, Vidurio ir vakarų Lietuvos regionas</w:t>
                    </w:r>
                  </w:p>
                </w:tc>
                <w:tc>
                  <w:tcPr>
                    <w:tcW w:w="699" w:type="dxa"/>
                    <w:vMerge w:val="restart"/>
                    <w:tcMar>
                      <w:left w:w="105" w:type="dxa"/>
                      <w:right w:w="105" w:type="dxa"/>
                    </w:tcMar>
                  </w:tcPr>
                  <w:p>
                    <w:pPr>
                      <w:rPr>
                        <w:color w:val="000000"/>
                        <w:sz w:val="20"/>
                      </w:rPr>
                    </w:pPr>
                    <w:r>
                      <w:rPr>
                        <w:color w:val="000000"/>
                        <w:sz w:val="20"/>
                      </w:rPr>
                      <w:t>I</w:t>
                    </w:r>
                  </w:p>
                </w:tc>
                <w:tc>
                  <w:tcPr>
                    <w:tcW w:w="1985" w:type="dxa"/>
                    <w:vMerge w:val="restart"/>
                    <w:tcMar>
                      <w:left w:w="105" w:type="dxa"/>
                      <w:right w:w="105" w:type="dxa"/>
                    </w:tcMar>
                  </w:tcPr>
                  <w:p>
                    <w:pPr>
                      <w:rPr>
                        <w:color w:val="000000"/>
                        <w:sz w:val="20"/>
                      </w:rPr>
                    </w:pPr>
                    <w:r>
                      <w:rPr>
                        <w:color w:val="000000"/>
                        <w:sz w:val="20"/>
                      </w:rPr>
                      <w:t>VĮ Registrų centras</w:t>
                    </w:r>
                  </w:p>
                </w:tc>
                <w:tc>
                  <w:tcPr>
                    <w:tcW w:w="829" w:type="dxa"/>
                    <w:gridSpan w:val="3"/>
                    <w:vMerge w:val="restart"/>
                    <w:tcMar>
                      <w:left w:w="105" w:type="dxa"/>
                      <w:right w:w="105" w:type="dxa"/>
                    </w:tcMar>
                  </w:tcPr>
                  <w:p>
                    <w:pPr>
                      <w:rPr>
                        <w:color w:val="000000"/>
                        <w:sz w:val="20"/>
                      </w:rPr>
                    </w:pPr>
                    <w:r>
                      <w:rPr>
                        <w:color w:val="000000"/>
                        <w:sz w:val="20"/>
                      </w:rPr>
                      <w:t>P</w:t>
                    </w:r>
                  </w:p>
                </w:tc>
                <w:tc>
                  <w:tcPr>
                    <w:tcW w:w="1014" w:type="dxa"/>
                    <w:gridSpan w:val="3"/>
                    <w:vMerge w:val="restart"/>
                    <w:tcMar>
                      <w:left w:w="105" w:type="dxa"/>
                      <w:right w:w="105" w:type="dxa"/>
                    </w:tcMar>
                  </w:tcPr>
                  <w:p>
                    <w:pPr>
                      <w:rPr>
                        <w:color w:val="000000"/>
                        <w:sz w:val="20"/>
                      </w:rPr>
                    </w:pPr>
                    <w:r>
                      <w:rPr>
                        <w:color w:val="000000"/>
                        <w:sz w:val="20"/>
                      </w:rPr>
                      <w:t>Taip</w:t>
                    </w:r>
                  </w:p>
                </w:tc>
                <w:tc>
                  <w:tcPr>
                    <w:tcW w:w="681" w:type="dxa"/>
                    <w:gridSpan w:val="3"/>
                    <w:vMerge w:val="restart"/>
                    <w:tcMar>
                      <w:left w:w="105" w:type="dxa"/>
                      <w:right w:w="105" w:type="dxa"/>
                    </w:tcMar>
                  </w:tcPr>
                  <w:p>
                    <w:pPr>
                      <w:rPr>
                        <w:color w:val="000000"/>
                        <w:sz w:val="20"/>
                      </w:rPr>
                    </w:pPr>
                    <w:r>
                      <w:rPr>
                        <w:color w:val="000000"/>
                        <w:sz w:val="20"/>
                      </w:rPr>
                      <w:t>D</w:t>
                    </w:r>
                  </w:p>
                </w:tc>
                <w:tc>
                  <w:tcPr>
                    <w:tcW w:w="1167" w:type="dxa"/>
                    <w:gridSpan w:val="2"/>
                    <w:tcMar>
                      <w:left w:w="105" w:type="dxa"/>
                      <w:right w:w="105" w:type="dxa"/>
                    </w:tcMar>
                  </w:tcPr>
                  <w:p>
                    <w:pPr>
                      <w:jc w:val="center"/>
                      <w:rPr>
                        <w:color w:val="000000"/>
                        <w:sz w:val="20"/>
                      </w:rPr>
                    </w:pPr>
                    <w:r>
                      <w:rPr>
                        <w:color w:val="000000"/>
                        <w:sz w:val="20"/>
                      </w:rPr>
                      <w:t xml:space="preserve">2 709,254 </w:t>
                    </w:r>
                  </w:p>
                </w:tc>
                <w:tc>
                  <w:tcPr>
                    <w:tcW w:w="1118" w:type="dxa"/>
                    <w:tcMar>
                      <w:left w:w="105" w:type="dxa"/>
                      <w:right w:w="105" w:type="dxa"/>
                    </w:tcMar>
                  </w:tcPr>
                  <w:p>
                    <w:pPr>
                      <w:rPr>
                        <w:color w:val="000000"/>
                        <w:sz w:val="20"/>
                      </w:rPr>
                    </w:pPr>
                    <w:r>
                      <w:rPr>
                        <w:color w:val="000000"/>
                        <w:sz w:val="20"/>
                      </w:rPr>
                      <w:t>2021–2027 m. IP (ERPF)</w:t>
                    </w:r>
                  </w:p>
                </w:tc>
                <w:tc>
                  <w:tcPr>
                    <w:tcW w:w="2001" w:type="dxa"/>
                    <w:gridSpan w:val="2"/>
                    <w:tcMar>
                      <w:left w:w="105" w:type="dxa"/>
                      <w:right w:w="105" w:type="dxa"/>
                    </w:tcMar>
                  </w:tcPr>
                  <w:p>
                    <w:pPr>
                      <w:ind w:left="-57" w:right="-57"/>
                      <w:rPr>
                        <w:color w:val="000000"/>
                        <w:sz w:val="20"/>
                      </w:rPr>
                    </w:pPr>
                    <w:r>
                      <w:rPr>
                        <w:color w:val="000000"/>
                        <w:sz w:val="20"/>
                      </w:rPr>
                      <w:t>P</w:t>
                    </w:r>
                    <w:r>
                      <w:rPr>
                        <w:color w:val="000000"/>
                        <w:szCs w:val="24"/>
                      </w:rPr>
                      <w:t xml:space="preserve"> – </w:t>
                    </w:r>
                    <w:r>
                      <w:rPr>
                        <w:color w:val="000000"/>
                        <w:sz w:val="20"/>
                      </w:rPr>
                      <w:t xml:space="preserve">Naujos arba modernizuotos sveikatos priežiūros infrastruktūros talpumas, asmenys per metus </w:t>
                    </w:r>
                  </w:p>
                </w:tc>
                <w:tc>
                  <w:tcPr>
                    <w:tcW w:w="1134" w:type="dxa"/>
                    <w:gridSpan w:val="2"/>
                    <w:tcMar>
                      <w:left w:w="105" w:type="dxa"/>
                      <w:right w:w="105" w:type="dxa"/>
                    </w:tcMar>
                  </w:tcPr>
                  <w:p>
                    <w:pPr>
                      <w:ind w:left="-57" w:right="-57"/>
                      <w:jc w:val="center"/>
                      <w:rPr>
                        <w:color w:val="000000"/>
                        <w:sz w:val="20"/>
                      </w:rPr>
                    </w:pPr>
                    <w:r>
                      <w:rPr>
                        <w:color w:val="000000"/>
                        <w:sz w:val="20"/>
                      </w:rPr>
                      <w:t>180 000</w:t>
                    </w:r>
                  </w:p>
                  <w:p>
                    <w:pPr>
                      <w:ind w:left="-57" w:right="-57"/>
                      <w:jc w:val="center"/>
                      <w:rPr>
                        <w:color w:val="000000"/>
                        <w:sz w:val="20"/>
                      </w:rPr>
                    </w:pPr>
                    <w:r>
                      <w:rPr>
                        <w:color w:val="000000"/>
                        <w:sz w:val="20"/>
                      </w:rPr>
                      <w:t>(2029 m.)</w:t>
                    </w:r>
                  </w:p>
                </w:tc>
                <w:tc>
                  <w:tcPr>
                    <w:tcW w:w="992" w:type="dxa"/>
                    <w:vMerge w:val="restart"/>
                    <w:tcMar>
                      <w:left w:w="105" w:type="dxa"/>
                      <w:right w:w="105" w:type="dxa"/>
                    </w:tcMar>
                  </w:tcPr>
                  <w:p>
                    <w:pPr>
                      <w:rPr>
                        <w:color w:val="000000"/>
                        <w:sz w:val="20"/>
                      </w:rPr>
                    </w:pPr>
                    <w:r>
                      <w:rPr>
                        <w:color w:val="000000"/>
                        <w:sz w:val="20"/>
                      </w:rPr>
                      <w:t>CPVA</w:t>
                    </w:r>
                  </w:p>
                </w:tc>
                <w:tc>
                  <w:tcPr>
                    <w:tcW w:w="1279" w:type="dxa"/>
                    <w:vMerge w:val="restart"/>
                    <w:tcMar>
                      <w:left w:w="105" w:type="dxa"/>
                      <w:right w:w="105" w:type="dxa"/>
                    </w:tcMar>
                  </w:tcPr>
                  <w:p>
                    <w:pPr>
                      <w:rPr>
                        <w:color w:val="000000"/>
                        <w:sz w:val="20"/>
                      </w:rPr>
                    </w:pPr>
                    <w:r>
                      <w:rPr>
                        <w:color w:val="000000"/>
                        <w:sz w:val="20"/>
                      </w:rPr>
                      <w:t>SAM</w:t>
                    </w:r>
                  </w:p>
                </w:tc>
              </w:tr>
              <w:tr>
                <w:trPr>
                  <w:trHeight w:val="975"/>
                </w:trPr>
                <w:tc>
                  <w:tcPr>
                    <w:tcW w:w="2130" w:type="dxa"/>
                    <w:gridSpan w:val="2"/>
                    <w:vMerge/>
                    <w:vAlign w:val="center"/>
                  </w:tcPr>
                  <w:p>
                    <w:pPr/>
                  </w:p>
                </w:tc>
                <w:tc>
                  <w:tcPr>
                    <w:tcW w:w="699" w:type="dxa"/>
                    <w:vMerge/>
                    <w:vAlign w:val="center"/>
                  </w:tcPr>
                  <w:p>
                    <w:pPr/>
                  </w:p>
                </w:tc>
                <w:tc>
                  <w:tcPr>
                    <w:tcW w:w="1985" w:type="dxa"/>
                    <w:vMerge/>
                    <w:vAlign w:val="center"/>
                  </w:tcPr>
                  <w:p>
                    <w:pPr/>
                  </w:p>
                </w:tc>
                <w:tc>
                  <w:tcPr>
                    <w:tcW w:w="829" w:type="dxa"/>
                    <w:gridSpan w:val="3"/>
                    <w:vMerge/>
                    <w:vAlign w:val="center"/>
                  </w:tcPr>
                  <w:p>
                    <w:pPr/>
                  </w:p>
                </w:tc>
                <w:tc>
                  <w:tcPr>
                    <w:tcW w:w="1014" w:type="dxa"/>
                    <w:gridSpan w:val="3"/>
                    <w:vMerge/>
                    <w:vAlign w:val="center"/>
                  </w:tcPr>
                  <w:p>
                    <w:pPr/>
                  </w:p>
                </w:tc>
                <w:tc>
                  <w:tcPr>
                    <w:tcW w:w="681" w:type="dxa"/>
                    <w:gridSpan w:val="3"/>
                    <w:vMerge/>
                    <w:vAlign w:val="center"/>
                  </w:tcPr>
                  <w:p>
                    <w:pPr/>
                  </w:p>
                </w:tc>
                <w:tc>
                  <w:tcPr>
                    <w:tcW w:w="1167" w:type="dxa"/>
                    <w:gridSpan w:val="2"/>
                    <w:tcMar>
                      <w:left w:w="105" w:type="dxa"/>
                      <w:right w:w="105" w:type="dxa"/>
                    </w:tcMar>
                  </w:tcPr>
                  <w:p>
                    <w:pPr>
                      <w:jc w:val="center"/>
                      <w:rPr>
                        <w:color w:val="000000"/>
                        <w:sz w:val="20"/>
                      </w:rPr>
                    </w:pPr>
                    <w:r>
                      <w:rPr>
                        <w:color w:val="000000"/>
                        <w:sz w:val="20"/>
                      </w:rPr>
                      <w:t xml:space="preserve">478,104 </w:t>
                    </w:r>
                  </w:p>
                </w:tc>
                <w:tc>
                  <w:tcPr>
                    <w:tcW w:w="1118" w:type="dxa"/>
                    <w:tcMar>
                      <w:left w:w="105" w:type="dxa"/>
                      <w:right w:w="105" w:type="dxa"/>
                    </w:tcMar>
                  </w:tcPr>
                  <w:p>
                    <w:pPr>
                      <w:rPr>
                        <w:color w:val="000000"/>
                        <w:sz w:val="20"/>
                      </w:rPr>
                    </w:pPr>
                    <w:r>
                      <w:rPr>
                        <w:color w:val="000000"/>
                        <w:sz w:val="20"/>
                      </w:rPr>
                      <w:t>2021–2027 m. IP (BF)</w:t>
                    </w:r>
                  </w:p>
                </w:tc>
                <w:tc>
                  <w:tcPr>
                    <w:tcW w:w="2001" w:type="dxa"/>
                    <w:gridSpan w:val="2"/>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Naujos arba modernizuotos sveikatos priežiūros infrastruktūros naudotojų skaičius per metus,</w:t>
                    </w:r>
                  </w:p>
                  <w:p>
                    <w:pPr>
                      <w:ind w:left="-57" w:right="-57"/>
                      <w:rPr>
                        <w:color w:val="000000"/>
                        <w:sz w:val="20"/>
                      </w:rPr>
                    </w:pPr>
                    <w:r>
                      <w:rPr>
                        <w:color w:val="000000"/>
                        <w:sz w:val="20"/>
                      </w:rPr>
                      <w:t xml:space="preserve">asmenys per metus </w:t>
                    </w:r>
                  </w:p>
                </w:tc>
                <w:tc>
                  <w:tcPr>
                    <w:tcW w:w="1134" w:type="dxa"/>
                    <w:gridSpan w:val="2"/>
                    <w:tcMar>
                      <w:left w:w="105" w:type="dxa"/>
                      <w:right w:w="105" w:type="dxa"/>
                    </w:tcMar>
                  </w:tcPr>
                  <w:p>
                    <w:pPr>
                      <w:ind w:left="-57" w:right="-57"/>
                      <w:jc w:val="center"/>
                      <w:rPr>
                        <w:color w:val="000000"/>
                        <w:sz w:val="20"/>
                      </w:rPr>
                    </w:pPr>
                    <w:r>
                      <w:rPr>
                        <w:color w:val="000000"/>
                        <w:sz w:val="20"/>
                      </w:rPr>
                      <w:t>180 000</w:t>
                    </w:r>
                  </w:p>
                  <w:p>
                    <w:pPr>
                      <w:ind w:left="-57" w:right="-57"/>
                      <w:jc w:val="center"/>
                      <w:rPr>
                        <w:color w:val="000000"/>
                        <w:sz w:val="20"/>
                      </w:rPr>
                    </w:pPr>
                    <w:r>
                      <w:rPr>
                        <w:color w:val="000000"/>
                        <w:sz w:val="20"/>
                      </w:rPr>
                      <w:t>(2029 m.)</w:t>
                    </w:r>
                  </w:p>
                </w:tc>
                <w:tc>
                  <w:tcPr>
                    <w:tcW w:w="992" w:type="dxa"/>
                    <w:vMerge/>
                    <w:vAlign w:val="center"/>
                  </w:tcPr>
                  <w:p>
                    <w:pPr/>
                  </w:p>
                </w:tc>
                <w:tc>
                  <w:tcPr>
                    <w:tcW w:w="1279" w:type="dxa"/>
                    <w:vMerge/>
                    <w:vAlign w:val="center"/>
                  </w:tcPr>
                  <w:p>
                    <w:pPr/>
                  </w:p>
                </w:tc>
              </w:tr>
              <w:tr>
                <w:trPr>
                  <w:trHeight w:val="451"/>
                </w:trPr>
                <w:tc>
                  <w:tcPr>
                    <w:tcW w:w="2130" w:type="dxa"/>
                    <w:gridSpan w:val="2"/>
                  </w:tcPr>
                  <w:p>
                    <w:pPr/>
                    <w:r>
                      <w:rPr>
                        <w:sz w:val="20"/>
                      </w:rPr>
                      <w:t>2.10.</w:t>
                    </w:r>
                  </w:p>
                </w:tc>
                <w:tc>
                  <w:tcPr>
                    <w:tcW w:w="11620" w:type="dxa"/>
                    <w:gridSpan w:val="19"/>
                  </w:tcPr>
                  <w:p>
                    <w:pPr/>
                    <w:r>
                      <w:rPr>
                        <w:i/>
                        <w:sz w:val="20"/>
                      </w:rPr>
                      <w:t>Neteko galios 2026-03-06</w:t>
                    </w:r>
                    <w:r>
                      <w:t>.</w:t>
                    </w:r>
                  </w:p>
                </w:tc>
                <w:tc>
                  <w:tcPr>
                    <w:tcW w:w="1279" w:type="dxa"/>
                  </w:tcPr>
                  <w:p>
                    <w:pPr/>
                    <w:r>
                      <w:rPr>
                        <w:sz w:val="20"/>
                      </w:rPr>
                      <w:t>SAM</w:t>
                    </w:r>
                  </w:p>
                </w:tc>
              </w:tr>
              <w:tr>
                <w:trPr>
                  <w:trHeight w:val="414"/>
                </w:trPr>
                <w:tc>
                  <w:tcPr>
                    <w:tcW w:w="2130" w:type="dxa"/>
                    <w:gridSpan w:val="2"/>
                  </w:tcPr>
                  <w:p>
                    <w:pPr>
                      <w:rPr>
                        <w:color w:val="000000"/>
                        <w:sz w:val="20"/>
                      </w:rPr>
                    </w:pPr>
                    <w:r>
                      <w:rPr>
                        <w:color w:val="000000"/>
                        <w:sz w:val="20"/>
                      </w:rPr>
                      <w:t>2.11.</w:t>
                    </w:r>
                  </w:p>
                </w:tc>
                <w:tc>
                  <w:tcPr>
                    <w:tcW w:w="12899" w:type="dxa"/>
                    <w:gridSpan w:val="20"/>
                    <w:tcBorders>
                      <w:right w:val="single" w:sz="4" w:space="0" w:color="auto"/>
                    </w:tcBorders>
                  </w:tcPr>
                  <w:p>
                    <w:pPr>
                      <w:rPr>
                        <w:i/>
                        <w:iCs/>
                        <w:color w:val="000000"/>
                        <w:sz w:val="20"/>
                      </w:rPr>
                    </w:pPr>
                    <w:r>
                      <w:rPr>
                        <w:i/>
                        <w:iCs/>
                        <w:color w:val="000000"/>
                        <w:sz w:val="20"/>
                      </w:rPr>
                      <w:t>Neteko galios 2026-05-04</w:t>
                    </w:r>
                  </w:p>
                </w:tc>
              </w:tr>
              <w:tr>
                <w:trPr>
                  <w:trHeight w:val="414"/>
                </w:trPr>
                <w:tc>
                  <w:tcPr>
                    <w:tcW w:w="2130" w:type="dxa"/>
                    <w:gridSpan w:val="2"/>
                  </w:tcPr>
                  <w:p>
                    <w:pPr>
                      <w:rPr>
                        <w:sz w:val="20"/>
                      </w:rPr>
                    </w:pPr>
                    <w:r>
                      <w:rPr>
                        <w:sz w:val="20"/>
                      </w:rPr>
                      <w:t xml:space="preserve">2.12. </w:t>
                    </w:r>
                  </w:p>
                </w:tc>
                <w:tc>
                  <w:tcPr>
                    <w:tcW w:w="12899" w:type="dxa"/>
                    <w:gridSpan w:val="20"/>
                    <w:tcBorders>
                      <w:right w:val="single" w:sz="4" w:space="0" w:color="auto"/>
                    </w:tcBorders>
                  </w:tcPr>
                  <w:p>
                    <w:pPr>
                      <w:rPr>
                        <w:color w:val="000000"/>
                        <w:sz w:val="20"/>
                      </w:rPr>
                    </w:pPr>
                    <w:r>
                      <w:rPr>
                        <w:i/>
                        <w:iCs/>
                        <w:color w:val="000000"/>
                        <w:sz w:val="20"/>
                      </w:rPr>
                      <w:t>Neteko galios 2026-05-04</w:t>
                    </w:r>
                  </w:p>
                </w:tc>
              </w:tr>
              <w:tr>
                <w:trPr>
                  <w:trHeight w:val="414"/>
                </w:trPr>
                <w:tc>
                  <w:tcPr>
                    <w:tcW w:w="2130" w:type="dxa"/>
                    <w:gridSpan w:val="2"/>
                    <w:vMerge w:val="restart"/>
                  </w:tcPr>
                  <w:p>
                    <w:pPr>
                      <w:rPr>
                        <w:b/>
                        <w:bCs/>
                        <w:sz w:val="20"/>
                      </w:rPr>
                    </w:pPr>
                    <w:r>
                      <w:rPr>
                        <w:color w:val="000000"/>
                        <w:sz w:val="20"/>
                      </w:rPr>
                      <w:t>2.13. Regionų ir savivaldybių sveikatos priežiūros įstaigų  infrastruktūros modernizavimas, Sostinės regionas</w:t>
                    </w:r>
                  </w:p>
                </w:tc>
                <w:tc>
                  <w:tcPr>
                    <w:tcW w:w="699" w:type="dxa"/>
                    <w:vMerge w:val="restart"/>
                  </w:tcPr>
                  <w:p>
                    <w:pPr>
                      <w:rPr>
                        <w:sz w:val="20"/>
                      </w:rPr>
                    </w:pPr>
                    <w:r>
                      <w:rPr>
                        <w:color w:val="000000"/>
                        <w:sz w:val="20"/>
                      </w:rPr>
                      <w:t>I</w:t>
                    </w:r>
                  </w:p>
                </w:tc>
                <w:tc>
                  <w:tcPr>
                    <w:tcW w:w="1985" w:type="dxa"/>
                    <w:vMerge w:val="restart"/>
                  </w:tcPr>
                  <w:p>
                    <w:pPr>
                      <w:tabs>
                        <w:tab w:val="center" w:pos="4153"/>
                        <w:tab w:val="right" w:pos="8306"/>
                      </w:tabs>
                      <w:jc w:val="both"/>
                      <w:rPr>
                        <w:color w:val="000000"/>
                        <w:sz w:val="20"/>
                      </w:rPr>
                    </w:pPr>
                    <w:r>
                      <w:rPr>
                        <w:color w:val="000000"/>
                        <w:sz w:val="20"/>
                      </w:rPr>
                      <w:t>VšĮ Respublikinė Vilniaus universitetinė ligoninė</w:t>
                    </w:r>
                  </w:p>
                  <w:p>
                    <w:pPr>
                      <w:rPr>
                        <w:sz w:val="20"/>
                      </w:rPr>
                    </w:pPr>
                  </w:p>
                </w:tc>
                <w:tc>
                  <w:tcPr>
                    <w:tcW w:w="829" w:type="dxa"/>
                    <w:gridSpan w:val="3"/>
                    <w:vMerge w:val="restart"/>
                  </w:tcPr>
                  <w:p>
                    <w:pPr>
                      <w:rPr>
                        <w:sz w:val="20"/>
                      </w:rPr>
                    </w:pPr>
                    <w:r>
                      <w:rPr>
                        <w:color w:val="000000"/>
                        <w:sz w:val="20"/>
                      </w:rPr>
                      <w:t>P</w:t>
                    </w:r>
                  </w:p>
                </w:tc>
                <w:tc>
                  <w:tcPr>
                    <w:tcW w:w="1014" w:type="dxa"/>
                    <w:gridSpan w:val="3"/>
                    <w:vMerge w:val="restart"/>
                  </w:tcPr>
                  <w:p>
                    <w:pPr>
                      <w:rPr>
                        <w:sz w:val="20"/>
                      </w:rPr>
                    </w:pPr>
                    <w:r>
                      <w:rPr>
                        <w:color w:val="000000"/>
                        <w:sz w:val="20"/>
                      </w:rPr>
                      <w:t>Taip</w:t>
                    </w:r>
                  </w:p>
                </w:tc>
                <w:tc>
                  <w:tcPr>
                    <w:tcW w:w="681" w:type="dxa"/>
                    <w:gridSpan w:val="3"/>
                    <w:vMerge w:val="restart"/>
                  </w:tcPr>
                  <w:p>
                    <w:pPr>
                      <w:rPr>
                        <w:sz w:val="20"/>
                      </w:rPr>
                    </w:pPr>
                    <w:r>
                      <w:rPr>
                        <w:color w:val="000000"/>
                        <w:sz w:val="20"/>
                      </w:rPr>
                      <w:t>D</w:t>
                    </w:r>
                  </w:p>
                </w:tc>
                <w:tc>
                  <w:tcPr>
                    <w:tcW w:w="1167" w:type="dxa"/>
                    <w:gridSpan w:val="2"/>
                  </w:tcPr>
                  <w:p>
                    <w:pPr>
                      <w:rPr>
                        <w:b/>
                        <w:bCs/>
                        <w:sz w:val="20"/>
                      </w:rPr>
                    </w:pPr>
                    <w:r>
                      <w:rPr>
                        <w:color w:val="000000"/>
                        <w:sz w:val="20"/>
                      </w:rPr>
                      <w:t xml:space="preserve">5 400 </w:t>
                    </w:r>
                  </w:p>
                </w:tc>
                <w:tc>
                  <w:tcPr>
                    <w:tcW w:w="1118" w:type="dxa"/>
                  </w:tcPr>
                  <w:p>
                    <w:pPr>
                      <w:tabs>
                        <w:tab w:val="center" w:pos="4153"/>
                        <w:tab w:val="right" w:pos="8306"/>
                      </w:tabs>
                      <w:jc w:val="both"/>
                      <w:rPr>
                        <w:color w:val="000000"/>
                        <w:sz w:val="20"/>
                      </w:rPr>
                    </w:pPr>
                    <w:r>
                      <w:rPr>
                        <w:color w:val="000000"/>
                        <w:sz w:val="20"/>
                      </w:rPr>
                      <w:t>2021–2027 m. IP (ERPF)</w:t>
                    </w:r>
                  </w:p>
                  <w:p>
                    <w:pPr>
                      <w:rPr>
                        <w:sz w:val="20"/>
                      </w:rPr>
                    </w:pPr>
                  </w:p>
                </w:tc>
                <w:tc>
                  <w:tcPr>
                    <w:tcW w:w="2001" w:type="dxa"/>
                    <w:gridSpan w:val="2"/>
                  </w:tcPr>
                  <w:p>
                    <w:pPr>
                      <w:ind w:left="-57" w:right="-57"/>
                      <w:rPr>
                        <w:sz w:val="20"/>
                      </w:rPr>
                    </w:pPr>
                    <w:r>
                      <w:rPr>
                        <w:color w:val="000000"/>
                        <w:sz w:val="20"/>
                      </w:rPr>
                      <w:t>P – Naujos arba modernizuotos sveikatos priežiūros infrastruktūros talpumas, asmenys per metus</w:t>
                    </w:r>
                  </w:p>
                </w:tc>
                <w:tc>
                  <w:tcPr>
                    <w:tcW w:w="1134" w:type="dxa"/>
                    <w:gridSpan w:val="2"/>
                  </w:tcPr>
                  <w:p>
                    <w:pPr>
                      <w:tabs>
                        <w:tab w:val="center" w:pos="4153"/>
                        <w:tab w:val="right" w:pos="8306"/>
                      </w:tabs>
                      <w:jc w:val="center"/>
                      <w:rPr>
                        <w:color w:val="000000"/>
                        <w:sz w:val="20"/>
                      </w:rPr>
                    </w:pPr>
                    <w:r>
                      <w:rPr>
                        <w:sz w:val="20"/>
                      </w:rPr>
                      <w:t>5 550</w:t>
                    </w:r>
                  </w:p>
                  <w:p>
                    <w:pPr>
                      <w:ind w:left="-57" w:right="-57"/>
                      <w:jc w:val="center"/>
                      <w:rPr>
                        <w:sz w:val="20"/>
                      </w:rPr>
                    </w:pPr>
                    <w:r>
                      <w:rPr>
                        <w:color w:val="000000"/>
                        <w:sz w:val="20"/>
                      </w:rPr>
                      <w:t>(2029 m.)</w:t>
                    </w:r>
                  </w:p>
                </w:tc>
                <w:tc>
                  <w:tcPr>
                    <w:tcW w:w="992" w:type="dxa"/>
                    <w:vMerge w:val="restart"/>
                  </w:tcPr>
                  <w:p>
                    <w:pPr>
                      <w:rPr>
                        <w:sz w:val="20"/>
                      </w:rPr>
                    </w:pPr>
                    <w:r>
                      <w:rPr>
                        <w:color w:val="000000"/>
                        <w:sz w:val="20"/>
                      </w:rPr>
                      <w:t>CPVA</w:t>
                    </w:r>
                  </w:p>
                </w:tc>
                <w:tc>
                  <w:tcPr>
                    <w:tcW w:w="1279" w:type="dxa"/>
                    <w:vMerge w:val="restart"/>
                  </w:tcPr>
                  <w:p>
                    <w:pPr>
                      <w:rPr>
                        <w:color w:val="000000"/>
                        <w:sz w:val="20"/>
                      </w:rPr>
                    </w:pPr>
                    <w:r>
                      <w:rPr>
                        <w:color w:val="000000"/>
                        <w:sz w:val="20"/>
                      </w:rPr>
                      <w:t>SAM</w:t>
                    </w:r>
                  </w:p>
                </w:tc>
              </w:tr>
              <w:tr>
                <w:trPr>
                  <w:trHeight w:val="414"/>
                </w:trPr>
                <w:tc>
                  <w:tcPr>
                    <w:tcW w:w="2130" w:type="dxa"/>
                    <w:gridSpan w:val="2"/>
                    <w:vMerge/>
                    <w:vAlign w:val="center"/>
                  </w:tcPr>
                  <w:p>
                    <w:pPr>
                      <w:rPr>
                        <w:b/>
                        <w:bCs/>
                        <w:sz w:val="20"/>
                      </w:rPr>
                    </w:pPr>
                  </w:p>
                </w:tc>
                <w:tc>
                  <w:tcPr>
                    <w:tcW w:w="699" w:type="dxa"/>
                    <w:vMerge/>
                    <w:vAlign w:val="center"/>
                  </w:tcPr>
                  <w:p>
                    <w:pPr>
                      <w:rPr>
                        <w:sz w:val="20"/>
                      </w:rPr>
                    </w:pPr>
                  </w:p>
                </w:tc>
                <w:tc>
                  <w:tcPr>
                    <w:tcW w:w="1985" w:type="dxa"/>
                    <w:vMerge/>
                    <w:vAlign w:val="center"/>
                  </w:tcPr>
                  <w:p>
                    <w:pPr>
                      <w:rPr>
                        <w:sz w:val="20"/>
                      </w:rPr>
                    </w:pPr>
                  </w:p>
                </w:tc>
                <w:tc>
                  <w:tcPr>
                    <w:tcW w:w="829" w:type="dxa"/>
                    <w:gridSpan w:val="3"/>
                    <w:vMerge/>
                    <w:vAlign w:val="center"/>
                  </w:tcPr>
                  <w:p>
                    <w:pPr>
                      <w:rPr>
                        <w:sz w:val="20"/>
                      </w:rPr>
                    </w:pPr>
                  </w:p>
                </w:tc>
                <w:tc>
                  <w:tcPr>
                    <w:tcW w:w="1014" w:type="dxa"/>
                    <w:gridSpan w:val="3"/>
                    <w:vMerge/>
                    <w:vAlign w:val="center"/>
                  </w:tcPr>
                  <w:p>
                    <w:pPr>
                      <w:rPr>
                        <w:sz w:val="20"/>
                      </w:rPr>
                    </w:pPr>
                  </w:p>
                </w:tc>
                <w:tc>
                  <w:tcPr>
                    <w:tcW w:w="681" w:type="dxa"/>
                    <w:gridSpan w:val="3"/>
                    <w:vMerge/>
                    <w:vAlign w:val="center"/>
                  </w:tcPr>
                  <w:p>
                    <w:pPr>
                      <w:rPr>
                        <w:sz w:val="20"/>
                      </w:rPr>
                    </w:pPr>
                  </w:p>
                </w:tc>
                <w:tc>
                  <w:tcPr>
                    <w:tcW w:w="1167" w:type="dxa"/>
                    <w:gridSpan w:val="2"/>
                  </w:tcPr>
                  <w:p>
                    <w:pPr>
                      <w:rPr>
                        <w:b/>
                        <w:bCs/>
                        <w:sz w:val="20"/>
                      </w:rPr>
                    </w:pPr>
                    <w:r>
                      <w:rPr>
                        <w:color w:val="000000"/>
                        <w:szCs w:val="24"/>
                      </w:rPr>
                      <w:t xml:space="preserve">3 600  </w:t>
                    </w:r>
                  </w:p>
                </w:tc>
                <w:tc>
                  <w:tcPr>
                    <w:tcW w:w="1118" w:type="dxa"/>
                  </w:tcPr>
                  <w:p>
                    <w:pPr>
                      <w:rPr>
                        <w:sz w:val="20"/>
                      </w:rPr>
                    </w:pPr>
                    <w:r>
                      <w:rPr>
                        <w:color w:val="000000"/>
                        <w:szCs w:val="24"/>
                      </w:rPr>
                      <w:t>2021–2027 m. IP (BF)</w:t>
                    </w:r>
                  </w:p>
                </w:tc>
                <w:tc>
                  <w:tcPr>
                    <w:tcW w:w="2001" w:type="dxa"/>
                    <w:gridSpan w:val="2"/>
                  </w:tcPr>
                  <w:p>
                    <w:pPr>
                      <w:tabs>
                        <w:tab w:val="center" w:pos="4153"/>
                        <w:tab w:val="right" w:pos="8306"/>
                      </w:tabs>
                      <w:jc w:val="both"/>
                      <w:rPr>
                        <w:color w:val="000000"/>
                        <w:szCs w:val="24"/>
                      </w:rPr>
                    </w:pPr>
                    <w:r>
                      <w:rPr>
                        <w:color w:val="000000"/>
                        <w:szCs w:val="24"/>
                      </w:rPr>
                      <w:t>R – Naujos arba modernizuotos sveikatos priežiūros infrastruktūros naudotojų skaičius per metus,</w:t>
                    </w:r>
                  </w:p>
                  <w:p>
                    <w:pPr>
                      <w:ind w:left="-57" w:right="-57"/>
                      <w:rPr>
                        <w:sz w:val="20"/>
                      </w:rPr>
                    </w:pPr>
                    <w:r>
                      <w:rPr>
                        <w:color w:val="000000"/>
                        <w:szCs w:val="24"/>
                      </w:rPr>
                      <w:t>asmenys per metus</w:t>
                    </w:r>
                  </w:p>
                </w:tc>
                <w:tc>
                  <w:tcPr>
                    <w:tcW w:w="1134" w:type="dxa"/>
                    <w:gridSpan w:val="2"/>
                  </w:tcPr>
                  <w:p>
                    <w:pPr>
                      <w:tabs>
                        <w:tab w:val="center" w:pos="4153"/>
                        <w:tab w:val="right" w:pos="8306"/>
                      </w:tabs>
                      <w:jc w:val="center"/>
                      <w:rPr>
                        <w:color w:val="000000"/>
                        <w:szCs w:val="24"/>
                      </w:rPr>
                    </w:pPr>
                    <w:r>
                      <w:rPr>
                        <w:szCs w:val="24"/>
                      </w:rPr>
                      <w:t>5 440</w:t>
                    </w:r>
                  </w:p>
                  <w:p>
                    <w:pPr>
                      <w:ind w:left="-57" w:right="-57"/>
                      <w:jc w:val="center"/>
                      <w:rPr>
                        <w:sz w:val="20"/>
                      </w:rPr>
                    </w:pPr>
                    <w:r>
                      <w:rPr>
                        <w:color w:val="000000"/>
                        <w:szCs w:val="24"/>
                      </w:rPr>
                      <w:t>(2029 m.)</w:t>
                    </w:r>
                  </w:p>
                </w:tc>
                <w:tc>
                  <w:tcPr>
                    <w:tcW w:w="992" w:type="dxa"/>
                    <w:vMerge/>
                    <w:vAlign w:val="center"/>
                  </w:tcPr>
                  <w:p>
                    <w:pPr>
                      <w:rPr>
                        <w:sz w:val="20"/>
                      </w:rPr>
                    </w:pPr>
                  </w:p>
                </w:tc>
                <w:tc>
                  <w:tcPr>
                    <w:tcW w:w="1279" w:type="dxa"/>
                    <w:vMerge/>
                    <w:vAlign w:val="center"/>
                  </w:tcPr>
                  <w:p>
                    <w:pPr>
                      <w:rPr>
                        <w:color w:val="000000"/>
                        <w:sz w:val="20"/>
                      </w:rPr>
                    </w:pPr>
                  </w:p>
                </w:tc>
              </w:tr>
              <w:tr>
                <w:trPr>
                  <w:trHeight w:val="414"/>
                </w:trPr>
                <w:tc>
                  <w:tcPr>
                    <w:tcW w:w="2130" w:type="dxa"/>
                    <w:gridSpan w:val="2"/>
                    <w:vMerge w:val="restart"/>
                  </w:tcPr>
                  <w:p>
                    <w:pPr>
                      <w:rPr>
                        <w:b/>
                        <w:bCs/>
                        <w:sz w:val="20"/>
                      </w:rPr>
                    </w:pPr>
                    <w:r>
                      <w:rPr>
                        <w:color w:val="000000"/>
                        <w:sz w:val="20"/>
                      </w:rPr>
                      <w:t xml:space="preserve">2.14. Sveikatos priežiūros specialistų paruošimas operatyviai ir koordinuotai teikti asmens sveikatos priežiūros paslaugas </w:t>
                    </w:r>
                    <w:r>
                      <w:rPr>
                        <w:iCs/>
                        <w:sz w:val="20"/>
                      </w:rPr>
                      <w:t>įvairių krizių ar ekstremaliųjų situacijų metu</w:t>
                    </w:r>
                  </w:p>
                </w:tc>
                <w:tc>
                  <w:tcPr>
                    <w:tcW w:w="699" w:type="dxa"/>
                    <w:vMerge w:val="restart"/>
                  </w:tcPr>
                  <w:p>
                    <w:pPr>
                      <w:rPr>
                        <w:sz w:val="20"/>
                      </w:rPr>
                    </w:pPr>
                    <w:r>
                      <w:rPr>
                        <w:color w:val="000000"/>
                        <w:sz w:val="20"/>
                      </w:rPr>
                      <w:t>I</w:t>
                    </w:r>
                  </w:p>
                </w:tc>
                <w:tc>
                  <w:tcPr>
                    <w:tcW w:w="1985" w:type="dxa"/>
                    <w:vMerge w:val="restart"/>
                  </w:tcPr>
                  <w:p>
                    <w:pPr>
                      <w:rPr>
                        <w:sz w:val="20"/>
                      </w:rPr>
                    </w:pPr>
                    <w:r>
                      <w:rPr>
                        <w:sz w:val="20"/>
                      </w:rPr>
                      <w:t xml:space="preserve">Sveikatos apsaugos ministerijos Ekstremalių sveikatai situacijų centras, Vilniaus universitetas ir Lietuvos sveikatos mokslų universitetas </w:t>
                    </w:r>
                  </w:p>
                </w:tc>
                <w:tc>
                  <w:tcPr>
                    <w:tcW w:w="829" w:type="dxa"/>
                    <w:gridSpan w:val="3"/>
                    <w:vMerge w:val="restart"/>
                  </w:tcPr>
                  <w:p>
                    <w:pPr>
                      <w:rPr>
                        <w:sz w:val="20"/>
                      </w:rPr>
                    </w:pPr>
                    <w:r>
                      <w:rPr>
                        <w:color w:val="000000"/>
                        <w:sz w:val="20"/>
                      </w:rPr>
                      <w:t>P</w:t>
                    </w:r>
                  </w:p>
                </w:tc>
                <w:tc>
                  <w:tcPr>
                    <w:tcW w:w="1014" w:type="dxa"/>
                    <w:gridSpan w:val="3"/>
                    <w:vMerge w:val="restart"/>
                  </w:tcPr>
                  <w:p>
                    <w:pPr>
                      <w:rPr>
                        <w:sz w:val="20"/>
                      </w:rPr>
                    </w:pPr>
                    <w:r>
                      <w:rPr>
                        <w:color w:val="000000"/>
                        <w:sz w:val="20"/>
                      </w:rPr>
                      <w:t>Taip</w:t>
                    </w:r>
                  </w:p>
                </w:tc>
                <w:tc>
                  <w:tcPr>
                    <w:tcW w:w="681" w:type="dxa"/>
                    <w:gridSpan w:val="3"/>
                    <w:vMerge w:val="restart"/>
                  </w:tcPr>
                  <w:p>
                    <w:pPr>
                      <w:rPr>
                        <w:sz w:val="20"/>
                      </w:rPr>
                    </w:pPr>
                    <w:r>
                      <w:rPr>
                        <w:color w:val="000000"/>
                        <w:sz w:val="20"/>
                      </w:rPr>
                      <w:t>D</w:t>
                    </w:r>
                  </w:p>
                </w:tc>
                <w:tc>
                  <w:tcPr>
                    <w:tcW w:w="1167" w:type="dxa"/>
                    <w:gridSpan w:val="2"/>
                  </w:tcPr>
                  <w:p>
                    <w:pPr>
                      <w:rPr>
                        <w:b/>
                        <w:bCs/>
                        <w:sz w:val="20"/>
                      </w:rPr>
                    </w:pPr>
                    <w:r>
                      <w:rPr>
                        <w:color w:val="000000"/>
                        <w:sz w:val="20"/>
                        <w:lang w:val="en-US"/>
                      </w:rPr>
                      <w:t>9 321,577</w:t>
                    </w:r>
                  </w:p>
                </w:tc>
                <w:tc>
                  <w:tcPr>
                    <w:tcW w:w="1118" w:type="dxa"/>
                  </w:tcPr>
                  <w:p>
                    <w:pPr>
                      <w:rPr>
                        <w:sz w:val="20"/>
                      </w:rPr>
                    </w:pPr>
                    <w:r>
                      <w:rPr>
                        <w:color w:val="000000"/>
                        <w:sz w:val="20"/>
                      </w:rPr>
                      <w:t xml:space="preserve">2021–2027 m. IP (ESF+) </w:t>
                    </w:r>
                  </w:p>
                </w:tc>
                <w:tc>
                  <w:tcPr>
                    <w:tcW w:w="2001" w:type="dxa"/>
                    <w:gridSpan w:val="2"/>
                  </w:tcPr>
                  <w:p>
                    <w:pPr>
                      <w:ind w:left="-57" w:right="-57"/>
                      <w:rPr>
                        <w:sz w:val="20"/>
                      </w:rPr>
                    </w:pPr>
                    <w:r>
                      <w:rPr>
                        <w:color w:val="000000"/>
                        <w:sz w:val="20"/>
                      </w:rPr>
                      <w:t>P – Specialistai, dalyvavę kvalifikacijos tobulinimo ar perkvalifikavimo veiklose, asmenys</w:t>
                    </w:r>
                  </w:p>
                </w:tc>
                <w:tc>
                  <w:tcPr>
                    <w:tcW w:w="1134" w:type="dxa"/>
                    <w:gridSpan w:val="2"/>
                  </w:tcPr>
                  <w:p>
                    <w:pPr>
                      <w:ind w:left="-57" w:right="-57"/>
                      <w:jc w:val="center"/>
                      <w:rPr>
                        <w:color w:val="000000"/>
                        <w:sz w:val="20"/>
                      </w:rPr>
                    </w:pPr>
                    <w:r>
                      <w:rPr>
                        <w:color w:val="000000"/>
                        <w:sz w:val="20"/>
                      </w:rPr>
                      <w:t>4 920</w:t>
                    </w:r>
                  </w:p>
                  <w:p>
                    <w:pPr>
                      <w:ind w:left="-57" w:right="-57"/>
                      <w:jc w:val="center"/>
                      <w:rPr>
                        <w:sz w:val="20"/>
                      </w:rPr>
                    </w:pPr>
                    <w:r>
                      <w:rPr>
                        <w:color w:val="000000"/>
                        <w:sz w:val="20"/>
                      </w:rPr>
                      <w:t>(2029 m.)</w:t>
                    </w:r>
                  </w:p>
                </w:tc>
                <w:tc>
                  <w:tcPr>
                    <w:tcW w:w="992" w:type="dxa"/>
                    <w:vMerge w:val="restart"/>
                  </w:tcPr>
                  <w:p>
                    <w:pPr>
                      <w:rPr>
                        <w:sz w:val="20"/>
                      </w:rPr>
                    </w:pPr>
                    <w:r>
                      <w:rPr>
                        <w:color w:val="000000"/>
                        <w:sz w:val="20"/>
                      </w:rPr>
                      <w:t>CPVA</w:t>
                    </w:r>
                  </w:p>
                </w:tc>
                <w:tc>
                  <w:tcPr>
                    <w:tcW w:w="1279" w:type="dxa"/>
                    <w:vMerge w:val="restart"/>
                  </w:tcPr>
                  <w:p>
                    <w:pPr>
                      <w:rPr>
                        <w:color w:val="000000"/>
                        <w:sz w:val="20"/>
                      </w:rPr>
                    </w:pPr>
                    <w:r>
                      <w:rPr>
                        <w:color w:val="000000"/>
                        <w:sz w:val="20"/>
                      </w:rPr>
                      <w:t>SAM</w:t>
                    </w:r>
                  </w:p>
                </w:tc>
              </w:tr>
              <w:tr>
                <w:trPr>
                  <w:trHeight w:val="414"/>
                </w:trPr>
                <w:tc>
                  <w:tcPr>
                    <w:tcW w:w="2130" w:type="dxa"/>
                    <w:gridSpan w:val="2"/>
                    <w:vMerge/>
                    <w:vAlign w:val="center"/>
                  </w:tcPr>
                  <w:p>
                    <w:pPr>
                      <w:rPr>
                        <w:b/>
                        <w:bCs/>
                        <w:sz w:val="20"/>
                      </w:rPr>
                    </w:pPr>
                  </w:p>
                </w:tc>
                <w:tc>
                  <w:tcPr>
                    <w:tcW w:w="699" w:type="dxa"/>
                    <w:vMerge/>
                    <w:vAlign w:val="center"/>
                  </w:tcPr>
                  <w:p>
                    <w:pPr>
                      <w:rPr>
                        <w:sz w:val="20"/>
                      </w:rPr>
                    </w:pPr>
                  </w:p>
                </w:tc>
                <w:tc>
                  <w:tcPr>
                    <w:tcW w:w="1985" w:type="dxa"/>
                    <w:vMerge/>
                    <w:vAlign w:val="center"/>
                  </w:tcPr>
                  <w:p>
                    <w:pPr>
                      <w:rPr>
                        <w:sz w:val="20"/>
                      </w:rPr>
                    </w:pPr>
                  </w:p>
                </w:tc>
                <w:tc>
                  <w:tcPr>
                    <w:tcW w:w="829" w:type="dxa"/>
                    <w:gridSpan w:val="3"/>
                    <w:vMerge/>
                    <w:vAlign w:val="center"/>
                  </w:tcPr>
                  <w:p>
                    <w:pPr>
                      <w:rPr>
                        <w:sz w:val="20"/>
                      </w:rPr>
                    </w:pPr>
                  </w:p>
                </w:tc>
                <w:tc>
                  <w:tcPr>
                    <w:tcW w:w="1014" w:type="dxa"/>
                    <w:gridSpan w:val="3"/>
                    <w:vMerge/>
                    <w:vAlign w:val="center"/>
                  </w:tcPr>
                  <w:p>
                    <w:pPr>
                      <w:rPr>
                        <w:sz w:val="20"/>
                      </w:rPr>
                    </w:pPr>
                  </w:p>
                </w:tc>
                <w:tc>
                  <w:tcPr>
                    <w:tcW w:w="681" w:type="dxa"/>
                    <w:gridSpan w:val="3"/>
                    <w:vMerge/>
                    <w:vAlign w:val="center"/>
                  </w:tcPr>
                  <w:p>
                    <w:pPr>
                      <w:rPr>
                        <w:sz w:val="20"/>
                      </w:rPr>
                    </w:pPr>
                  </w:p>
                </w:tc>
                <w:tc>
                  <w:tcPr>
                    <w:tcW w:w="1167" w:type="dxa"/>
                    <w:gridSpan w:val="2"/>
                  </w:tcPr>
                  <w:p>
                    <w:pPr>
                      <w:rPr>
                        <w:b/>
                        <w:bCs/>
                        <w:sz w:val="20"/>
                      </w:rPr>
                    </w:pPr>
                    <w:r>
                      <w:rPr>
                        <w:color w:val="000000"/>
                        <w:sz w:val="20"/>
                      </w:rPr>
                      <w:t>490,611</w:t>
                    </w:r>
                  </w:p>
                </w:tc>
                <w:tc>
                  <w:tcPr>
                    <w:tcW w:w="1118" w:type="dxa"/>
                  </w:tcPr>
                  <w:p>
                    <w:pPr>
                      <w:rPr>
                        <w:sz w:val="20"/>
                      </w:rPr>
                    </w:pPr>
                    <w:r>
                      <w:rPr>
                        <w:color w:val="000000"/>
                        <w:sz w:val="20"/>
                      </w:rPr>
                      <w:t>2021–2027 m. IP (BF)</w:t>
                    </w:r>
                  </w:p>
                </w:tc>
                <w:tc>
                  <w:tcPr>
                    <w:tcW w:w="2001" w:type="dxa"/>
                    <w:gridSpan w:val="2"/>
                  </w:tcPr>
                  <w:p>
                    <w:pPr>
                      <w:ind w:left="-57" w:right="-57"/>
                      <w:rPr>
                        <w:sz w:val="20"/>
                      </w:rPr>
                    </w:pPr>
                    <w:r>
                      <w:rPr>
                        <w:color w:val="000000"/>
                        <w:sz w:val="20"/>
                      </w:rPr>
                      <w:t>R – Specialistų, kurie po dalyvavimo veiklose įgijo ar patobulino kvalifikaciją, dalis, proc.</w:t>
                    </w:r>
                  </w:p>
                </w:tc>
                <w:tc>
                  <w:tcPr>
                    <w:tcW w:w="1134" w:type="dxa"/>
                    <w:gridSpan w:val="2"/>
                  </w:tcPr>
                  <w:p>
                    <w:pPr>
                      <w:ind w:left="-57" w:right="-57"/>
                      <w:jc w:val="center"/>
                      <w:rPr>
                        <w:color w:val="000000"/>
                        <w:sz w:val="20"/>
                      </w:rPr>
                    </w:pPr>
                    <w:r>
                      <w:rPr>
                        <w:color w:val="000000"/>
                        <w:sz w:val="20"/>
                      </w:rPr>
                      <w:t>90</w:t>
                    </w:r>
                  </w:p>
                  <w:p>
                    <w:pPr>
                      <w:ind w:left="-57" w:right="-57"/>
                      <w:jc w:val="center"/>
                      <w:rPr>
                        <w:color w:val="000000"/>
                        <w:sz w:val="20"/>
                      </w:rPr>
                    </w:pPr>
                    <w:r>
                      <w:rPr>
                        <w:color w:val="000000"/>
                        <w:sz w:val="20"/>
                      </w:rPr>
                      <w:t>(2029 m.)</w:t>
                    </w:r>
                  </w:p>
                  <w:p>
                    <w:pPr>
                      <w:ind w:left="-57" w:right="-57"/>
                      <w:jc w:val="center"/>
                      <w:rPr>
                        <w:sz w:val="20"/>
                      </w:rPr>
                    </w:pPr>
                  </w:p>
                </w:tc>
                <w:tc>
                  <w:tcPr>
                    <w:tcW w:w="992" w:type="dxa"/>
                    <w:vMerge/>
                    <w:vAlign w:val="center"/>
                  </w:tcPr>
                  <w:p>
                    <w:pPr>
                      <w:rPr>
                        <w:sz w:val="20"/>
                      </w:rPr>
                    </w:pPr>
                  </w:p>
                </w:tc>
                <w:tc>
                  <w:tcPr>
                    <w:tcW w:w="1279" w:type="dxa"/>
                    <w:vMerge/>
                    <w:vAlign w:val="center"/>
                  </w:tcPr>
                  <w:p>
                    <w:pPr>
                      <w:rPr>
                        <w:color w:val="000000"/>
                        <w:sz w:val="20"/>
                      </w:rPr>
                    </w:pPr>
                  </w:p>
                </w:tc>
              </w:tr>
              <w:tr>
                <w:trPr>
                  <w:trHeight w:val="5917"/>
                </w:trPr>
                <w:tc>
                  <w:tcPr>
                    <w:tcW w:w="2130" w:type="dxa"/>
                    <w:gridSpan w:val="2"/>
                    <w:vMerge w:val="restart"/>
                  </w:tcPr>
                  <w:p>
                    <w:pPr>
                      <w:rPr>
                        <w:b/>
                        <w:bCs/>
                        <w:sz w:val="20"/>
                      </w:rPr>
                    </w:pPr>
                    <w:r>
                      <w:rPr>
                        <w:sz w:val="20"/>
                      </w:rPr>
                      <w:t>2.15. Infekcinių ligų centro įrengimas</w:t>
                    </w:r>
                  </w:p>
                  <w:p>
                    <w:pPr>
                      <w:rPr>
                        <w:b/>
                        <w:bCs/>
                        <w:sz w:val="20"/>
                      </w:rPr>
                    </w:pPr>
                  </w:p>
                </w:tc>
                <w:tc>
                  <w:tcPr>
                    <w:tcW w:w="699" w:type="dxa"/>
                    <w:vMerge w:val="restart"/>
                  </w:tcPr>
                  <w:p>
                    <w:pPr>
                      <w:rPr>
                        <w:sz w:val="20"/>
                      </w:rPr>
                    </w:pPr>
                    <w:r>
                      <w:rPr>
                        <w:sz w:val="20"/>
                      </w:rPr>
                      <w:t>I</w:t>
                    </w:r>
                  </w:p>
                </w:tc>
                <w:tc>
                  <w:tcPr>
                    <w:tcW w:w="1985" w:type="dxa"/>
                    <w:vMerge w:val="restart"/>
                  </w:tcPr>
                  <w:p>
                    <w:pPr>
                      <w:rPr>
                        <w:sz w:val="20"/>
                      </w:rPr>
                    </w:pPr>
                    <w:r>
                      <w:rPr>
                        <w:sz w:val="20"/>
                      </w:rPr>
                      <w:t>VšĮ Vilniaus universiteto ligoninė Santaros klinikos</w:t>
                    </w:r>
                  </w:p>
                  <w:p>
                    <w:pPr>
                      <w:rPr>
                        <w:sz w:val="20"/>
                      </w:rPr>
                    </w:pP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rPr>
                        <w:color w:val="000000"/>
                        <w:sz w:val="20"/>
                      </w:rPr>
                    </w:pPr>
                    <w:r>
                      <w:rPr>
                        <w:color w:val="000000"/>
                        <w:sz w:val="20"/>
                      </w:rPr>
                      <w:t>62 980,973</w:t>
                    </w:r>
                  </w:p>
                  <w:p>
                    <w:pPr>
                      <w:rPr>
                        <w:color w:val="000000"/>
                        <w:sz w:val="20"/>
                      </w:rPr>
                    </w:pPr>
                  </w:p>
                </w:tc>
                <w:tc>
                  <w:tcPr>
                    <w:tcW w:w="1118" w:type="dxa"/>
                  </w:tcPr>
                  <w:p>
                    <w:pPr>
                      <w:rPr>
                        <w:color w:val="000000"/>
                        <w:sz w:val="20"/>
                      </w:rPr>
                    </w:pPr>
                    <w:r>
                      <w:rPr>
                        <w:color w:val="000000"/>
                        <w:sz w:val="20"/>
                      </w:rPr>
                      <w:t>EGADP</w:t>
                    </w:r>
                  </w:p>
                  <w:p>
                    <w:pPr>
                      <w:rPr>
                        <w:color w:val="000000"/>
                        <w:sz w:val="20"/>
                      </w:rPr>
                    </w:pPr>
                  </w:p>
                  <w:p>
                    <w:pPr>
                      <w:rPr>
                        <w:color w:val="000000"/>
                        <w:sz w:val="20"/>
                      </w:rPr>
                    </w:pPr>
                    <w:r>
                      <w:rPr>
                        <w:color w:val="000000"/>
                        <w:sz w:val="20"/>
                      </w:rPr>
                      <w:t>Pastaba. Priimant sprendimą dėl projektų finansavimo ir priimant įsipareigojimus pagal sudarytas projektų finansavimo sutartis, galima viršyti Nutarime Nr. 612 nurodytas EGADP subsidijos lėšas, kaip nustatyta šios pažangos priemonės aprašo II skyriaus lentelės pastaboje.</w:t>
                    </w:r>
                  </w:p>
                  <w:p>
                    <w:pPr>
                      <w:rPr>
                        <w:color w:val="000000"/>
                        <w:sz w:val="20"/>
                      </w:rPr>
                    </w:pPr>
                  </w:p>
                  <w:p>
                    <w:pPr>
                      <w:rPr>
                        <w:color w:val="000000"/>
                        <w:sz w:val="20"/>
                      </w:rPr>
                    </w:pPr>
                  </w:p>
                  <w:p>
                    <w:pPr>
                      <w:rPr>
                        <w:color w:val="000000"/>
                        <w:sz w:val="20"/>
                      </w:rPr>
                    </w:pPr>
                  </w:p>
                </w:tc>
                <w:tc>
                  <w:tcPr>
                    <w:tcW w:w="2001" w:type="dxa"/>
                    <w:gridSpan w:val="2"/>
                  </w:tcPr>
                  <w:p>
                    <w:pPr>
                      <w:ind w:left="-57" w:right="-57"/>
                      <w:rPr>
                        <w:color w:val="000000"/>
                        <w:sz w:val="20"/>
                      </w:rPr>
                    </w:pPr>
                    <w:r>
                      <w:rPr>
                        <w:color w:val="000000"/>
                        <w:sz w:val="20"/>
                      </w:rPr>
                      <w:t xml:space="preserve">P – Modernizuotų  infekcinių ligų klasterio kompetencijos  centrų skaičius, vnt.</w:t>
                    </w:r>
                  </w:p>
                </w:tc>
                <w:tc>
                  <w:tcPr>
                    <w:tcW w:w="1134" w:type="dxa"/>
                    <w:gridSpan w:val="2"/>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(2027 m. IV ketv.)</w:t>
                    </w:r>
                  </w:p>
                </w:tc>
                <w:tc>
                  <w:tcPr>
                    <w:tcW w:w="992" w:type="dxa"/>
                    <w:vMerge w:val="restart"/>
                  </w:tcPr>
                  <w:p>
                    <w:pPr>
                      <w:rPr>
                        <w:sz w:val="20"/>
                      </w:rPr>
                    </w:pPr>
                    <w:r>
                      <w:rPr>
                        <w:sz w:val="20"/>
                      </w:rPr>
                      <w:t>CPVA</w:t>
                    </w:r>
                  </w:p>
                </w:tc>
                <w:tc>
                  <w:tcPr>
                    <w:tcW w:w="1279" w:type="dxa"/>
                    <w:vMerge w:val="restart"/>
                  </w:tcPr>
                  <w:p>
                    <w:pPr>
                      <w:rPr>
                        <w:color w:val="000000"/>
                        <w:sz w:val="20"/>
                      </w:rPr>
                    </w:pPr>
                    <w:r>
                      <w:rPr>
                        <w:color w:val="000000"/>
                        <w:sz w:val="20"/>
                      </w:rPr>
                      <w:t>SAM</w:t>
                    </w:r>
                  </w:p>
                  <w:p>
                    <w:pPr>
                      <w:rPr>
                        <w:color w:val="000000"/>
                        <w:sz w:val="20"/>
                      </w:rPr>
                    </w:pPr>
                  </w:p>
                </w:tc>
              </w:tr>
              <w:tr>
                <w:trPr>
                  <w:trHeight w:val="832"/>
                </w:trPr>
                <w:tc>
                  <w:tcPr>
                    <w:tcW w:w="2130" w:type="dxa"/>
                    <w:gridSpan w:val="2"/>
                    <w:vMerge/>
                    <w:vAlign w:val="center"/>
                  </w:tcPr>
                  <w:p>
                    <w:pPr>
                      <w:rPr>
                        <w:sz w:val="20"/>
                      </w:rPr>
                    </w:pPr>
                  </w:p>
                </w:tc>
                <w:tc>
                  <w:tcPr>
                    <w:tcW w:w="699" w:type="dxa"/>
                    <w:vMerge/>
                    <w:vAlign w:val="center"/>
                  </w:tcPr>
                  <w:p>
                    <w:pPr>
                      <w:rPr>
                        <w:sz w:val="20"/>
                      </w:rPr>
                    </w:pPr>
                  </w:p>
                </w:tc>
                <w:tc>
                  <w:tcPr>
                    <w:tcW w:w="1985" w:type="dxa"/>
                    <w:vMerge/>
                    <w:vAlign w:val="center"/>
                  </w:tcPr>
                  <w:p>
                    <w:pPr>
                      <w:rPr>
                        <w:sz w:val="20"/>
                      </w:rPr>
                    </w:pPr>
                  </w:p>
                </w:tc>
                <w:tc>
                  <w:tcPr>
                    <w:tcW w:w="829" w:type="dxa"/>
                    <w:gridSpan w:val="3"/>
                    <w:vMerge/>
                    <w:vAlign w:val="center"/>
                  </w:tcPr>
                  <w:p>
                    <w:pPr>
                      <w:rPr>
                        <w:sz w:val="20"/>
                      </w:rPr>
                    </w:pPr>
                  </w:p>
                </w:tc>
                <w:tc>
                  <w:tcPr>
                    <w:tcW w:w="1014" w:type="dxa"/>
                    <w:gridSpan w:val="3"/>
                    <w:vMerge/>
                    <w:vAlign w:val="center"/>
                  </w:tcPr>
                  <w:p>
                    <w:pPr>
                      <w:rPr>
                        <w:sz w:val="20"/>
                      </w:rPr>
                    </w:pPr>
                  </w:p>
                </w:tc>
                <w:tc>
                  <w:tcPr>
                    <w:tcW w:w="681" w:type="dxa"/>
                    <w:gridSpan w:val="3"/>
                    <w:vMerge/>
                    <w:vAlign w:val="center"/>
                  </w:tcPr>
                  <w:p>
                    <w:pPr>
                      <w:rPr>
                        <w:sz w:val="20"/>
                      </w:rPr>
                    </w:pPr>
                  </w:p>
                </w:tc>
                <w:tc>
                  <w:tcPr>
                    <w:tcW w:w="1167" w:type="dxa"/>
                    <w:gridSpan w:val="2"/>
                  </w:tcPr>
                  <w:p>
                    <w:pPr>
                      <w:rPr>
                        <w:color w:val="000000"/>
                        <w:sz w:val="20"/>
                      </w:rPr>
                    </w:pPr>
                    <w:r>
                      <w:rPr>
                        <w:color w:val="000000"/>
                        <w:sz w:val="20"/>
                      </w:rPr>
                      <w:t>-</w:t>
                    </w:r>
                  </w:p>
                </w:tc>
                <w:tc>
                  <w:tcPr>
                    <w:tcW w:w="1118" w:type="dxa"/>
                  </w:tcPr>
                  <w:p>
                    <w:pPr>
                      <w:rPr>
                        <w:color w:val="000000"/>
                        <w:sz w:val="20"/>
                      </w:rPr>
                    </w:pPr>
                    <w:r>
                      <w:rPr>
                        <w:color w:val="000000"/>
                        <w:sz w:val="20"/>
                      </w:rPr>
                      <w:t>PVM iš VB</w:t>
                    </w:r>
                  </w:p>
                </w:tc>
                <w:tc>
                  <w:tcPr>
                    <w:tcW w:w="2001" w:type="dxa"/>
                    <w:gridSpan w:val="2"/>
                  </w:tcPr>
                  <w:p>
                    <w:pPr>
                      <w:ind w:left="-57" w:right="-57"/>
                      <w:rPr>
                        <w:color w:val="000000"/>
                        <w:sz w:val="20"/>
                      </w:rPr>
                    </w:pPr>
                    <w:r>
                      <w:rPr>
                        <w:color w:val="000000"/>
                        <w:sz w:val="20"/>
                      </w:rPr>
                      <w:t>R – Naujos arba modernizuotos sveikatos priežiūros infrastruktūros talpumas, asmenys per metus</w:t>
                    </w:r>
                  </w:p>
                </w:tc>
                <w:tc>
                  <w:tcPr>
                    <w:tcW w:w="1134" w:type="dxa"/>
                    <w:gridSpan w:val="2"/>
                  </w:tcPr>
                  <w:p>
                    <w:pPr>
                      <w:ind w:left="-57" w:right="-57"/>
                      <w:jc w:val="center"/>
                      <w:rPr>
                        <w:color w:val="000000"/>
                        <w:sz w:val="20"/>
                      </w:rPr>
                    </w:pPr>
                    <w:r>
                      <w:rPr>
                        <w:color w:val="000000"/>
                        <w:sz w:val="20"/>
                      </w:rPr>
                      <w:t>n/a</w:t>
                    </w:r>
                  </w:p>
                </w:tc>
                <w:tc>
                  <w:tcPr>
                    <w:tcW w:w="992" w:type="dxa"/>
                    <w:vMerge/>
                    <w:vAlign w:val="center"/>
                  </w:tcPr>
                  <w:p>
                    <w:pPr>
                      <w:rPr>
                        <w:sz w:val="20"/>
                      </w:rPr>
                    </w:pPr>
                  </w:p>
                </w:tc>
                <w:tc>
                  <w:tcPr>
                    <w:tcW w:w="1279" w:type="dxa"/>
                    <w:vMerge/>
                    <w:vAlign w:val="center"/>
                  </w:tcPr>
                  <w:p>
                    <w:pPr>
                      <w:rPr>
                        <w:color w:val="000000"/>
                        <w:sz w:val="20"/>
                      </w:rPr>
                    </w:pPr>
                  </w:p>
                </w:tc>
              </w:tr>
              <w:tr>
                <w:trPr>
                  <w:trHeight w:val="414"/>
                </w:trPr>
                <w:tc>
                  <w:tcPr>
                    <w:tcW w:w="2130" w:type="dxa"/>
                    <w:gridSpan w:val="2"/>
                    <w:vMerge w:val="restart"/>
                  </w:tcPr>
                  <w:p>
                    <w:pPr>
                      <w:rPr>
                        <w:color w:val="000000"/>
                        <w:sz w:val="20"/>
                      </w:rPr>
                    </w:pPr>
                    <w:r>
                      <w:rPr>
                        <w:color w:val="000000"/>
                        <w:sz w:val="20"/>
                      </w:rPr>
                      <w:t>3. Pažangių ir įrodymais pagrįstų technologijų sveikatos sektoriuje diegimas</w:t>
                    </w:r>
                  </w:p>
                </w:tc>
                <w:tc>
                  <w:tcPr>
                    <w:tcW w:w="699" w:type="dxa"/>
                    <w:vMerge w:val="restart"/>
                  </w:tcPr>
                  <w:p>
                    <w:pPr>
                      <w:rPr>
                        <w:color w:val="000000"/>
                        <w:sz w:val="20"/>
                      </w:rPr>
                    </w:pPr>
                    <w:r>
                      <w:rPr>
                        <w:color w:val="000000"/>
                        <w:sz w:val="20"/>
                      </w:rPr>
                      <w:t>-</w:t>
                    </w:r>
                  </w:p>
                </w:tc>
                <w:tc>
                  <w:tcPr>
                    <w:tcW w:w="1985" w:type="dxa"/>
                    <w:vMerge w:val="restart"/>
                  </w:tcPr>
                  <w:p>
                    <w:pPr>
                      <w:rPr>
                        <w:color w:val="000000"/>
                        <w:sz w:val="20"/>
                      </w:rPr>
                    </w:pPr>
                    <w:r>
                      <w:rPr>
                        <w:color w:val="000000"/>
                        <w:sz w:val="20"/>
                      </w:rPr>
                      <w:t>-</w:t>
                    </w:r>
                  </w:p>
                </w:tc>
                <w:tc>
                  <w:tcPr>
                    <w:tcW w:w="829" w:type="dxa"/>
                    <w:gridSpan w:val="3"/>
                    <w:vMerge w:val="restart"/>
                  </w:tcPr>
                  <w:p>
                    <w:pPr>
                      <w:rPr>
                        <w:color w:val="000000"/>
                        <w:sz w:val="20"/>
                      </w:rPr>
                    </w:pPr>
                    <w:r>
                      <w:rPr>
                        <w:color w:val="000000"/>
                        <w:sz w:val="20"/>
                      </w:rPr>
                      <w:t>-</w:t>
                    </w:r>
                  </w:p>
                </w:tc>
                <w:tc>
                  <w:tcPr>
                    <w:tcW w:w="1014" w:type="dxa"/>
                    <w:gridSpan w:val="3"/>
                    <w:vMerge w:val="restart"/>
                  </w:tcPr>
                  <w:p>
                    <w:pPr>
                      <w:rPr>
                        <w:color w:val="000000"/>
                        <w:sz w:val="20"/>
                      </w:rPr>
                    </w:pPr>
                    <w:r>
                      <w:rPr>
                        <w:color w:val="000000"/>
                        <w:sz w:val="20"/>
                      </w:rPr>
                      <w:t>-</w:t>
                    </w:r>
                  </w:p>
                </w:tc>
                <w:tc>
                  <w:tcPr>
                    <w:tcW w:w="681" w:type="dxa"/>
                    <w:gridSpan w:val="3"/>
                    <w:vMerge w:val="restart"/>
                  </w:tcPr>
                  <w:p>
                    <w:pPr>
                      <w:rPr>
                        <w:color w:val="000000"/>
                        <w:sz w:val="20"/>
                      </w:rPr>
                    </w:pPr>
                    <w:r>
                      <w:rPr>
                        <w:color w:val="000000"/>
                        <w:sz w:val="20"/>
                      </w:rPr>
                      <w:t>-</w:t>
                    </w:r>
                  </w:p>
                </w:tc>
                <w:tc>
                  <w:tcPr>
                    <w:tcW w:w="1167" w:type="dxa"/>
                    <w:gridSpan w:val="2"/>
                  </w:tcPr>
                  <w:p>
                    <w:pPr>
                      <w:rPr>
                        <w:color w:val="000000"/>
                        <w:sz w:val="20"/>
                      </w:rPr>
                    </w:pPr>
                    <w:r>
                      <w:rPr>
                        <w:sz w:val="20"/>
                      </w:rPr>
                      <w:t>61 258,337</w:t>
                    </w:r>
                  </w:p>
                </w:tc>
                <w:tc>
                  <w:tcPr>
                    <w:tcW w:w="1118" w:type="dxa"/>
                  </w:tcPr>
                  <w:p>
                    <w:pPr>
                      <w:rPr>
                        <w:color w:val="000000"/>
                        <w:sz w:val="20"/>
                      </w:rPr>
                    </w:pPr>
                    <w:r>
                      <w:rPr>
                        <w:color w:val="000000"/>
                        <w:sz w:val="20"/>
                      </w:rPr>
                      <w:t>-</w:t>
                    </w:r>
                  </w:p>
                </w:tc>
                <w:tc>
                  <w:tcPr>
                    <w:tcW w:w="2001" w:type="dxa"/>
                    <w:gridSpan w:val="2"/>
                  </w:tcPr>
                  <w:p>
                    <w:pPr>
                      <w:ind w:left="-57" w:right="-57"/>
                      <w:rPr>
                        <w:color w:val="FF0000"/>
                        <w:sz w:val="20"/>
                      </w:rPr>
                    </w:pPr>
                    <w:r>
                      <w:rPr>
                        <w:color w:val="000000"/>
                        <w:sz w:val="20"/>
                      </w:rPr>
                      <w:t xml:space="preserve">R </w:t>
                    </w:r>
                    <w:r>
                      <w:rPr>
                        <w:color w:val="000000"/>
                        <w:szCs w:val="24"/>
                      </w:rPr>
                      <w:t>–</w:t>
                    </w:r>
                    <w:r>
                      <w:rPr>
                        <w:color w:val="000000"/>
                        <w:sz w:val="20"/>
                      </w:rPr>
                      <w:t xml:space="preserve"> Bendras 5 metų išgyvenamumas sergant krūties vėžiu (dalis nuo visų atvejų), proc.</w:t>
                    </w:r>
                  </w:p>
                </w:tc>
                <w:tc>
                  <w:tcPr>
                    <w:tcW w:w="1134" w:type="dxa"/>
                    <w:gridSpan w:val="2"/>
                  </w:tcPr>
                  <w:p>
                    <w:pPr>
                      <w:ind w:left="-57" w:right="-57"/>
                      <w:jc w:val="center"/>
                    </w:pPr>
                    <w:r>
                      <w:rPr>
                        <w:color w:val="000000"/>
                        <w:sz w:val="20"/>
                      </w:rPr>
                      <w:t>83</w:t>
                    </w:r>
                  </w:p>
                  <w:p>
                    <w:pPr>
                      <w:ind w:left="-57" w:right="-57"/>
                      <w:jc w:val="center"/>
                      <w:rPr>
                        <w:color w:val="FF0000"/>
                        <w:sz w:val="20"/>
                      </w:rPr>
                    </w:pPr>
                    <w:r>
                      <w:rPr>
                        <w:color w:val="000000"/>
                        <w:sz w:val="20"/>
                      </w:rPr>
                      <w:t>(2030 m.)</w:t>
                    </w:r>
                  </w:p>
                </w:tc>
                <w:tc>
                  <w:tcPr>
                    <w:tcW w:w="992" w:type="dxa"/>
                    <w:vMerge w:val="restart"/>
                    <w:shd w:val="clear" w:color="auto" w:fill="F2F2F2" w:themeFill="background1" w:themeFillShade="F2"/>
                  </w:tcPr>
                  <w:p>
                    <w:pPr>
                      <w:rPr>
                        <w:color w:val="000000"/>
                        <w:sz w:val="20"/>
                      </w:rPr>
                    </w:pPr>
                    <w:r>
                      <w:rPr>
                        <w:color w:val="000000"/>
                        <w:sz w:val="20"/>
                      </w:rPr>
                      <w:t>-</w:t>
                    </w:r>
                  </w:p>
                </w:tc>
                <w:tc>
                  <w:tcPr>
                    <w:tcW w:w="1279"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tcPr>
                  <w:p>
                    <w:pPr>
                      <w:rPr>
                        <w:b/>
                        <w:bCs/>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Pr>
                  <w:p>
                    <w:pPr>
                      <w:jc w:val="center"/>
                      <w:rPr>
                        <w:sz w:val="20"/>
                      </w:rPr>
                    </w:pPr>
                    <w:r>
                      <w:rPr>
                        <w:sz w:val="20"/>
                        <w:lang w:val="en-US"/>
                      </w:rPr>
                      <w:t>26 359,778</w:t>
                    </w:r>
                  </w:p>
                </w:tc>
                <w:tc>
                  <w:tcPr>
                    <w:tcW w:w="1118" w:type="dxa"/>
                  </w:tcPr>
                  <w:p>
                    <w:pPr>
                      <w:rPr>
                        <w:sz w:val="20"/>
                      </w:rPr>
                    </w:pPr>
                    <w:r>
                      <w:rPr>
                        <w:color w:val="000000"/>
                        <w:sz w:val="20"/>
                      </w:rPr>
                      <w:t>EGADP</w:t>
                    </w:r>
                  </w:p>
                </w:tc>
                <w:tc>
                  <w:tcPr>
                    <w:tcW w:w="2001" w:type="dxa"/>
                    <w:gridSpan w:val="2"/>
                  </w:tcPr>
                  <w:p>
                    <w:pPr>
                      <w:ind w:left="-57" w:right="-57"/>
                      <w:rPr>
                        <w:sz w:val="20"/>
                      </w:rPr>
                    </w:pPr>
                    <w:r>
                      <w:rPr>
                        <w:color w:val="000000"/>
                        <w:sz w:val="20"/>
                      </w:rPr>
                      <w:t xml:space="preserve">R </w:t>
                    </w:r>
                    <w:r>
                      <w:rPr>
                        <w:color w:val="000000"/>
                        <w:szCs w:val="24"/>
                      </w:rPr>
                      <w:t>–</w:t>
                    </w:r>
                    <w:r>
                      <w:rPr>
                        <w:color w:val="000000"/>
                        <w:sz w:val="20"/>
                      </w:rPr>
                      <w:t xml:space="preserve"> 5 metų išgyvenamumas sergant gimdos kaklelio vėžiu (dalis nuo visų atvejų), proc.</w:t>
                    </w:r>
                  </w:p>
                </w:tc>
                <w:tc>
                  <w:tcPr>
                    <w:tcW w:w="1134" w:type="dxa"/>
                    <w:gridSpan w:val="2"/>
                  </w:tcPr>
                  <w:p>
                    <w:pPr>
                      <w:ind w:left="-57" w:right="-57"/>
                      <w:jc w:val="center"/>
                    </w:pPr>
                    <w:r>
                      <w:rPr>
                        <w:color w:val="000000"/>
                        <w:sz w:val="20"/>
                      </w:rPr>
                      <w:t>67,9</w:t>
                    </w:r>
                  </w:p>
                  <w:p>
                    <w:pPr>
                      <w:ind w:left="-57" w:right="-57"/>
                      <w:jc w:val="center"/>
                      <w:rPr>
                        <w:sz w:val="20"/>
                      </w:rPr>
                    </w:pPr>
                    <w:r>
                      <w:rPr>
                        <w:color w:val="000000"/>
                        <w:sz w:val="20"/>
                      </w:rPr>
                      <w:t>(2030 m.)</w:t>
                    </w: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tcPr>
                  <w:p>
                    <w:pPr>
                      <w:rPr>
                        <w:b/>
                        <w:bCs/>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Pr>
                  <w:p>
                    <w:pPr>
                      <w:jc w:val="center"/>
                      <w:rPr>
                        <w:sz w:val="20"/>
                        <w:highlight w:val="yellow"/>
                      </w:rPr>
                    </w:pPr>
                    <w:r>
                      <w:rPr>
                        <w:sz w:val="20"/>
                      </w:rPr>
                      <w:t>5 518,332</w:t>
                    </w:r>
                  </w:p>
                  <w:p>
                    <w:pPr>
                      <w:rPr>
                        <w:sz w:val="20"/>
                      </w:rPr>
                    </w:pPr>
                  </w:p>
                </w:tc>
                <w:tc>
                  <w:tcPr>
                    <w:tcW w:w="1118" w:type="dxa"/>
                  </w:tcPr>
                  <w:p>
                    <w:pPr>
                      <w:rPr>
                        <w:sz w:val="20"/>
                      </w:rPr>
                    </w:pPr>
                    <w:r>
                      <w:rPr>
                        <w:color w:val="000000"/>
                        <w:sz w:val="20"/>
                      </w:rPr>
                      <w:t>PVM iš VB</w:t>
                    </w:r>
                  </w:p>
                </w:tc>
                <w:tc>
                  <w:tcPr>
                    <w:tcW w:w="2001" w:type="dxa"/>
                    <w:gridSpan w:val="2"/>
                  </w:tcPr>
                  <w:p>
                    <w:pPr>
                      <w:ind w:left="-57" w:right="-57"/>
                      <w:rPr>
                        <w:sz w:val="20"/>
                      </w:rPr>
                    </w:pPr>
                    <w:r>
                      <w:rPr>
                        <w:color w:val="000000"/>
                        <w:sz w:val="20"/>
                      </w:rPr>
                      <w:t xml:space="preserve">R </w:t>
                    </w:r>
                    <w:r>
                      <w:rPr>
                        <w:color w:val="000000"/>
                        <w:szCs w:val="24"/>
                      </w:rPr>
                      <w:t>–</w:t>
                    </w:r>
                    <w:r>
                      <w:rPr>
                        <w:color w:val="000000"/>
                        <w:sz w:val="20"/>
                      </w:rPr>
                      <w:t xml:space="preserve"> Vyrų 5 metų išgyvenamumas sergant storosios žarnos vėžiu (dalis nuo visų atvejų), proc.</w:t>
                    </w:r>
                  </w:p>
                </w:tc>
                <w:tc>
                  <w:tcPr>
                    <w:tcW w:w="1134" w:type="dxa"/>
                    <w:gridSpan w:val="2"/>
                  </w:tcPr>
                  <w:p>
                    <w:pPr>
                      <w:ind w:left="-57" w:right="-57"/>
                      <w:jc w:val="center"/>
                    </w:pPr>
                    <w:r>
                      <w:rPr>
                        <w:color w:val="000000"/>
                        <w:sz w:val="20"/>
                      </w:rPr>
                      <w:t>55</w:t>
                    </w:r>
                  </w:p>
                  <w:p>
                    <w:pPr>
                      <w:ind w:left="-57" w:right="-57"/>
                      <w:jc w:val="center"/>
                      <w:rPr>
                        <w:sz w:val="20"/>
                      </w:rPr>
                    </w:pPr>
                    <w:r>
                      <w:rPr>
                        <w:color w:val="000000"/>
                        <w:sz w:val="20"/>
                      </w:rPr>
                      <w:t>(2030 m.)</w:t>
                    </w: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tcPr>
                  <w:p>
                    <w:pPr>
                      <w:rPr>
                        <w:b/>
                        <w:bCs/>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Pr>
                  <w:p>
                    <w:pPr>
                      <w:rPr>
                        <w:sz w:val="20"/>
                      </w:rPr>
                    </w:pPr>
                    <w:r>
                      <w:rPr>
                        <w:color w:val="000000"/>
                        <w:sz w:val="20"/>
                      </w:rPr>
                      <w:t>8 823,193</w:t>
                    </w:r>
                  </w:p>
                </w:tc>
                <w:tc>
                  <w:tcPr>
                    <w:tcW w:w="1118" w:type="dxa"/>
                  </w:tcPr>
                  <w:p>
                    <w:pPr>
                      <w:rPr>
                        <w:sz w:val="20"/>
                      </w:rPr>
                    </w:pPr>
                    <w:r>
                      <w:rPr>
                        <w:color w:val="000000"/>
                        <w:sz w:val="20"/>
                      </w:rPr>
                      <w:t xml:space="preserve">2021–2027 m. IP (ESF+, VVL regionas) </w:t>
                    </w:r>
                  </w:p>
                </w:tc>
                <w:tc>
                  <w:tcPr>
                    <w:tcW w:w="2001" w:type="dxa"/>
                    <w:gridSpan w:val="2"/>
                  </w:tcPr>
                  <w:p>
                    <w:pPr>
                      <w:ind w:left="-57" w:right="-57"/>
                      <w:rPr>
                        <w:sz w:val="20"/>
                      </w:rPr>
                    </w:pPr>
                    <w:r>
                      <w:rPr>
                        <w:color w:val="000000"/>
                        <w:sz w:val="20"/>
                      </w:rPr>
                      <w:t xml:space="preserve">R </w:t>
                    </w:r>
                    <w:r>
                      <w:rPr>
                        <w:color w:val="000000"/>
                        <w:szCs w:val="24"/>
                      </w:rPr>
                      <w:t>–</w:t>
                    </w:r>
                    <w:r>
                      <w:rPr>
                        <w:color w:val="000000"/>
                        <w:sz w:val="20"/>
                      </w:rPr>
                      <w:t xml:space="preserve"> Moterų 5 metų išgyvenamumas sergant storosios žarnos vėžiu (dalis nuo visų atvejų), proc. </w:t>
                    </w:r>
                  </w:p>
                </w:tc>
                <w:tc>
                  <w:tcPr>
                    <w:tcW w:w="1134" w:type="dxa"/>
                    <w:gridSpan w:val="2"/>
                  </w:tcPr>
                  <w:p>
                    <w:pPr>
                      <w:ind w:left="-57" w:right="-57"/>
                      <w:jc w:val="center"/>
                    </w:pPr>
                    <w:r>
                      <w:rPr>
                        <w:color w:val="000000"/>
                        <w:sz w:val="20"/>
                      </w:rPr>
                      <w:t>62,5</w:t>
                    </w:r>
                  </w:p>
                  <w:p>
                    <w:pPr>
                      <w:ind w:left="-57" w:right="-57"/>
                      <w:jc w:val="center"/>
                      <w:rPr>
                        <w:sz w:val="20"/>
                      </w:rPr>
                    </w:pPr>
                    <w:r>
                      <w:rPr>
                        <w:color w:val="000000"/>
                        <w:sz w:val="20"/>
                      </w:rPr>
                      <w:t>(2030 m.)</w:t>
                    </w: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tcPr>
                  <w:p>
                    <w:pPr>
                      <w:rPr>
                        <w:b/>
                        <w:bCs/>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Pr>
                  <w:p>
                    <w:pPr>
                      <w:rPr>
                        <w:sz w:val="20"/>
                      </w:rPr>
                    </w:pPr>
                    <w:r>
                      <w:rPr>
                        <w:color w:val="000000"/>
                        <w:sz w:val="20"/>
                      </w:rPr>
                      <w:t>1 557,034</w:t>
                    </w:r>
                  </w:p>
                </w:tc>
                <w:tc>
                  <w:tcPr>
                    <w:tcW w:w="1118" w:type="dxa"/>
                  </w:tcPr>
                  <w:p>
                    <w:pPr>
                      <w:rPr>
                        <w:sz w:val="20"/>
                      </w:rPr>
                    </w:pPr>
                    <w:r>
                      <w:rPr>
                        <w:color w:val="000000"/>
                        <w:sz w:val="20"/>
                      </w:rPr>
                      <w:t xml:space="preserve">2021–2027 m. IP (BF, VVL regionas) </w:t>
                    </w:r>
                  </w:p>
                </w:tc>
                <w:tc>
                  <w:tcPr>
                    <w:tcW w:w="2001" w:type="dxa"/>
                    <w:gridSpan w:val="2"/>
                  </w:tcPr>
                  <w:p>
                    <w:pPr>
                      <w:ind w:left="-57" w:right="-57"/>
                      <w:rPr>
                        <w:sz w:val="20"/>
                      </w:rPr>
                    </w:pPr>
                    <w:r>
                      <w:rPr>
                        <w:color w:val="000000"/>
                        <w:sz w:val="20"/>
                      </w:rPr>
                      <w:t xml:space="preserve">R </w:t>
                    </w:r>
                    <w:r>
                      <w:rPr>
                        <w:color w:val="000000"/>
                        <w:szCs w:val="24"/>
                      </w:rPr>
                      <w:t>–</w:t>
                    </w:r>
                    <w:r>
                      <w:rPr>
                        <w:color w:val="000000"/>
                        <w:sz w:val="20"/>
                      </w:rPr>
                      <w:t xml:space="preserve"> Mirštamumas nuo miokardo infarkto per 30 dienų nuo hospitalizacijos, proc.</w:t>
                    </w:r>
                  </w:p>
                </w:tc>
                <w:tc>
                  <w:tcPr>
                    <w:tcW w:w="1134" w:type="dxa"/>
                    <w:gridSpan w:val="2"/>
                  </w:tcPr>
                  <w:p>
                    <w:pPr>
                      <w:ind w:left="-57" w:right="-57"/>
                      <w:jc w:val="center"/>
                    </w:pPr>
                    <w:r>
                      <w:rPr>
                        <w:color w:val="000000"/>
                        <w:sz w:val="20"/>
                      </w:rPr>
                      <w:t>9</w:t>
                    </w:r>
                  </w:p>
                  <w:p>
                    <w:pPr>
                      <w:ind w:left="-57" w:right="-57"/>
                      <w:jc w:val="center"/>
                      <w:rPr>
                        <w:sz w:val="20"/>
                      </w:rPr>
                    </w:pPr>
                    <w:r>
                      <w:rPr>
                        <w:color w:val="000000"/>
                        <w:sz w:val="20"/>
                      </w:rPr>
                      <w:t>(2030 m.)</w:t>
                    </w: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tcPr>
                  <w:p>
                    <w:pPr>
                      <w:rPr>
                        <w:b/>
                        <w:bCs/>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Pr>
                  <w:p>
                    <w:pPr>
                      <w:rPr>
                        <w:sz w:val="20"/>
                      </w:rPr>
                    </w:pPr>
                    <w:r>
                      <w:rPr>
                        <w:color w:val="000000"/>
                        <w:sz w:val="20"/>
                      </w:rPr>
                      <w:t>19 000</w:t>
                    </w:r>
                  </w:p>
                </w:tc>
                <w:tc>
                  <w:tcPr>
                    <w:tcW w:w="1118" w:type="dxa"/>
                  </w:tcPr>
                  <w:p>
                    <w:pPr>
                      <w:rPr>
                        <w:sz w:val="20"/>
                      </w:rPr>
                    </w:pPr>
                    <w:r>
                      <w:rPr>
                        <w:color w:val="000000"/>
                        <w:sz w:val="20"/>
                      </w:rPr>
                      <w:t>VB</w:t>
                    </w:r>
                  </w:p>
                </w:tc>
                <w:tc>
                  <w:tcPr>
                    <w:tcW w:w="2001" w:type="dxa"/>
                    <w:gridSpan w:val="2"/>
                  </w:tcPr>
                  <w:p>
                    <w:pPr>
                      <w:ind w:left="-57" w:right="-57"/>
                      <w:rPr>
                        <w:sz w:val="20"/>
                      </w:rPr>
                    </w:pPr>
                    <w:r>
                      <w:rPr>
                        <w:color w:val="000000"/>
                        <w:sz w:val="20"/>
                      </w:rPr>
                      <w:t xml:space="preserve">R </w:t>
                    </w:r>
                    <w:r>
                      <w:rPr>
                        <w:color w:val="000000"/>
                        <w:szCs w:val="24"/>
                      </w:rPr>
                      <w:t xml:space="preserve">– </w:t>
                    </w:r>
                    <w:r>
                      <w:rPr>
                        <w:color w:val="000000"/>
                        <w:sz w:val="20"/>
                      </w:rPr>
                      <w:t>Mirštamumas nuo išeminio galvos smegenų insulto per 30 dienų po hospitalizacijos, proc.</w:t>
                    </w:r>
                  </w:p>
                </w:tc>
                <w:tc>
                  <w:tcPr>
                    <w:tcW w:w="1134" w:type="dxa"/>
                    <w:gridSpan w:val="2"/>
                  </w:tcPr>
                  <w:p>
                    <w:pPr>
                      <w:ind w:left="-57" w:right="-57"/>
                      <w:jc w:val="center"/>
                    </w:pPr>
                    <w:r>
                      <w:rPr>
                        <w:color w:val="000000"/>
                        <w:sz w:val="20"/>
                      </w:rPr>
                      <w:t>12</w:t>
                    </w:r>
                  </w:p>
                  <w:p>
                    <w:pPr>
                      <w:ind w:left="-57" w:right="-57"/>
                      <w:jc w:val="center"/>
                      <w:rPr>
                        <w:sz w:val="20"/>
                      </w:rPr>
                    </w:pPr>
                    <w:r>
                      <w:rPr>
                        <w:color w:val="000000"/>
                        <w:sz w:val="20"/>
                      </w:rPr>
                      <w:t>(2030 m.)</w:t>
                    </w: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1270"/>
                </w:trPr>
                <w:tc>
                  <w:tcPr>
                    <w:tcW w:w="2130" w:type="dxa"/>
                    <w:gridSpan w:val="2"/>
                    <w:vMerge w:val="restart"/>
                  </w:tcPr>
                  <w:p>
                    <w:pPr>
                      <w:rPr>
                        <w:sz w:val="20"/>
                      </w:rPr>
                    </w:pPr>
                    <w:r>
                      <w:rPr>
                        <w:sz w:val="20"/>
                      </w:rPr>
                      <w:t>3.1. Pažangiosios terapijos centro statyba</w:t>
                    </w:r>
                  </w:p>
                  <w:p>
                    <w:pPr>
                      <w:rPr>
                        <w:sz w:val="20"/>
                      </w:rPr>
                    </w:pPr>
                  </w:p>
                </w:tc>
                <w:tc>
                  <w:tcPr>
                    <w:tcW w:w="699" w:type="dxa"/>
                    <w:vMerge w:val="restart"/>
                  </w:tcPr>
                  <w:p>
                    <w:pPr>
                      <w:rPr>
                        <w:color w:val="000000"/>
                        <w:sz w:val="20"/>
                      </w:rPr>
                    </w:pPr>
                    <w:r>
                      <w:rPr>
                        <w:sz w:val="20"/>
                      </w:rPr>
                      <w:t>I</w:t>
                    </w:r>
                  </w:p>
                </w:tc>
                <w:tc>
                  <w:tcPr>
                    <w:tcW w:w="1985" w:type="dxa"/>
                    <w:vMerge w:val="restart"/>
                  </w:tcPr>
                  <w:p>
                    <w:pPr>
                      <w:rPr>
                        <w:color w:val="000000"/>
                        <w:sz w:val="20"/>
                      </w:rPr>
                    </w:pPr>
                    <w:r>
                      <w:rPr>
                        <w:sz w:val="20"/>
                      </w:rPr>
                      <w:t>VšĮ Vilniaus universiteto ligoninė Santaros klinikos</w:t>
                    </w:r>
                  </w:p>
                </w:tc>
                <w:tc>
                  <w:tcPr>
                    <w:tcW w:w="829" w:type="dxa"/>
                    <w:gridSpan w:val="3"/>
                    <w:vMerge w:val="restart"/>
                  </w:tcPr>
                  <w:p>
                    <w:pPr>
                      <w:rPr>
                        <w:color w:val="000000"/>
                        <w:sz w:val="20"/>
                      </w:rPr>
                    </w:pPr>
                    <w:r>
                      <w:rPr>
                        <w:sz w:val="20"/>
                      </w:rPr>
                      <w:t>P</w:t>
                    </w:r>
                  </w:p>
                </w:tc>
                <w:tc>
                  <w:tcPr>
                    <w:tcW w:w="1014" w:type="dxa"/>
                    <w:gridSpan w:val="3"/>
                    <w:vMerge w:val="restart"/>
                  </w:tcPr>
                  <w:p>
                    <w:pPr>
                      <w:jc w:val="center"/>
                      <w:rPr>
                        <w:color w:val="000000"/>
                        <w:sz w:val="20"/>
                      </w:rPr>
                    </w:pPr>
                    <w:r>
                      <w:rPr>
                        <w:sz w:val="20"/>
                      </w:rPr>
                      <w:t>Taip</w:t>
                    </w:r>
                  </w:p>
                </w:tc>
                <w:tc>
                  <w:tcPr>
                    <w:tcW w:w="681" w:type="dxa"/>
                    <w:gridSpan w:val="3"/>
                    <w:vMerge w:val="restart"/>
                  </w:tcPr>
                  <w:p>
                    <w:pPr>
                      <w:jc w:val="center"/>
                      <w:rPr>
                        <w:color w:val="000000"/>
                        <w:sz w:val="20"/>
                      </w:rPr>
                    </w:pPr>
                    <w:r>
                      <w:rPr>
                        <w:sz w:val="20"/>
                      </w:rPr>
                      <w:t>D</w:t>
                    </w:r>
                  </w:p>
                </w:tc>
                <w:tc>
                  <w:tcPr>
                    <w:tcW w:w="1167" w:type="dxa"/>
                    <w:gridSpan w:val="2"/>
                  </w:tcPr>
                  <w:p>
                    <w:pPr>
                      <w:rPr>
                        <w:color w:val="000000"/>
                        <w:sz w:val="20"/>
                      </w:rPr>
                    </w:pPr>
                    <w:r>
                      <w:rPr>
                        <w:bCs/>
                        <w:sz w:val="20"/>
                        <w:lang w:val="en-US"/>
                      </w:rPr>
                      <w:t>20 211,458</w:t>
                    </w:r>
                  </w:p>
                </w:tc>
                <w:tc>
                  <w:tcPr>
                    <w:tcW w:w="1118" w:type="dxa"/>
                    <w:vMerge w:val="restart"/>
                  </w:tcPr>
                  <w:p>
                    <w:pPr>
                      <w:rPr>
                        <w:color w:val="000000"/>
                        <w:sz w:val="20"/>
                      </w:rPr>
                    </w:pPr>
                    <w:r>
                      <w:rPr>
                        <w:sz w:val="20"/>
                      </w:rPr>
                      <w:t>EGADP</w:t>
                    </w:r>
                  </w:p>
                  <w:p>
                    <w:pPr>
                      <w:rPr>
                        <w:color w:val="000000"/>
                        <w:sz w:val="20"/>
                      </w:rPr>
                    </w:pPr>
                    <w:r>
                      <w:rPr>
                        <w:sz w:val="20"/>
                      </w:rPr>
                      <w:t>PVM iš VB</w:t>
                    </w:r>
                  </w:p>
                </w:tc>
                <w:tc>
                  <w:tcPr>
                    <w:tcW w:w="2001" w:type="dxa"/>
                    <w:gridSpan w:val="2"/>
                  </w:tcPr>
                  <w:p>
                    <w:pPr>
                      <w:ind w:left="-57" w:right="-57"/>
                      <w:rPr>
                        <w:sz w:val="20"/>
                      </w:rPr>
                    </w:pPr>
                    <w:r>
                      <w:rPr>
                        <w:sz w:val="20"/>
                      </w:rPr>
                      <w:t>P – Pažangiosios terapijos centro pastato statybos darbų viešojo pirkimo procedūrų užbaigimas, vnt.</w:t>
                    </w:r>
                  </w:p>
                </w:tc>
                <w:tc>
                  <w:tcPr>
                    <w:tcW w:w="1134" w:type="dxa"/>
                    <w:gridSpan w:val="2"/>
                  </w:tcPr>
                  <w:p>
                    <w:pPr>
                      <w:ind w:left="-57" w:right="-57"/>
                      <w:jc w:val="center"/>
                      <w:rPr>
                        <w:color w:val="4EA72E"/>
                        <w:sz w:val="20"/>
                      </w:rPr>
                    </w:pPr>
                    <w:r>
                      <w:rPr>
                        <w:sz w:val="20"/>
                      </w:rPr>
                      <w:t>1</w:t>
                    </w:r>
                  </w:p>
                  <w:p>
                    <w:pPr>
                      <w:ind w:left="-57" w:right="-57"/>
                      <w:jc w:val="center"/>
                      <w:rPr>
                        <w:sz w:val="20"/>
                      </w:rPr>
                    </w:pPr>
                    <w:r>
                      <w:rPr>
                        <w:sz w:val="20"/>
                      </w:rPr>
                      <w:t>(2022 m. IV ketv.)</w:t>
                    </w:r>
                  </w:p>
                </w:tc>
                <w:tc>
                  <w:tcPr>
                    <w:tcW w:w="992" w:type="dxa"/>
                    <w:vMerge w:val="restart"/>
                    <w:tcBorders>
                      <w:top w:val="single" w:sz="4" w:space="0" w:color="auto"/>
                      <w:left w:val="single" w:sz="4" w:space="0" w:color="auto"/>
                      <w:bottom w:val="single" w:sz="4" w:space="0" w:color="auto"/>
                      <w:right w:val="single" w:sz="4" w:space="0" w:color="auto"/>
                    </w:tcBorders>
                  </w:tcPr>
                  <w:p>
                    <w:pPr>
                      <w:jc w:val="center"/>
                      <w:rPr>
                        <w:color w:val="000000"/>
                        <w:sz w:val="20"/>
                      </w:rPr>
                    </w:pPr>
                    <w:r>
                      <w:rPr>
                        <w:kern w:val="2"/>
                        <w:sz w:val="20"/>
                        <w14:ligatures w14:val="standardContextual"/>
                      </w:rPr>
                      <w:t>CPVA</w:t>
                    </w:r>
                  </w:p>
                </w:tc>
                <w:tc>
                  <w:tcPr>
                    <w:tcW w:w="1279" w:type="dxa"/>
                    <w:vMerge w:val="restart"/>
                    <w:tcBorders>
                      <w:top w:val="single" w:sz="4" w:space="0" w:color="auto"/>
                      <w:left w:val="single" w:sz="4" w:space="0" w:color="auto"/>
                      <w:bottom w:val="single" w:sz="4" w:space="0" w:color="auto"/>
                      <w:right w:val="single" w:sz="4" w:space="0" w:color="auto"/>
                    </w:tcBorders>
                  </w:tcPr>
                  <w:p>
                    <w:pPr>
                      <w:jc w:val="center"/>
                      <w:rPr>
                        <w:color w:val="000000"/>
                        <w:sz w:val="20"/>
                      </w:rPr>
                    </w:pPr>
                    <w:r>
                      <w:rPr>
                        <w:color w:val="000000"/>
                        <w:kern w:val="2"/>
                        <w:sz w:val="20"/>
                        <w14:ligatures w14:val="standardContextual"/>
                      </w:rPr>
                      <w:t>SAM</w:t>
                    </w:r>
                  </w:p>
                </w:tc>
              </w:tr>
              <w:tr>
                <w:trPr>
                  <w:trHeight w:val="603"/>
                </w:trPr>
                <w:tc>
                  <w:tcPr>
                    <w:tcW w:w="2130" w:type="dxa"/>
                    <w:gridSpan w:val="2"/>
                    <w:vMerge/>
                  </w:tcPr>
                  <w:p>
                    <w:pPr>
                      <w:rPr>
                        <w:sz w:val="20"/>
                      </w:rPr>
                    </w:pPr>
                  </w:p>
                </w:tc>
                <w:tc>
                  <w:tcPr>
                    <w:tcW w:w="699" w:type="dxa"/>
                    <w:vMerge/>
                  </w:tcPr>
                  <w:p>
                    <w:pPr>
                      <w:rPr>
                        <w:color w:val="000000"/>
                        <w:sz w:val="20"/>
                      </w:rPr>
                    </w:pPr>
                  </w:p>
                </w:tc>
                <w:tc>
                  <w:tcPr>
                    <w:tcW w:w="1985" w:type="dxa"/>
                    <w:vMerge/>
                  </w:tcPr>
                  <w:p>
                    <w:pPr>
                      <w:rPr>
                        <w:color w:val="000000"/>
                        <w:sz w:val="20"/>
                      </w:rPr>
                    </w:pPr>
                  </w:p>
                </w:tc>
                <w:tc>
                  <w:tcPr>
                    <w:tcW w:w="829" w:type="dxa"/>
                    <w:gridSpan w:val="3"/>
                    <w:vMerge/>
                  </w:tcPr>
                  <w:p>
                    <w:pPr>
                      <w:rPr>
                        <w:color w:val="000000"/>
                        <w:sz w:val="20"/>
                      </w:rPr>
                    </w:pPr>
                  </w:p>
                </w:tc>
                <w:tc>
                  <w:tcPr>
                    <w:tcW w:w="1014" w:type="dxa"/>
                    <w:gridSpan w:val="3"/>
                    <w:vMerge/>
                  </w:tcPr>
                  <w:p>
                    <w:pPr>
                      <w:rPr>
                        <w:color w:val="000000"/>
                        <w:sz w:val="20"/>
                      </w:rPr>
                    </w:pPr>
                  </w:p>
                </w:tc>
                <w:tc>
                  <w:tcPr>
                    <w:tcW w:w="681" w:type="dxa"/>
                    <w:gridSpan w:val="3"/>
                    <w:vMerge/>
                  </w:tcPr>
                  <w:p>
                    <w:pPr>
                      <w:rPr>
                        <w:color w:val="000000"/>
                        <w:sz w:val="20"/>
                      </w:rPr>
                    </w:pPr>
                  </w:p>
                </w:tc>
                <w:tc>
                  <w:tcPr>
                    <w:tcW w:w="1167" w:type="dxa"/>
                    <w:gridSpan w:val="2"/>
                    <w:vMerge w:val="restart"/>
                  </w:tcPr>
                  <w:p>
                    <w:pPr>
                      <w:rPr>
                        <w:color w:val="000000"/>
                        <w:sz w:val="20"/>
                      </w:rPr>
                    </w:pPr>
                    <w:r>
                      <w:rPr>
                        <w:bCs/>
                        <w:sz w:val="20"/>
                      </w:rPr>
                      <w:t>4 230,18</w:t>
                    </w:r>
                    <w:r>
                      <w:rPr>
                        <w:bCs/>
                        <w:sz w:val="20"/>
                        <w:lang w:val="en-US"/>
                      </w:rPr>
                      <w:t>5</w:t>
                    </w:r>
                  </w:p>
                </w:tc>
                <w:tc>
                  <w:tcPr>
                    <w:tcW w:w="1118" w:type="dxa"/>
                    <w:vMerge/>
                  </w:tcPr>
                  <w:p>
                    <w:pPr>
                      <w:rPr>
                        <w:color w:val="000000"/>
                        <w:sz w:val="20"/>
                      </w:rPr>
                    </w:pPr>
                  </w:p>
                </w:tc>
                <w:tc>
                  <w:tcPr>
                    <w:tcW w:w="2001" w:type="dxa"/>
                    <w:gridSpan w:val="2"/>
                  </w:tcPr>
                  <w:p>
                    <w:pPr>
                      <w:ind w:left="-57" w:right="-57"/>
                      <w:rPr>
                        <w:color w:val="FF0000"/>
                        <w:sz w:val="20"/>
                      </w:rPr>
                    </w:pPr>
                    <w:r>
                      <w:rPr>
                        <w:sz w:val="20"/>
                      </w:rPr>
                      <w:t>P – Pažangiosios</w:t>
                    </w:r>
                    <w:r>
                      <w:rPr>
                        <w:b/>
                        <w:bCs/>
                        <w:sz w:val="20"/>
                      </w:rPr>
                      <w:t xml:space="preserve"> </w:t>
                    </w:r>
                    <w:r>
                      <w:rPr>
                        <w:sz w:val="20"/>
                      </w:rPr>
                      <w:t>terapijos centras, vnt.</w:t>
                    </w:r>
                  </w:p>
                </w:tc>
                <w:tc>
                  <w:tcPr>
                    <w:tcW w:w="1134" w:type="dxa"/>
                    <w:gridSpan w:val="2"/>
                  </w:tcPr>
                  <w:p>
                    <w:pPr>
                      <w:jc w:val="center"/>
                      <w:rPr>
                        <w:sz w:val="20"/>
                      </w:rPr>
                    </w:pPr>
                    <w:r>
                      <w:rPr>
                        <w:sz w:val="20"/>
                      </w:rPr>
                      <w:t>1</w:t>
                    </w:r>
                  </w:p>
                  <w:p>
                    <w:pPr>
                      <w:ind w:left="-57" w:right="-57"/>
                      <w:jc w:val="center"/>
                      <w:rPr>
                        <w:sz w:val="20"/>
                      </w:rPr>
                    </w:pPr>
                    <w:r>
                      <w:rPr>
                        <w:sz w:val="20"/>
                      </w:rPr>
                      <w:t>2026 m. II ketv.</w:t>
                    </w: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761"/>
                </w:trPr>
                <w:tc>
                  <w:tcPr>
                    <w:tcW w:w="2130" w:type="dxa"/>
                    <w:gridSpan w:val="2"/>
                    <w:vMerge/>
                  </w:tcPr>
                  <w:p>
                    <w:pPr>
                      <w:rPr>
                        <w:sz w:val="20"/>
                      </w:rPr>
                    </w:pPr>
                  </w:p>
                </w:tc>
                <w:tc>
                  <w:tcPr>
                    <w:tcW w:w="699" w:type="dxa"/>
                    <w:vMerge/>
                  </w:tcPr>
                  <w:p>
                    <w:pPr>
                      <w:rPr>
                        <w:color w:val="000000"/>
                        <w:sz w:val="20"/>
                      </w:rPr>
                    </w:pPr>
                  </w:p>
                </w:tc>
                <w:tc>
                  <w:tcPr>
                    <w:tcW w:w="1985" w:type="dxa"/>
                    <w:vMerge/>
                  </w:tcPr>
                  <w:p>
                    <w:pPr>
                      <w:rPr>
                        <w:color w:val="000000"/>
                        <w:sz w:val="20"/>
                      </w:rPr>
                    </w:pPr>
                  </w:p>
                </w:tc>
                <w:tc>
                  <w:tcPr>
                    <w:tcW w:w="829" w:type="dxa"/>
                    <w:gridSpan w:val="3"/>
                    <w:vMerge/>
                  </w:tcPr>
                  <w:p>
                    <w:pPr>
                      <w:rPr>
                        <w:color w:val="000000"/>
                        <w:sz w:val="20"/>
                      </w:rPr>
                    </w:pPr>
                  </w:p>
                </w:tc>
                <w:tc>
                  <w:tcPr>
                    <w:tcW w:w="1014" w:type="dxa"/>
                    <w:gridSpan w:val="3"/>
                    <w:vMerge/>
                  </w:tcPr>
                  <w:p>
                    <w:pPr>
                      <w:rPr>
                        <w:color w:val="000000"/>
                        <w:sz w:val="20"/>
                      </w:rPr>
                    </w:pPr>
                  </w:p>
                </w:tc>
                <w:tc>
                  <w:tcPr>
                    <w:tcW w:w="681" w:type="dxa"/>
                    <w:gridSpan w:val="3"/>
                    <w:vMerge/>
                  </w:tcPr>
                  <w:p>
                    <w:pPr>
                      <w:rPr>
                        <w:color w:val="000000"/>
                        <w:sz w:val="20"/>
                      </w:rPr>
                    </w:pPr>
                  </w:p>
                </w:tc>
                <w:tc>
                  <w:tcPr>
                    <w:tcW w:w="1167" w:type="dxa"/>
                    <w:gridSpan w:val="2"/>
                    <w:vMerge/>
                  </w:tcPr>
                  <w:p>
                    <w:pPr>
                      <w:rPr>
                        <w:color w:val="000000"/>
                        <w:sz w:val="20"/>
                      </w:rPr>
                    </w:pPr>
                  </w:p>
                </w:tc>
                <w:tc>
                  <w:tcPr>
                    <w:tcW w:w="1118" w:type="dxa"/>
                    <w:vMerge/>
                  </w:tcPr>
                  <w:p>
                    <w:pPr>
                      <w:rPr>
                        <w:color w:val="000000"/>
                        <w:sz w:val="20"/>
                      </w:rPr>
                    </w:pPr>
                  </w:p>
                </w:tc>
                <w:tc>
                  <w:tcPr>
                    <w:tcW w:w="2001" w:type="dxa"/>
                    <w:gridSpan w:val="2"/>
                  </w:tcPr>
                  <w:p>
                    <w:pPr>
                      <w:ind w:left="-57" w:right="-57"/>
                      <w:rPr>
                        <w:color w:val="FF0000"/>
                        <w:sz w:val="20"/>
                      </w:rPr>
                    </w:pPr>
                    <w:r>
                      <w:rPr>
                        <w:sz w:val="20"/>
                      </w:rPr>
                      <w:t>R – Naujos arba modernizuotos sveikatos priežiūros infrastruktūros talpumas, asmenys per metus</w:t>
                    </w:r>
                  </w:p>
                </w:tc>
                <w:tc>
                  <w:tcPr>
                    <w:tcW w:w="1134" w:type="dxa"/>
                    <w:gridSpan w:val="2"/>
                  </w:tcPr>
                  <w:p>
                    <w:pPr>
                      <w:ind w:left="-57" w:right="-57"/>
                      <w:jc w:val="center"/>
                      <w:rPr>
                        <w:sz w:val="20"/>
                      </w:rPr>
                    </w:pPr>
                    <w:r>
                      <w:rPr>
                        <w:sz w:val="20"/>
                      </w:rPr>
                      <w:t>n/a</w:t>
                    </w:r>
                  </w:p>
                  <w:p>
                    <w:pPr>
                      <w:ind w:left="-57" w:right="-57"/>
                      <w:jc w:val="center"/>
                      <w:rPr>
                        <w:color w:val="FF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1162"/>
                </w:trPr>
                <w:tc>
                  <w:tcPr>
                    <w:tcW w:w="2130" w:type="dxa"/>
                    <w:gridSpan w:val="2"/>
                    <w:vMerge w:val="restart"/>
                  </w:tcPr>
                  <w:p>
                    <w:pPr>
                      <w:rPr>
                        <w:sz w:val="20"/>
                      </w:rPr>
                    </w:pPr>
                    <w:r>
                      <w:rPr>
                        <w:sz w:val="20"/>
                      </w:rPr>
                      <w:t>3.2. Genomo tyrimams atlikti reikalingos įrangos įsigijimas ir tyrimų atlikimas</w:t>
                    </w:r>
                  </w:p>
                  <w:p>
                    <w:pPr>
                      <w:rPr>
                        <w:sz w:val="20"/>
                      </w:rPr>
                    </w:pPr>
                  </w:p>
                </w:tc>
                <w:tc>
                  <w:tcPr>
                    <w:tcW w:w="699" w:type="dxa"/>
                    <w:vMerge w:val="restart"/>
                  </w:tcPr>
                  <w:p>
                    <w:pPr>
                      <w:rPr>
                        <w:color w:val="000000"/>
                        <w:sz w:val="20"/>
                      </w:rPr>
                    </w:pPr>
                    <w:r>
                      <w:rPr>
                        <w:sz w:val="20"/>
                      </w:rPr>
                      <w:t>I</w:t>
                    </w:r>
                  </w:p>
                </w:tc>
                <w:tc>
                  <w:tcPr>
                    <w:tcW w:w="1985" w:type="dxa"/>
                    <w:vMerge w:val="restart"/>
                  </w:tcPr>
                  <w:p>
                    <w:pPr>
                      <w:rPr>
                        <w:color w:val="000000"/>
                        <w:sz w:val="20"/>
                      </w:rPr>
                    </w:pPr>
                    <w:r>
                      <w:rPr>
                        <w:sz w:val="20"/>
                      </w:rPr>
                      <w:t>ASPĮ</w:t>
                    </w:r>
                  </w:p>
                </w:tc>
                <w:tc>
                  <w:tcPr>
                    <w:tcW w:w="829" w:type="dxa"/>
                    <w:gridSpan w:val="3"/>
                    <w:vMerge w:val="restart"/>
                  </w:tcPr>
                  <w:p>
                    <w:pPr>
                      <w:rPr>
                        <w:color w:val="000000"/>
                        <w:sz w:val="20"/>
                      </w:rPr>
                    </w:pPr>
                    <w:r>
                      <w:rPr>
                        <w:sz w:val="20"/>
                      </w:rPr>
                      <w:t>P</w:t>
                    </w:r>
                  </w:p>
                </w:tc>
                <w:tc>
                  <w:tcPr>
                    <w:tcW w:w="1014" w:type="dxa"/>
                    <w:gridSpan w:val="3"/>
                    <w:vMerge w:val="restart"/>
                  </w:tcPr>
                  <w:p>
                    <w:pPr>
                      <w:rPr>
                        <w:color w:val="000000"/>
                        <w:sz w:val="20"/>
                      </w:rPr>
                    </w:pPr>
                    <w:r>
                      <w:rPr>
                        <w:sz w:val="20"/>
                      </w:rPr>
                      <w:t>Taip</w:t>
                    </w:r>
                  </w:p>
                </w:tc>
                <w:tc>
                  <w:tcPr>
                    <w:tcW w:w="681" w:type="dxa"/>
                    <w:gridSpan w:val="3"/>
                    <w:vMerge w:val="restart"/>
                  </w:tcPr>
                  <w:p>
                    <w:pPr>
                      <w:rPr>
                        <w:color w:val="000000"/>
                        <w:sz w:val="20"/>
                      </w:rPr>
                    </w:pPr>
                    <w:r>
                      <w:rPr>
                        <w:sz w:val="20"/>
                      </w:rPr>
                      <w:t>D</w:t>
                    </w:r>
                  </w:p>
                </w:tc>
                <w:tc>
                  <w:tcPr>
                    <w:tcW w:w="1167" w:type="dxa"/>
                    <w:gridSpan w:val="2"/>
                  </w:tcPr>
                  <w:p>
                    <w:pPr>
                      <w:rPr>
                        <w:color w:val="000000"/>
                        <w:sz w:val="20"/>
                      </w:rPr>
                    </w:pPr>
                    <w:r>
                      <w:rPr>
                        <w:sz w:val="20"/>
                      </w:rPr>
                      <w:t>6 148,320</w:t>
                    </w:r>
                  </w:p>
                </w:tc>
                <w:tc>
                  <w:tcPr>
                    <w:tcW w:w="1118" w:type="dxa"/>
                  </w:tcPr>
                  <w:p>
                    <w:pPr>
                      <w:rPr>
                        <w:color w:val="000000"/>
                        <w:sz w:val="20"/>
                      </w:rPr>
                    </w:pPr>
                    <w:r>
                      <w:rPr>
                        <w:sz w:val="20"/>
                      </w:rPr>
                      <w:t>EGADP</w:t>
                    </w:r>
                  </w:p>
                </w:tc>
                <w:tc>
                  <w:tcPr>
                    <w:tcW w:w="2001" w:type="dxa"/>
                    <w:gridSpan w:val="2"/>
                  </w:tcPr>
                  <w:p>
                    <w:pPr>
                      <w:ind w:left="-57" w:right="-57"/>
                      <w:rPr>
                        <w:sz w:val="20"/>
                      </w:rPr>
                    </w:pPr>
                    <w:r>
                      <w:rPr>
                        <w:sz w:val="20"/>
                      </w:rPr>
                      <w:t>P – Patvirtinti teisės aktai dėl genomo tyrimų, vnt.</w:t>
                    </w:r>
                  </w:p>
                </w:tc>
                <w:tc>
                  <w:tcPr>
                    <w:tcW w:w="1134" w:type="dxa"/>
                    <w:gridSpan w:val="2"/>
                  </w:tcPr>
                  <w:p>
                    <w:pPr>
                      <w:ind w:left="-57" w:right="-57"/>
                      <w:jc w:val="center"/>
                      <w:rPr>
                        <w:color w:val="4EA72E"/>
                        <w:sz w:val="20"/>
                      </w:rPr>
                    </w:pPr>
                    <w:r>
                      <w:rPr>
                        <w:sz w:val="20"/>
                      </w:rPr>
                      <w:t>1</w:t>
                    </w:r>
                  </w:p>
                  <w:p>
                    <w:pPr>
                      <w:ind w:left="-57" w:right="-57"/>
                      <w:jc w:val="center"/>
                      <w:rPr>
                        <w:sz w:val="20"/>
                      </w:rPr>
                    </w:pPr>
                    <w:r>
                      <w:rPr>
                        <w:sz w:val="20"/>
                      </w:rPr>
                      <w:t>(2023 m. II ketv.)</w:t>
                    </w:r>
                  </w:p>
                </w:tc>
                <w:tc>
                  <w:tcPr>
                    <w:tcW w:w="992" w:type="dxa"/>
                    <w:vMerge w:val="restart"/>
                    <w:tcBorders>
                      <w:top w:val="single" w:sz="4" w:space="0" w:color="auto"/>
                      <w:left w:val="single" w:sz="4" w:space="0" w:color="auto"/>
                      <w:right w:val="single" w:sz="4" w:space="0" w:color="auto"/>
                    </w:tcBorders>
                  </w:tcPr>
                  <w:p>
                    <w:pPr>
                      <w:rPr>
                        <w:color w:val="000000"/>
                        <w:sz w:val="20"/>
                      </w:rPr>
                    </w:pPr>
                    <w:r>
                      <w:rPr>
                        <w:kern w:val="2"/>
                        <w:sz w:val="20"/>
                        <w14:ligatures w14:val="standardContextual"/>
                      </w:rPr>
                      <w:t>CPVA</w:t>
                    </w:r>
                  </w:p>
                </w:tc>
                <w:tc>
                  <w:tcPr>
                    <w:tcW w:w="1279" w:type="dxa"/>
                    <w:vMerge w:val="restart"/>
                    <w:tcBorders>
                      <w:top w:val="single" w:sz="4" w:space="0" w:color="auto"/>
                      <w:left w:val="single" w:sz="4" w:space="0" w:color="auto"/>
                      <w:right w:val="single" w:sz="4" w:space="0" w:color="auto"/>
                    </w:tcBorders>
                  </w:tcPr>
                  <w:p>
                    <w:pPr>
                      <w:jc w:val="center"/>
                      <w:rPr>
                        <w:color w:val="000000"/>
                        <w:sz w:val="20"/>
                      </w:rPr>
                    </w:pPr>
                    <w:r>
                      <w:rPr>
                        <w:color w:val="000000"/>
                        <w:kern w:val="2"/>
                        <w:sz w:val="20"/>
                        <w14:ligatures w14:val="standardContextual"/>
                      </w:rPr>
                      <w:t>SAM</w:t>
                    </w:r>
                  </w:p>
                </w:tc>
              </w:tr>
              <w:tr>
                <w:trPr>
                  <w:trHeight w:val="1724"/>
                </w:trPr>
                <w:tc>
                  <w:tcPr>
                    <w:tcW w:w="2130" w:type="dxa"/>
                    <w:gridSpan w:val="2"/>
                    <w:vMerge/>
                  </w:tcPr>
                  <w:p>
                    <w:pPr>
                      <w:rPr>
                        <w:color w:val="000000"/>
                        <w:sz w:val="20"/>
                      </w:rPr>
                    </w:pPr>
                  </w:p>
                </w:tc>
                <w:tc>
                  <w:tcPr>
                    <w:tcW w:w="699" w:type="dxa"/>
                    <w:vMerge/>
                  </w:tcPr>
                  <w:p>
                    <w:pPr>
                      <w:rPr>
                        <w:kern w:val="2"/>
                        <w:sz w:val="20"/>
                        <w14:ligatures w14:val="standardContextual"/>
                      </w:rPr>
                    </w:pPr>
                  </w:p>
                </w:tc>
                <w:tc>
                  <w:tcPr>
                    <w:tcW w:w="1985" w:type="dxa"/>
                    <w:vMerge/>
                  </w:tcPr>
                  <w:p>
                    <w:pPr>
                      <w:rPr>
                        <w:kern w:val="2"/>
                        <w:sz w:val="20"/>
                        <w14:ligatures w14:val="standardContextual"/>
                      </w:rPr>
                    </w:pPr>
                  </w:p>
                </w:tc>
                <w:tc>
                  <w:tcPr>
                    <w:tcW w:w="829" w:type="dxa"/>
                    <w:gridSpan w:val="3"/>
                    <w:vMerge/>
                  </w:tcPr>
                  <w:p>
                    <w:pPr>
                      <w:rPr>
                        <w:kern w:val="2"/>
                        <w:sz w:val="20"/>
                        <w14:ligatures w14:val="standardContextual"/>
                      </w:rPr>
                    </w:pPr>
                  </w:p>
                </w:tc>
                <w:tc>
                  <w:tcPr>
                    <w:tcW w:w="1014" w:type="dxa"/>
                    <w:gridSpan w:val="3"/>
                    <w:vMerge/>
                  </w:tcPr>
                  <w:p>
                    <w:pPr>
                      <w:rPr>
                        <w:kern w:val="2"/>
                        <w:sz w:val="20"/>
                        <w14:ligatures w14:val="standardContextual"/>
                      </w:rPr>
                    </w:pPr>
                  </w:p>
                </w:tc>
                <w:tc>
                  <w:tcPr>
                    <w:tcW w:w="681" w:type="dxa"/>
                    <w:gridSpan w:val="3"/>
                    <w:vMerge/>
                  </w:tcPr>
                  <w:p>
                    <w:pPr>
                      <w:rPr>
                        <w:kern w:val="2"/>
                        <w:sz w:val="20"/>
                        <w14:ligatures w14:val="standardContextual"/>
                      </w:rPr>
                    </w:pPr>
                  </w:p>
                </w:tc>
                <w:tc>
                  <w:tcPr>
                    <w:tcW w:w="1167" w:type="dxa"/>
                    <w:gridSpan w:val="2"/>
                  </w:tcPr>
                  <w:p>
                    <w:pPr>
                      <w:rPr>
                        <w:kern w:val="2"/>
                        <w:sz w:val="20"/>
                        <w14:ligatures w14:val="standardContextual"/>
                      </w:rPr>
                    </w:pPr>
                    <w:r>
                      <w:rPr>
                        <w:sz w:val="20"/>
                      </w:rPr>
                      <w:t>1 288,147</w:t>
                    </w:r>
                  </w:p>
                </w:tc>
                <w:tc>
                  <w:tcPr>
                    <w:tcW w:w="1118" w:type="dxa"/>
                  </w:tcPr>
                  <w:p>
                    <w:pPr>
                      <w:rPr>
                        <w:kern w:val="2"/>
                        <w:sz w:val="20"/>
                        <w14:ligatures w14:val="standardContextual"/>
                      </w:rPr>
                    </w:pPr>
                    <w:r>
                      <w:rPr>
                        <w:sz w:val="20"/>
                      </w:rPr>
                      <w:t>PVM iš VB</w:t>
                    </w:r>
                  </w:p>
                </w:tc>
                <w:tc>
                  <w:tcPr>
                    <w:tcW w:w="2001" w:type="dxa"/>
                    <w:gridSpan w:val="2"/>
                  </w:tcPr>
                  <w:p>
                    <w:pPr>
                      <w:ind w:left="-57" w:right="-57"/>
                      <w:rPr>
                        <w:kern w:val="2"/>
                        <w:sz w:val="20"/>
                        <w14:ligatures w14:val="standardContextual"/>
                      </w:rPr>
                    </w:pPr>
                    <w:r>
                      <w:rPr>
                        <w:sz w:val="20"/>
                      </w:rPr>
                      <w:t>P – Atliktų žmogaus genomo sekos nustatymo tyrimų skaičius, vnt.</w:t>
                    </w:r>
                  </w:p>
                </w:tc>
                <w:tc>
                  <w:tcPr>
                    <w:tcW w:w="1134" w:type="dxa"/>
                    <w:gridSpan w:val="2"/>
                  </w:tcPr>
                  <w:p>
                    <w:pPr>
                      <w:ind w:left="-57" w:right="-57"/>
                      <w:jc w:val="center"/>
                      <w:rPr>
                        <w:sz w:val="20"/>
                      </w:rPr>
                    </w:pPr>
                    <w:r>
                      <w:rPr>
                        <w:sz w:val="20"/>
                      </w:rPr>
                      <w:t>1 570</w:t>
                    </w:r>
                  </w:p>
                  <w:p>
                    <w:pPr>
                      <w:spacing w:line="276" w:lineRule="auto"/>
                      <w:ind w:left="-57" w:right="-57"/>
                      <w:jc w:val="center"/>
                      <w:rPr>
                        <w:kern w:val="2"/>
                        <w:sz w:val="20"/>
                        <w14:ligatures w14:val="standardContextual"/>
                      </w:rPr>
                    </w:pPr>
                    <w:r>
                      <w:rPr>
                        <w:sz w:val="20"/>
                      </w:rPr>
                      <w:t>(2026 m. I ketv.)</w:t>
                    </w:r>
                  </w:p>
                </w:tc>
                <w:tc>
                  <w:tcPr>
                    <w:tcW w:w="992" w:type="dxa"/>
                    <w:vMerge/>
                    <w:tcBorders>
                      <w:left w:val="single" w:sz="4" w:space="0" w:color="auto"/>
                      <w:bottom w:val="single" w:sz="4" w:space="0" w:color="auto"/>
                      <w:right w:val="single" w:sz="4" w:space="0" w:color="auto"/>
                    </w:tcBorders>
                  </w:tcPr>
                  <w:p>
                    <w:pPr>
                      <w:rPr>
                        <w:kern w:val="2"/>
                        <w:sz w:val="20"/>
                        <w14:ligatures w14:val="standardContextual"/>
                      </w:rPr>
                    </w:pPr>
                  </w:p>
                </w:tc>
                <w:tc>
                  <w:tcPr>
                    <w:tcW w:w="1279" w:type="dxa"/>
                    <w:vMerge/>
                    <w:tcBorders>
                      <w:left w:val="single" w:sz="4" w:space="0" w:color="auto"/>
                      <w:bottom w:val="single" w:sz="4" w:space="0" w:color="auto"/>
                      <w:right w:val="single" w:sz="4" w:space="0" w:color="auto"/>
                    </w:tcBorders>
                  </w:tcPr>
                  <w:p>
                    <w:pPr>
                      <w:jc w:val="center"/>
                      <w:rPr>
                        <w:color w:val="000000"/>
                        <w:kern w:val="2"/>
                        <w:sz w:val="20"/>
                        <w14:ligatures w14:val="standardContextual"/>
                      </w:rPr>
                    </w:pPr>
                  </w:p>
                </w:tc>
              </w:tr>
              <w:tr>
                <w:trPr>
                  <w:trHeight w:val="1176"/>
                </w:trPr>
                <w:tc>
                  <w:tcPr>
                    <w:tcW w:w="2130" w:type="dxa"/>
                    <w:gridSpan w:val="2"/>
                    <w:vMerge w:val="restart"/>
                  </w:tcPr>
                  <w:p>
                    <w:pPr>
                      <w:rPr>
                        <w:iCs/>
                        <w:sz w:val="20"/>
                      </w:rPr>
                    </w:pPr>
                    <w:r>
                      <w:rPr>
                        <w:iCs/>
                        <w:sz w:val="20"/>
                      </w:rPr>
                      <w:t>3.3. Inovatyvių specializuotų sveikatos priežiūros paslaugų teikimo ir organizavimo modelių kūrimas ir išbandymas, Vidurio ir vakarų Lietuvos regionas</w:t>
                    </w:r>
                  </w:p>
                </w:tc>
                <w:tc>
                  <w:tcPr>
                    <w:tcW w:w="699" w:type="dxa"/>
                    <w:vMerge w:val="restart"/>
                  </w:tcPr>
                  <w:p>
                    <w:pPr>
                      <w:rPr>
                        <w:sz w:val="20"/>
                      </w:rPr>
                    </w:pPr>
                    <w:r>
                      <w:rPr>
                        <w:sz w:val="20"/>
                      </w:rPr>
                      <w:t>I</w:t>
                    </w:r>
                  </w:p>
                </w:tc>
                <w:tc>
                  <w:tcPr>
                    <w:tcW w:w="1985" w:type="dxa"/>
                    <w:vMerge w:val="restart"/>
                  </w:tcPr>
                  <w:p>
                    <w:pPr>
                      <w:jc w:val="center"/>
                      <w:rPr>
                        <w:sz w:val="20"/>
                      </w:rPr>
                    </w:pPr>
                    <w:r>
                      <w:rPr>
                        <w:sz w:val="20"/>
                      </w:rPr>
                      <w:t>ASPĮ</w:t>
                    </w:r>
                    <w:r>
                      <w:rPr>
                        <w:color w:val="000000"/>
                        <w:sz w:val="20"/>
                      </w:rPr>
                      <w:t xml:space="preserve"> </w:t>
                    </w:r>
                  </w:p>
                  <w:p>
                    <w:pPr>
                      <w:rPr>
                        <w:strike/>
                        <w:sz w:val="20"/>
                      </w:rPr>
                    </w:pPr>
                  </w:p>
                  <w:p>
                    <w:pPr>
                      <w:jc w:val="center"/>
                      <w:rPr>
                        <w:sz w:val="20"/>
                      </w:rPr>
                    </w:pP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vMerge w:val="restart"/>
                  </w:tcPr>
                  <w:p>
                    <w:pPr>
                      <w:rPr>
                        <w:sz w:val="20"/>
                      </w:rPr>
                    </w:pPr>
                    <w:r>
                      <w:rPr>
                        <w:sz w:val="20"/>
                      </w:rPr>
                      <w:t>5 525</w:t>
                    </w:r>
                  </w:p>
                  <w:p>
                    <w:pPr>
                      <w:rPr>
                        <w:sz w:val="20"/>
                      </w:rPr>
                    </w:pPr>
                  </w:p>
                  <w:p>
                    <w:pPr>
                      <w:rPr>
                        <w:sz w:val="20"/>
                      </w:rPr>
                    </w:pPr>
                  </w:p>
                </w:tc>
                <w:tc>
                  <w:tcPr>
                    <w:tcW w:w="1118" w:type="dxa"/>
                    <w:vMerge w:val="restart"/>
                  </w:tcPr>
                  <w:p>
                    <w:pPr>
                      <w:rPr>
                        <w:sz w:val="20"/>
                      </w:rPr>
                    </w:pPr>
                    <w:r>
                      <w:rPr>
                        <w:sz w:val="20"/>
                      </w:rPr>
                      <w:t>2021–2027 m. IP (ESF</w:t>
                    </w:r>
                    <w:r>
                      <w:rPr>
                        <w:sz w:val="20"/>
                        <w:lang w:val="en-US"/>
                      </w:rPr>
                      <w:t>+</w:t>
                    </w:r>
                    <w:r>
                      <w:rPr>
                        <w:sz w:val="20"/>
                      </w:rPr>
                      <w:t xml:space="preserve">) </w:t>
                    </w:r>
                  </w:p>
                </w:tc>
                <w:tc>
                  <w:tcPr>
                    <w:tcW w:w="2001" w:type="dxa"/>
                    <w:gridSpan w:val="2"/>
                    <w:tcBorders>
                      <w:top w:val="single" w:sz="4" w:space="0" w:color="auto"/>
                      <w:left w:val="single" w:sz="4" w:space="0" w:color="auto"/>
                      <w:right w:val="single" w:sz="4" w:space="0" w:color="auto"/>
                    </w:tcBorders>
                  </w:tcPr>
                  <w:p>
                    <w:pPr>
                      <w:ind w:left="-57" w:right="-57"/>
                      <w:rPr>
                        <w:sz w:val="20"/>
                      </w:rPr>
                    </w:pPr>
                    <w:r>
                      <w:rPr>
                        <w:sz w:val="20"/>
                      </w:rPr>
                      <w:t xml:space="preserve">P </w:t>
                    </w:r>
                    <w:r>
                      <w:rPr>
                        <w:color w:val="000000"/>
                        <w:sz w:val="20"/>
                      </w:rPr>
                      <w:t xml:space="preserve">– </w:t>
                    </w:r>
                    <w:r>
                      <w:rPr>
                        <w:sz w:val="20"/>
                      </w:rPr>
                      <w:t>Paramą gavusių nacionalinio, regionų ar vietos lygmens viešojo administravimo ar viešąsias paslaugas teikiančių įstaigų skaičius, subjektų skaičius</w:t>
                    </w:r>
                  </w:p>
                </w:tc>
                <w:tc>
                  <w:tcPr>
                    <w:tcW w:w="1134" w:type="dxa"/>
                    <w:gridSpan w:val="2"/>
                  </w:tcPr>
                  <w:p>
                    <w:pPr>
                      <w:ind w:left="-57" w:right="-57"/>
                      <w:jc w:val="center"/>
                      <w:rPr>
                        <w:sz w:val="20"/>
                      </w:rPr>
                    </w:pPr>
                    <w:r>
                      <w:rPr>
                        <w:sz w:val="20"/>
                      </w:rPr>
                      <w:t>2</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18"/>
                </w:trPr>
                <w:tc>
                  <w:tcPr>
                    <w:tcW w:w="2130" w:type="dxa"/>
                    <w:gridSpan w:val="2"/>
                    <w:vMerge/>
                  </w:tcPr>
                  <w:p>
                    <w:pPr>
                      <w:rPr>
                        <w:iCs/>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tcBorders>
                      <w:top w:val="single" w:sz="4" w:space="0" w:color="auto"/>
                      <w:left w:val="single" w:sz="4" w:space="0" w:color="auto"/>
                      <w:right w:val="single" w:sz="4" w:space="0" w:color="auto"/>
                    </w:tcBorders>
                  </w:tcPr>
                  <w:p>
                    <w:pPr>
                      <w:ind w:left="-57" w:right="-57"/>
                      <w:rPr>
                        <w:sz w:val="20"/>
                      </w:rPr>
                    </w:pPr>
                    <w:r>
                      <w:rPr>
                        <w:sz w:val="20"/>
                      </w:rPr>
                      <w:t>P – Specialistai, dalyvavę kvalifikacijos tobulinimo ar perkvalifikavimo veiklose, asmenys</w:t>
                    </w:r>
                  </w:p>
                </w:tc>
                <w:tc>
                  <w:tcPr>
                    <w:tcW w:w="1134" w:type="dxa"/>
                    <w:gridSpan w:val="2"/>
                  </w:tcPr>
                  <w:p>
                    <w:pPr>
                      <w:ind w:left="-57" w:right="-57"/>
                      <w:jc w:val="center"/>
                      <w:rPr>
                        <w:sz w:val="20"/>
                      </w:rPr>
                    </w:pPr>
                    <w:r>
                      <w:rPr>
                        <w:sz w:val="20"/>
                      </w:rPr>
                      <w:t>600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492"/>
                </w:trPr>
                <w:tc>
                  <w:tcPr>
                    <w:tcW w:w="2130" w:type="dxa"/>
                    <w:gridSpan w:val="2"/>
                    <w:vMerge/>
                  </w:tcPr>
                  <w:p>
                    <w:pPr>
                      <w:rPr>
                        <w:iCs/>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val="restart"/>
                  </w:tcPr>
                  <w:p>
                    <w:pPr>
                      <w:rPr>
                        <w:sz w:val="20"/>
                      </w:rPr>
                    </w:pPr>
                    <w:r>
                      <w:rPr>
                        <w:sz w:val="20"/>
                      </w:rPr>
                      <w:t>975</w:t>
                    </w:r>
                  </w:p>
                </w:tc>
                <w:tc>
                  <w:tcPr>
                    <w:tcW w:w="1118" w:type="dxa"/>
                    <w:vMerge w:val="restart"/>
                  </w:tcPr>
                  <w:p>
                    <w:pPr>
                      <w:rPr>
                        <w:sz w:val="20"/>
                      </w:rPr>
                    </w:pPr>
                    <w:r>
                      <w:rPr>
                        <w:sz w:val="20"/>
                      </w:rPr>
                      <w:t xml:space="preserve">2021–2027 m. IP (BF) </w:t>
                    </w:r>
                  </w:p>
                </w:tc>
                <w:tc>
                  <w:tcPr>
                    <w:tcW w:w="2001" w:type="dxa"/>
                    <w:gridSpan w:val="2"/>
                    <w:shd w:val="clear" w:color="auto" w:fill="FFFFFF" w:themeFill="background1"/>
                  </w:tcPr>
                  <w:p>
                    <w:pPr>
                      <w:ind w:left="-57" w:right="-57"/>
                      <w:rPr>
                        <w:sz w:val="20"/>
                      </w:rPr>
                    </w:pPr>
                    <w:r>
                      <w:rPr>
                        <w:sz w:val="20"/>
                      </w:rPr>
                      <w:t>R – Pacientų pasitenkinimas gautomis paslaugomis, proc.</w:t>
                    </w:r>
                  </w:p>
                </w:tc>
                <w:tc>
                  <w:tcPr>
                    <w:tcW w:w="1134" w:type="dxa"/>
                    <w:gridSpan w:val="2"/>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492"/>
                </w:trPr>
                <w:tc>
                  <w:tcPr>
                    <w:tcW w:w="2130" w:type="dxa"/>
                    <w:gridSpan w:val="2"/>
                    <w:vMerge/>
                  </w:tcPr>
                  <w:p>
                    <w:pPr>
                      <w:rPr>
                        <w:iCs/>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shd w:val="clear" w:color="auto" w:fill="FFFFFF" w:themeFill="background1"/>
                  </w:tcPr>
                  <w:p>
                    <w:pPr>
                      <w:ind w:left="-57" w:right="-57"/>
                      <w:rPr>
                        <w:sz w:val="20"/>
                      </w:rPr>
                    </w:pPr>
                    <w:r>
                      <w:rPr>
                        <w:sz w:val="20"/>
                      </w:rPr>
                      <w:t xml:space="preserve">R – </w:t>
                    </w:r>
                    <w:r>
                      <w:rPr>
                        <w:sz w:val="20"/>
                        <w:lang w:eastAsia="lt-LT"/>
                      </w:rPr>
                      <w:t>Specialistų, kurie po dalyvavimo veiklose įgijo ar patobulino kvalifikaciją, dalis, proc.</w:t>
                    </w:r>
                  </w:p>
                </w:tc>
                <w:tc>
                  <w:tcPr>
                    <w:tcW w:w="1134" w:type="dxa"/>
                    <w:gridSpan w:val="2"/>
                    <w:shd w:val="clear" w:color="auto" w:fill="FFFFFF" w:themeFill="background1"/>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1264"/>
                </w:trPr>
                <w:tc>
                  <w:tcPr>
                    <w:tcW w:w="2130" w:type="dxa"/>
                    <w:gridSpan w:val="2"/>
                  </w:tcPr>
                  <w:p>
                    <w:pPr>
                      <w:rPr>
                        <w:iCs/>
                        <w:sz w:val="20"/>
                      </w:rPr>
                    </w:pPr>
                    <w:r>
                      <w:rPr>
                        <w:iCs/>
                        <w:sz w:val="20"/>
                      </w:rPr>
                      <w:t>3.4. Sudėtingų sveikatos priežiūros diagnostikos ir gydymo paslaugų infrastruktūros modernizavimas</w:t>
                    </w:r>
                  </w:p>
                </w:tc>
                <w:tc>
                  <w:tcPr>
                    <w:tcW w:w="699" w:type="dxa"/>
                  </w:tcPr>
                  <w:p>
                    <w:pPr>
                      <w:rPr>
                        <w:color w:val="000000"/>
                        <w:sz w:val="20"/>
                      </w:rPr>
                    </w:pPr>
                    <w:r>
                      <w:rPr>
                        <w:sz w:val="20"/>
                      </w:rPr>
                      <w:t>I</w:t>
                    </w:r>
                  </w:p>
                </w:tc>
                <w:tc>
                  <w:tcPr>
                    <w:tcW w:w="1985" w:type="dxa"/>
                  </w:tcPr>
                  <w:p>
                    <w:pPr>
                      <w:rPr>
                        <w:color w:val="000000"/>
                        <w:sz w:val="20"/>
                      </w:rPr>
                    </w:pPr>
                    <w:r>
                      <w:rPr>
                        <w:sz w:val="20"/>
                      </w:rPr>
                      <w:t>ASPĮ</w:t>
                    </w:r>
                  </w:p>
                </w:tc>
                <w:tc>
                  <w:tcPr>
                    <w:tcW w:w="829" w:type="dxa"/>
                    <w:gridSpan w:val="3"/>
                  </w:tcPr>
                  <w:p>
                    <w:pPr>
                      <w:rPr>
                        <w:color w:val="000000"/>
                        <w:sz w:val="20"/>
                      </w:rPr>
                    </w:pPr>
                    <w:r>
                      <w:rPr>
                        <w:sz w:val="20"/>
                      </w:rPr>
                      <w:t>P</w:t>
                    </w:r>
                  </w:p>
                </w:tc>
                <w:tc>
                  <w:tcPr>
                    <w:tcW w:w="1014" w:type="dxa"/>
                    <w:gridSpan w:val="3"/>
                  </w:tcPr>
                  <w:p>
                    <w:pPr>
                      <w:rPr>
                        <w:color w:val="000000"/>
                        <w:sz w:val="20"/>
                      </w:rPr>
                    </w:pPr>
                    <w:r>
                      <w:rPr>
                        <w:sz w:val="20"/>
                      </w:rPr>
                      <w:t>Taip</w:t>
                    </w:r>
                  </w:p>
                </w:tc>
                <w:tc>
                  <w:tcPr>
                    <w:tcW w:w="681" w:type="dxa"/>
                    <w:gridSpan w:val="3"/>
                  </w:tcPr>
                  <w:p>
                    <w:pPr>
                      <w:rPr>
                        <w:color w:val="000000"/>
                        <w:sz w:val="20"/>
                      </w:rPr>
                    </w:pPr>
                    <w:r>
                      <w:rPr>
                        <w:sz w:val="20"/>
                      </w:rPr>
                      <w:t>D</w:t>
                    </w:r>
                  </w:p>
                </w:tc>
                <w:tc>
                  <w:tcPr>
                    <w:tcW w:w="1167" w:type="dxa"/>
                    <w:gridSpan w:val="2"/>
                  </w:tcPr>
                  <w:p>
                    <w:pPr>
                      <w:rPr>
                        <w:sz w:val="20"/>
                      </w:rPr>
                    </w:pPr>
                    <w:r>
                      <w:rPr>
                        <w:sz w:val="20"/>
                      </w:rPr>
                      <w:t>19 000</w:t>
                    </w:r>
                  </w:p>
                </w:tc>
                <w:tc>
                  <w:tcPr>
                    <w:tcW w:w="1118" w:type="dxa"/>
                  </w:tcPr>
                  <w:p>
                    <w:pPr>
                      <w:rPr>
                        <w:sz w:val="20"/>
                      </w:rPr>
                    </w:pPr>
                    <w:r>
                      <w:rPr>
                        <w:sz w:val="20"/>
                      </w:rPr>
                      <w:t>VB</w:t>
                    </w:r>
                  </w:p>
                </w:tc>
                <w:tc>
                  <w:tcPr>
                    <w:tcW w:w="2001" w:type="dxa"/>
                    <w:gridSpan w:val="2"/>
                  </w:tcPr>
                  <w:p>
                    <w:pPr>
                      <w:ind w:left="-57" w:right="-57"/>
                      <w:rPr>
                        <w:sz w:val="20"/>
                      </w:rPr>
                    </w:pPr>
                    <w:r>
                      <w:rPr>
                        <w:sz w:val="20"/>
                      </w:rPr>
                      <w:t>P – Modernizuotų asmens sveikatos priežiūros įstaigų skaičius</w:t>
                    </w:r>
                  </w:p>
                </w:tc>
                <w:tc>
                  <w:tcPr>
                    <w:tcW w:w="1134" w:type="dxa"/>
                    <w:gridSpan w:val="2"/>
                  </w:tcPr>
                  <w:p>
                    <w:pPr>
                      <w:ind w:left="-57" w:right="-57"/>
                      <w:jc w:val="center"/>
                      <w:rPr>
                        <w:sz w:val="20"/>
                      </w:rPr>
                    </w:pPr>
                    <w:r>
                      <w:rPr>
                        <w:sz w:val="20"/>
                      </w:rPr>
                      <w:t>6</w:t>
                    </w:r>
                  </w:p>
                  <w:p>
                    <w:pPr>
                      <w:ind w:left="-57" w:right="-57"/>
                      <w:jc w:val="center"/>
                      <w:rPr>
                        <w:sz w:val="20"/>
                      </w:rPr>
                    </w:pPr>
                    <w:r>
                      <w:rPr>
                        <w:sz w:val="20"/>
                      </w:rPr>
                      <w:t>(2030 m.)</w:t>
                    </w:r>
                  </w:p>
                </w:tc>
                <w:tc>
                  <w:tcPr>
                    <w:tcW w:w="992" w:type="dxa"/>
                  </w:tcPr>
                  <w:p>
                    <w:pPr>
                      <w:rPr>
                        <w:sz w:val="20"/>
                      </w:rPr>
                    </w:pPr>
                    <w:r>
                      <w:rPr>
                        <w:sz w:val="20"/>
                      </w:rPr>
                      <w:t>SAM</w:t>
                    </w:r>
                  </w:p>
                  <w:p>
                    <w:pPr>
                      <w:rPr>
                        <w:sz w:val="20"/>
                      </w:rPr>
                    </w:pPr>
                  </w:p>
                </w:tc>
                <w:tc>
                  <w:tcPr>
                    <w:tcW w:w="1279" w:type="dxa"/>
                    <w:tcBorders>
                      <w:left w:val="single" w:sz="4" w:space="0" w:color="auto"/>
                      <w:right w:val="single" w:sz="4" w:space="0" w:color="auto"/>
                    </w:tcBorders>
                  </w:tcPr>
                  <w:p>
                    <w:pPr>
                      <w:jc w:val="center"/>
                      <w:rPr>
                        <w:color w:val="000000"/>
                        <w:sz w:val="20"/>
                      </w:rPr>
                    </w:pPr>
                    <w:r>
                      <w:rPr>
                        <w:color w:val="000000"/>
                        <w:sz w:val="20"/>
                      </w:rPr>
                      <w:t>SAM</w:t>
                    </w:r>
                  </w:p>
                </w:tc>
              </w:tr>
              <w:tr>
                <w:trPr>
                  <w:trHeight w:val="1264"/>
                </w:trPr>
                <w:tc>
                  <w:tcPr>
                    <w:tcW w:w="2130" w:type="dxa"/>
                    <w:gridSpan w:val="2"/>
                    <w:tcBorders>
                      <w:top w:val="single" w:sz="4" w:space="0" w:color="auto"/>
                      <w:left w:val="single" w:sz="4" w:space="0" w:color="auto"/>
                      <w:bottom w:val="single" w:sz="4" w:space="0" w:color="auto"/>
                      <w:right w:val="single" w:sz="4" w:space="0" w:color="auto"/>
                    </w:tcBorders>
                  </w:tcPr>
                  <w:p>
                    <w:pPr>
                      <w:rPr>
                        <w:iCs/>
                        <w:sz w:val="20"/>
                      </w:rPr>
                    </w:pPr>
                    <w:r>
                      <w:rPr>
                        <w:iCs/>
                        <w:sz w:val="20"/>
                      </w:rPr>
                      <w:t>3.5. Inovatyvių specializuotų sveikatos priežiūros paslaugų teikimo ir organizavimo modelių kūrimas ir išbandymas, Vidurio ir vakarų Lietuvos regionas</w:t>
                    </w:r>
                  </w:p>
                </w:tc>
                <w:tc>
                  <w:tcPr>
                    <w:tcW w:w="699" w:type="dxa"/>
                    <w:tcBorders>
                      <w:top w:val="single" w:sz="4" w:space="0" w:color="auto"/>
                      <w:left w:val="single" w:sz="4" w:space="0" w:color="auto"/>
                      <w:bottom w:val="single" w:sz="4" w:space="0" w:color="auto"/>
                      <w:right w:val="single" w:sz="4" w:space="0" w:color="auto"/>
                    </w:tcBorders>
                  </w:tcPr>
                  <w:p>
                    <w:pPr>
                      <w:rPr>
                        <w:sz w:val="20"/>
                      </w:rPr>
                    </w:pPr>
                    <w:r>
                      <w:rPr>
                        <w:sz w:val="20"/>
                      </w:rPr>
                      <w:t>I</w:t>
                    </w:r>
                  </w:p>
                </w:tc>
                <w:tc>
                  <w:tcPr>
                    <w:tcW w:w="1985" w:type="dxa"/>
                    <w:tcBorders>
                      <w:top w:val="single" w:sz="4" w:space="0" w:color="auto"/>
                      <w:left w:val="single" w:sz="4" w:space="0" w:color="auto"/>
                      <w:bottom w:val="single" w:sz="4" w:space="0" w:color="auto"/>
                      <w:right w:val="single" w:sz="4" w:space="0" w:color="auto"/>
                    </w:tcBorders>
                  </w:tcPr>
                  <w:p>
                    <w:pPr>
                      <w:rPr>
                        <w:sz w:val="20"/>
                      </w:rPr>
                    </w:pPr>
                    <w:r>
                      <w:rPr>
                        <w:sz w:val="20"/>
                      </w:rPr>
                      <w:t>Valstybinė ligonių kasa prie Sveikatos apsaugos ministerijos, Lietuvos medicinos biblioteka (toliau – LMB)</w:t>
                    </w:r>
                  </w:p>
                  <w:p>
                    <w:pPr>
                      <w:rPr>
                        <w:sz w:val="20"/>
                      </w:rPr>
                    </w:pPr>
                  </w:p>
                  <w:p>
                    <w:pPr>
                      <w:rPr>
                        <w:sz w:val="20"/>
                      </w:rPr>
                    </w:pPr>
                  </w:p>
                </w:tc>
                <w:tc>
                  <w:tcPr>
                    <w:tcW w:w="829"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P</w:t>
                    </w:r>
                  </w:p>
                </w:tc>
                <w:tc>
                  <w:tcPr>
                    <w:tcW w:w="1014"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Taip</w:t>
                    </w:r>
                  </w:p>
                </w:tc>
                <w:tc>
                  <w:tcPr>
                    <w:tcW w:w="681"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3 298,193</w:t>
                    </w:r>
                  </w:p>
                  <w:p>
                    <w:pPr>
                      <w:rPr>
                        <w:sz w:val="20"/>
                      </w:rPr>
                    </w:pPr>
                  </w:p>
                </w:tc>
                <w:tc>
                  <w:tcPr>
                    <w:tcW w:w="1118"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(ESF+) </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sz w:val="20"/>
                      </w:rPr>
                    </w:pPr>
                    <w:r>
                      <w:rPr>
                        <w:sz w:val="20"/>
                      </w:rPr>
                      <w:t>P – Paramą gavusių nacionalinio, regionų ar vietos lygmens viešojo administravimo ar viešąsias paslaugas teikiančių įstaigų skaičius, subjektų skaičius</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13</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CPVA</w:t>
                    </w:r>
                  </w:p>
                </w:tc>
                <w:tc>
                  <w:tcPr>
                    <w:tcW w:w="1279" w:type="dxa"/>
                    <w:tcBorders>
                      <w:top w:val="single" w:sz="4" w:space="0" w:color="auto"/>
                      <w:left w:val="single" w:sz="4" w:space="0" w:color="auto"/>
                      <w:bottom w:val="single" w:sz="4" w:space="0" w:color="auto"/>
                      <w:right w:val="single" w:sz="4" w:space="0" w:color="auto"/>
                    </w:tcBorders>
                  </w:tcPr>
                  <w:p>
                    <w:pPr>
                      <w:jc w:val="center"/>
                      <w:rPr>
                        <w:color w:val="000000"/>
                        <w:sz w:val="20"/>
                      </w:rPr>
                    </w:pPr>
                    <w:r>
                      <w:rPr>
                        <w:color w:val="000000"/>
                        <w:sz w:val="20"/>
                      </w:rPr>
                      <w:t>SAM</w:t>
                    </w:r>
                  </w:p>
                </w:tc>
              </w:tr>
              <w:tr>
                <w:trPr>
                  <w:trHeight w:val="1264"/>
                </w:trPr>
                <w:tc>
                  <w:tcPr>
                    <w:tcW w:w="2130" w:type="dxa"/>
                    <w:gridSpan w:val="2"/>
                    <w:tcBorders>
                      <w:top w:val="single" w:sz="4" w:space="0" w:color="auto"/>
                      <w:left w:val="single" w:sz="4" w:space="0" w:color="auto"/>
                      <w:bottom w:val="single" w:sz="4" w:space="0" w:color="auto"/>
                      <w:right w:val="single" w:sz="4" w:space="0" w:color="auto"/>
                    </w:tcBorders>
                  </w:tcPr>
                  <w:p>
                    <w:pPr>
                      <w:rPr>
                        <w:iCs/>
                        <w:sz w:val="20"/>
                      </w:rPr>
                    </w:pPr>
                  </w:p>
                </w:tc>
                <w:tc>
                  <w:tcPr>
                    <w:tcW w:w="699" w:type="dxa"/>
                    <w:tcBorders>
                      <w:top w:val="single" w:sz="4" w:space="0" w:color="auto"/>
                      <w:left w:val="single" w:sz="4" w:space="0" w:color="auto"/>
                      <w:bottom w:val="single" w:sz="4" w:space="0" w:color="auto"/>
                      <w:right w:val="single" w:sz="4" w:space="0" w:color="auto"/>
                    </w:tcBorders>
                  </w:tcPr>
                  <w:p>
                    <w:pPr>
                      <w:rPr>
                        <w:sz w:val="20"/>
                      </w:rPr>
                    </w:pPr>
                  </w:p>
                </w:tc>
                <w:tc>
                  <w:tcPr>
                    <w:tcW w:w="1985" w:type="dxa"/>
                    <w:tcBorders>
                      <w:top w:val="single" w:sz="4" w:space="0" w:color="auto"/>
                      <w:left w:val="single" w:sz="4" w:space="0" w:color="auto"/>
                      <w:bottom w:val="single" w:sz="4" w:space="0" w:color="auto"/>
                      <w:right w:val="single" w:sz="4" w:space="0" w:color="auto"/>
                    </w:tcBorders>
                  </w:tcPr>
                  <w:p>
                    <w:pPr>
                      <w:rPr>
                        <w:sz w:val="20"/>
                      </w:rPr>
                    </w:pPr>
                  </w:p>
                </w:tc>
                <w:tc>
                  <w:tcPr>
                    <w:tcW w:w="829" w:type="dxa"/>
                    <w:gridSpan w:val="3"/>
                    <w:tcBorders>
                      <w:top w:val="single" w:sz="4" w:space="0" w:color="auto"/>
                      <w:left w:val="single" w:sz="4" w:space="0" w:color="auto"/>
                      <w:bottom w:val="single" w:sz="4" w:space="0" w:color="auto"/>
                      <w:right w:val="single" w:sz="4" w:space="0" w:color="auto"/>
                    </w:tcBorders>
                  </w:tcPr>
                  <w:p>
                    <w:pPr>
                      <w:rPr>
                        <w:sz w:val="20"/>
                      </w:rPr>
                    </w:pPr>
                  </w:p>
                </w:tc>
                <w:tc>
                  <w:tcPr>
                    <w:tcW w:w="1014" w:type="dxa"/>
                    <w:gridSpan w:val="3"/>
                    <w:tcBorders>
                      <w:top w:val="single" w:sz="4" w:space="0" w:color="auto"/>
                      <w:left w:val="single" w:sz="4" w:space="0" w:color="auto"/>
                      <w:bottom w:val="single" w:sz="4" w:space="0" w:color="auto"/>
                      <w:right w:val="single" w:sz="4" w:space="0" w:color="auto"/>
                    </w:tcBorders>
                  </w:tcPr>
                  <w:p>
                    <w:pPr>
                      <w:rPr>
                        <w:sz w:val="20"/>
                      </w:rPr>
                    </w:pPr>
                  </w:p>
                </w:tc>
                <w:tc>
                  <w:tcPr>
                    <w:tcW w:w="681" w:type="dxa"/>
                    <w:gridSpan w:val="3"/>
                    <w:tcBorders>
                      <w:top w:val="single" w:sz="4" w:space="0" w:color="auto"/>
                      <w:left w:val="single" w:sz="4" w:space="0" w:color="auto"/>
                      <w:bottom w:val="single" w:sz="4" w:space="0" w:color="auto"/>
                      <w:right w:val="single" w:sz="4" w:space="0" w:color="auto"/>
                    </w:tcBorders>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582,034</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(BF) </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sz w:val="20"/>
                      </w:rPr>
                    </w:pPr>
                    <w:r>
                      <w:rPr>
                        <w:sz w:val="20"/>
                      </w:rPr>
                      <w:t>R – Pacientų pasitenkinimas gautomis paslaugomis, proc.</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tcPr>
                  <w:p>
                    <w:pPr>
                      <w:rPr>
                        <w:sz w:val="20"/>
                      </w:rPr>
                    </w:pPr>
                  </w:p>
                </w:tc>
                <w:tc>
                  <w:tcPr>
                    <w:tcW w:w="1279" w:type="dxa"/>
                    <w:tcBorders>
                      <w:top w:val="single" w:sz="4" w:space="0" w:color="auto"/>
                      <w:left w:val="single" w:sz="4" w:space="0" w:color="auto"/>
                      <w:bottom w:val="single" w:sz="4" w:space="0" w:color="auto"/>
                      <w:right w:val="single" w:sz="4" w:space="0" w:color="auto"/>
                    </w:tcBorders>
                  </w:tcPr>
                  <w:p>
                    <w:pPr>
                      <w:jc w:val="center"/>
                      <w:rPr>
                        <w:color w:val="000000"/>
                        <w:sz w:val="20"/>
                      </w:rPr>
                    </w:pPr>
                  </w:p>
                </w:tc>
              </w:tr>
              <w:tr>
                <w:trPr>
                  <w:trHeight w:val="414"/>
                </w:trPr>
                <w:tc>
                  <w:tcPr>
                    <w:tcW w:w="2130"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4. Sveikatos sektoriaus skaitmeninimas:</w:t>
                    </w:r>
                  </w:p>
                  <w:p>
                    <w:pPr>
                      <w:rPr>
                        <w:sz w:val="20"/>
                      </w:rPr>
                    </w:pPr>
                  </w:p>
                </w:tc>
                <w:tc>
                  <w:tcPr>
                    <w:tcW w:w="699" w:type="dxa"/>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1985" w:type="dxa"/>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829" w:type="dxa"/>
                    <w:gridSpan w:val="3"/>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1014" w:type="dxa"/>
                    <w:gridSpan w:val="3"/>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681" w:type="dxa"/>
                    <w:gridSpan w:val="3"/>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1167" w:type="dxa"/>
                    <w:gridSpan w:val="2"/>
                  </w:tcPr>
                  <w:p>
                    <w:pPr>
                      <w:jc w:val="center"/>
                      <w:rPr>
                        <w:sz w:val="20"/>
                      </w:rPr>
                    </w:pPr>
                    <w:r>
                      <w:rPr>
                        <w:sz w:val="20"/>
                      </w:rPr>
                      <w:t>67 604,415</w:t>
                    </w:r>
                  </w:p>
                  <w:p>
                    <w:pPr>
                      <w:jc w:val="center"/>
                      <w:rPr>
                        <w:strike/>
                        <w:sz w:val="20"/>
                      </w:rPr>
                    </w:pPr>
                  </w:p>
                </w:tc>
                <w:tc>
                  <w:tcPr>
                    <w:tcW w:w="1118" w:type="dxa"/>
                  </w:tcPr>
                  <w:p>
                    <w:pPr>
                      <w:rPr>
                        <w:sz w:val="20"/>
                      </w:rPr>
                    </w:pPr>
                    <w:r>
                      <w:rPr>
                        <w:sz w:val="20"/>
                      </w:rPr>
                      <w:t>-</w:t>
                    </w:r>
                  </w:p>
                </w:tc>
                <w:tc>
                  <w:tcPr>
                    <w:tcW w:w="2001" w:type="dxa"/>
                    <w:gridSpan w:val="2"/>
                    <w:vMerge w:val="restart"/>
                  </w:tcPr>
                  <w:p>
                    <w:pPr>
                      <w:ind w:left="-57" w:right="-57"/>
                      <w:jc w:val="both"/>
                      <w:rPr>
                        <w:sz w:val="20"/>
                      </w:rPr>
                    </w:pPr>
                    <w:r>
                      <w:rPr>
                        <w:sz w:val="20"/>
                      </w:rPr>
                      <w:t>R – Mirštamumas nuo miokardo infarkto per 30 dienų nuo hospitalizacijos, proc.</w:t>
                    </w:r>
                  </w:p>
                </w:tc>
                <w:tc>
                  <w:tcPr>
                    <w:tcW w:w="1134" w:type="dxa"/>
                    <w:gridSpan w:val="2"/>
                    <w:vMerge w:val="restart"/>
                  </w:tcPr>
                  <w:p>
                    <w:pPr>
                      <w:ind w:left="-57" w:right="-57"/>
                      <w:jc w:val="center"/>
                    </w:pPr>
                    <w:r>
                      <w:rPr>
                        <w:sz w:val="20"/>
                      </w:rPr>
                      <w:t>9</w:t>
                    </w:r>
                  </w:p>
                  <w:p>
                    <w:pPr>
                      <w:ind w:left="-57" w:right="-57"/>
                      <w:jc w:val="center"/>
                      <w:rPr>
                        <w:sz w:val="20"/>
                      </w:rPr>
                    </w:pPr>
                    <w:r>
                      <w:rPr>
                        <w:sz w:val="20"/>
                      </w:rPr>
                      <w:t>(2030 m.)</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p>
                  <w:p>
                    <w:pPr>
                      <w:rPr>
                        <w:sz w:val="20"/>
                      </w:rPr>
                    </w:pPr>
                  </w:p>
                </w:tc>
                <w:tc>
                  <w:tcPr>
                    <w:tcW w:w="127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130" w:type="dxa"/>
                    <w:gridSpan w:val="2"/>
                    <w:vMerge/>
                    <w:tcBorders>
                      <w:left w:val="single" w:sz="4" w:space="0" w:color="auto"/>
                      <w:right w:val="single" w:sz="4" w:space="0" w:color="auto"/>
                    </w:tcBorders>
                    <w:vAlign w:val="center"/>
                    <w:hideMark/>
                  </w:tcPr>
                  <w:p>
                    <w:pPr>
                      <w:rPr>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sz w:val="20"/>
                      </w:rPr>
                    </w:pPr>
                  </w:p>
                </w:tc>
                <w:tc>
                  <w:tcPr>
                    <w:tcW w:w="829" w:type="dxa"/>
                    <w:gridSpan w:val="3"/>
                    <w:vMerge/>
                    <w:tcBorders>
                      <w:left w:val="single" w:sz="4" w:space="0" w:color="auto"/>
                      <w:right w:val="single" w:sz="4" w:space="0" w:color="auto"/>
                    </w:tcBorders>
                    <w:vAlign w:val="center"/>
                    <w:hideMark/>
                  </w:tcPr>
                  <w:p>
                    <w:pPr>
                      <w:rPr>
                        <w:sz w:val="20"/>
                      </w:rPr>
                    </w:pPr>
                  </w:p>
                </w:tc>
                <w:tc>
                  <w:tcPr>
                    <w:tcW w:w="1014" w:type="dxa"/>
                    <w:gridSpan w:val="3"/>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167" w:type="dxa"/>
                    <w:gridSpan w:val="2"/>
                  </w:tcPr>
                  <w:p>
                    <w:pPr>
                      <w:jc w:val="center"/>
                      <w:rPr>
                        <w:strike/>
                        <w:sz w:val="20"/>
                      </w:rPr>
                    </w:pPr>
                    <w:r>
                      <w:rPr>
                        <w:sz w:val="20"/>
                      </w:rPr>
                      <w:t xml:space="preserve">35 198,389 </w:t>
                    </w:r>
                  </w:p>
                </w:tc>
                <w:tc>
                  <w:tcPr>
                    <w:tcW w:w="1118" w:type="dxa"/>
                  </w:tcPr>
                  <w:p>
                    <w:pPr>
                      <w:rPr>
                        <w:sz w:val="20"/>
                      </w:rPr>
                    </w:pPr>
                    <w:r>
                      <w:rPr>
                        <w:sz w:val="20"/>
                      </w:rPr>
                      <w:t>EGADP</w:t>
                    </w:r>
                  </w:p>
                </w:tc>
                <w:tc>
                  <w:tcPr>
                    <w:tcW w:w="2001" w:type="dxa"/>
                    <w:gridSpan w:val="2"/>
                    <w:vMerge/>
                    <w:vAlign w:val="center"/>
                    <w:hideMark/>
                  </w:tcPr>
                  <w:p>
                    <w:pPr>
                      <w:rPr>
                        <w:sz w:val="20"/>
                      </w:rPr>
                    </w:pPr>
                  </w:p>
                </w:tc>
                <w:tc>
                  <w:tcPr>
                    <w:tcW w:w="1134" w:type="dxa"/>
                    <w:gridSpan w:val="2"/>
                    <w:vMerge/>
                    <w:vAlign w:val="center"/>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76"/>
                </w:trPr>
                <w:tc>
                  <w:tcPr>
                    <w:tcW w:w="2130" w:type="dxa"/>
                    <w:gridSpan w:val="2"/>
                    <w:vMerge/>
                    <w:tcBorders>
                      <w:left w:val="single" w:sz="4" w:space="0" w:color="auto"/>
                      <w:right w:val="single" w:sz="4" w:space="0" w:color="auto"/>
                    </w:tcBorders>
                    <w:vAlign w:val="center"/>
                    <w:hideMark/>
                  </w:tcPr>
                  <w:p>
                    <w:pPr>
                      <w:rPr>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sz w:val="20"/>
                      </w:rPr>
                    </w:pPr>
                  </w:p>
                </w:tc>
                <w:tc>
                  <w:tcPr>
                    <w:tcW w:w="829" w:type="dxa"/>
                    <w:gridSpan w:val="3"/>
                    <w:vMerge/>
                    <w:tcBorders>
                      <w:left w:val="single" w:sz="4" w:space="0" w:color="auto"/>
                      <w:right w:val="single" w:sz="4" w:space="0" w:color="auto"/>
                    </w:tcBorders>
                    <w:vAlign w:val="center"/>
                    <w:hideMark/>
                  </w:tcPr>
                  <w:p>
                    <w:pPr>
                      <w:rPr>
                        <w:sz w:val="20"/>
                      </w:rPr>
                    </w:pPr>
                  </w:p>
                </w:tc>
                <w:tc>
                  <w:tcPr>
                    <w:tcW w:w="1014" w:type="dxa"/>
                    <w:gridSpan w:val="3"/>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167" w:type="dxa"/>
                    <w:gridSpan w:val="2"/>
                    <w:vMerge w:val="restart"/>
                  </w:tcPr>
                  <w:p>
                    <w:pPr>
                      <w:jc w:val="center"/>
                      <w:rPr>
                        <w:sz w:val="20"/>
                      </w:rPr>
                    </w:pPr>
                    <w:r>
                      <w:rPr>
                        <w:sz w:val="20"/>
                      </w:rPr>
                      <w:t>7 382,874</w:t>
                    </w:r>
                  </w:p>
                  <w:p>
                    <w:pPr>
                      <w:jc w:val="center"/>
                      <w:rPr>
                        <w:strike/>
                        <w:sz w:val="20"/>
                      </w:rPr>
                    </w:pPr>
                  </w:p>
                </w:tc>
                <w:tc>
                  <w:tcPr>
                    <w:tcW w:w="1118" w:type="dxa"/>
                    <w:vMerge w:val="restart"/>
                  </w:tcPr>
                  <w:p>
                    <w:pPr>
                      <w:rPr>
                        <w:sz w:val="20"/>
                      </w:rPr>
                    </w:pPr>
                    <w:r>
                      <w:rPr>
                        <w:sz w:val="20"/>
                      </w:rPr>
                      <w:t>PVM iš VB</w:t>
                    </w:r>
                  </w:p>
                </w:tc>
                <w:tc>
                  <w:tcPr>
                    <w:tcW w:w="2001" w:type="dxa"/>
                    <w:gridSpan w:val="2"/>
                    <w:vMerge/>
                    <w:vAlign w:val="center"/>
                    <w:hideMark/>
                  </w:tcPr>
                  <w:p>
                    <w:pPr>
                      <w:rPr>
                        <w:sz w:val="20"/>
                      </w:rPr>
                    </w:pPr>
                  </w:p>
                </w:tc>
                <w:tc>
                  <w:tcPr>
                    <w:tcW w:w="1134" w:type="dxa"/>
                    <w:gridSpan w:val="2"/>
                    <w:vMerge/>
                    <w:vAlign w:val="center"/>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hideMark/>
                  </w:tcPr>
                  <w:p>
                    <w:pPr>
                      <w:rPr>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sz w:val="20"/>
                      </w:rPr>
                    </w:pPr>
                  </w:p>
                </w:tc>
                <w:tc>
                  <w:tcPr>
                    <w:tcW w:w="829" w:type="dxa"/>
                    <w:gridSpan w:val="3"/>
                    <w:vMerge/>
                    <w:tcBorders>
                      <w:left w:val="single" w:sz="4" w:space="0" w:color="auto"/>
                      <w:right w:val="single" w:sz="4" w:space="0" w:color="auto"/>
                    </w:tcBorders>
                    <w:vAlign w:val="center"/>
                    <w:hideMark/>
                  </w:tcPr>
                  <w:p>
                    <w:pPr>
                      <w:rPr>
                        <w:sz w:val="20"/>
                      </w:rPr>
                    </w:pPr>
                  </w:p>
                </w:tc>
                <w:tc>
                  <w:tcPr>
                    <w:tcW w:w="1014" w:type="dxa"/>
                    <w:gridSpan w:val="3"/>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167" w:type="dxa"/>
                    <w:gridSpan w:val="2"/>
                    <w:vMerge/>
                    <w:vAlign w:val="center"/>
                  </w:tcPr>
                  <w:p>
                    <w:pPr>
                      <w:rPr>
                        <w:sz w:val="20"/>
                      </w:rPr>
                    </w:pPr>
                  </w:p>
                </w:tc>
                <w:tc>
                  <w:tcPr>
                    <w:tcW w:w="1118" w:type="dxa"/>
                    <w:vMerge/>
                    <w:vAlign w:val="center"/>
                  </w:tcPr>
                  <w:p>
                    <w:pPr>
                      <w:rPr>
                        <w:sz w:val="20"/>
                      </w:rPr>
                    </w:pPr>
                  </w:p>
                </w:tc>
                <w:tc>
                  <w:tcPr>
                    <w:tcW w:w="2001" w:type="dxa"/>
                    <w:gridSpan w:val="2"/>
                    <w:hideMark/>
                  </w:tcPr>
                  <w:p>
                    <w:pPr>
                      <w:ind w:left="-57" w:right="-57"/>
                      <w:jc w:val="both"/>
                      <w:rPr>
                        <w:sz w:val="20"/>
                      </w:rPr>
                    </w:pPr>
                    <w:r>
                      <w:rPr>
                        <w:sz w:val="20"/>
                      </w:rPr>
                      <w:t xml:space="preserve">R – Mirštamumas nuo išeminio galvos smegenų insulto per 30 dienų po hospitalizacijos, proc. </w:t>
                    </w:r>
                  </w:p>
                </w:tc>
                <w:tc>
                  <w:tcPr>
                    <w:tcW w:w="1134" w:type="dxa"/>
                    <w:gridSpan w:val="2"/>
                  </w:tcPr>
                  <w:p>
                    <w:pPr>
                      <w:ind w:left="-57" w:right="-57"/>
                      <w:jc w:val="center"/>
                    </w:pPr>
                    <w:r>
                      <w:rPr>
                        <w:sz w:val="20"/>
                      </w:rPr>
                      <w:t>12</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hideMark/>
                  </w:tcPr>
                  <w:p>
                    <w:pPr>
                      <w:rPr>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sz w:val="20"/>
                      </w:rPr>
                    </w:pPr>
                  </w:p>
                </w:tc>
                <w:tc>
                  <w:tcPr>
                    <w:tcW w:w="829" w:type="dxa"/>
                    <w:gridSpan w:val="3"/>
                    <w:vMerge/>
                    <w:tcBorders>
                      <w:left w:val="single" w:sz="4" w:space="0" w:color="auto"/>
                      <w:right w:val="single" w:sz="4" w:space="0" w:color="auto"/>
                    </w:tcBorders>
                    <w:vAlign w:val="center"/>
                    <w:hideMark/>
                  </w:tcPr>
                  <w:p>
                    <w:pPr>
                      <w:rPr>
                        <w:sz w:val="20"/>
                      </w:rPr>
                    </w:pPr>
                  </w:p>
                </w:tc>
                <w:tc>
                  <w:tcPr>
                    <w:tcW w:w="1014" w:type="dxa"/>
                    <w:gridSpan w:val="3"/>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167" w:type="dxa"/>
                    <w:gridSpan w:val="2"/>
                    <w:vMerge/>
                    <w:vAlign w:val="center"/>
                  </w:tcPr>
                  <w:p>
                    <w:pPr>
                      <w:rPr>
                        <w:sz w:val="20"/>
                      </w:rPr>
                    </w:pPr>
                  </w:p>
                </w:tc>
                <w:tc>
                  <w:tcPr>
                    <w:tcW w:w="1118" w:type="dxa"/>
                    <w:vMerge/>
                    <w:vAlign w:val="center"/>
                  </w:tcPr>
                  <w:p>
                    <w:pPr>
                      <w:rPr>
                        <w:sz w:val="20"/>
                      </w:rPr>
                    </w:pPr>
                  </w:p>
                </w:tc>
                <w:tc>
                  <w:tcPr>
                    <w:tcW w:w="2001" w:type="dxa"/>
                    <w:gridSpan w:val="2"/>
                    <w:hideMark/>
                  </w:tcPr>
                  <w:p>
                    <w:pPr>
                      <w:ind w:left="-57" w:right="-57"/>
                      <w:jc w:val="both"/>
                      <w:rPr>
                        <w:sz w:val="20"/>
                      </w:rPr>
                    </w:pPr>
                    <w:r>
                      <w:rPr>
                        <w:sz w:val="20"/>
                      </w:rPr>
                      <w:t>R – Gyventojų, dėl laukimo laiko (ilgų eilių) atidėjusių kreipimąsi dėl sveikatos priežiūros paslaugų, dalis, proc.</w:t>
                    </w:r>
                  </w:p>
                </w:tc>
                <w:tc>
                  <w:tcPr>
                    <w:tcW w:w="1134" w:type="dxa"/>
                    <w:gridSpan w:val="2"/>
                  </w:tcPr>
                  <w:p>
                    <w:pPr>
                      <w:ind w:left="-57" w:right="-57"/>
                      <w:jc w:val="center"/>
                    </w:pPr>
                    <w:r>
                      <w:rPr>
                        <w:sz w:val="20"/>
                      </w:rPr>
                      <w:t>6</w:t>
                    </w:r>
                  </w:p>
                  <w:p>
                    <w:pPr>
                      <w:ind w:left="-57" w:right="-57"/>
                      <w:jc w:val="center"/>
                    </w:pPr>
                    <w:r>
                      <w:rPr>
                        <w:sz w:val="20"/>
                      </w:rPr>
                      <w:t>(2030 m.)</w:t>
                    </w:r>
                  </w:p>
                  <w:p>
                    <w:pPr>
                      <w:ind w:left="-57" w:right="-57" w:firstLine="53"/>
                      <w:jc w:val="center"/>
                    </w:pP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tcPr>
                  <w:p>
                    <w:pPr>
                      <w:rPr>
                        <w:sz w:val="20"/>
                      </w:rPr>
                    </w:pPr>
                  </w:p>
                </w:tc>
                <w:tc>
                  <w:tcPr>
                    <w:tcW w:w="699" w:type="dxa"/>
                    <w:vMerge/>
                    <w:tcBorders>
                      <w:left w:val="single" w:sz="4" w:space="0" w:color="auto"/>
                      <w:right w:val="single" w:sz="4" w:space="0" w:color="auto"/>
                    </w:tcBorders>
                    <w:vAlign w:val="center"/>
                  </w:tcPr>
                  <w:p>
                    <w:pPr>
                      <w:rPr>
                        <w:sz w:val="20"/>
                      </w:rPr>
                    </w:pPr>
                  </w:p>
                </w:tc>
                <w:tc>
                  <w:tcPr>
                    <w:tcW w:w="1985" w:type="dxa"/>
                    <w:vMerge/>
                    <w:tcBorders>
                      <w:left w:val="single" w:sz="4" w:space="0" w:color="auto"/>
                      <w:right w:val="single" w:sz="4" w:space="0" w:color="auto"/>
                    </w:tcBorders>
                    <w:vAlign w:val="center"/>
                  </w:tcPr>
                  <w:p>
                    <w:pPr>
                      <w:rPr>
                        <w:sz w:val="20"/>
                      </w:rPr>
                    </w:pPr>
                  </w:p>
                </w:tc>
                <w:tc>
                  <w:tcPr>
                    <w:tcW w:w="829" w:type="dxa"/>
                    <w:gridSpan w:val="3"/>
                    <w:vMerge/>
                    <w:tcBorders>
                      <w:left w:val="single" w:sz="4" w:space="0" w:color="auto"/>
                      <w:right w:val="single" w:sz="4" w:space="0" w:color="auto"/>
                    </w:tcBorders>
                    <w:vAlign w:val="center"/>
                  </w:tcPr>
                  <w:p>
                    <w:pPr>
                      <w:rPr>
                        <w:sz w:val="20"/>
                      </w:rPr>
                    </w:pPr>
                  </w:p>
                </w:tc>
                <w:tc>
                  <w:tcPr>
                    <w:tcW w:w="1014" w:type="dxa"/>
                    <w:gridSpan w:val="3"/>
                    <w:vMerge/>
                    <w:tcBorders>
                      <w:left w:val="single" w:sz="4" w:space="0" w:color="auto"/>
                      <w:right w:val="single" w:sz="4" w:space="0" w:color="auto"/>
                    </w:tcBorders>
                    <w:vAlign w:val="center"/>
                  </w:tcPr>
                  <w:p>
                    <w:pPr>
                      <w:rPr>
                        <w:sz w:val="20"/>
                      </w:rPr>
                    </w:pPr>
                  </w:p>
                </w:tc>
                <w:tc>
                  <w:tcPr>
                    <w:tcW w:w="681" w:type="dxa"/>
                    <w:gridSpan w:val="3"/>
                    <w:vMerge/>
                    <w:tcBorders>
                      <w:left w:val="single" w:sz="4" w:space="0" w:color="auto"/>
                      <w:right w:val="single" w:sz="4" w:space="0" w:color="auto"/>
                    </w:tcBorders>
                    <w:vAlign w:val="center"/>
                  </w:tcPr>
                  <w:p>
                    <w:pPr>
                      <w:rPr>
                        <w:sz w:val="20"/>
                      </w:rPr>
                    </w:pPr>
                  </w:p>
                </w:tc>
                <w:tc>
                  <w:tcPr>
                    <w:tcW w:w="1167" w:type="dxa"/>
                    <w:gridSpan w:val="2"/>
                  </w:tcPr>
                  <w:p>
                    <w:pPr>
                      <w:jc w:val="center"/>
                      <w:rPr>
                        <w:sz w:val="20"/>
                      </w:rPr>
                    </w:pPr>
                    <w:r>
                      <w:rPr>
                        <w:sz w:val="20"/>
                      </w:rPr>
                      <w:t>3 753,473</w:t>
                    </w:r>
                  </w:p>
                </w:tc>
                <w:tc>
                  <w:tcPr>
                    <w:tcW w:w="1118" w:type="dxa"/>
                  </w:tcPr>
                  <w:p>
                    <w:pPr>
                      <w:rPr>
                        <w:sz w:val="20"/>
                      </w:rPr>
                    </w:pPr>
                    <w:r>
                      <w:rPr>
                        <w:sz w:val="20"/>
                      </w:rPr>
                      <w:t>2021–2027 m. IP (ERPF, Sostinės regionas)</w:t>
                    </w:r>
                  </w:p>
                </w:tc>
                <w:tc>
                  <w:tcPr>
                    <w:tcW w:w="2001" w:type="dxa"/>
                    <w:gridSpan w:val="2"/>
                  </w:tcPr>
                  <w:p>
                    <w:pPr>
                      <w:ind w:left="-57" w:right="-57"/>
                      <w:jc w:val="both"/>
                      <w:rPr>
                        <w:sz w:val="20"/>
                      </w:rPr>
                    </w:pPr>
                  </w:p>
                </w:tc>
                <w:tc>
                  <w:tcPr>
                    <w:tcW w:w="1134" w:type="dxa"/>
                    <w:gridSpan w:val="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9"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tcPr>
                  <w:p>
                    <w:pPr>
                      <w:rPr>
                        <w:sz w:val="20"/>
                      </w:rPr>
                    </w:pPr>
                  </w:p>
                </w:tc>
                <w:tc>
                  <w:tcPr>
                    <w:tcW w:w="699" w:type="dxa"/>
                    <w:vMerge/>
                    <w:tcBorders>
                      <w:left w:val="single" w:sz="4" w:space="0" w:color="auto"/>
                      <w:right w:val="single" w:sz="4" w:space="0" w:color="auto"/>
                    </w:tcBorders>
                    <w:vAlign w:val="center"/>
                  </w:tcPr>
                  <w:p>
                    <w:pPr>
                      <w:rPr>
                        <w:sz w:val="20"/>
                      </w:rPr>
                    </w:pPr>
                  </w:p>
                </w:tc>
                <w:tc>
                  <w:tcPr>
                    <w:tcW w:w="1985" w:type="dxa"/>
                    <w:vMerge/>
                    <w:tcBorders>
                      <w:left w:val="single" w:sz="4" w:space="0" w:color="auto"/>
                      <w:right w:val="single" w:sz="4" w:space="0" w:color="auto"/>
                    </w:tcBorders>
                    <w:vAlign w:val="center"/>
                  </w:tcPr>
                  <w:p>
                    <w:pPr>
                      <w:rPr>
                        <w:sz w:val="20"/>
                      </w:rPr>
                    </w:pPr>
                  </w:p>
                </w:tc>
                <w:tc>
                  <w:tcPr>
                    <w:tcW w:w="829" w:type="dxa"/>
                    <w:gridSpan w:val="3"/>
                    <w:vMerge/>
                    <w:tcBorders>
                      <w:left w:val="single" w:sz="4" w:space="0" w:color="auto"/>
                      <w:right w:val="single" w:sz="4" w:space="0" w:color="auto"/>
                    </w:tcBorders>
                    <w:vAlign w:val="center"/>
                  </w:tcPr>
                  <w:p>
                    <w:pPr>
                      <w:rPr>
                        <w:sz w:val="20"/>
                      </w:rPr>
                    </w:pPr>
                  </w:p>
                </w:tc>
                <w:tc>
                  <w:tcPr>
                    <w:tcW w:w="1014" w:type="dxa"/>
                    <w:gridSpan w:val="3"/>
                    <w:vMerge/>
                    <w:tcBorders>
                      <w:left w:val="single" w:sz="4" w:space="0" w:color="auto"/>
                      <w:right w:val="single" w:sz="4" w:space="0" w:color="auto"/>
                    </w:tcBorders>
                    <w:vAlign w:val="center"/>
                  </w:tcPr>
                  <w:p>
                    <w:pPr>
                      <w:rPr>
                        <w:sz w:val="20"/>
                      </w:rPr>
                    </w:pPr>
                  </w:p>
                </w:tc>
                <w:tc>
                  <w:tcPr>
                    <w:tcW w:w="681" w:type="dxa"/>
                    <w:gridSpan w:val="3"/>
                    <w:vMerge/>
                    <w:tcBorders>
                      <w:left w:val="single" w:sz="4" w:space="0" w:color="auto"/>
                      <w:right w:val="single" w:sz="4" w:space="0" w:color="auto"/>
                    </w:tcBorders>
                    <w:vAlign w:val="center"/>
                  </w:tcPr>
                  <w:p>
                    <w:pPr>
                      <w:rPr>
                        <w:sz w:val="20"/>
                      </w:rPr>
                    </w:pPr>
                  </w:p>
                </w:tc>
                <w:tc>
                  <w:tcPr>
                    <w:tcW w:w="1167" w:type="dxa"/>
                    <w:gridSpan w:val="2"/>
                  </w:tcPr>
                  <w:p>
                    <w:pPr>
                      <w:jc w:val="center"/>
                      <w:rPr>
                        <w:sz w:val="20"/>
                      </w:rPr>
                    </w:pPr>
                    <w:r>
                      <w:rPr>
                        <w:sz w:val="20"/>
                      </w:rPr>
                      <w:t>3 753,473</w:t>
                    </w:r>
                  </w:p>
                </w:tc>
                <w:tc>
                  <w:tcPr>
                    <w:tcW w:w="1118" w:type="dxa"/>
                  </w:tcPr>
                  <w:p>
                    <w:pPr>
                      <w:rPr>
                        <w:sz w:val="20"/>
                      </w:rPr>
                    </w:pPr>
                    <w:r>
                      <w:rPr>
                        <w:sz w:val="20"/>
                      </w:rPr>
                      <w:t>2021–2027 m. IP (BF, Sostinės regionas)</w:t>
                    </w:r>
                  </w:p>
                </w:tc>
                <w:tc>
                  <w:tcPr>
                    <w:tcW w:w="2001" w:type="dxa"/>
                    <w:gridSpan w:val="2"/>
                  </w:tcPr>
                  <w:p>
                    <w:pPr>
                      <w:ind w:left="-57" w:right="-57"/>
                      <w:jc w:val="both"/>
                      <w:rPr>
                        <w:sz w:val="20"/>
                      </w:rPr>
                    </w:pPr>
                  </w:p>
                </w:tc>
                <w:tc>
                  <w:tcPr>
                    <w:tcW w:w="1134" w:type="dxa"/>
                    <w:gridSpan w:val="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9"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tcPr>
                  <w:p>
                    <w:pPr>
                      <w:rPr>
                        <w:sz w:val="20"/>
                      </w:rPr>
                    </w:pPr>
                  </w:p>
                </w:tc>
                <w:tc>
                  <w:tcPr>
                    <w:tcW w:w="699" w:type="dxa"/>
                    <w:vMerge/>
                    <w:tcBorders>
                      <w:left w:val="single" w:sz="4" w:space="0" w:color="auto"/>
                      <w:right w:val="single" w:sz="4" w:space="0" w:color="auto"/>
                    </w:tcBorders>
                    <w:vAlign w:val="center"/>
                  </w:tcPr>
                  <w:p>
                    <w:pPr>
                      <w:rPr>
                        <w:sz w:val="20"/>
                      </w:rPr>
                    </w:pPr>
                  </w:p>
                </w:tc>
                <w:tc>
                  <w:tcPr>
                    <w:tcW w:w="1985" w:type="dxa"/>
                    <w:vMerge/>
                    <w:tcBorders>
                      <w:left w:val="single" w:sz="4" w:space="0" w:color="auto"/>
                      <w:right w:val="single" w:sz="4" w:space="0" w:color="auto"/>
                    </w:tcBorders>
                    <w:vAlign w:val="center"/>
                  </w:tcPr>
                  <w:p>
                    <w:pPr>
                      <w:rPr>
                        <w:sz w:val="20"/>
                      </w:rPr>
                    </w:pPr>
                  </w:p>
                </w:tc>
                <w:tc>
                  <w:tcPr>
                    <w:tcW w:w="829" w:type="dxa"/>
                    <w:gridSpan w:val="3"/>
                    <w:vMerge/>
                    <w:tcBorders>
                      <w:left w:val="single" w:sz="4" w:space="0" w:color="auto"/>
                      <w:right w:val="single" w:sz="4" w:space="0" w:color="auto"/>
                    </w:tcBorders>
                    <w:vAlign w:val="center"/>
                  </w:tcPr>
                  <w:p>
                    <w:pPr>
                      <w:rPr>
                        <w:sz w:val="20"/>
                      </w:rPr>
                    </w:pPr>
                  </w:p>
                </w:tc>
                <w:tc>
                  <w:tcPr>
                    <w:tcW w:w="1014" w:type="dxa"/>
                    <w:gridSpan w:val="3"/>
                    <w:vMerge/>
                    <w:tcBorders>
                      <w:left w:val="single" w:sz="4" w:space="0" w:color="auto"/>
                      <w:right w:val="single" w:sz="4" w:space="0" w:color="auto"/>
                    </w:tcBorders>
                    <w:vAlign w:val="center"/>
                  </w:tcPr>
                  <w:p>
                    <w:pPr>
                      <w:rPr>
                        <w:sz w:val="20"/>
                      </w:rPr>
                    </w:pPr>
                  </w:p>
                </w:tc>
                <w:tc>
                  <w:tcPr>
                    <w:tcW w:w="681" w:type="dxa"/>
                    <w:gridSpan w:val="3"/>
                    <w:vMerge/>
                    <w:tcBorders>
                      <w:left w:val="single" w:sz="4" w:space="0" w:color="auto"/>
                      <w:right w:val="single" w:sz="4" w:space="0" w:color="auto"/>
                    </w:tcBorders>
                    <w:vAlign w:val="center"/>
                  </w:tcPr>
                  <w:p>
                    <w:pPr>
                      <w:rPr>
                        <w:sz w:val="20"/>
                      </w:rPr>
                    </w:pPr>
                  </w:p>
                </w:tc>
                <w:tc>
                  <w:tcPr>
                    <w:tcW w:w="1167" w:type="dxa"/>
                    <w:gridSpan w:val="2"/>
                  </w:tcPr>
                  <w:p>
                    <w:pPr>
                      <w:jc w:val="center"/>
                      <w:rPr>
                        <w:sz w:val="20"/>
                      </w:rPr>
                    </w:pPr>
                    <w:r>
                      <w:rPr>
                        <w:sz w:val="20"/>
                      </w:rPr>
                      <w:t>14 888,775</w:t>
                    </w:r>
                  </w:p>
                </w:tc>
                <w:tc>
                  <w:tcPr>
                    <w:tcW w:w="1118" w:type="dxa"/>
                  </w:tcPr>
                  <w:p>
                    <w:pPr/>
                    <w:r>
                      <w:rPr>
                        <w:sz w:val="20"/>
                      </w:rPr>
                      <w:t>2021–2027 m. IP (ERPF,</w:t>
                    </w:r>
                  </w:p>
                  <w:p>
                    <w:pPr>
                      <w:rPr>
                        <w:sz w:val="20"/>
                      </w:rPr>
                    </w:pPr>
                    <w:r>
                      <w:rPr>
                        <w:sz w:val="20"/>
                      </w:rPr>
                      <w:t>VVL regionas)</w:t>
                    </w:r>
                  </w:p>
                </w:tc>
                <w:tc>
                  <w:tcPr>
                    <w:tcW w:w="2001" w:type="dxa"/>
                    <w:gridSpan w:val="2"/>
                  </w:tcPr>
                  <w:p>
                    <w:pPr>
                      <w:ind w:left="-57" w:right="-57"/>
                      <w:jc w:val="both"/>
                      <w:rPr>
                        <w:sz w:val="20"/>
                      </w:rPr>
                    </w:pPr>
                  </w:p>
                </w:tc>
                <w:tc>
                  <w:tcPr>
                    <w:tcW w:w="1134" w:type="dxa"/>
                    <w:gridSpan w:val="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9"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bottom w:val="single" w:sz="4" w:space="0" w:color="auto"/>
                      <w:right w:val="single" w:sz="4" w:space="0" w:color="auto"/>
                    </w:tcBorders>
                    <w:vAlign w:val="center"/>
                  </w:tcPr>
                  <w:p>
                    <w:pPr>
                      <w:rPr>
                        <w:sz w:val="20"/>
                      </w:rPr>
                    </w:pPr>
                  </w:p>
                </w:tc>
                <w:tc>
                  <w:tcPr>
                    <w:tcW w:w="699" w:type="dxa"/>
                    <w:vMerge/>
                    <w:tcBorders>
                      <w:left w:val="single" w:sz="4" w:space="0" w:color="auto"/>
                      <w:bottom w:val="single" w:sz="4" w:space="0" w:color="auto"/>
                      <w:right w:val="single" w:sz="4" w:space="0" w:color="auto"/>
                    </w:tcBorders>
                    <w:vAlign w:val="center"/>
                  </w:tcPr>
                  <w:p>
                    <w:pPr>
                      <w:rPr>
                        <w:sz w:val="20"/>
                      </w:rPr>
                    </w:pPr>
                  </w:p>
                </w:tc>
                <w:tc>
                  <w:tcPr>
                    <w:tcW w:w="1985" w:type="dxa"/>
                    <w:vMerge/>
                    <w:tcBorders>
                      <w:left w:val="single" w:sz="4" w:space="0" w:color="auto"/>
                      <w:bottom w:val="single" w:sz="4" w:space="0" w:color="auto"/>
                      <w:right w:val="single" w:sz="4" w:space="0" w:color="auto"/>
                    </w:tcBorders>
                    <w:vAlign w:val="center"/>
                  </w:tcPr>
                  <w:p>
                    <w:pPr>
                      <w:rPr>
                        <w:sz w:val="20"/>
                      </w:rPr>
                    </w:pPr>
                  </w:p>
                </w:tc>
                <w:tc>
                  <w:tcPr>
                    <w:tcW w:w="829" w:type="dxa"/>
                    <w:gridSpan w:val="3"/>
                    <w:vMerge/>
                    <w:tcBorders>
                      <w:left w:val="single" w:sz="4" w:space="0" w:color="auto"/>
                      <w:bottom w:val="single" w:sz="4" w:space="0" w:color="auto"/>
                      <w:right w:val="single" w:sz="4" w:space="0" w:color="auto"/>
                    </w:tcBorders>
                    <w:vAlign w:val="center"/>
                  </w:tcPr>
                  <w:p>
                    <w:pPr>
                      <w:rPr>
                        <w:sz w:val="20"/>
                      </w:rPr>
                    </w:pPr>
                  </w:p>
                </w:tc>
                <w:tc>
                  <w:tcPr>
                    <w:tcW w:w="1014" w:type="dxa"/>
                    <w:gridSpan w:val="3"/>
                    <w:vMerge/>
                    <w:tcBorders>
                      <w:left w:val="single" w:sz="4" w:space="0" w:color="auto"/>
                      <w:bottom w:val="single" w:sz="4" w:space="0" w:color="auto"/>
                      <w:right w:val="single" w:sz="4" w:space="0" w:color="auto"/>
                    </w:tcBorders>
                    <w:vAlign w:val="center"/>
                  </w:tcPr>
                  <w:p>
                    <w:pPr>
                      <w:rPr>
                        <w:sz w:val="20"/>
                      </w:rPr>
                    </w:pPr>
                  </w:p>
                </w:tc>
                <w:tc>
                  <w:tcPr>
                    <w:tcW w:w="681" w:type="dxa"/>
                    <w:gridSpan w:val="3"/>
                    <w:vMerge/>
                    <w:tcBorders>
                      <w:left w:val="single" w:sz="4" w:space="0" w:color="auto"/>
                      <w:bottom w:val="single" w:sz="4" w:space="0" w:color="auto"/>
                      <w:right w:val="single" w:sz="4" w:space="0" w:color="auto"/>
                    </w:tcBorders>
                    <w:vAlign w:val="center"/>
                  </w:tcPr>
                  <w:p>
                    <w:pPr>
                      <w:rPr>
                        <w:sz w:val="20"/>
                      </w:rPr>
                    </w:pPr>
                  </w:p>
                </w:tc>
                <w:tc>
                  <w:tcPr>
                    <w:tcW w:w="1167" w:type="dxa"/>
                    <w:gridSpan w:val="2"/>
                  </w:tcPr>
                  <w:p>
                    <w:pPr>
                      <w:jc w:val="center"/>
                      <w:rPr>
                        <w:sz w:val="20"/>
                      </w:rPr>
                    </w:pPr>
                    <w:r>
                      <w:rPr>
                        <w:sz w:val="20"/>
                      </w:rPr>
                      <w:t>2 627,431</w:t>
                    </w:r>
                  </w:p>
                </w:tc>
                <w:tc>
                  <w:tcPr>
                    <w:tcW w:w="1118" w:type="dxa"/>
                  </w:tcPr>
                  <w:p>
                    <w:pPr>
                      <w:rPr>
                        <w:sz w:val="20"/>
                      </w:rPr>
                    </w:pPr>
                    <w:r>
                      <w:rPr>
                        <w:sz w:val="20"/>
                      </w:rPr>
                      <w:t>2021–2027 m. IP (BF, VVL regionas)</w:t>
                    </w:r>
                  </w:p>
                </w:tc>
                <w:tc>
                  <w:tcPr>
                    <w:tcW w:w="2001" w:type="dxa"/>
                    <w:gridSpan w:val="2"/>
                  </w:tcPr>
                  <w:p>
                    <w:pPr>
                      <w:ind w:left="-57" w:right="-57"/>
                      <w:jc w:val="both"/>
                      <w:rPr>
                        <w:sz w:val="20"/>
                      </w:rPr>
                    </w:pPr>
                  </w:p>
                </w:tc>
                <w:tc>
                  <w:tcPr>
                    <w:tcW w:w="1134" w:type="dxa"/>
                    <w:gridSpan w:val="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9"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4.1. Teisės aktų ir kitų sveikatos skaitmeninimo srities dokumentų parengimas</w:t>
                    </w:r>
                  </w:p>
                </w:tc>
                <w:tc>
                  <w:tcPr>
                    <w:tcW w:w="699" w:type="dxa"/>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R</w:t>
                    </w:r>
                  </w:p>
                </w:tc>
                <w:tc>
                  <w:tcPr>
                    <w:tcW w:w="1985" w:type="dxa"/>
                    <w:vMerge w:val="restart"/>
                    <w:tcBorders>
                      <w:top w:val="single" w:sz="2" w:space="0" w:color="auto"/>
                      <w:left w:val="single" w:sz="2" w:space="0" w:color="auto"/>
                      <w:bottom w:val="single" w:sz="2" w:space="0" w:color="auto"/>
                      <w:right w:val="single" w:sz="2" w:space="0" w:color="auto"/>
                    </w:tcBorders>
                  </w:tcPr>
                  <w:p>
                    <w:pPr>
                      <w:spacing w:line="276" w:lineRule="auto"/>
                      <w:rPr>
                        <w:kern w:val="2"/>
                        <w14:ligatures w14:val="standardContextual"/>
                      </w:rPr>
                    </w:pPr>
                    <w:r>
                      <w:rPr>
                        <w:kern w:val="2"/>
                        <w:sz w:val="20"/>
                        <w14:ligatures w14:val="standardContextual"/>
                      </w:rPr>
                      <w:t>-</w:t>
                    </w:r>
                  </w:p>
                  <w:p>
                    <w:pPr>
                      <w:rPr>
                        <w:sz w:val="20"/>
                      </w:rPr>
                    </w:pPr>
                    <w:r>
                      <w:rPr>
                        <w:kern w:val="2"/>
                        <w:sz w:val="20"/>
                        <w14:ligatures w14:val="standardContextual"/>
                      </w:rPr>
                      <w:t xml:space="preserve"> </w:t>
                    </w:r>
                  </w:p>
                </w:tc>
                <w:tc>
                  <w:tcPr>
                    <w:tcW w:w="829" w:type="dxa"/>
                    <w:gridSpan w:val="3"/>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w:t>
                    </w:r>
                  </w:p>
                </w:tc>
                <w:tc>
                  <w:tcPr>
                    <w:tcW w:w="1014" w:type="dxa"/>
                    <w:gridSpan w:val="3"/>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Taip</w:t>
                    </w:r>
                  </w:p>
                </w:tc>
                <w:tc>
                  <w:tcPr>
                    <w:tcW w:w="681" w:type="dxa"/>
                    <w:gridSpan w:val="3"/>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w:t>
                    </w:r>
                  </w:p>
                </w:tc>
                <w:tc>
                  <w:tcPr>
                    <w:tcW w:w="1167" w:type="dxa"/>
                    <w:gridSpan w:val="2"/>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w:t>
                    </w:r>
                  </w:p>
                </w:tc>
                <w:tc>
                  <w:tcPr>
                    <w:tcW w:w="1118" w:type="dxa"/>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w:t>
                    </w:r>
                  </w:p>
                </w:tc>
                <w:tc>
                  <w:tcPr>
                    <w:tcW w:w="2001" w:type="dxa"/>
                    <w:gridSpan w:val="2"/>
                    <w:tcBorders>
                      <w:top w:val="single" w:sz="2" w:space="0" w:color="auto"/>
                      <w:left w:val="single" w:sz="2" w:space="0" w:color="auto"/>
                      <w:bottom w:val="single" w:sz="2" w:space="0" w:color="auto"/>
                      <w:right w:val="single" w:sz="2" w:space="0" w:color="auto"/>
                    </w:tcBorders>
                  </w:tcPr>
                  <w:p>
                    <w:pPr>
                      <w:ind w:left="-57" w:right="-57"/>
                      <w:jc w:val="both"/>
                      <w:rPr>
                        <w:sz w:val="20"/>
                      </w:rPr>
                    </w:pPr>
                    <w:r>
                      <w:rPr>
                        <w:kern w:val="2"/>
                        <w:sz w:val="20"/>
                        <w14:ligatures w14:val="standardContextual"/>
                      </w:rPr>
                      <w:t>P – Įsigalioję teisės aktai, reglamentuojantys pakartotinį sveikatos duomenų naudojimą, kompl.</w:t>
                    </w:r>
                  </w:p>
                </w:tc>
                <w:tc>
                  <w:tcPr>
                    <w:tcW w:w="1134" w:type="dxa"/>
                    <w:gridSpan w:val="2"/>
                    <w:tcBorders>
                      <w:top w:val="single" w:sz="2" w:space="0" w:color="auto"/>
                      <w:left w:val="single" w:sz="2" w:space="0" w:color="auto"/>
                      <w:bottom w:val="single" w:sz="2" w:space="0" w:color="auto"/>
                      <w:right w:val="single" w:sz="2" w:space="0" w:color="auto"/>
                    </w:tcBorders>
                  </w:tcPr>
                  <w:p>
                    <w:pPr>
                      <w:spacing w:line="276" w:lineRule="auto"/>
                      <w:ind w:left="-57" w:right="-57"/>
                      <w:jc w:val="center"/>
                      <w:rPr>
                        <w:kern w:val="2"/>
                        <w14:ligatures w14:val="standardContextual"/>
                      </w:rPr>
                    </w:pPr>
                    <w:r>
                      <w:rPr>
                        <w:kern w:val="2"/>
                        <w:sz w:val="20"/>
                        <w14:ligatures w14:val="standardContextual"/>
                      </w:rPr>
                      <w:t>1</w:t>
                    </w:r>
                  </w:p>
                  <w:p>
                    <w:pPr>
                      <w:spacing w:line="276" w:lineRule="auto"/>
                      <w:ind w:left="-57" w:right="-57"/>
                      <w:jc w:val="center"/>
                      <w:rPr>
                        <w:kern w:val="2"/>
                        <w14:ligatures w14:val="standardContextual"/>
                      </w:rPr>
                    </w:pPr>
                    <w:r>
                      <w:rPr>
                        <w:kern w:val="2"/>
                        <w:sz w:val="20"/>
                        <w14:ligatures w14:val="standardContextual"/>
                      </w:rPr>
                      <w:t>(2022 m. III ketv.)</w:t>
                    </w:r>
                  </w:p>
                  <w:p>
                    <w:pPr>
                      <w:ind w:right="-57"/>
                      <w:rPr>
                        <w:sz w:val="20"/>
                      </w:rPr>
                    </w:pPr>
                    <w:r>
                      <w:rPr>
                        <w:kern w:val="2"/>
                        <w:sz w:val="20"/>
                        <w14:ligatures w14:val="standardContextual"/>
                      </w:rPr>
                      <w:t xml:space="preserve"> </w:t>
                    </w:r>
                  </w:p>
                </w:tc>
                <w:tc>
                  <w:tcPr>
                    <w:tcW w:w="992" w:type="dxa"/>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w:t>
                    </w:r>
                  </w:p>
                </w:tc>
                <w:tc>
                  <w:tcPr>
                    <w:tcW w:w="1279" w:type="dxa"/>
                    <w:vMerge w:val="restart"/>
                    <w:tcBorders>
                      <w:top w:val="single" w:sz="2" w:space="0" w:color="auto"/>
                      <w:left w:val="single" w:sz="2" w:space="0" w:color="auto"/>
                      <w:bottom w:val="single" w:sz="2" w:space="0" w:color="auto"/>
                      <w:right w:val="single" w:sz="2" w:space="0" w:color="auto"/>
                    </w:tcBorders>
                  </w:tcPr>
                  <w:p>
                    <w:pPr>
                      <w:rPr>
                        <w:color w:val="000000"/>
                        <w:sz w:val="20"/>
                      </w:rPr>
                    </w:pPr>
                    <w:r>
                      <w:rPr>
                        <w:color w:val="000000" w:themeColor="text1"/>
                        <w:kern w:val="2"/>
                        <w:sz w:val="20"/>
                        <w14:ligatures w14:val="standardContextual"/>
                      </w:rPr>
                      <w:t>SAM</w:t>
                    </w: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2" w:space="0" w:color="auto"/>
                      <w:left w:val="single" w:sz="2" w:space="0" w:color="auto"/>
                      <w:bottom w:val="single" w:sz="2" w:space="0" w:color="auto"/>
                      <w:right w:val="single" w:sz="2" w:space="0" w:color="auto"/>
                    </w:tcBorders>
                  </w:tcPr>
                  <w:p>
                    <w:pPr>
                      <w:ind w:left="-57" w:right="-57"/>
                      <w:rPr>
                        <w:sz w:val="20"/>
                      </w:rPr>
                    </w:pPr>
                    <w:r>
                      <w:rPr>
                        <w:kern w:val="2"/>
                        <w:sz w:val="20"/>
                        <w14:ligatures w14:val="standardContextual"/>
                      </w:rPr>
                      <w:t xml:space="preserve">P – Sudarytas  sveikatos priežiūros sistemos informacinių išteklių žemėlapis ir atlikta informacinių sistemų brandos analizė, įvertinant integralumą su kitomis informacinėmis sistemomis, siekiant sveikatos priežiūros sistemos skaitmeninimo, vnt.</w:t>
                    </w:r>
                  </w:p>
                </w:tc>
                <w:tc>
                  <w:tcPr>
                    <w:tcW w:w="1134" w:type="dxa"/>
                    <w:gridSpan w:val="2"/>
                    <w:tcBorders>
                      <w:top w:val="single" w:sz="2" w:space="0" w:color="auto"/>
                      <w:left w:val="single" w:sz="2" w:space="0" w:color="auto"/>
                      <w:bottom w:val="single" w:sz="2" w:space="0" w:color="auto"/>
                      <w:right w:val="single" w:sz="2" w:space="0" w:color="auto"/>
                    </w:tcBorders>
                  </w:tcPr>
                  <w:p>
                    <w:pPr>
                      <w:spacing w:line="276" w:lineRule="auto"/>
                      <w:ind w:left="-57" w:right="-57"/>
                      <w:jc w:val="center"/>
                      <w:rPr>
                        <w:kern w:val="2"/>
                        <w14:ligatures w14:val="standardContextual"/>
                      </w:rPr>
                    </w:pPr>
                    <w:r>
                      <w:rPr>
                        <w:kern w:val="2"/>
                        <w:sz w:val="20"/>
                        <w14:ligatures w14:val="standardContextual"/>
                      </w:rPr>
                      <w:t>1</w:t>
                    </w:r>
                  </w:p>
                  <w:p>
                    <w:pPr>
                      <w:ind w:left="-57" w:right="-57"/>
                      <w:jc w:val="center"/>
                      <w:rPr>
                        <w:sz w:val="20"/>
                      </w:rPr>
                    </w:pPr>
                    <w:r>
                      <w:rPr>
                        <w:kern w:val="2"/>
                        <w:sz w:val="20"/>
                        <w14:ligatures w14:val="standardContextual"/>
                      </w:rPr>
                      <w:t>(2022 m. III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2" w:space="0" w:color="auto"/>
                      <w:left w:val="single" w:sz="2" w:space="0" w:color="auto"/>
                      <w:bottom w:val="single" w:sz="2" w:space="0" w:color="auto"/>
                      <w:right w:val="single" w:sz="2" w:space="0" w:color="auto"/>
                    </w:tcBorders>
                  </w:tcPr>
                  <w:p>
                    <w:pPr>
                      <w:ind w:left="-57" w:right="-57"/>
                      <w:rPr>
                        <w:sz w:val="20"/>
                      </w:rPr>
                    </w:pPr>
                    <w:r>
                      <w:rPr>
                        <w:kern w:val="2"/>
                        <w:sz w:val="20"/>
                        <w14:ligatures w14:val="standardContextual"/>
                      </w:rPr>
                      <w:t>P – Skaitmeninės sveikatos sistemos plėtros veiksmų planas ir projektai, vnt.</w:t>
                    </w:r>
                  </w:p>
                </w:tc>
                <w:tc>
                  <w:tcPr>
                    <w:tcW w:w="1134" w:type="dxa"/>
                    <w:gridSpan w:val="2"/>
                    <w:tcBorders>
                      <w:top w:val="single" w:sz="2" w:space="0" w:color="auto"/>
                      <w:left w:val="single" w:sz="2" w:space="0" w:color="auto"/>
                      <w:bottom w:val="single" w:sz="2" w:space="0" w:color="auto"/>
                      <w:right w:val="single" w:sz="2" w:space="0" w:color="auto"/>
                    </w:tcBorders>
                  </w:tcPr>
                  <w:p>
                    <w:pPr>
                      <w:spacing w:line="276" w:lineRule="auto"/>
                      <w:ind w:left="-57" w:right="-57"/>
                      <w:jc w:val="center"/>
                      <w:rPr>
                        <w:kern w:val="2"/>
                        <w14:ligatures w14:val="standardContextual"/>
                      </w:rPr>
                    </w:pPr>
                    <w:r>
                      <w:rPr>
                        <w:kern w:val="2"/>
                        <w:sz w:val="20"/>
                        <w14:ligatures w14:val="standardContextual"/>
                      </w:rPr>
                      <w:t>1</w:t>
                    </w:r>
                  </w:p>
                  <w:p>
                    <w:pPr>
                      <w:ind w:left="-57" w:right="-57"/>
                      <w:jc w:val="center"/>
                      <w:rPr>
                        <w:sz w:val="20"/>
                      </w:rPr>
                    </w:pPr>
                    <w:r>
                      <w:rPr>
                        <w:kern w:val="2"/>
                        <w:sz w:val="20"/>
                        <w14:ligatures w14:val="standardContextual"/>
                      </w:rPr>
                      <w:t>(2026 m. II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2" w:space="0" w:color="auto"/>
                      <w:left w:val="single" w:sz="2" w:space="0" w:color="auto"/>
                      <w:bottom w:val="single" w:sz="2" w:space="0" w:color="auto"/>
                      <w:right w:val="single" w:sz="2" w:space="0" w:color="auto"/>
                    </w:tcBorders>
                  </w:tcPr>
                  <w:p>
                    <w:pPr>
                      <w:ind w:left="-57" w:right="-57"/>
                      <w:rPr>
                        <w:sz w:val="20"/>
                        <w:lang w:eastAsia="lt-LT"/>
                      </w:rPr>
                    </w:pPr>
                    <w:r>
                      <w:rPr>
                        <w:kern w:val="2"/>
                        <w:sz w:val="20"/>
                        <w14:ligatures w14:val="standardContextual"/>
                      </w:rPr>
                      <w:t xml:space="preserve">P –  Patvirtintas Skaitmeninės sveikatos sistemos plėtros veiksmų planas, vnt.</w:t>
                    </w:r>
                  </w:p>
                </w:tc>
                <w:tc>
                  <w:tcPr>
                    <w:tcW w:w="1134" w:type="dxa"/>
                    <w:gridSpan w:val="2"/>
                    <w:tcBorders>
                      <w:top w:val="single" w:sz="2" w:space="0" w:color="auto"/>
                      <w:left w:val="single" w:sz="2" w:space="0" w:color="auto"/>
                      <w:bottom w:val="single" w:sz="2" w:space="0" w:color="auto"/>
                      <w:right w:val="single" w:sz="2" w:space="0" w:color="auto"/>
                    </w:tcBorders>
                  </w:tcPr>
                  <w:p>
                    <w:pPr>
                      <w:spacing w:line="276" w:lineRule="auto"/>
                      <w:jc w:val="center"/>
                      <w:rPr>
                        <w:kern w:val="2"/>
                        <w14:ligatures w14:val="standardContextual"/>
                      </w:rPr>
                    </w:pPr>
                    <w:r>
                      <w:rPr>
                        <w:kern w:val="2"/>
                        <w:sz w:val="20"/>
                        <w14:ligatures w14:val="standardContextual"/>
                      </w:rPr>
                      <w:t>1</w:t>
                    </w:r>
                  </w:p>
                  <w:p>
                    <w:pPr>
                      <w:ind w:left="-57" w:right="-57"/>
                      <w:jc w:val="center"/>
                      <w:rPr>
                        <w:sz w:val="20"/>
                      </w:rPr>
                    </w:pPr>
                    <w:r>
                      <w:rPr>
                        <w:kern w:val="2"/>
                        <w:sz w:val="20"/>
                        <w14:ligatures w14:val="standardContextual"/>
                      </w:rPr>
                      <w:t>(2024 m. 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1541"/>
                </w:trPr>
                <w:tc>
                  <w:tcPr>
                    <w:tcW w:w="2130" w:type="dxa"/>
                    <w:gridSpan w:val="2"/>
                    <w:vMerge w:val="restart"/>
                    <w:tcBorders>
                      <w:top w:val="single" w:sz="4" w:space="0" w:color="auto"/>
                      <w:left w:val="single" w:sz="4" w:space="0" w:color="auto"/>
                      <w:right w:val="single" w:sz="4" w:space="0" w:color="auto"/>
                    </w:tcBorders>
                    <w:hideMark/>
                  </w:tcPr>
                  <w:p>
                    <w:pPr>
                      <w:rPr>
                        <w:sz w:val="20"/>
                      </w:rPr>
                    </w:pPr>
                    <w:r>
                      <w:rPr>
                        <w:sz w:val="20"/>
                      </w:rPr>
                      <w:t>4.2. Sveikatos priežiūros specialistų kompetencijų platformos sukūrimas</w:t>
                    </w:r>
                  </w:p>
                </w:tc>
                <w:tc>
                  <w:tcPr>
                    <w:tcW w:w="699" w:type="dxa"/>
                    <w:vMerge w:val="restart"/>
                    <w:tcBorders>
                      <w:top w:val="single" w:sz="2" w:space="0" w:color="auto"/>
                      <w:left w:val="single" w:sz="2" w:space="0" w:color="auto"/>
                      <w:right w:val="single" w:sz="2" w:space="0" w:color="auto"/>
                    </w:tcBorders>
                  </w:tcPr>
                  <w:p>
                    <w:pPr>
                      <w:rPr>
                        <w:sz w:val="20"/>
                      </w:rPr>
                    </w:pPr>
                    <w:r>
                      <w:rPr>
                        <w:sz w:val="20"/>
                      </w:rPr>
                      <w:t>I</w:t>
                    </w:r>
                  </w:p>
                </w:tc>
                <w:tc>
                  <w:tcPr>
                    <w:tcW w:w="1985" w:type="dxa"/>
                    <w:vMerge w:val="restart"/>
                    <w:tcBorders>
                      <w:top w:val="single" w:sz="2" w:space="0" w:color="auto"/>
                      <w:left w:val="single" w:sz="2" w:space="0" w:color="auto"/>
                      <w:right w:val="single" w:sz="2" w:space="0" w:color="auto"/>
                    </w:tcBorders>
                  </w:tcPr>
                  <w:p>
                    <w:pPr>
                      <w:rPr>
                        <w:sz w:val="20"/>
                      </w:rPr>
                    </w:pPr>
                    <w:r>
                      <w:rPr>
                        <w:sz w:val="20"/>
                      </w:rPr>
                      <w:t>Valstybinė akreditavimo sveikatos priežiūros veiklai tarnyba prie Sveikatos apsaugos ministerijos (toliau – VASPVT)</w:t>
                    </w:r>
                  </w:p>
                </w:tc>
                <w:tc>
                  <w:tcPr>
                    <w:tcW w:w="829" w:type="dxa"/>
                    <w:gridSpan w:val="3"/>
                    <w:vMerge w:val="restart"/>
                    <w:tcBorders>
                      <w:top w:val="single" w:sz="2" w:space="0" w:color="auto"/>
                      <w:left w:val="single" w:sz="2" w:space="0" w:color="auto"/>
                      <w:right w:val="single" w:sz="2" w:space="0" w:color="auto"/>
                    </w:tcBorders>
                  </w:tcPr>
                  <w:p>
                    <w:pPr>
                      <w:spacing w:line="276" w:lineRule="auto"/>
                      <w:rPr>
                        <w:kern w:val="2"/>
                        <w14:ligatures w14:val="standardContextual"/>
                      </w:rPr>
                    </w:pPr>
                    <w:r>
                      <w:rPr>
                        <w:kern w:val="2"/>
                        <w:sz w:val="20"/>
                        <w14:ligatures w14:val="standardContextual"/>
                      </w:rPr>
                      <w:t>P</w:t>
                    </w:r>
                  </w:p>
                </w:tc>
                <w:tc>
                  <w:tcPr>
                    <w:tcW w:w="1014" w:type="dxa"/>
                    <w:gridSpan w:val="3"/>
                    <w:vMerge w:val="restart"/>
                    <w:tcBorders>
                      <w:top w:val="single" w:sz="2" w:space="0" w:color="auto"/>
                      <w:left w:val="single" w:sz="2" w:space="0" w:color="auto"/>
                      <w:right w:val="single" w:sz="2" w:space="0" w:color="auto"/>
                    </w:tcBorders>
                  </w:tcPr>
                  <w:p>
                    <w:pPr>
                      <w:rPr>
                        <w:sz w:val="20"/>
                      </w:rPr>
                    </w:pPr>
                    <w:r>
                      <w:rPr>
                        <w:kern w:val="2"/>
                        <w:sz w:val="20"/>
                        <w14:ligatures w14:val="standardContextual"/>
                      </w:rPr>
                      <w:t>Taip</w:t>
                    </w:r>
                  </w:p>
                </w:tc>
                <w:tc>
                  <w:tcPr>
                    <w:tcW w:w="681" w:type="dxa"/>
                    <w:gridSpan w:val="3"/>
                    <w:vMerge w:val="restart"/>
                    <w:tcBorders>
                      <w:top w:val="single" w:sz="2" w:space="0" w:color="auto"/>
                      <w:left w:val="single" w:sz="2" w:space="0" w:color="auto"/>
                      <w:right w:val="single" w:sz="2" w:space="0" w:color="auto"/>
                    </w:tcBorders>
                  </w:tcPr>
                  <w:p>
                    <w:pPr>
                      <w:rPr>
                        <w:sz w:val="20"/>
                      </w:rPr>
                    </w:pPr>
                    <w:r>
                      <w:rPr>
                        <w:kern w:val="2"/>
                        <w:sz w:val="20"/>
                        <w14:ligatures w14:val="standardContextual"/>
                      </w:rPr>
                      <w:t>D</w:t>
                    </w:r>
                  </w:p>
                </w:tc>
                <w:tc>
                  <w:tcPr>
                    <w:tcW w:w="1167" w:type="dxa"/>
                    <w:gridSpan w:val="2"/>
                    <w:vMerge w:val="restart"/>
                    <w:tcBorders>
                      <w:top w:val="single" w:sz="2" w:space="0" w:color="auto"/>
                      <w:left w:val="single" w:sz="2" w:space="0" w:color="auto"/>
                      <w:right w:val="single" w:sz="2" w:space="0" w:color="auto"/>
                    </w:tcBorders>
                  </w:tcPr>
                  <w:p>
                    <w:pPr>
                      <w:spacing w:line="276" w:lineRule="auto"/>
                      <w:jc w:val="center"/>
                      <w:rPr>
                        <w:kern w:val="2"/>
                        <w14:ligatures w14:val="standardContextual"/>
                      </w:rPr>
                    </w:pPr>
                    <w:r>
                      <w:rPr>
                        <w:kern w:val="2"/>
                        <w:sz w:val="20"/>
                        <w14:ligatures w14:val="standardContextual"/>
                      </w:rPr>
                      <w:t>1 454,265</w:t>
                    </w:r>
                  </w:p>
                  <w:p>
                    <w:pPr>
                      <w:jc w:val="center"/>
                      <w:rPr>
                        <w:kern w:val="2"/>
                        <w:sz w:val="20"/>
                        <w14:ligatures w14:val="standardContextual"/>
                      </w:rPr>
                    </w:pPr>
                    <w:r>
                      <w:rPr>
                        <w:kern w:val="2"/>
                        <w:sz w:val="20"/>
                        <w14:ligatures w14:val="standardContextual"/>
                      </w:rPr>
                      <w:t xml:space="preserve"> </w:t>
                    </w:r>
                  </w:p>
                  <w:p>
                    <w:pPr>
                      <w:rPr>
                        <w:sz w:val="20"/>
                        <w:highlight w:val="yellow"/>
                      </w:rPr>
                    </w:pPr>
                  </w:p>
                </w:tc>
                <w:tc>
                  <w:tcPr>
                    <w:tcW w:w="1118" w:type="dxa"/>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EGADP</w:t>
                    </w:r>
                  </w:p>
                </w:tc>
                <w:tc>
                  <w:tcPr>
                    <w:tcW w:w="2001" w:type="dxa"/>
                    <w:gridSpan w:val="2"/>
                    <w:vMerge w:val="restart"/>
                    <w:tcBorders>
                      <w:top w:val="single" w:sz="2" w:space="0" w:color="auto"/>
                      <w:left w:val="single" w:sz="2" w:space="0" w:color="auto"/>
                      <w:right w:val="single" w:sz="2" w:space="0" w:color="auto"/>
                    </w:tcBorders>
                    <w:hideMark/>
                  </w:tcPr>
                  <w:p>
                    <w:pPr>
                      <w:rPr>
                        <w:sz w:val="20"/>
                      </w:rPr>
                    </w:pPr>
                    <w:r>
                      <w:rPr>
                        <w:kern w:val="2"/>
                        <w:sz w:val="20"/>
                        <w14:ligatures w14:val="standardContextual"/>
                      </w:rPr>
                      <w:t>P – Atviros viešųjų pirkimų procedūros, skirtos sveikatos priežiūros specialistų gebėjimų platformos informacinių technologijų priemonei įdiegti, užbaigimas, vnt.</w:t>
                    </w:r>
                  </w:p>
                </w:tc>
                <w:tc>
                  <w:tcPr>
                    <w:tcW w:w="1134" w:type="dxa"/>
                    <w:gridSpan w:val="2"/>
                    <w:vMerge w:val="restart"/>
                    <w:tcBorders>
                      <w:top w:val="single" w:sz="2" w:space="0" w:color="auto"/>
                      <w:left w:val="single" w:sz="2" w:space="0" w:color="auto"/>
                      <w:right w:val="single" w:sz="2" w:space="0" w:color="auto"/>
                    </w:tcBorders>
                  </w:tcPr>
                  <w:p>
                    <w:pPr>
                      <w:spacing w:line="276" w:lineRule="auto"/>
                      <w:ind w:left="-57" w:right="-57"/>
                      <w:jc w:val="center"/>
                      <w:rPr>
                        <w:kern w:val="2"/>
                        <w14:ligatures w14:val="standardContextual"/>
                      </w:rPr>
                    </w:pPr>
                    <w:r>
                      <w:rPr>
                        <w:kern w:val="2"/>
                        <w:sz w:val="20"/>
                        <w14:ligatures w14:val="standardContextual"/>
                      </w:rPr>
                      <w:t>1</w:t>
                    </w:r>
                  </w:p>
                  <w:p>
                    <w:pPr>
                      <w:spacing w:line="276" w:lineRule="auto"/>
                      <w:ind w:left="-57" w:right="-57"/>
                      <w:jc w:val="center"/>
                      <w:rPr>
                        <w:kern w:val="2"/>
                        <w14:ligatures w14:val="standardContextual"/>
                      </w:rPr>
                    </w:pPr>
                    <w:r>
                      <w:rPr>
                        <w:kern w:val="2"/>
                        <w:sz w:val="20"/>
                        <w14:ligatures w14:val="standardContextual"/>
                      </w:rPr>
                      <w:t>(2022 m. IV ketv.)</w:t>
                    </w:r>
                  </w:p>
                  <w:p>
                    <w:pPr>
                      <w:ind w:left="-57" w:right="-57"/>
                      <w:jc w:val="center"/>
                      <w:rPr>
                        <w:sz w:val="20"/>
                      </w:rPr>
                    </w:pPr>
                    <w:r>
                      <w:rPr>
                        <w:kern w:val="2"/>
                        <w:sz w:val="20"/>
                        <w14:ligatures w14:val="standardContextual"/>
                      </w:rPr>
                      <w:t xml:space="preserve"> </w:t>
                    </w:r>
                  </w:p>
                </w:tc>
                <w:tc>
                  <w:tcPr>
                    <w:tcW w:w="992" w:type="dxa"/>
                    <w:vMerge w:val="restart"/>
                    <w:tcBorders>
                      <w:top w:val="single" w:sz="2" w:space="0" w:color="auto"/>
                      <w:left w:val="single" w:sz="2" w:space="0" w:color="auto"/>
                      <w:right w:val="single" w:sz="2" w:space="0" w:color="auto"/>
                    </w:tcBorders>
                    <w:hideMark/>
                  </w:tcPr>
                  <w:p>
                    <w:pPr>
                      <w:rPr>
                        <w:sz w:val="20"/>
                      </w:rPr>
                    </w:pPr>
                    <w:r>
                      <w:rPr>
                        <w:kern w:val="2"/>
                        <w:sz w:val="20"/>
                        <w14:ligatures w14:val="standardContextual"/>
                      </w:rPr>
                      <w:t>CPVA</w:t>
                    </w:r>
                  </w:p>
                </w:tc>
                <w:tc>
                  <w:tcPr>
                    <w:tcW w:w="1279" w:type="dxa"/>
                    <w:vMerge w:val="restart"/>
                    <w:tcBorders>
                      <w:top w:val="single" w:sz="2" w:space="0" w:color="auto"/>
                      <w:left w:val="single" w:sz="2" w:space="0" w:color="auto"/>
                      <w:right w:val="single" w:sz="2" w:space="0" w:color="auto"/>
                    </w:tcBorders>
                    <w:hideMark/>
                  </w:tcPr>
                  <w:p>
                    <w:pPr>
                      <w:jc w:val="center"/>
                      <w:rPr>
                        <w:color w:val="000000"/>
                        <w:sz w:val="20"/>
                      </w:rPr>
                    </w:pPr>
                    <w:r>
                      <w:rPr>
                        <w:color w:val="000000" w:themeColor="text1"/>
                        <w:kern w:val="2"/>
                        <w:sz w:val="20"/>
                        <w14:ligatures w14:val="standardContextual"/>
                      </w:rPr>
                      <w:t>SAM</w:t>
                    </w:r>
                  </w:p>
                </w:tc>
              </w:tr>
              <w:tr>
                <w:trPr>
                  <w:trHeight w:val="1237"/>
                </w:trPr>
                <w:tc>
                  <w:tcPr>
                    <w:tcW w:w="2130" w:type="dxa"/>
                    <w:gridSpan w:val="2"/>
                    <w:vMerge/>
                    <w:tcBorders>
                      <w:left w:val="single" w:sz="4" w:space="0" w:color="auto"/>
                      <w:right w:val="single" w:sz="4" w:space="0" w:color="auto"/>
                    </w:tcBorders>
                  </w:tcPr>
                  <w:p>
                    <w:pPr>
                      <w:rPr>
                        <w:sz w:val="20"/>
                      </w:rPr>
                    </w:pPr>
                  </w:p>
                </w:tc>
                <w:tc>
                  <w:tcPr>
                    <w:tcW w:w="699" w:type="dxa"/>
                    <w:vMerge/>
                    <w:tcBorders>
                      <w:left w:val="single" w:sz="2" w:space="0" w:color="auto"/>
                      <w:right w:val="single" w:sz="2" w:space="0" w:color="auto"/>
                    </w:tcBorders>
                  </w:tcPr>
                  <w:p>
                    <w:pPr>
                      <w:rPr>
                        <w:sz w:val="20"/>
                      </w:rPr>
                    </w:pPr>
                  </w:p>
                </w:tc>
                <w:tc>
                  <w:tcPr>
                    <w:tcW w:w="1985" w:type="dxa"/>
                    <w:vMerge/>
                    <w:tcBorders>
                      <w:left w:val="single" w:sz="2" w:space="0" w:color="auto"/>
                      <w:right w:val="single" w:sz="2" w:space="0" w:color="auto"/>
                    </w:tcBorders>
                  </w:tcPr>
                  <w:p>
                    <w:pPr>
                      <w:rPr>
                        <w:sz w:val="20"/>
                      </w:rPr>
                    </w:pPr>
                  </w:p>
                </w:tc>
                <w:tc>
                  <w:tcPr>
                    <w:tcW w:w="829" w:type="dxa"/>
                    <w:gridSpan w:val="3"/>
                    <w:vMerge/>
                    <w:tcBorders>
                      <w:left w:val="single" w:sz="2" w:space="0" w:color="auto"/>
                      <w:right w:val="single" w:sz="2" w:space="0" w:color="auto"/>
                    </w:tcBorders>
                  </w:tcPr>
                  <w:p>
                    <w:pPr>
                      <w:spacing w:line="276" w:lineRule="auto"/>
                      <w:rPr>
                        <w:kern w:val="2"/>
                        <w:sz w:val="20"/>
                        <w14:ligatures w14:val="standardContextual"/>
                      </w:rPr>
                    </w:pPr>
                  </w:p>
                </w:tc>
                <w:tc>
                  <w:tcPr>
                    <w:tcW w:w="1014" w:type="dxa"/>
                    <w:gridSpan w:val="3"/>
                    <w:vMerge/>
                    <w:tcBorders>
                      <w:left w:val="single" w:sz="2" w:space="0" w:color="auto"/>
                      <w:right w:val="single" w:sz="2" w:space="0" w:color="auto"/>
                    </w:tcBorders>
                  </w:tcPr>
                  <w:p>
                    <w:pPr>
                      <w:rPr>
                        <w:kern w:val="2"/>
                        <w:sz w:val="20"/>
                        <w14:ligatures w14:val="standardContextual"/>
                      </w:rPr>
                    </w:pPr>
                  </w:p>
                </w:tc>
                <w:tc>
                  <w:tcPr>
                    <w:tcW w:w="681" w:type="dxa"/>
                    <w:gridSpan w:val="3"/>
                    <w:vMerge/>
                    <w:tcBorders>
                      <w:left w:val="single" w:sz="2" w:space="0" w:color="auto"/>
                      <w:right w:val="single" w:sz="2" w:space="0" w:color="auto"/>
                    </w:tcBorders>
                  </w:tcPr>
                  <w:p>
                    <w:pPr>
                      <w:rPr>
                        <w:kern w:val="2"/>
                        <w:sz w:val="20"/>
                        <w14:ligatures w14:val="standardContextual"/>
                      </w:rPr>
                    </w:pPr>
                  </w:p>
                </w:tc>
                <w:tc>
                  <w:tcPr>
                    <w:tcW w:w="1167" w:type="dxa"/>
                    <w:gridSpan w:val="2"/>
                    <w:vMerge/>
                    <w:tcBorders>
                      <w:left w:val="single" w:sz="2" w:space="0" w:color="auto"/>
                      <w:bottom w:val="single" w:sz="2" w:space="0" w:color="auto"/>
                      <w:right w:val="single" w:sz="2" w:space="0" w:color="auto"/>
                    </w:tcBorders>
                  </w:tcPr>
                  <w:p>
                    <w:pPr>
                      <w:spacing w:line="276" w:lineRule="auto"/>
                      <w:jc w:val="center"/>
                      <w:rPr>
                        <w:kern w:val="2"/>
                        <w:sz w:val="20"/>
                        <w14:ligatures w14:val="standardContextual"/>
                      </w:rPr>
                    </w:pPr>
                  </w:p>
                </w:tc>
                <w:tc>
                  <w:tcPr>
                    <w:tcW w:w="1118" w:type="dxa"/>
                    <w:tcBorders>
                      <w:top w:val="single" w:sz="2" w:space="0" w:color="auto"/>
                      <w:left w:val="single" w:sz="2" w:space="0" w:color="auto"/>
                      <w:bottom w:val="single" w:sz="2" w:space="0" w:color="auto"/>
                      <w:right w:val="single" w:sz="2" w:space="0" w:color="auto"/>
                    </w:tcBorders>
                  </w:tcPr>
                  <w:p>
                    <w:pPr>
                      <w:rPr>
                        <w:kern w:val="2"/>
                        <w:sz w:val="20"/>
                        <w14:ligatures w14:val="standardContextual"/>
                      </w:rPr>
                    </w:pPr>
                  </w:p>
                </w:tc>
                <w:tc>
                  <w:tcPr>
                    <w:tcW w:w="2001" w:type="dxa"/>
                    <w:gridSpan w:val="2"/>
                    <w:vMerge/>
                    <w:tcBorders>
                      <w:left w:val="single" w:sz="2" w:space="0" w:color="auto"/>
                      <w:right w:val="single" w:sz="2" w:space="0" w:color="auto"/>
                    </w:tcBorders>
                  </w:tcPr>
                  <w:p>
                    <w:pPr>
                      <w:rPr>
                        <w:kern w:val="2"/>
                        <w:sz w:val="20"/>
                        <w14:ligatures w14:val="standardContextual"/>
                      </w:rPr>
                    </w:pPr>
                  </w:p>
                </w:tc>
                <w:tc>
                  <w:tcPr>
                    <w:tcW w:w="1134" w:type="dxa"/>
                    <w:gridSpan w:val="2"/>
                    <w:vMerge/>
                    <w:tcBorders>
                      <w:left w:val="single" w:sz="2" w:space="0" w:color="auto"/>
                      <w:right w:val="single" w:sz="2" w:space="0" w:color="auto"/>
                    </w:tcBorders>
                  </w:tcPr>
                  <w:p>
                    <w:pPr>
                      <w:spacing w:line="276" w:lineRule="auto"/>
                      <w:ind w:left="-57" w:right="-57"/>
                      <w:jc w:val="center"/>
                      <w:rPr>
                        <w:kern w:val="2"/>
                        <w:sz w:val="20"/>
                        <w14:ligatures w14:val="standardContextual"/>
                      </w:rPr>
                    </w:pPr>
                  </w:p>
                </w:tc>
                <w:tc>
                  <w:tcPr>
                    <w:tcW w:w="992" w:type="dxa"/>
                    <w:vMerge/>
                    <w:tcBorders>
                      <w:left w:val="single" w:sz="2" w:space="0" w:color="auto"/>
                      <w:right w:val="single" w:sz="2" w:space="0" w:color="auto"/>
                    </w:tcBorders>
                  </w:tcPr>
                  <w:p>
                    <w:pPr>
                      <w:rPr>
                        <w:kern w:val="2"/>
                        <w:sz w:val="20"/>
                        <w14:ligatures w14:val="standardContextual"/>
                      </w:rPr>
                    </w:pPr>
                  </w:p>
                </w:tc>
                <w:tc>
                  <w:tcPr>
                    <w:tcW w:w="1279" w:type="dxa"/>
                    <w:vMerge/>
                    <w:tcBorders>
                      <w:left w:val="single" w:sz="2" w:space="0" w:color="auto"/>
                      <w:right w:val="single" w:sz="2" w:space="0" w:color="auto"/>
                    </w:tcBorders>
                  </w:tcPr>
                  <w:p>
                    <w:pPr>
                      <w:jc w:val="center"/>
                      <w:rPr>
                        <w:color w:val="000000" w:themeColor="text1"/>
                        <w:kern w:val="2"/>
                        <w:sz w:val="20"/>
                        <w14:ligatures w14:val="standardContextual"/>
                      </w:rPr>
                    </w:pPr>
                  </w:p>
                </w:tc>
              </w:tr>
              <w:tr>
                <w:trPr>
                  <w:trHeight w:val="276"/>
                </w:trPr>
                <w:tc>
                  <w:tcPr>
                    <w:tcW w:w="2130" w:type="dxa"/>
                    <w:gridSpan w:val="2"/>
                    <w:vMerge/>
                    <w:tcBorders>
                      <w:left w:val="single" w:sz="4" w:space="0" w:color="auto"/>
                      <w:right w:val="single" w:sz="2" w:space="0" w:color="auto"/>
                    </w:tcBorders>
                    <w:vAlign w:val="center"/>
                    <w:hideMark/>
                  </w:tcPr>
                  <w:p>
                    <w:pPr>
                      <w:rPr>
                        <w:sz w:val="20"/>
                      </w:rPr>
                    </w:pPr>
                  </w:p>
                </w:tc>
                <w:tc>
                  <w:tcPr>
                    <w:tcW w:w="699" w:type="dxa"/>
                    <w:vMerge/>
                    <w:tcBorders>
                      <w:left w:val="single" w:sz="2" w:space="0" w:color="auto"/>
                      <w:right w:val="single" w:sz="2" w:space="0" w:color="auto"/>
                    </w:tcBorders>
                    <w:vAlign w:val="center"/>
                    <w:hideMark/>
                  </w:tcPr>
                  <w:p>
                    <w:pPr>
                      <w:rPr>
                        <w:sz w:val="20"/>
                      </w:rPr>
                    </w:pPr>
                  </w:p>
                </w:tc>
                <w:tc>
                  <w:tcPr>
                    <w:tcW w:w="1985" w:type="dxa"/>
                    <w:vMerge/>
                    <w:tcBorders>
                      <w:left w:val="single" w:sz="2" w:space="0" w:color="auto"/>
                      <w:right w:val="single" w:sz="2" w:space="0" w:color="auto"/>
                    </w:tcBorders>
                    <w:vAlign w:val="center"/>
                    <w:hideMark/>
                  </w:tcPr>
                  <w:p>
                    <w:pPr>
                      <w:rPr>
                        <w:sz w:val="20"/>
                      </w:rPr>
                    </w:pPr>
                  </w:p>
                </w:tc>
                <w:tc>
                  <w:tcPr>
                    <w:tcW w:w="829" w:type="dxa"/>
                    <w:gridSpan w:val="3"/>
                    <w:vMerge/>
                    <w:tcBorders>
                      <w:left w:val="single" w:sz="2" w:space="0" w:color="auto"/>
                      <w:right w:val="single" w:sz="2" w:space="0" w:color="auto"/>
                    </w:tcBorders>
                    <w:vAlign w:val="center"/>
                    <w:hideMark/>
                  </w:tcPr>
                  <w:p>
                    <w:pPr>
                      <w:rPr>
                        <w:sz w:val="20"/>
                      </w:rPr>
                    </w:pPr>
                  </w:p>
                </w:tc>
                <w:tc>
                  <w:tcPr>
                    <w:tcW w:w="1014" w:type="dxa"/>
                    <w:gridSpan w:val="3"/>
                    <w:vMerge/>
                    <w:tcBorders>
                      <w:left w:val="single" w:sz="2" w:space="0" w:color="auto"/>
                      <w:right w:val="single" w:sz="2" w:space="0" w:color="auto"/>
                    </w:tcBorders>
                    <w:vAlign w:val="center"/>
                    <w:hideMark/>
                  </w:tcPr>
                  <w:p>
                    <w:pPr>
                      <w:rPr>
                        <w:sz w:val="20"/>
                      </w:rPr>
                    </w:pPr>
                  </w:p>
                </w:tc>
                <w:tc>
                  <w:tcPr>
                    <w:tcW w:w="681" w:type="dxa"/>
                    <w:gridSpan w:val="3"/>
                    <w:vMerge/>
                    <w:tcBorders>
                      <w:left w:val="single" w:sz="2" w:space="0" w:color="auto"/>
                      <w:right w:val="single" w:sz="2" w:space="0" w:color="auto"/>
                    </w:tcBorders>
                    <w:vAlign w:val="center"/>
                    <w:hideMark/>
                  </w:tcPr>
                  <w:p>
                    <w:pPr>
                      <w:rPr>
                        <w:sz w:val="20"/>
                      </w:rPr>
                    </w:pPr>
                  </w:p>
                </w:tc>
                <w:tc>
                  <w:tcPr>
                    <w:tcW w:w="1167" w:type="dxa"/>
                    <w:gridSpan w:val="2"/>
                    <w:vMerge w:val="restart"/>
                    <w:tcBorders>
                      <w:top w:val="single" w:sz="2" w:space="0" w:color="auto"/>
                      <w:left w:val="single" w:sz="2" w:space="0" w:color="auto"/>
                      <w:bottom w:val="single" w:sz="2" w:space="0" w:color="auto"/>
                      <w:right w:val="single" w:sz="2" w:space="0" w:color="auto"/>
                    </w:tcBorders>
                  </w:tcPr>
                  <w:p>
                    <w:pPr>
                      <w:spacing w:line="276" w:lineRule="auto"/>
                      <w:jc w:val="center"/>
                      <w:rPr>
                        <w:kern w:val="2"/>
                        <w:sz w:val="20"/>
                        <w14:ligatures w14:val="standardContextual"/>
                      </w:rPr>
                    </w:pPr>
                  </w:p>
                  <w:p>
                    <w:pPr>
                      <w:spacing w:line="276" w:lineRule="auto"/>
                      <w:jc w:val="center"/>
                      <w:rPr>
                        <w:kern w:val="2"/>
                        <w14:ligatures w14:val="standardContextual"/>
                      </w:rPr>
                    </w:pPr>
                    <w:r>
                      <w:rPr>
                        <w:kern w:val="2"/>
                        <w:sz w:val="20"/>
                        <w14:ligatures w14:val="standardContextual"/>
                      </w:rPr>
                      <w:t>170,240</w:t>
                    </w:r>
                  </w:p>
                  <w:p>
                    <w:pPr>
                      <w:jc w:val="center"/>
                      <w:rPr>
                        <w:sz w:val="20"/>
                        <w:highlight w:val="yellow"/>
                      </w:rPr>
                    </w:pPr>
                    <w:r>
                      <w:rPr>
                        <w:color w:val="EE0000"/>
                        <w:kern w:val="2"/>
                        <w:sz w:val="20"/>
                        <w14:ligatures w14:val="standardContextual"/>
                      </w:rPr>
                      <w:t xml:space="preserve"> </w:t>
                    </w:r>
                  </w:p>
                </w:tc>
                <w:tc>
                  <w:tcPr>
                    <w:tcW w:w="1118" w:type="dxa"/>
                    <w:vMerge w:val="restart"/>
                    <w:tcBorders>
                      <w:top w:val="single" w:sz="2" w:space="0" w:color="auto"/>
                      <w:left w:val="single" w:sz="2" w:space="0" w:color="auto"/>
                      <w:bottom w:val="single" w:sz="2" w:space="0" w:color="auto"/>
                      <w:right w:val="single" w:sz="2" w:space="0" w:color="auto"/>
                    </w:tcBorders>
                  </w:tcPr>
                  <w:p>
                    <w:pPr>
                      <w:rPr>
                        <w:kern w:val="2"/>
                        <w:sz w:val="20"/>
                        <w14:ligatures w14:val="standardContextual"/>
                      </w:rPr>
                    </w:pPr>
                  </w:p>
                  <w:p>
                    <w:pPr>
                      <w:rPr>
                        <w:sz w:val="20"/>
                      </w:rPr>
                    </w:pPr>
                    <w:r>
                      <w:rPr>
                        <w:kern w:val="2"/>
                        <w:sz w:val="20"/>
                        <w14:ligatures w14:val="standardContextual"/>
                      </w:rPr>
                      <w:t>PVM iš VB</w:t>
                    </w:r>
                  </w:p>
                </w:tc>
                <w:tc>
                  <w:tcPr>
                    <w:tcW w:w="2001" w:type="dxa"/>
                    <w:gridSpan w:val="2"/>
                    <w:vMerge/>
                    <w:tcBorders>
                      <w:left w:val="single" w:sz="2" w:space="0" w:color="auto"/>
                      <w:bottom w:val="single" w:sz="4" w:space="0" w:color="auto"/>
                      <w:right w:val="single" w:sz="2" w:space="0" w:color="auto"/>
                    </w:tcBorders>
                    <w:vAlign w:val="center"/>
                    <w:hideMark/>
                  </w:tcPr>
                  <w:p>
                    <w:pPr>
                      <w:rPr>
                        <w:sz w:val="20"/>
                      </w:rPr>
                    </w:pPr>
                  </w:p>
                </w:tc>
                <w:tc>
                  <w:tcPr>
                    <w:tcW w:w="1134" w:type="dxa"/>
                    <w:gridSpan w:val="2"/>
                    <w:vMerge/>
                    <w:tcBorders>
                      <w:left w:val="single" w:sz="2" w:space="0" w:color="auto"/>
                      <w:bottom w:val="single" w:sz="4" w:space="0" w:color="auto"/>
                      <w:right w:val="single" w:sz="2" w:space="0" w:color="auto"/>
                    </w:tcBorders>
                    <w:vAlign w:val="center"/>
                    <w:hideMark/>
                  </w:tcPr>
                  <w:p>
                    <w:pPr>
                      <w:rPr>
                        <w:sz w:val="20"/>
                      </w:rPr>
                    </w:pPr>
                  </w:p>
                </w:tc>
                <w:tc>
                  <w:tcPr>
                    <w:tcW w:w="992" w:type="dxa"/>
                    <w:vMerge/>
                    <w:tcBorders>
                      <w:left w:val="single" w:sz="2" w:space="0" w:color="auto"/>
                      <w:right w:val="single" w:sz="2" w:space="0" w:color="auto"/>
                    </w:tcBorders>
                    <w:vAlign w:val="center"/>
                    <w:hideMark/>
                  </w:tcPr>
                  <w:p>
                    <w:pPr>
                      <w:rPr>
                        <w:sz w:val="20"/>
                      </w:rPr>
                    </w:pPr>
                  </w:p>
                </w:tc>
                <w:tc>
                  <w:tcPr>
                    <w:tcW w:w="1279" w:type="dxa"/>
                    <w:vMerge/>
                    <w:tcBorders>
                      <w:left w:val="single" w:sz="2" w:space="0" w:color="auto"/>
                      <w:right w:val="single" w:sz="2"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2" w:space="0" w:color="auto"/>
                    </w:tcBorders>
                    <w:vAlign w:val="center"/>
                    <w:hideMark/>
                  </w:tcPr>
                  <w:p>
                    <w:pPr>
                      <w:rPr>
                        <w:sz w:val="20"/>
                      </w:rPr>
                    </w:pPr>
                  </w:p>
                </w:tc>
                <w:tc>
                  <w:tcPr>
                    <w:tcW w:w="699" w:type="dxa"/>
                    <w:vMerge/>
                    <w:tcBorders>
                      <w:left w:val="single" w:sz="2" w:space="0" w:color="auto"/>
                      <w:right w:val="single" w:sz="2" w:space="0" w:color="auto"/>
                    </w:tcBorders>
                    <w:vAlign w:val="center"/>
                    <w:hideMark/>
                  </w:tcPr>
                  <w:p>
                    <w:pPr>
                      <w:rPr>
                        <w:sz w:val="20"/>
                      </w:rPr>
                    </w:pPr>
                  </w:p>
                </w:tc>
                <w:tc>
                  <w:tcPr>
                    <w:tcW w:w="1985" w:type="dxa"/>
                    <w:vMerge/>
                    <w:tcBorders>
                      <w:left w:val="single" w:sz="2" w:space="0" w:color="auto"/>
                      <w:right w:val="single" w:sz="2" w:space="0" w:color="auto"/>
                    </w:tcBorders>
                    <w:vAlign w:val="center"/>
                    <w:hideMark/>
                  </w:tcPr>
                  <w:p>
                    <w:pPr>
                      <w:rPr>
                        <w:sz w:val="20"/>
                      </w:rPr>
                    </w:pPr>
                  </w:p>
                </w:tc>
                <w:tc>
                  <w:tcPr>
                    <w:tcW w:w="829" w:type="dxa"/>
                    <w:gridSpan w:val="3"/>
                    <w:vMerge/>
                    <w:tcBorders>
                      <w:left w:val="single" w:sz="2" w:space="0" w:color="auto"/>
                      <w:right w:val="single" w:sz="2" w:space="0" w:color="auto"/>
                    </w:tcBorders>
                    <w:vAlign w:val="center"/>
                    <w:hideMark/>
                  </w:tcPr>
                  <w:p>
                    <w:pPr>
                      <w:rPr>
                        <w:sz w:val="20"/>
                      </w:rPr>
                    </w:pPr>
                  </w:p>
                </w:tc>
                <w:tc>
                  <w:tcPr>
                    <w:tcW w:w="1014" w:type="dxa"/>
                    <w:gridSpan w:val="3"/>
                    <w:vMerge/>
                    <w:tcBorders>
                      <w:left w:val="single" w:sz="2" w:space="0" w:color="auto"/>
                      <w:right w:val="single" w:sz="2" w:space="0" w:color="auto"/>
                    </w:tcBorders>
                    <w:vAlign w:val="center"/>
                    <w:hideMark/>
                  </w:tcPr>
                  <w:p>
                    <w:pPr>
                      <w:rPr>
                        <w:sz w:val="20"/>
                      </w:rPr>
                    </w:pPr>
                  </w:p>
                </w:tc>
                <w:tc>
                  <w:tcPr>
                    <w:tcW w:w="681" w:type="dxa"/>
                    <w:gridSpan w:val="3"/>
                    <w:vMerge/>
                    <w:tcBorders>
                      <w:left w:val="single" w:sz="2" w:space="0" w:color="auto"/>
                      <w:right w:val="single" w:sz="2" w:space="0" w:color="auto"/>
                    </w:tcBorders>
                    <w:vAlign w:val="center"/>
                    <w:hideMark/>
                  </w:tcPr>
                  <w:p>
                    <w:pPr>
                      <w:rPr>
                        <w:sz w:val="20"/>
                      </w:rPr>
                    </w:pPr>
                  </w:p>
                </w:tc>
                <w:tc>
                  <w:tcPr>
                    <w:tcW w:w="1167" w:type="dxa"/>
                    <w:gridSpan w:val="2"/>
                    <w:vMerge/>
                    <w:tcBorders>
                      <w:top w:val="single" w:sz="2" w:space="0" w:color="auto"/>
                      <w:left w:val="single" w:sz="2" w:space="0" w:color="auto"/>
                      <w:bottom w:val="single" w:sz="2" w:space="0" w:color="auto"/>
                      <w:right w:val="single" w:sz="2" w:space="0" w:color="auto"/>
                    </w:tcBorders>
                    <w:vAlign w:val="center"/>
                  </w:tcPr>
                  <w:p>
                    <w:pPr>
                      <w:rPr>
                        <w:sz w:val="20"/>
                        <w:highlight w:val="yellow"/>
                      </w:rPr>
                    </w:pPr>
                  </w:p>
                </w:tc>
                <w:tc>
                  <w:tcPr>
                    <w:tcW w:w="1118" w:type="dxa"/>
                    <w:vMerge/>
                    <w:tcBorders>
                      <w:top w:val="single" w:sz="2" w:space="0" w:color="auto"/>
                      <w:left w:val="single" w:sz="2" w:space="0" w:color="auto"/>
                      <w:bottom w:val="single" w:sz="2" w:space="0" w:color="auto"/>
                      <w:right w:val="single" w:sz="2" w:space="0" w:color="auto"/>
                    </w:tcBorders>
                    <w:vAlign w:val="center"/>
                  </w:tcPr>
                  <w:p>
                    <w:pPr>
                      <w:rPr>
                        <w:sz w:val="20"/>
                      </w:rPr>
                    </w:pPr>
                  </w:p>
                </w:tc>
                <w:tc>
                  <w:tcPr>
                    <w:tcW w:w="2001" w:type="dxa"/>
                    <w:gridSpan w:val="2"/>
                    <w:tcBorders>
                      <w:top w:val="single" w:sz="2" w:space="0" w:color="auto"/>
                      <w:left w:val="single" w:sz="2" w:space="0" w:color="auto"/>
                      <w:bottom w:val="single" w:sz="2" w:space="0" w:color="auto"/>
                      <w:right w:val="single" w:sz="2" w:space="0" w:color="auto"/>
                    </w:tcBorders>
                  </w:tcPr>
                  <w:p>
                    <w:pPr>
                      <w:ind w:left="-57" w:right="-57"/>
                      <w:rPr>
                        <w:sz w:val="20"/>
                      </w:rPr>
                    </w:pPr>
                    <w:r>
                      <w:rPr>
                        <w:kern w:val="2"/>
                        <w:sz w:val="20"/>
                        <w14:ligatures w14:val="standardContextual"/>
                      </w:rPr>
                      <w:t>P – Sveikatos priežiūros specialistų kompetencijų platformos sukūrimas, vnt.</w:t>
                    </w:r>
                  </w:p>
                </w:tc>
                <w:tc>
                  <w:tcPr>
                    <w:tcW w:w="1134" w:type="dxa"/>
                    <w:gridSpan w:val="2"/>
                    <w:tcBorders>
                      <w:top w:val="single" w:sz="2" w:space="0" w:color="auto"/>
                      <w:left w:val="single" w:sz="2" w:space="0" w:color="auto"/>
                      <w:bottom w:val="single" w:sz="2" w:space="0" w:color="auto"/>
                      <w:right w:val="single" w:sz="2" w:space="0" w:color="auto"/>
                    </w:tcBorders>
                  </w:tcPr>
                  <w:p>
                    <w:pPr>
                      <w:spacing w:line="276" w:lineRule="auto"/>
                      <w:ind w:left="-57" w:right="-57"/>
                      <w:jc w:val="center"/>
                      <w:rPr>
                        <w:kern w:val="2"/>
                        <w14:ligatures w14:val="standardContextual"/>
                      </w:rPr>
                    </w:pPr>
                    <w:r>
                      <w:rPr>
                        <w:kern w:val="2"/>
                        <w:sz w:val="20"/>
                        <w14:ligatures w14:val="standardContextual"/>
                      </w:rPr>
                      <w:t>1</w:t>
                    </w:r>
                  </w:p>
                  <w:p>
                    <w:pPr>
                      <w:ind w:left="-57" w:right="-57"/>
                      <w:jc w:val="center"/>
                      <w:rPr>
                        <w:sz w:val="20"/>
                      </w:rPr>
                    </w:pPr>
                    <w:r>
                      <w:rPr>
                        <w:kern w:val="2"/>
                        <w:sz w:val="20"/>
                        <w14:ligatures w14:val="standardContextual"/>
                      </w:rPr>
                      <w:t>(2024 m. IV ketv.)</w:t>
                    </w:r>
                  </w:p>
                </w:tc>
                <w:tc>
                  <w:tcPr>
                    <w:tcW w:w="992" w:type="dxa"/>
                    <w:vMerge/>
                    <w:tcBorders>
                      <w:left w:val="single" w:sz="2" w:space="0" w:color="auto"/>
                      <w:right w:val="single" w:sz="2" w:space="0" w:color="auto"/>
                    </w:tcBorders>
                    <w:vAlign w:val="center"/>
                    <w:hideMark/>
                  </w:tcPr>
                  <w:p>
                    <w:pPr>
                      <w:rPr>
                        <w:sz w:val="20"/>
                      </w:rPr>
                    </w:pPr>
                  </w:p>
                </w:tc>
                <w:tc>
                  <w:tcPr>
                    <w:tcW w:w="1279" w:type="dxa"/>
                    <w:vMerge/>
                    <w:tcBorders>
                      <w:left w:val="single" w:sz="2" w:space="0" w:color="auto"/>
                      <w:right w:val="single" w:sz="2"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2" w:space="0" w:color="auto"/>
                    </w:tcBorders>
                    <w:vAlign w:val="center"/>
                    <w:hideMark/>
                  </w:tcPr>
                  <w:p>
                    <w:pPr>
                      <w:rPr>
                        <w:sz w:val="20"/>
                      </w:rPr>
                    </w:pPr>
                  </w:p>
                </w:tc>
                <w:tc>
                  <w:tcPr>
                    <w:tcW w:w="699" w:type="dxa"/>
                    <w:vMerge/>
                    <w:tcBorders>
                      <w:left w:val="single" w:sz="2" w:space="0" w:color="auto"/>
                      <w:right w:val="single" w:sz="2" w:space="0" w:color="auto"/>
                    </w:tcBorders>
                    <w:vAlign w:val="center"/>
                    <w:hideMark/>
                  </w:tcPr>
                  <w:p>
                    <w:pPr>
                      <w:rPr>
                        <w:sz w:val="20"/>
                      </w:rPr>
                    </w:pPr>
                  </w:p>
                </w:tc>
                <w:tc>
                  <w:tcPr>
                    <w:tcW w:w="1985" w:type="dxa"/>
                    <w:vMerge/>
                    <w:tcBorders>
                      <w:left w:val="single" w:sz="2" w:space="0" w:color="auto"/>
                      <w:right w:val="single" w:sz="2" w:space="0" w:color="auto"/>
                    </w:tcBorders>
                    <w:vAlign w:val="center"/>
                    <w:hideMark/>
                  </w:tcPr>
                  <w:p>
                    <w:pPr>
                      <w:rPr>
                        <w:sz w:val="20"/>
                      </w:rPr>
                    </w:pPr>
                  </w:p>
                </w:tc>
                <w:tc>
                  <w:tcPr>
                    <w:tcW w:w="829" w:type="dxa"/>
                    <w:gridSpan w:val="3"/>
                    <w:vMerge/>
                    <w:tcBorders>
                      <w:left w:val="single" w:sz="2" w:space="0" w:color="auto"/>
                      <w:right w:val="single" w:sz="2" w:space="0" w:color="auto"/>
                    </w:tcBorders>
                    <w:vAlign w:val="center"/>
                    <w:hideMark/>
                  </w:tcPr>
                  <w:p>
                    <w:pPr>
                      <w:rPr>
                        <w:sz w:val="20"/>
                      </w:rPr>
                    </w:pPr>
                  </w:p>
                </w:tc>
                <w:tc>
                  <w:tcPr>
                    <w:tcW w:w="1014" w:type="dxa"/>
                    <w:gridSpan w:val="3"/>
                    <w:vMerge/>
                    <w:tcBorders>
                      <w:left w:val="single" w:sz="2" w:space="0" w:color="auto"/>
                      <w:right w:val="single" w:sz="2" w:space="0" w:color="auto"/>
                    </w:tcBorders>
                    <w:vAlign w:val="center"/>
                    <w:hideMark/>
                  </w:tcPr>
                  <w:p>
                    <w:pPr>
                      <w:rPr>
                        <w:sz w:val="20"/>
                      </w:rPr>
                    </w:pPr>
                  </w:p>
                </w:tc>
                <w:tc>
                  <w:tcPr>
                    <w:tcW w:w="681" w:type="dxa"/>
                    <w:gridSpan w:val="3"/>
                    <w:vMerge/>
                    <w:tcBorders>
                      <w:left w:val="single" w:sz="2" w:space="0" w:color="auto"/>
                      <w:right w:val="single" w:sz="2" w:space="0" w:color="auto"/>
                    </w:tcBorders>
                    <w:vAlign w:val="center"/>
                    <w:hideMark/>
                  </w:tcPr>
                  <w:p>
                    <w:pPr>
                      <w:rPr>
                        <w:sz w:val="20"/>
                      </w:rPr>
                    </w:pPr>
                  </w:p>
                </w:tc>
                <w:tc>
                  <w:tcPr>
                    <w:tcW w:w="1167" w:type="dxa"/>
                    <w:gridSpan w:val="2"/>
                    <w:vMerge/>
                    <w:tcBorders>
                      <w:top w:val="single" w:sz="2" w:space="0" w:color="auto"/>
                      <w:left w:val="single" w:sz="2" w:space="0" w:color="auto"/>
                      <w:bottom w:val="single" w:sz="2" w:space="0" w:color="auto"/>
                      <w:right w:val="single" w:sz="2" w:space="0" w:color="auto"/>
                    </w:tcBorders>
                    <w:vAlign w:val="center"/>
                  </w:tcPr>
                  <w:p>
                    <w:pPr>
                      <w:rPr>
                        <w:sz w:val="20"/>
                        <w:highlight w:val="yellow"/>
                      </w:rPr>
                    </w:pPr>
                  </w:p>
                </w:tc>
                <w:tc>
                  <w:tcPr>
                    <w:tcW w:w="1118" w:type="dxa"/>
                    <w:vMerge/>
                    <w:tcBorders>
                      <w:top w:val="single" w:sz="2" w:space="0" w:color="auto"/>
                      <w:left w:val="single" w:sz="2" w:space="0" w:color="auto"/>
                      <w:bottom w:val="single" w:sz="2" w:space="0" w:color="auto"/>
                      <w:right w:val="single" w:sz="2" w:space="0" w:color="auto"/>
                    </w:tcBorders>
                    <w:vAlign w:val="center"/>
                  </w:tcPr>
                  <w:p>
                    <w:pPr>
                      <w:rPr>
                        <w:sz w:val="20"/>
                      </w:rPr>
                    </w:pPr>
                  </w:p>
                </w:tc>
                <w:tc>
                  <w:tcPr>
                    <w:tcW w:w="2001" w:type="dxa"/>
                    <w:gridSpan w:val="2"/>
                    <w:tcBorders>
                      <w:top w:val="single" w:sz="2" w:space="0" w:color="auto"/>
                      <w:left w:val="single" w:sz="2" w:space="0" w:color="auto"/>
                      <w:bottom w:val="single" w:sz="2" w:space="0" w:color="auto"/>
                      <w:right w:val="single" w:sz="2" w:space="0" w:color="auto"/>
                    </w:tcBorders>
                  </w:tcPr>
                  <w:p>
                    <w:pPr>
                      <w:ind w:left="-57" w:right="-57"/>
                      <w:rPr>
                        <w:sz w:val="20"/>
                      </w:rPr>
                    </w:pPr>
                    <w:r>
                      <w:rPr>
                        <w:kern w:val="2"/>
                        <w:sz w:val="20"/>
                        <w14:ligatures w14:val="standardContextual"/>
                      </w:rPr>
                      <w:t>P – Informacinės sistemos (platformos), skirtos sveikatos priežiūros specialistų licencijoms registruoti ir skaitmeninei stebėsenai vykdyti, sukūrimas, vnt.</w:t>
                    </w:r>
                  </w:p>
                </w:tc>
                <w:tc>
                  <w:tcPr>
                    <w:tcW w:w="1134" w:type="dxa"/>
                    <w:gridSpan w:val="2"/>
                    <w:tcBorders>
                      <w:top w:val="single" w:sz="2" w:space="0" w:color="auto"/>
                      <w:left w:val="single" w:sz="2" w:space="0" w:color="auto"/>
                      <w:bottom w:val="single" w:sz="2" w:space="0" w:color="auto"/>
                      <w:right w:val="single" w:sz="2" w:space="0" w:color="auto"/>
                    </w:tcBorders>
                  </w:tcPr>
                  <w:p>
                    <w:pPr>
                      <w:spacing w:line="276" w:lineRule="auto"/>
                      <w:ind w:left="-57" w:right="-57"/>
                      <w:jc w:val="center"/>
                      <w:rPr>
                        <w:kern w:val="2"/>
                        <w14:ligatures w14:val="standardContextual"/>
                      </w:rPr>
                    </w:pPr>
                    <w:r>
                      <w:rPr>
                        <w:kern w:val="2"/>
                        <w:sz w:val="20"/>
                        <w14:ligatures w14:val="standardContextual"/>
                      </w:rPr>
                      <w:t>1</w:t>
                    </w:r>
                  </w:p>
                  <w:p>
                    <w:pPr>
                      <w:ind w:left="-57" w:right="-57"/>
                      <w:jc w:val="center"/>
                      <w:rPr>
                        <w:sz w:val="20"/>
                      </w:rPr>
                    </w:pPr>
                    <w:r>
                      <w:rPr>
                        <w:kern w:val="2"/>
                        <w:sz w:val="20"/>
                        <w14:ligatures w14:val="standardContextual"/>
                      </w:rPr>
                      <w:t>(2024 m. I ketv.)</w:t>
                    </w:r>
                  </w:p>
                </w:tc>
                <w:tc>
                  <w:tcPr>
                    <w:tcW w:w="992" w:type="dxa"/>
                    <w:vMerge/>
                    <w:tcBorders>
                      <w:left w:val="single" w:sz="2" w:space="0" w:color="auto"/>
                      <w:right w:val="single" w:sz="2" w:space="0" w:color="auto"/>
                    </w:tcBorders>
                    <w:vAlign w:val="center"/>
                    <w:hideMark/>
                  </w:tcPr>
                  <w:p>
                    <w:pPr>
                      <w:rPr>
                        <w:sz w:val="20"/>
                      </w:rPr>
                    </w:pPr>
                  </w:p>
                </w:tc>
                <w:tc>
                  <w:tcPr>
                    <w:tcW w:w="1279" w:type="dxa"/>
                    <w:vMerge/>
                    <w:tcBorders>
                      <w:left w:val="single" w:sz="2" w:space="0" w:color="auto"/>
                      <w:right w:val="single" w:sz="2" w:space="0" w:color="auto"/>
                    </w:tcBorders>
                    <w:vAlign w:val="center"/>
                    <w:hideMark/>
                  </w:tcPr>
                  <w:p>
                    <w:pPr>
                      <w:rPr>
                        <w:color w:val="000000"/>
                        <w:sz w:val="20"/>
                      </w:rPr>
                    </w:pPr>
                  </w:p>
                </w:tc>
              </w:tr>
              <w:tr>
                <w:trPr>
                  <w:trHeight w:val="1557"/>
                </w:trPr>
                <w:tc>
                  <w:tcPr>
                    <w:tcW w:w="2130" w:type="dxa"/>
                    <w:gridSpan w:val="2"/>
                    <w:vMerge/>
                    <w:tcBorders>
                      <w:left w:val="single" w:sz="4" w:space="0" w:color="auto"/>
                      <w:bottom w:val="single" w:sz="4" w:space="0" w:color="auto"/>
                      <w:right w:val="single" w:sz="2" w:space="0" w:color="auto"/>
                    </w:tcBorders>
                    <w:vAlign w:val="center"/>
                    <w:hideMark/>
                  </w:tcPr>
                  <w:p>
                    <w:pPr>
                      <w:rPr>
                        <w:sz w:val="20"/>
                      </w:rPr>
                    </w:pPr>
                  </w:p>
                </w:tc>
                <w:tc>
                  <w:tcPr>
                    <w:tcW w:w="699" w:type="dxa"/>
                    <w:vMerge/>
                    <w:tcBorders>
                      <w:left w:val="single" w:sz="2" w:space="0" w:color="auto"/>
                      <w:bottom w:val="single" w:sz="4" w:space="0" w:color="auto"/>
                      <w:right w:val="single" w:sz="2" w:space="0" w:color="auto"/>
                    </w:tcBorders>
                    <w:vAlign w:val="center"/>
                    <w:hideMark/>
                  </w:tcPr>
                  <w:p>
                    <w:pPr>
                      <w:rPr>
                        <w:sz w:val="20"/>
                      </w:rPr>
                    </w:pPr>
                  </w:p>
                </w:tc>
                <w:tc>
                  <w:tcPr>
                    <w:tcW w:w="1985" w:type="dxa"/>
                    <w:vMerge/>
                    <w:tcBorders>
                      <w:left w:val="single" w:sz="2" w:space="0" w:color="auto"/>
                      <w:bottom w:val="single" w:sz="4" w:space="0" w:color="auto"/>
                      <w:right w:val="single" w:sz="2" w:space="0" w:color="auto"/>
                    </w:tcBorders>
                    <w:vAlign w:val="center"/>
                    <w:hideMark/>
                  </w:tcPr>
                  <w:p>
                    <w:pPr>
                      <w:rPr>
                        <w:sz w:val="20"/>
                      </w:rPr>
                    </w:pPr>
                  </w:p>
                </w:tc>
                <w:tc>
                  <w:tcPr>
                    <w:tcW w:w="829" w:type="dxa"/>
                    <w:gridSpan w:val="3"/>
                    <w:vMerge/>
                    <w:tcBorders>
                      <w:left w:val="single" w:sz="2" w:space="0" w:color="auto"/>
                      <w:bottom w:val="single" w:sz="4" w:space="0" w:color="auto"/>
                      <w:right w:val="single" w:sz="2" w:space="0" w:color="auto"/>
                    </w:tcBorders>
                    <w:vAlign w:val="center"/>
                    <w:hideMark/>
                  </w:tcPr>
                  <w:p>
                    <w:pPr>
                      <w:rPr>
                        <w:sz w:val="20"/>
                      </w:rPr>
                    </w:pPr>
                  </w:p>
                </w:tc>
                <w:tc>
                  <w:tcPr>
                    <w:tcW w:w="1014" w:type="dxa"/>
                    <w:gridSpan w:val="3"/>
                    <w:vMerge/>
                    <w:tcBorders>
                      <w:left w:val="single" w:sz="2" w:space="0" w:color="auto"/>
                      <w:bottom w:val="single" w:sz="4" w:space="0" w:color="auto"/>
                      <w:right w:val="single" w:sz="2" w:space="0" w:color="auto"/>
                    </w:tcBorders>
                    <w:vAlign w:val="center"/>
                    <w:hideMark/>
                  </w:tcPr>
                  <w:p>
                    <w:pPr>
                      <w:rPr>
                        <w:sz w:val="20"/>
                      </w:rPr>
                    </w:pPr>
                  </w:p>
                </w:tc>
                <w:tc>
                  <w:tcPr>
                    <w:tcW w:w="681" w:type="dxa"/>
                    <w:gridSpan w:val="3"/>
                    <w:vMerge/>
                    <w:tcBorders>
                      <w:left w:val="single" w:sz="2" w:space="0" w:color="auto"/>
                      <w:bottom w:val="single" w:sz="4" w:space="0" w:color="auto"/>
                      <w:right w:val="single" w:sz="2" w:space="0" w:color="auto"/>
                    </w:tcBorders>
                    <w:vAlign w:val="center"/>
                    <w:hideMark/>
                  </w:tcPr>
                  <w:p>
                    <w:pPr>
                      <w:rPr>
                        <w:sz w:val="20"/>
                      </w:rPr>
                    </w:pPr>
                  </w:p>
                </w:tc>
                <w:tc>
                  <w:tcPr>
                    <w:tcW w:w="1167" w:type="dxa"/>
                    <w:gridSpan w:val="2"/>
                    <w:vMerge/>
                    <w:tcBorders>
                      <w:top w:val="single" w:sz="4" w:space="0" w:color="auto"/>
                      <w:left w:val="single" w:sz="2" w:space="0" w:color="auto"/>
                      <w:bottom w:val="single" w:sz="4" w:space="0" w:color="auto"/>
                      <w:right w:val="single" w:sz="4" w:space="0" w:color="auto"/>
                    </w:tcBorders>
                    <w:vAlign w:val="center"/>
                  </w:tcPr>
                  <w:p>
                    <w:pPr>
                      <w:rPr>
                        <w:sz w:val="20"/>
                        <w:highlight w:val="yellow"/>
                      </w:rPr>
                    </w:pPr>
                  </w:p>
                </w:tc>
                <w:tc>
                  <w:tcPr>
                    <w:tcW w:w="111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2001" w:type="dxa"/>
                    <w:gridSpan w:val="2"/>
                    <w:tcBorders>
                      <w:top w:val="single" w:sz="2" w:space="0" w:color="auto"/>
                      <w:left w:val="single" w:sz="2" w:space="0" w:color="auto"/>
                      <w:bottom w:val="single" w:sz="2" w:space="0" w:color="auto"/>
                      <w:right w:val="single" w:sz="2" w:space="0" w:color="auto"/>
                    </w:tcBorders>
                  </w:tcPr>
                  <w:p>
                    <w:pPr>
                      <w:ind w:left="-57" w:right="-57"/>
                      <w:rPr>
                        <w:sz w:val="20"/>
                      </w:rPr>
                    </w:pPr>
                    <w:r>
                      <w:rPr>
                        <w:kern w:val="2"/>
                        <w:sz w:val="20"/>
                        <w14:ligatures w14:val="standardContextual"/>
                      </w:rPr>
                      <w:t>R – Naujų ir patobulintų viešųjų skaitmeninių paslaugų, produktų ir procesų naudotojai, naudotojų skaičius per metus</w:t>
                    </w:r>
                  </w:p>
                </w:tc>
                <w:tc>
                  <w:tcPr>
                    <w:tcW w:w="1134" w:type="dxa"/>
                    <w:gridSpan w:val="2"/>
                    <w:tcBorders>
                      <w:top w:val="single" w:sz="2" w:space="0" w:color="auto"/>
                      <w:left w:val="single" w:sz="2" w:space="0" w:color="auto"/>
                      <w:bottom w:val="single" w:sz="2" w:space="0" w:color="auto"/>
                      <w:right w:val="single" w:sz="2" w:space="0" w:color="auto"/>
                    </w:tcBorders>
                  </w:tcPr>
                  <w:p>
                    <w:pPr>
                      <w:ind w:left="-57" w:right="-57"/>
                      <w:jc w:val="center"/>
                      <w:rPr>
                        <w:sz w:val="20"/>
                      </w:rPr>
                    </w:pPr>
                    <w:r>
                      <w:rPr>
                        <w:kern w:val="2"/>
                        <w:sz w:val="20"/>
                        <w14:ligatures w14:val="standardContextual"/>
                      </w:rPr>
                      <w:t>n/a</w:t>
                    </w:r>
                  </w:p>
                </w:tc>
                <w:tc>
                  <w:tcPr>
                    <w:tcW w:w="992" w:type="dxa"/>
                    <w:vMerge/>
                    <w:tcBorders>
                      <w:left w:val="single" w:sz="2" w:space="0" w:color="auto"/>
                      <w:bottom w:val="single" w:sz="4" w:space="0" w:color="auto"/>
                      <w:right w:val="single" w:sz="2" w:space="0" w:color="auto"/>
                    </w:tcBorders>
                    <w:vAlign w:val="center"/>
                    <w:hideMark/>
                  </w:tcPr>
                  <w:p>
                    <w:pPr>
                      <w:rPr>
                        <w:sz w:val="20"/>
                      </w:rPr>
                    </w:pPr>
                  </w:p>
                </w:tc>
                <w:tc>
                  <w:tcPr>
                    <w:tcW w:w="1279" w:type="dxa"/>
                    <w:vMerge/>
                    <w:tcBorders>
                      <w:left w:val="single" w:sz="2" w:space="0" w:color="auto"/>
                      <w:bottom w:val="single" w:sz="4" w:space="0" w:color="auto"/>
                      <w:right w:val="single" w:sz="2" w:space="0" w:color="auto"/>
                    </w:tcBorders>
                    <w:vAlign w:val="center"/>
                    <w:hideMark/>
                  </w:tcPr>
                  <w:p>
                    <w:pPr>
                      <w:rPr>
                        <w:color w:val="000000"/>
                        <w:sz w:val="20"/>
                      </w:rPr>
                    </w:pPr>
                  </w:p>
                </w:tc>
              </w:tr>
              <w:tr>
                <w:trPr>
                  <w:trHeight w:val="804"/>
                </w:trPr>
                <w:tc>
                  <w:tcPr>
                    <w:tcW w:w="2130" w:type="dxa"/>
                    <w:gridSpan w:val="2"/>
                    <w:vMerge w:val="restart"/>
                    <w:tcBorders>
                      <w:top w:val="single" w:sz="4" w:space="0" w:color="auto"/>
                      <w:left w:val="single" w:sz="4" w:space="0" w:color="auto"/>
                      <w:right w:val="single" w:sz="4" w:space="0" w:color="auto"/>
                    </w:tcBorders>
                    <w:hideMark/>
                  </w:tcPr>
                  <w:p>
                    <w:pPr>
                      <w:rPr>
                        <w:sz w:val="20"/>
                      </w:rPr>
                    </w:pPr>
                    <w:r>
                      <w:rPr>
                        <w:sz w:val="20"/>
                      </w:rPr>
                      <w:t>4.3. Sveikatos priežiūros paslaugų kokybės vertinimo modelio (rodiklių švieslentės) sukūrimas</w:t>
                    </w:r>
                  </w:p>
                  <w:p>
                    <w:pPr>
                      <w:rPr>
                        <w:color w:val="EE0000"/>
                        <w:sz w:val="20"/>
                      </w:rPr>
                    </w:pPr>
                  </w:p>
                </w:tc>
                <w:tc>
                  <w:tcPr>
                    <w:tcW w:w="699" w:type="dxa"/>
                    <w:vMerge w:val="restart"/>
                    <w:tcBorders>
                      <w:top w:val="single" w:sz="2" w:space="0" w:color="auto"/>
                      <w:left w:val="single" w:sz="2" w:space="0" w:color="auto"/>
                      <w:right w:val="single" w:sz="2" w:space="0" w:color="auto"/>
                    </w:tcBorders>
                  </w:tcPr>
                  <w:p>
                    <w:pPr>
                      <w:rPr>
                        <w:sz w:val="20"/>
                      </w:rPr>
                    </w:pPr>
                    <w:r>
                      <w:rPr>
                        <w:kern w:val="2"/>
                        <w:sz w:val="20"/>
                        <w14:ligatures w14:val="standardContextual"/>
                      </w:rPr>
                      <w:t>I</w:t>
                    </w:r>
                  </w:p>
                </w:tc>
                <w:tc>
                  <w:tcPr>
                    <w:tcW w:w="1985" w:type="dxa"/>
                    <w:vMerge w:val="restart"/>
                    <w:tcBorders>
                      <w:top w:val="single" w:sz="2" w:space="0" w:color="auto"/>
                      <w:left w:val="single" w:sz="2" w:space="0" w:color="auto"/>
                      <w:right w:val="single" w:sz="2" w:space="0" w:color="auto"/>
                    </w:tcBorders>
                  </w:tcPr>
                  <w:p>
                    <w:pPr>
                      <w:rPr>
                        <w:sz w:val="20"/>
                      </w:rPr>
                    </w:pPr>
                    <w:r>
                      <w:rPr>
                        <w:sz w:val="20"/>
                      </w:rPr>
                      <w:t>Valstybinė ligonių kasa prie Sveikatos apsaugos ministerijo</w:t>
                    </w:r>
                  </w:p>
                </w:tc>
                <w:tc>
                  <w:tcPr>
                    <w:tcW w:w="829" w:type="dxa"/>
                    <w:gridSpan w:val="3"/>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P</w:t>
                    </w:r>
                  </w:p>
                </w:tc>
                <w:tc>
                  <w:tcPr>
                    <w:tcW w:w="1014" w:type="dxa"/>
                    <w:gridSpan w:val="3"/>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Taip</w:t>
                    </w:r>
                  </w:p>
                </w:tc>
                <w:tc>
                  <w:tcPr>
                    <w:tcW w:w="681" w:type="dxa"/>
                    <w:gridSpan w:val="3"/>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D</w:t>
                    </w:r>
                  </w:p>
                </w:tc>
                <w:tc>
                  <w:tcPr>
                    <w:tcW w:w="1167" w:type="dxa"/>
                    <w:gridSpan w:val="2"/>
                    <w:tcBorders>
                      <w:top w:val="single" w:sz="2" w:space="0" w:color="auto"/>
                      <w:left w:val="single" w:sz="2" w:space="0" w:color="auto"/>
                      <w:bottom w:val="single" w:sz="2" w:space="0" w:color="auto"/>
                      <w:right w:val="single" w:sz="2" w:space="0" w:color="auto"/>
                    </w:tcBorders>
                  </w:tcPr>
                  <w:p>
                    <w:pPr>
                      <w:jc w:val="center"/>
                      <w:rPr>
                        <w:sz w:val="20"/>
                        <w:highlight w:val="yellow"/>
                      </w:rPr>
                    </w:pPr>
                    <w:r>
                      <w:rPr>
                        <w:kern w:val="2"/>
                        <w:sz w:val="20"/>
                        <w14:ligatures w14:val="standardContextual"/>
                      </w:rPr>
                      <w:t>396,529</w:t>
                    </w:r>
                  </w:p>
                </w:tc>
                <w:tc>
                  <w:tcPr>
                    <w:tcW w:w="1118" w:type="dxa"/>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EGADP</w:t>
                    </w:r>
                  </w:p>
                </w:tc>
                <w:tc>
                  <w:tcPr>
                    <w:tcW w:w="2001" w:type="dxa"/>
                    <w:gridSpan w:val="2"/>
                    <w:vMerge w:val="restart"/>
                    <w:tcBorders>
                      <w:top w:val="single" w:sz="2" w:space="0" w:color="auto"/>
                      <w:left w:val="single" w:sz="2" w:space="0" w:color="auto"/>
                      <w:bottom w:val="single" w:sz="2" w:space="0" w:color="auto"/>
                      <w:right w:val="single" w:sz="2" w:space="0" w:color="auto"/>
                    </w:tcBorders>
                  </w:tcPr>
                  <w:p>
                    <w:pPr>
                      <w:ind w:left="-57" w:right="-57"/>
                      <w:jc w:val="both"/>
                      <w:rPr>
                        <w:sz w:val="20"/>
                      </w:rPr>
                    </w:pPr>
                    <w:r>
                      <w:rPr>
                        <w:kern w:val="2"/>
                        <w:sz w:val="20"/>
                        <w14:ligatures w14:val="standardContextual"/>
                      </w:rPr>
                      <w:t>R – Sveikatos priežiūros įstaigų, įtrauktų į veiklos rezultatų rodiklių rinkiniu grindžiamą Lietuvos nacionalinės sveikatos sistemos švieslentę, dalis, proc. (tarpinis)</w:t>
                    </w:r>
                  </w:p>
                </w:tc>
                <w:tc>
                  <w:tcPr>
                    <w:tcW w:w="1134" w:type="dxa"/>
                    <w:gridSpan w:val="2"/>
                    <w:vMerge w:val="restart"/>
                    <w:tcBorders>
                      <w:top w:val="single" w:sz="2" w:space="0" w:color="auto"/>
                      <w:left w:val="single" w:sz="2" w:space="0" w:color="auto"/>
                      <w:bottom w:val="single" w:sz="2" w:space="0" w:color="auto"/>
                      <w:right w:val="single" w:sz="2" w:space="0" w:color="auto"/>
                    </w:tcBorders>
                  </w:tcPr>
                  <w:p>
                    <w:pPr>
                      <w:spacing w:line="276" w:lineRule="auto"/>
                      <w:ind w:left="-57" w:right="-57"/>
                      <w:jc w:val="center"/>
                      <w:rPr>
                        <w:kern w:val="2"/>
                        <w14:ligatures w14:val="standardContextual"/>
                      </w:rPr>
                    </w:pPr>
                    <w:r>
                      <w:rPr>
                        <w:kern w:val="2"/>
                        <w:sz w:val="20"/>
                        <w14:ligatures w14:val="standardContextual"/>
                      </w:rPr>
                      <w:t>70</w:t>
                    </w:r>
                  </w:p>
                  <w:p>
                    <w:pPr>
                      <w:spacing w:line="276" w:lineRule="auto"/>
                      <w:ind w:left="-57" w:right="-57"/>
                      <w:jc w:val="center"/>
                      <w:rPr>
                        <w:kern w:val="2"/>
                        <w14:ligatures w14:val="standardContextual"/>
                      </w:rPr>
                    </w:pPr>
                    <w:r>
                      <w:rPr>
                        <w:kern w:val="2"/>
                        <w:sz w:val="20"/>
                        <w14:ligatures w14:val="standardContextual"/>
                      </w:rPr>
                      <w:t>(2023 m. II ketv.)</w:t>
                    </w:r>
                  </w:p>
                  <w:p>
                    <w:pPr>
                      <w:ind w:right="-57"/>
                      <w:rPr>
                        <w:sz w:val="20"/>
                      </w:rPr>
                    </w:pPr>
                    <w:r>
                      <w:rPr>
                        <w:kern w:val="2"/>
                        <w:sz w:val="20"/>
                        <w14:ligatures w14:val="standardContextual"/>
                      </w:rPr>
                      <w:t xml:space="preserve"> </w:t>
                    </w:r>
                  </w:p>
                </w:tc>
                <w:tc>
                  <w:tcPr>
                    <w:tcW w:w="992" w:type="dxa"/>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CPVA</w:t>
                    </w:r>
                  </w:p>
                </w:tc>
                <w:tc>
                  <w:tcPr>
                    <w:tcW w:w="1279" w:type="dxa"/>
                    <w:vMerge w:val="restart"/>
                    <w:tcBorders>
                      <w:top w:val="single" w:sz="2" w:space="0" w:color="auto"/>
                      <w:left w:val="single" w:sz="2" w:space="0" w:color="auto"/>
                      <w:bottom w:val="single" w:sz="2" w:space="0" w:color="auto"/>
                      <w:right w:val="single" w:sz="2" w:space="0" w:color="auto"/>
                    </w:tcBorders>
                  </w:tcPr>
                  <w:p>
                    <w:pPr>
                      <w:rPr>
                        <w:color w:val="000000"/>
                        <w:sz w:val="20"/>
                      </w:rPr>
                    </w:pPr>
                    <w:r>
                      <w:rPr>
                        <w:color w:val="000000" w:themeColor="text1"/>
                        <w:kern w:val="2"/>
                        <w:sz w:val="20"/>
                        <w14:ligatures w14:val="standardContextual"/>
                      </w:rPr>
                      <w:t>SAM</w:t>
                    </w:r>
                  </w:p>
                </w:tc>
              </w:tr>
              <w:tr>
                <w:trPr>
                  <w:trHeight w:val="693"/>
                </w:trPr>
                <w:tc>
                  <w:tcPr>
                    <w:tcW w:w="2130" w:type="dxa"/>
                    <w:gridSpan w:val="2"/>
                    <w:vMerge/>
                    <w:tcBorders>
                      <w:left w:val="single" w:sz="4" w:space="0" w:color="auto"/>
                      <w:right w:val="single" w:sz="4" w:space="0" w:color="auto"/>
                    </w:tcBorders>
                    <w:vAlign w:val="center"/>
                    <w:hideMark/>
                  </w:tcPr>
                  <w:p>
                    <w:pPr>
                      <w:rPr>
                        <w:sz w:val="20"/>
                      </w:rPr>
                    </w:pPr>
                  </w:p>
                </w:tc>
                <w:tc>
                  <w:tcPr>
                    <w:tcW w:w="699" w:type="dxa"/>
                    <w:vMerge/>
                    <w:tcBorders>
                      <w:left w:val="single" w:sz="2" w:space="0" w:color="auto"/>
                      <w:right w:val="single" w:sz="2" w:space="0" w:color="auto"/>
                    </w:tcBorders>
                    <w:vAlign w:val="center"/>
                  </w:tcPr>
                  <w:p>
                    <w:pPr>
                      <w:rPr>
                        <w:sz w:val="20"/>
                      </w:rPr>
                    </w:pPr>
                  </w:p>
                </w:tc>
                <w:tc>
                  <w:tcPr>
                    <w:tcW w:w="1985" w:type="dxa"/>
                    <w:vMerge/>
                    <w:tcBorders>
                      <w:left w:val="single" w:sz="2" w:space="0" w:color="auto"/>
                      <w:right w:val="single" w:sz="2" w:space="0" w:color="auto"/>
                    </w:tcBorders>
                    <w:vAlign w:val="center"/>
                  </w:tcPr>
                  <w:p>
                    <w:pPr>
                      <w:rPr>
                        <w:sz w:val="20"/>
                      </w:rPr>
                    </w:pPr>
                  </w:p>
                </w:tc>
                <w:tc>
                  <w:tcPr>
                    <w:tcW w:w="829" w:type="dxa"/>
                    <w:gridSpan w:val="3"/>
                    <w:vMerge/>
                    <w:tcBorders>
                      <w:left w:val="single" w:sz="2" w:space="0" w:color="auto"/>
                      <w:right w:val="single" w:sz="2" w:space="0" w:color="auto"/>
                    </w:tcBorders>
                    <w:vAlign w:val="center"/>
                  </w:tcPr>
                  <w:p>
                    <w:pPr>
                      <w:rPr>
                        <w:sz w:val="20"/>
                      </w:rPr>
                    </w:pPr>
                  </w:p>
                </w:tc>
                <w:tc>
                  <w:tcPr>
                    <w:tcW w:w="1014" w:type="dxa"/>
                    <w:gridSpan w:val="3"/>
                    <w:vMerge/>
                    <w:tcBorders>
                      <w:left w:val="single" w:sz="2" w:space="0" w:color="auto"/>
                      <w:right w:val="single" w:sz="2" w:space="0" w:color="auto"/>
                    </w:tcBorders>
                    <w:vAlign w:val="center"/>
                  </w:tcPr>
                  <w:p>
                    <w:pPr>
                      <w:rPr>
                        <w:sz w:val="20"/>
                      </w:rPr>
                    </w:pPr>
                  </w:p>
                </w:tc>
                <w:tc>
                  <w:tcPr>
                    <w:tcW w:w="681" w:type="dxa"/>
                    <w:gridSpan w:val="3"/>
                    <w:vMerge/>
                    <w:tcBorders>
                      <w:left w:val="single" w:sz="2" w:space="0" w:color="auto"/>
                      <w:right w:val="single" w:sz="2" w:space="0" w:color="auto"/>
                    </w:tcBorders>
                    <w:vAlign w:val="center"/>
                  </w:tcPr>
                  <w:p>
                    <w:pPr>
                      <w:rPr>
                        <w:sz w:val="20"/>
                      </w:rPr>
                    </w:pPr>
                  </w:p>
                </w:tc>
                <w:tc>
                  <w:tcPr>
                    <w:tcW w:w="1167" w:type="dxa"/>
                    <w:gridSpan w:val="2"/>
                    <w:vMerge w:val="restart"/>
                    <w:tcBorders>
                      <w:top w:val="single" w:sz="2" w:space="0" w:color="auto"/>
                      <w:left w:val="single" w:sz="2" w:space="0" w:color="auto"/>
                      <w:bottom w:val="single" w:sz="2" w:space="0" w:color="auto"/>
                      <w:right w:val="single" w:sz="2" w:space="0" w:color="auto"/>
                    </w:tcBorders>
                  </w:tcPr>
                  <w:p>
                    <w:pPr>
                      <w:jc w:val="center"/>
                      <w:rPr>
                        <w:sz w:val="20"/>
                        <w:highlight w:val="yellow"/>
                      </w:rPr>
                    </w:pPr>
                    <w:r>
                      <w:rPr>
                        <w:kern w:val="2"/>
                        <w:sz w:val="20"/>
                        <w14:ligatures w14:val="standardContextual"/>
                      </w:rPr>
                      <w:t>3,933</w:t>
                    </w:r>
                  </w:p>
                </w:tc>
                <w:tc>
                  <w:tcPr>
                    <w:tcW w:w="1118" w:type="dxa"/>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PVM iš VB</w:t>
                    </w:r>
                  </w:p>
                </w:tc>
                <w:tc>
                  <w:tcPr>
                    <w:tcW w:w="2001" w:type="dxa"/>
                    <w:gridSpan w:val="2"/>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hideMark/>
                  </w:tcPr>
                  <w:p>
                    <w:pPr>
                      <w:rPr>
                        <w:sz w:val="20"/>
                      </w:rPr>
                    </w:pPr>
                  </w:p>
                </w:tc>
                <w:tc>
                  <w:tcPr>
                    <w:tcW w:w="699" w:type="dxa"/>
                    <w:vMerge/>
                    <w:tcBorders>
                      <w:left w:val="single" w:sz="2" w:space="0" w:color="auto"/>
                      <w:right w:val="single" w:sz="2" w:space="0" w:color="auto"/>
                    </w:tcBorders>
                    <w:vAlign w:val="center"/>
                  </w:tcPr>
                  <w:p>
                    <w:pPr>
                      <w:rPr>
                        <w:sz w:val="20"/>
                      </w:rPr>
                    </w:pPr>
                  </w:p>
                </w:tc>
                <w:tc>
                  <w:tcPr>
                    <w:tcW w:w="1985" w:type="dxa"/>
                    <w:vMerge/>
                    <w:tcBorders>
                      <w:left w:val="single" w:sz="2" w:space="0" w:color="auto"/>
                      <w:right w:val="single" w:sz="2" w:space="0" w:color="auto"/>
                    </w:tcBorders>
                    <w:vAlign w:val="center"/>
                  </w:tcPr>
                  <w:p>
                    <w:pPr>
                      <w:rPr>
                        <w:sz w:val="20"/>
                      </w:rPr>
                    </w:pPr>
                  </w:p>
                </w:tc>
                <w:tc>
                  <w:tcPr>
                    <w:tcW w:w="829" w:type="dxa"/>
                    <w:gridSpan w:val="3"/>
                    <w:vMerge/>
                    <w:tcBorders>
                      <w:left w:val="single" w:sz="2" w:space="0" w:color="auto"/>
                      <w:right w:val="single" w:sz="2" w:space="0" w:color="auto"/>
                    </w:tcBorders>
                    <w:vAlign w:val="center"/>
                  </w:tcPr>
                  <w:p>
                    <w:pPr>
                      <w:rPr>
                        <w:sz w:val="20"/>
                      </w:rPr>
                    </w:pPr>
                  </w:p>
                </w:tc>
                <w:tc>
                  <w:tcPr>
                    <w:tcW w:w="1014" w:type="dxa"/>
                    <w:gridSpan w:val="3"/>
                    <w:vMerge/>
                    <w:tcBorders>
                      <w:left w:val="single" w:sz="2" w:space="0" w:color="auto"/>
                      <w:right w:val="single" w:sz="2" w:space="0" w:color="auto"/>
                    </w:tcBorders>
                    <w:vAlign w:val="center"/>
                  </w:tcPr>
                  <w:p>
                    <w:pPr>
                      <w:rPr>
                        <w:sz w:val="20"/>
                      </w:rPr>
                    </w:pPr>
                  </w:p>
                </w:tc>
                <w:tc>
                  <w:tcPr>
                    <w:tcW w:w="681" w:type="dxa"/>
                    <w:gridSpan w:val="3"/>
                    <w:vMerge/>
                    <w:tcBorders>
                      <w:left w:val="single" w:sz="2" w:space="0" w:color="auto"/>
                      <w:right w:val="single" w:sz="2" w:space="0" w:color="auto"/>
                    </w:tcBorders>
                    <w:vAlign w:val="center"/>
                  </w:tcPr>
                  <w:p>
                    <w:pPr>
                      <w:rPr>
                        <w:sz w:val="20"/>
                      </w:rPr>
                    </w:pPr>
                  </w:p>
                </w:tc>
                <w:tc>
                  <w:tcPr>
                    <w:tcW w:w="1167" w:type="dxa"/>
                    <w:gridSpan w:val="2"/>
                    <w:vMerge/>
                    <w:tcBorders>
                      <w:top w:val="single" w:sz="2" w:space="0" w:color="auto"/>
                      <w:left w:val="single" w:sz="2" w:space="0" w:color="auto"/>
                      <w:bottom w:val="single" w:sz="2" w:space="0" w:color="auto"/>
                      <w:right w:val="single" w:sz="2" w:space="0" w:color="auto"/>
                    </w:tcBorders>
                    <w:vAlign w:val="center"/>
                  </w:tcPr>
                  <w:p>
                    <w:pPr>
                      <w:rPr>
                        <w:sz w:val="20"/>
                        <w:highlight w:val="yellow"/>
                      </w:rPr>
                    </w:pPr>
                  </w:p>
                </w:tc>
                <w:tc>
                  <w:tcPr>
                    <w:tcW w:w="1118" w:type="dxa"/>
                    <w:vMerge/>
                    <w:tcBorders>
                      <w:top w:val="single" w:sz="2" w:space="0" w:color="auto"/>
                      <w:left w:val="single" w:sz="2" w:space="0" w:color="auto"/>
                      <w:bottom w:val="single" w:sz="2" w:space="0" w:color="auto"/>
                      <w:right w:val="single" w:sz="2" w:space="0" w:color="auto"/>
                    </w:tcBorders>
                    <w:vAlign w:val="center"/>
                  </w:tcPr>
                  <w:p>
                    <w:pPr>
                      <w:rPr>
                        <w:sz w:val="20"/>
                      </w:rPr>
                    </w:pPr>
                  </w:p>
                </w:tc>
                <w:tc>
                  <w:tcPr>
                    <w:tcW w:w="2001" w:type="dxa"/>
                    <w:gridSpan w:val="2"/>
                    <w:tcBorders>
                      <w:top w:val="single" w:sz="2" w:space="0" w:color="auto"/>
                      <w:left w:val="single" w:sz="2" w:space="0" w:color="auto"/>
                      <w:bottom w:val="single" w:sz="2" w:space="0" w:color="auto"/>
                      <w:right w:val="single" w:sz="2" w:space="0" w:color="auto"/>
                    </w:tcBorders>
                  </w:tcPr>
                  <w:p>
                    <w:pPr>
                      <w:ind w:left="-57" w:right="-57"/>
                      <w:rPr>
                        <w:sz w:val="20"/>
                      </w:rPr>
                    </w:pPr>
                    <w:r>
                      <w:rPr>
                        <w:kern w:val="2"/>
                        <w:sz w:val="20"/>
                        <w14:ligatures w14:val="standardContextual"/>
                      </w:rPr>
                      <w:t>R – Sveikatos priežiūros įstaigų, įtrauktų į veiklos rezultatų rodiklių rinkiniu grindžiamą Lietuvos nacionalinės sveikatos sistemos švieslentę, dalis, proc.</w:t>
                    </w:r>
                  </w:p>
                </w:tc>
                <w:tc>
                  <w:tcPr>
                    <w:tcW w:w="1134" w:type="dxa"/>
                    <w:gridSpan w:val="2"/>
                    <w:tcBorders>
                      <w:top w:val="single" w:sz="2" w:space="0" w:color="auto"/>
                      <w:left w:val="single" w:sz="2" w:space="0" w:color="auto"/>
                      <w:bottom w:val="single" w:sz="2" w:space="0" w:color="auto"/>
                      <w:right w:val="single" w:sz="2" w:space="0" w:color="auto"/>
                    </w:tcBorders>
                  </w:tcPr>
                  <w:p>
                    <w:pPr>
                      <w:ind w:left="-57" w:right="-57"/>
                      <w:jc w:val="center"/>
                      <w:rPr>
                        <w:sz w:val="20"/>
                      </w:rPr>
                    </w:pPr>
                    <w:r>
                      <w:rPr>
                        <w:sz w:val="20"/>
                      </w:rPr>
                      <w:t>100</w:t>
                    </w:r>
                  </w:p>
                  <w:p>
                    <w:pPr>
                      <w:ind w:left="-57" w:right="-57"/>
                      <w:jc w:val="center"/>
                      <w:rPr>
                        <w:sz w:val="20"/>
                      </w:rPr>
                    </w:pPr>
                    <w:r>
                      <w:rPr>
                        <w:sz w:val="20"/>
                      </w:rPr>
                      <w:t>(2025 m. II ketv.)</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hideMark/>
                  </w:tcPr>
                  <w:p>
                    <w:pPr>
                      <w:rPr>
                        <w:sz w:val="20"/>
                      </w:rPr>
                    </w:pPr>
                  </w:p>
                </w:tc>
                <w:tc>
                  <w:tcPr>
                    <w:tcW w:w="699" w:type="dxa"/>
                    <w:vMerge/>
                    <w:tcBorders>
                      <w:left w:val="single" w:sz="2" w:space="0" w:color="auto"/>
                      <w:right w:val="single" w:sz="2" w:space="0" w:color="auto"/>
                    </w:tcBorders>
                    <w:vAlign w:val="center"/>
                  </w:tcPr>
                  <w:p>
                    <w:pPr>
                      <w:rPr>
                        <w:sz w:val="20"/>
                      </w:rPr>
                    </w:pPr>
                  </w:p>
                </w:tc>
                <w:tc>
                  <w:tcPr>
                    <w:tcW w:w="1985" w:type="dxa"/>
                    <w:vMerge/>
                    <w:tcBorders>
                      <w:left w:val="single" w:sz="2" w:space="0" w:color="auto"/>
                      <w:right w:val="single" w:sz="2" w:space="0" w:color="auto"/>
                    </w:tcBorders>
                    <w:vAlign w:val="center"/>
                  </w:tcPr>
                  <w:p>
                    <w:pPr>
                      <w:rPr>
                        <w:sz w:val="20"/>
                      </w:rPr>
                    </w:pPr>
                  </w:p>
                </w:tc>
                <w:tc>
                  <w:tcPr>
                    <w:tcW w:w="829" w:type="dxa"/>
                    <w:gridSpan w:val="3"/>
                    <w:vMerge/>
                    <w:tcBorders>
                      <w:left w:val="single" w:sz="2" w:space="0" w:color="auto"/>
                      <w:right w:val="single" w:sz="2" w:space="0" w:color="auto"/>
                    </w:tcBorders>
                    <w:vAlign w:val="center"/>
                  </w:tcPr>
                  <w:p>
                    <w:pPr>
                      <w:rPr>
                        <w:sz w:val="20"/>
                      </w:rPr>
                    </w:pPr>
                  </w:p>
                </w:tc>
                <w:tc>
                  <w:tcPr>
                    <w:tcW w:w="1014" w:type="dxa"/>
                    <w:gridSpan w:val="3"/>
                    <w:vMerge/>
                    <w:tcBorders>
                      <w:left w:val="single" w:sz="2" w:space="0" w:color="auto"/>
                      <w:right w:val="single" w:sz="2" w:space="0" w:color="auto"/>
                    </w:tcBorders>
                    <w:vAlign w:val="center"/>
                  </w:tcPr>
                  <w:p>
                    <w:pPr>
                      <w:rPr>
                        <w:sz w:val="20"/>
                      </w:rPr>
                    </w:pPr>
                  </w:p>
                </w:tc>
                <w:tc>
                  <w:tcPr>
                    <w:tcW w:w="681" w:type="dxa"/>
                    <w:gridSpan w:val="3"/>
                    <w:vMerge/>
                    <w:tcBorders>
                      <w:left w:val="single" w:sz="2" w:space="0" w:color="auto"/>
                      <w:right w:val="single" w:sz="2" w:space="0" w:color="auto"/>
                    </w:tcBorders>
                    <w:vAlign w:val="center"/>
                  </w:tcPr>
                  <w:p>
                    <w:pPr>
                      <w:rPr>
                        <w:sz w:val="20"/>
                      </w:rPr>
                    </w:pPr>
                  </w:p>
                </w:tc>
                <w:tc>
                  <w:tcPr>
                    <w:tcW w:w="1167" w:type="dxa"/>
                    <w:gridSpan w:val="2"/>
                    <w:vMerge/>
                    <w:tcBorders>
                      <w:top w:val="single" w:sz="2" w:space="0" w:color="auto"/>
                      <w:left w:val="single" w:sz="2" w:space="0" w:color="auto"/>
                      <w:bottom w:val="single" w:sz="2" w:space="0" w:color="auto"/>
                      <w:right w:val="single" w:sz="2" w:space="0" w:color="auto"/>
                    </w:tcBorders>
                    <w:vAlign w:val="center"/>
                  </w:tcPr>
                  <w:p>
                    <w:pPr>
                      <w:rPr>
                        <w:sz w:val="20"/>
                        <w:highlight w:val="yellow"/>
                      </w:rPr>
                    </w:pPr>
                  </w:p>
                </w:tc>
                <w:tc>
                  <w:tcPr>
                    <w:tcW w:w="1118" w:type="dxa"/>
                    <w:vMerge/>
                    <w:tcBorders>
                      <w:top w:val="single" w:sz="2" w:space="0" w:color="auto"/>
                      <w:left w:val="single" w:sz="2" w:space="0" w:color="auto"/>
                      <w:bottom w:val="single" w:sz="2" w:space="0" w:color="auto"/>
                      <w:right w:val="single" w:sz="2" w:space="0" w:color="auto"/>
                    </w:tcBorders>
                    <w:vAlign w:val="center"/>
                  </w:tcPr>
                  <w:p>
                    <w:pPr>
                      <w:rPr>
                        <w:sz w:val="20"/>
                      </w:rPr>
                    </w:pPr>
                  </w:p>
                </w:tc>
                <w:tc>
                  <w:tcPr>
                    <w:tcW w:w="2001" w:type="dxa"/>
                    <w:gridSpan w:val="2"/>
                    <w:tcBorders>
                      <w:top w:val="single" w:sz="2" w:space="0" w:color="auto"/>
                      <w:left w:val="single" w:sz="2" w:space="0" w:color="auto"/>
                      <w:bottom w:val="single" w:sz="2" w:space="0" w:color="auto"/>
                      <w:right w:val="single" w:sz="2" w:space="0" w:color="auto"/>
                    </w:tcBorders>
                  </w:tcPr>
                  <w:p>
                    <w:pPr>
                      <w:ind w:left="-57" w:right="-57"/>
                      <w:rPr>
                        <w:sz w:val="20"/>
                      </w:rPr>
                    </w:pPr>
                    <w:r>
                      <w:rPr>
                        <w:kern w:val="2"/>
                        <w:sz w:val="20"/>
                        <w14:ligatures w14:val="standardContextual"/>
                      </w:rPr>
                      <w:t>R – Naujų ir patobulintų viešųjų skaitmeninių paslaugų, produktų ir procesų naudotojai, naudotojų skaičius per metus</w:t>
                    </w:r>
                  </w:p>
                </w:tc>
                <w:tc>
                  <w:tcPr>
                    <w:tcW w:w="1134" w:type="dxa"/>
                    <w:gridSpan w:val="2"/>
                    <w:tcBorders>
                      <w:top w:val="single" w:sz="2" w:space="0" w:color="auto"/>
                      <w:left w:val="single" w:sz="2" w:space="0" w:color="auto"/>
                      <w:bottom w:val="single" w:sz="2" w:space="0" w:color="auto"/>
                      <w:right w:val="single" w:sz="2" w:space="0" w:color="auto"/>
                    </w:tcBorders>
                  </w:tcPr>
                  <w:p>
                    <w:pPr>
                      <w:ind w:left="-57" w:right="-57"/>
                      <w:jc w:val="center"/>
                      <w:rPr>
                        <w:sz w:val="20"/>
                      </w:rPr>
                    </w:pPr>
                    <w:r>
                      <w:rPr>
                        <w:sz w:val="20"/>
                      </w:rPr>
                      <w:t>n/a</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bottom w:val="single" w:sz="4" w:space="0" w:color="auto"/>
                      <w:right w:val="single" w:sz="4" w:space="0" w:color="auto"/>
                    </w:tcBorders>
                    <w:vAlign w:val="center"/>
                  </w:tcPr>
                  <w:p>
                    <w:pPr>
                      <w:rPr>
                        <w:sz w:val="20"/>
                      </w:rPr>
                    </w:pPr>
                  </w:p>
                </w:tc>
                <w:tc>
                  <w:tcPr>
                    <w:tcW w:w="699" w:type="dxa"/>
                    <w:vMerge/>
                    <w:tcBorders>
                      <w:left w:val="single" w:sz="2" w:space="0" w:color="auto"/>
                      <w:bottom w:val="single" w:sz="2" w:space="0" w:color="auto"/>
                      <w:right w:val="single" w:sz="2" w:space="0" w:color="auto"/>
                    </w:tcBorders>
                    <w:vAlign w:val="center"/>
                  </w:tcPr>
                  <w:p>
                    <w:pPr>
                      <w:rPr>
                        <w:sz w:val="20"/>
                      </w:rPr>
                    </w:pPr>
                  </w:p>
                </w:tc>
                <w:tc>
                  <w:tcPr>
                    <w:tcW w:w="1985" w:type="dxa"/>
                    <w:vMerge/>
                    <w:tcBorders>
                      <w:left w:val="single" w:sz="2" w:space="0" w:color="auto"/>
                      <w:bottom w:val="single" w:sz="2" w:space="0" w:color="auto"/>
                      <w:right w:val="single" w:sz="2" w:space="0" w:color="auto"/>
                    </w:tcBorders>
                    <w:vAlign w:val="center"/>
                  </w:tcPr>
                  <w:p>
                    <w:pPr>
                      <w:rPr>
                        <w:sz w:val="20"/>
                      </w:rPr>
                    </w:pPr>
                  </w:p>
                </w:tc>
                <w:tc>
                  <w:tcPr>
                    <w:tcW w:w="829" w:type="dxa"/>
                    <w:gridSpan w:val="3"/>
                    <w:vMerge/>
                    <w:tcBorders>
                      <w:left w:val="single" w:sz="2" w:space="0" w:color="auto"/>
                      <w:bottom w:val="single" w:sz="2" w:space="0" w:color="auto"/>
                      <w:right w:val="single" w:sz="2" w:space="0" w:color="auto"/>
                    </w:tcBorders>
                    <w:vAlign w:val="center"/>
                  </w:tcPr>
                  <w:p>
                    <w:pPr>
                      <w:rPr>
                        <w:sz w:val="20"/>
                      </w:rPr>
                    </w:pPr>
                  </w:p>
                </w:tc>
                <w:tc>
                  <w:tcPr>
                    <w:tcW w:w="1014" w:type="dxa"/>
                    <w:gridSpan w:val="3"/>
                    <w:vMerge/>
                    <w:tcBorders>
                      <w:left w:val="single" w:sz="2" w:space="0" w:color="auto"/>
                      <w:bottom w:val="single" w:sz="2" w:space="0" w:color="auto"/>
                      <w:right w:val="single" w:sz="2" w:space="0" w:color="auto"/>
                    </w:tcBorders>
                    <w:vAlign w:val="center"/>
                  </w:tcPr>
                  <w:p>
                    <w:pPr>
                      <w:rPr>
                        <w:sz w:val="20"/>
                      </w:rPr>
                    </w:pPr>
                  </w:p>
                </w:tc>
                <w:tc>
                  <w:tcPr>
                    <w:tcW w:w="681" w:type="dxa"/>
                    <w:gridSpan w:val="3"/>
                    <w:vMerge/>
                    <w:tcBorders>
                      <w:left w:val="single" w:sz="2" w:space="0" w:color="auto"/>
                      <w:bottom w:val="single" w:sz="2" w:space="0" w:color="auto"/>
                      <w:right w:val="single" w:sz="2" w:space="0" w:color="auto"/>
                    </w:tcBorders>
                    <w:vAlign w:val="center"/>
                  </w:tcPr>
                  <w:p>
                    <w:pPr>
                      <w:rPr>
                        <w:sz w:val="20"/>
                      </w:rPr>
                    </w:pPr>
                  </w:p>
                </w:tc>
                <w:tc>
                  <w:tcPr>
                    <w:tcW w:w="1167" w:type="dxa"/>
                    <w:gridSpan w:val="2"/>
                    <w:vMerge/>
                    <w:tcBorders>
                      <w:left w:val="single" w:sz="2" w:space="0" w:color="auto"/>
                      <w:bottom w:val="single" w:sz="2" w:space="0" w:color="auto"/>
                      <w:right w:val="single" w:sz="2" w:space="0" w:color="auto"/>
                    </w:tcBorders>
                    <w:vAlign w:val="center"/>
                  </w:tcPr>
                  <w:p>
                    <w:pPr>
                      <w:rPr>
                        <w:sz w:val="20"/>
                        <w:highlight w:val="yellow"/>
                      </w:rPr>
                    </w:pPr>
                  </w:p>
                </w:tc>
                <w:tc>
                  <w:tcPr>
                    <w:tcW w:w="1118" w:type="dxa"/>
                    <w:vMerge/>
                    <w:tcBorders>
                      <w:left w:val="single" w:sz="2" w:space="0" w:color="auto"/>
                      <w:bottom w:val="single" w:sz="2" w:space="0" w:color="auto"/>
                      <w:right w:val="single" w:sz="2" w:space="0" w:color="auto"/>
                    </w:tcBorders>
                    <w:vAlign w:val="center"/>
                  </w:tcPr>
                  <w:p>
                    <w:pPr>
                      <w:rPr>
                        <w:sz w:val="20"/>
                      </w:rPr>
                    </w:pPr>
                  </w:p>
                </w:tc>
                <w:tc>
                  <w:tcPr>
                    <w:tcW w:w="2001" w:type="dxa"/>
                    <w:gridSpan w:val="2"/>
                    <w:tcBorders>
                      <w:top w:val="single" w:sz="2" w:space="0" w:color="auto"/>
                      <w:left w:val="single" w:sz="2" w:space="0" w:color="auto"/>
                      <w:bottom w:val="single" w:sz="2" w:space="0" w:color="auto"/>
                      <w:right w:val="single" w:sz="2" w:space="0" w:color="auto"/>
                    </w:tcBorders>
                  </w:tcPr>
                  <w:p>
                    <w:pPr>
                      <w:ind w:left="-57" w:right="-57"/>
                      <w:rPr>
                        <w:kern w:val="2"/>
                        <w:sz w:val="20"/>
                        <w14:ligatures w14:val="standardContextual"/>
                      </w:rPr>
                    </w:pPr>
                    <w:r>
                      <w:rPr>
                        <w:kern w:val="2"/>
                        <w:sz w:val="20"/>
                        <w14:ligatures w14:val="standardContextual"/>
                      </w:rPr>
                      <w:t>P -Pateikta sveikatos priežiūros paslaugų kokybės rodiklių suvestinė internete</w:t>
                    </w:r>
                  </w:p>
                </w:tc>
                <w:tc>
                  <w:tcPr>
                    <w:tcW w:w="1134" w:type="dxa"/>
                    <w:gridSpan w:val="2"/>
                    <w:tcBorders>
                      <w:top w:val="single" w:sz="2" w:space="0" w:color="auto"/>
                      <w:left w:val="single" w:sz="2" w:space="0" w:color="auto"/>
                      <w:bottom w:val="single" w:sz="2" w:space="0" w:color="auto"/>
                      <w:right w:val="single" w:sz="2" w:space="0" w:color="auto"/>
                    </w:tcBorders>
                  </w:tcPr>
                  <w:p>
                    <w:pPr>
                      <w:spacing w:line="276" w:lineRule="auto"/>
                      <w:ind w:left="-57" w:right="-57"/>
                      <w:jc w:val="center"/>
                      <w:rPr>
                        <w:kern w:val="2"/>
                        <w:sz w:val="20"/>
                        <w14:ligatures w14:val="standardContextual"/>
                      </w:rPr>
                    </w:pPr>
                    <w:r>
                      <w:rPr>
                        <w:kern w:val="2"/>
                        <w:sz w:val="20"/>
                        <w14:ligatures w14:val="standardContextual"/>
                      </w:rPr>
                      <w:t>1</w:t>
                    </w:r>
                  </w:p>
                  <w:p>
                    <w:pPr>
                      <w:spacing w:line="276" w:lineRule="auto"/>
                      <w:ind w:left="-57" w:right="-57"/>
                      <w:jc w:val="center"/>
                      <w:rPr>
                        <w:kern w:val="2"/>
                        <w:sz w:val="20"/>
                        <w14:ligatures w14:val="standardContextual"/>
                      </w:rPr>
                    </w:pPr>
                    <w:r>
                      <w:rPr>
                        <w:kern w:val="2"/>
                        <w:sz w:val="20"/>
                        <w14:ligatures w14:val="standardContextual"/>
                      </w:rPr>
                      <w:t>(2025 m. II ketv.)</w:t>
                    </w:r>
                  </w:p>
                  <w:p>
                    <w:pPr>
                      <w:spacing w:line="276" w:lineRule="auto"/>
                      <w:ind w:left="-57" w:right="-57"/>
                      <w:jc w:val="center"/>
                      <w:rPr>
                        <w:kern w:val="2"/>
                        <w:sz w:val="20"/>
                        <w14:ligatures w14:val="standardContextual"/>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9"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846"/>
                </w:trPr>
                <w:tc>
                  <w:tcPr>
                    <w:tcW w:w="2130" w:type="dxa"/>
                    <w:gridSpan w:val="2"/>
                    <w:vMerge w:val="restart"/>
                  </w:tcPr>
                  <w:p>
                    <w:pPr>
                      <w:rPr>
                        <w:iCs/>
                        <w:sz w:val="20"/>
                      </w:rPr>
                    </w:pPr>
                    <w:r>
                      <w:rPr>
                        <w:sz w:val="20"/>
                      </w:rPr>
                      <w:t>4.4. Sveikatos sektoriaus skaitmeninimo projektai</w:t>
                    </w:r>
                  </w:p>
                </w:tc>
                <w:tc>
                  <w:tcPr>
                    <w:tcW w:w="699" w:type="dxa"/>
                    <w:vMerge w:val="restart"/>
                  </w:tcPr>
                  <w:p>
                    <w:pPr>
                      <w:rPr>
                        <w:sz w:val="20"/>
                      </w:rPr>
                    </w:pPr>
                    <w:r>
                      <w:rPr>
                        <w:sz w:val="20"/>
                      </w:rPr>
                      <w:t>I</w:t>
                    </w:r>
                  </w:p>
                </w:tc>
                <w:tc>
                  <w:tcPr>
                    <w:tcW w:w="1985" w:type="dxa"/>
                    <w:vMerge w:val="restart"/>
                  </w:tcPr>
                  <w:p>
                    <w:pPr>
                      <w:rPr>
                        <w:sz w:val="20"/>
                      </w:rPr>
                    </w:pPr>
                    <w:r>
                      <w:rPr>
                        <w:sz w:val="20"/>
                      </w:rPr>
                      <w:t>VĮ Registrų centras, SAM pavaldžios įstaigos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jc w:val="center"/>
                      <w:rPr>
                        <w:sz w:val="20"/>
                        <w:lang w:val="en-US"/>
                      </w:rPr>
                    </w:pPr>
                    <w:r>
                      <w:rPr>
                        <w:sz w:val="20"/>
                        <w:lang w:val="en-US"/>
                      </w:rPr>
                      <w:t>33 347,595</w:t>
                    </w:r>
                  </w:p>
                  <w:p>
                    <w:pPr>
                      <w:jc w:val="center"/>
                      <w:rPr>
                        <w:strike/>
                        <w:sz w:val="20"/>
                        <w:highlight w:val="yellow"/>
                      </w:rPr>
                    </w:pPr>
                  </w:p>
                </w:tc>
                <w:tc>
                  <w:tcPr>
                    <w:tcW w:w="1118" w:type="dxa"/>
                  </w:tcPr>
                  <w:p>
                    <w:pPr>
                      <w:ind w:left="-57" w:right="-57"/>
                      <w:rPr>
                        <w:sz w:val="20"/>
                      </w:rPr>
                    </w:pPr>
                    <w:r>
                      <w:rPr>
                        <w:sz w:val="20"/>
                      </w:rPr>
                      <w:t>EGADP</w:t>
                    </w:r>
                  </w:p>
                  <w:p>
                    <w:pPr>
                      <w:rPr>
                        <w:sz w:val="20"/>
                      </w:rPr>
                    </w:pPr>
                  </w:p>
                </w:tc>
                <w:tc>
                  <w:tcPr>
                    <w:tcW w:w="2001" w:type="dxa"/>
                    <w:gridSpan w:val="2"/>
                  </w:tcPr>
                  <w:p>
                    <w:pPr>
                      <w:ind w:left="-57" w:right="-57"/>
                      <w:rPr>
                        <w:sz w:val="20"/>
                      </w:rPr>
                    </w:pPr>
                    <w:r>
                      <w:rPr>
                        <w:sz w:val="20"/>
                      </w:rPr>
                      <w:t>R – Naujų ir patobulintų viešųjų skaitmeninių paslaugų, produktų ir procesų naudotojai, naudotojų skaičius per metus</w:t>
                    </w:r>
                  </w:p>
                </w:tc>
                <w:tc>
                  <w:tcPr>
                    <w:tcW w:w="1134" w:type="dxa"/>
                    <w:gridSpan w:val="2"/>
                    <w:tcBorders>
                      <w:top w:val="single" w:sz="2" w:space="0" w:color="auto"/>
                      <w:left w:val="single" w:sz="2" w:space="0" w:color="auto"/>
                      <w:bottom w:val="single" w:sz="2" w:space="0" w:color="auto"/>
                      <w:right w:val="single" w:sz="2" w:space="0" w:color="auto"/>
                    </w:tcBorders>
                  </w:tcPr>
                  <w:p>
                    <w:pPr>
                      <w:ind w:left="-57" w:right="-57"/>
                      <w:jc w:val="center"/>
                      <w:rPr>
                        <w:sz w:val="20"/>
                      </w:rPr>
                    </w:pPr>
                    <w:r>
                      <w:rPr>
                        <w:kern w:val="2"/>
                        <w:sz w:val="20"/>
                        <w14:ligatures w14:val="standardContextual"/>
                      </w:rPr>
                      <w:t>n/a</w:t>
                    </w:r>
                  </w:p>
                </w:tc>
                <w:tc>
                  <w:tcPr>
                    <w:tcW w:w="992" w:type="dxa"/>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CPVA</w:t>
                    </w:r>
                  </w:p>
                </w:tc>
                <w:tc>
                  <w:tcPr>
                    <w:tcW w:w="1279" w:type="dxa"/>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 xml:space="preserve">SAM </w:t>
                    </w:r>
                  </w:p>
                </w:tc>
              </w:tr>
              <w:tr>
                <w:trPr>
                  <w:trHeight w:val="1150"/>
                </w:trPr>
                <w:tc>
                  <w:tcPr>
                    <w:tcW w:w="2130" w:type="dxa"/>
                    <w:gridSpan w:val="2"/>
                    <w:vMerge/>
                    <w:hideMark/>
                  </w:tcPr>
                  <w:p>
                    <w:pPr>
                      <w:rPr>
                        <w:iCs/>
                        <w:color w:val="EE0000"/>
                        <w:sz w:val="20"/>
                      </w:rPr>
                    </w:pPr>
                  </w:p>
                </w:tc>
                <w:tc>
                  <w:tcPr>
                    <w:tcW w:w="699" w:type="dxa"/>
                    <w:vMerge/>
                    <w:hideMark/>
                  </w:tcPr>
                  <w:p>
                    <w:pPr>
                      <w:rPr>
                        <w:sz w:val="20"/>
                      </w:rPr>
                    </w:pPr>
                  </w:p>
                </w:tc>
                <w:tc>
                  <w:tcPr>
                    <w:tcW w:w="1985" w:type="dxa"/>
                    <w:vMerge/>
                    <w:hideMark/>
                  </w:tcPr>
                  <w:p>
                    <w:pPr>
                      <w:rPr>
                        <w:sz w:val="20"/>
                      </w:rPr>
                    </w:pPr>
                  </w:p>
                </w:tc>
                <w:tc>
                  <w:tcPr>
                    <w:tcW w:w="829" w:type="dxa"/>
                    <w:gridSpan w:val="3"/>
                    <w:vMerge/>
                    <w:hideMark/>
                  </w:tcPr>
                  <w:p>
                    <w:pPr>
                      <w:rPr>
                        <w:sz w:val="20"/>
                      </w:rPr>
                    </w:pPr>
                  </w:p>
                </w:tc>
                <w:tc>
                  <w:tcPr>
                    <w:tcW w:w="1014" w:type="dxa"/>
                    <w:gridSpan w:val="3"/>
                    <w:vMerge/>
                    <w:hideMark/>
                  </w:tcPr>
                  <w:p>
                    <w:pPr>
                      <w:rPr>
                        <w:sz w:val="20"/>
                      </w:rPr>
                    </w:pPr>
                  </w:p>
                </w:tc>
                <w:tc>
                  <w:tcPr>
                    <w:tcW w:w="681" w:type="dxa"/>
                    <w:gridSpan w:val="3"/>
                    <w:vMerge/>
                    <w:hideMark/>
                  </w:tcPr>
                  <w:p>
                    <w:pPr>
                      <w:rPr>
                        <w:sz w:val="20"/>
                      </w:rPr>
                    </w:pPr>
                  </w:p>
                </w:tc>
                <w:tc>
                  <w:tcPr>
                    <w:tcW w:w="1167" w:type="dxa"/>
                    <w:gridSpan w:val="2"/>
                  </w:tcPr>
                  <w:p>
                    <w:pPr>
                      <w:jc w:val="center"/>
                      <w:rPr>
                        <w:strike/>
                        <w:sz w:val="20"/>
                        <w:highlight w:val="yellow"/>
                      </w:rPr>
                    </w:pPr>
                    <w:r>
                      <w:rPr>
                        <w:sz w:val="20"/>
                        <w:lang w:val="en-US"/>
                      </w:rPr>
                      <w:t>7 208,701</w:t>
                    </w:r>
                  </w:p>
                </w:tc>
                <w:tc>
                  <w:tcPr>
                    <w:tcW w:w="1118" w:type="dxa"/>
                  </w:tcPr>
                  <w:p>
                    <w:pPr>
                      <w:rPr>
                        <w:sz w:val="20"/>
                      </w:rPr>
                    </w:pPr>
                    <w:r>
                      <w:rPr>
                        <w:sz w:val="20"/>
                      </w:rPr>
                      <w:t>PVM iš VB</w:t>
                    </w:r>
                  </w:p>
                </w:tc>
                <w:tc>
                  <w:tcPr>
                    <w:tcW w:w="2001" w:type="dxa"/>
                    <w:gridSpan w:val="2"/>
                    <w:hideMark/>
                  </w:tcPr>
                  <w:p>
                    <w:pPr>
                      <w:ind w:left="-57" w:right="-57"/>
                      <w:rPr>
                        <w:sz w:val="20"/>
                      </w:rPr>
                    </w:pP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val="restart"/>
                    <w:tcBorders>
                      <w:top w:val="single" w:sz="4" w:space="0" w:color="auto"/>
                      <w:left w:val="single" w:sz="4" w:space="0" w:color="auto"/>
                      <w:right w:val="single" w:sz="4" w:space="0" w:color="auto"/>
                    </w:tcBorders>
                  </w:tcPr>
                  <w:p>
                    <w:pPr>
                      <w:rPr>
                        <w:color w:val="EE0000"/>
                        <w:sz w:val="20"/>
                      </w:rPr>
                    </w:pPr>
                    <w:r>
                      <w:rPr>
                        <w:sz w:val="20"/>
                      </w:rPr>
                      <w:t>4.5. E. sveikatos sistemos tobulinimas, Sostinės regionas</w:t>
                    </w:r>
                  </w:p>
                </w:tc>
                <w:tc>
                  <w:tcPr>
                    <w:tcW w:w="699" w:type="dxa"/>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I</w:t>
                    </w:r>
                  </w:p>
                </w:tc>
                <w:tc>
                  <w:tcPr>
                    <w:tcW w:w="1985" w:type="dxa"/>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VĮ Registrų centras</w:t>
                    </w:r>
                  </w:p>
                </w:tc>
                <w:tc>
                  <w:tcPr>
                    <w:tcW w:w="829" w:type="dxa"/>
                    <w:gridSpan w:val="3"/>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P</w:t>
                    </w:r>
                  </w:p>
                </w:tc>
                <w:tc>
                  <w:tcPr>
                    <w:tcW w:w="1014" w:type="dxa"/>
                    <w:gridSpan w:val="3"/>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Taip</w:t>
                    </w:r>
                  </w:p>
                </w:tc>
                <w:tc>
                  <w:tcPr>
                    <w:tcW w:w="681" w:type="dxa"/>
                    <w:gridSpan w:val="3"/>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D</w:t>
                    </w:r>
                  </w:p>
                </w:tc>
                <w:tc>
                  <w:tcPr>
                    <w:tcW w:w="1167" w:type="dxa"/>
                    <w:gridSpan w:val="2"/>
                    <w:tcBorders>
                      <w:top w:val="single" w:sz="2" w:space="0" w:color="auto"/>
                      <w:left w:val="single" w:sz="2" w:space="0" w:color="auto"/>
                      <w:bottom w:val="single" w:sz="2" w:space="0" w:color="auto"/>
                      <w:right w:val="single" w:sz="2" w:space="0" w:color="auto"/>
                    </w:tcBorders>
                  </w:tcPr>
                  <w:p>
                    <w:pPr>
                      <w:jc w:val="center"/>
                      <w:rPr>
                        <w:sz w:val="20"/>
                      </w:rPr>
                    </w:pPr>
                    <w:r>
                      <w:rPr>
                        <w:kern w:val="2"/>
                        <w:sz w:val="20"/>
                        <w14:ligatures w14:val="standardContextual"/>
                      </w:rPr>
                      <w:t>3 753,473</w:t>
                    </w:r>
                  </w:p>
                </w:tc>
                <w:tc>
                  <w:tcPr>
                    <w:tcW w:w="1118" w:type="dxa"/>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2021–2027 m. IP (ERPF)</w:t>
                    </w:r>
                  </w:p>
                </w:tc>
                <w:tc>
                  <w:tcPr>
                    <w:tcW w:w="2001" w:type="dxa"/>
                    <w:gridSpan w:val="2"/>
                    <w:tcBorders>
                      <w:top w:val="single" w:sz="2" w:space="0" w:color="auto"/>
                      <w:left w:val="single" w:sz="2" w:space="0" w:color="auto"/>
                      <w:bottom w:val="single" w:sz="2" w:space="0" w:color="auto"/>
                      <w:right w:val="single" w:sz="2" w:space="0" w:color="auto"/>
                    </w:tcBorders>
                  </w:tcPr>
                  <w:p>
                    <w:pPr>
                      <w:ind w:left="-57" w:right="-57"/>
                      <w:rPr>
                        <w:sz w:val="20"/>
                      </w:rPr>
                    </w:pPr>
                    <w:r>
                      <w:rPr>
                        <w:kern w:val="2"/>
                        <w:sz w:val="20"/>
                        <w14:ligatures w14:val="standardContextual"/>
                      </w:rPr>
                      <w:t>P – Naujos arba modernizuotos sveikatos priežiūros infrastruktūros talpumas, asmenys per metus</w:t>
                    </w:r>
                  </w:p>
                </w:tc>
                <w:tc>
                  <w:tcPr>
                    <w:tcW w:w="1134" w:type="dxa"/>
                    <w:gridSpan w:val="2"/>
                    <w:tcBorders>
                      <w:top w:val="single" w:sz="2" w:space="0" w:color="auto"/>
                      <w:left w:val="single" w:sz="2" w:space="0" w:color="auto"/>
                      <w:bottom w:val="single" w:sz="2" w:space="0" w:color="auto"/>
                      <w:right w:val="single" w:sz="2" w:space="0" w:color="auto"/>
                    </w:tcBorders>
                  </w:tcPr>
                  <w:p>
                    <w:pPr>
                      <w:spacing w:line="276" w:lineRule="auto"/>
                      <w:ind w:left="-57" w:right="-57"/>
                      <w:jc w:val="center"/>
                      <w:rPr>
                        <w:kern w:val="2"/>
                        <w14:ligatures w14:val="standardContextual"/>
                      </w:rPr>
                    </w:pPr>
                    <w:r>
                      <w:rPr>
                        <w:kern w:val="2"/>
                        <w:sz w:val="20"/>
                        <w14:ligatures w14:val="standardContextual"/>
                      </w:rPr>
                      <w:t>400 000</w:t>
                    </w:r>
                  </w:p>
                  <w:p>
                    <w:pPr>
                      <w:ind w:left="-57" w:right="-57"/>
                      <w:jc w:val="center"/>
                      <w:rPr>
                        <w:sz w:val="20"/>
                      </w:rPr>
                    </w:pPr>
                    <w:r>
                      <w:rPr>
                        <w:kern w:val="2"/>
                        <w:sz w:val="20"/>
                        <w14:ligatures w14:val="standardContextual"/>
                      </w:rPr>
                      <w:t>(2029 m.)</w:t>
                    </w:r>
                  </w:p>
                </w:tc>
                <w:tc>
                  <w:tcPr>
                    <w:tcW w:w="992" w:type="dxa"/>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 xml:space="preserve">CPVA </w:t>
                    </w:r>
                  </w:p>
                </w:tc>
                <w:tc>
                  <w:tcPr>
                    <w:tcW w:w="1279" w:type="dxa"/>
                    <w:vMerge w:val="restart"/>
                    <w:tcBorders>
                      <w:top w:val="single" w:sz="2" w:space="0" w:color="auto"/>
                      <w:left w:val="single" w:sz="2" w:space="0" w:color="auto"/>
                      <w:bottom w:val="single" w:sz="2" w:space="0" w:color="auto"/>
                      <w:right w:val="single" w:sz="2" w:space="0" w:color="auto"/>
                    </w:tcBorders>
                  </w:tcPr>
                  <w:p>
                    <w:pPr>
                      <w:jc w:val="center"/>
                      <w:rPr>
                        <w:sz w:val="20"/>
                      </w:rPr>
                    </w:pPr>
                    <w:r>
                      <w:rPr>
                        <w:kern w:val="2"/>
                        <w:sz w:val="20"/>
                        <w14:ligatures w14:val="standardContextual"/>
                      </w:rPr>
                      <w:t>SAM“</w:t>
                    </w: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Borders>
                      <w:top w:val="single" w:sz="2" w:space="0" w:color="auto"/>
                      <w:left w:val="single" w:sz="2" w:space="0" w:color="auto"/>
                      <w:bottom w:val="single" w:sz="2" w:space="0" w:color="auto"/>
                      <w:right w:val="single" w:sz="2" w:space="0" w:color="auto"/>
                    </w:tcBorders>
                  </w:tcPr>
                  <w:p>
                    <w:pPr>
                      <w:jc w:val="center"/>
                      <w:rPr>
                        <w:sz w:val="20"/>
                      </w:rPr>
                    </w:pPr>
                    <w:r>
                      <w:rPr>
                        <w:kern w:val="2"/>
                        <w:sz w:val="20"/>
                        <w14:ligatures w14:val="standardContextual"/>
                      </w:rPr>
                      <w:t>3 753,473</w:t>
                    </w:r>
                  </w:p>
                </w:tc>
                <w:tc>
                  <w:tcPr>
                    <w:tcW w:w="1118" w:type="dxa"/>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2021–2027 m. IP (BF)</w:t>
                    </w:r>
                  </w:p>
                </w:tc>
                <w:tc>
                  <w:tcPr>
                    <w:tcW w:w="2001" w:type="dxa"/>
                    <w:gridSpan w:val="2"/>
                    <w:tcBorders>
                      <w:top w:val="single" w:sz="2" w:space="0" w:color="auto"/>
                      <w:left w:val="single" w:sz="2" w:space="0" w:color="auto"/>
                      <w:bottom w:val="single" w:sz="2" w:space="0" w:color="auto"/>
                      <w:right w:val="single" w:sz="2" w:space="0" w:color="auto"/>
                    </w:tcBorders>
                  </w:tcPr>
                  <w:p>
                    <w:pPr>
                      <w:ind w:left="-57" w:right="-57"/>
                      <w:rPr>
                        <w:sz w:val="20"/>
                      </w:rPr>
                    </w:pPr>
                    <w:r>
                      <w:rPr>
                        <w:kern w:val="2"/>
                        <w:sz w:val="20"/>
                        <w14:ligatures w14:val="standardContextual"/>
                      </w:rPr>
                      <w:t>Naujų arba modernizuotų e. sveikatos priežiūros paslaugų naudotojų skaičius per metus, naudotojai per metus</w:t>
                    </w:r>
                  </w:p>
                </w:tc>
                <w:tc>
                  <w:tcPr>
                    <w:tcW w:w="1134" w:type="dxa"/>
                    <w:gridSpan w:val="2"/>
                    <w:tcBorders>
                      <w:top w:val="single" w:sz="2" w:space="0" w:color="auto"/>
                      <w:left w:val="single" w:sz="2" w:space="0" w:color="auto"/>
                      <w:bottom w:val="single" w:sz="2" w:space="0" w:color="auto"/>
                      <w:right w:val="single" w:sz="2" w:space="0" w:color="auto"/>
                    </w:tcBorders>
                  </w:tcPr>
                  <w:p>
                    <w:pPr>
                      <w:spacing w:line="276" w:lineRule="auto"/>
                      <w:ind w:left="-57" w:right="-57"/>
                      <w:jc w:val="center"/>
                      <w:rPr>
                        <w:kern w:val="2"/>
                        <w14:ligatures w14:val="standardContextual"/>
                      </w:rPr>
                    </w:pPr>
                    <w:r>
                      <w:rPr>
                        <w:kern w:val="2"/>
                        <w:sz w:val="20"/>
                        <w14:ligatures w14:val="standardContextual"/>
                      </w:rPr>
                      <w:t>400 000</w:t>
                    </w:r>
                  </w:p>
                  <w:p>
                    <w:pPr>
                      <w:ind w:left="-57" w:right="-57"/>
                      <w:jc w:val="center"/>
                      <w:rPr>
                        <w:sz w:val="20"/>
                      </w:rPr>
                    </w:pPr>
                    <w:r>
                      <w:rPr>
                        <w:kern w:val="2"/>
                        <w:sz w:val="20"/>
                        <w14:ligatures w14:val="standardContextual"/>
                      </w:rPr>
                      <w:t>(2029 m.)</w:t>
                    </w:r>
                  </w:p>
                </w:tc>
                <w:tc>
                  <w:tcPr>
                    <w:tcW w:w="992" w:type="dxa"/>
                    <w:vMerge/>
                    <w:tcBorders>
                      <w:right w:val="single" w:sz="4" w:space="0" w:color="auto"/>
                    </w:tcBorders>
                  </w:tcPr>
                  <w:p>
                    <w:pPr>
                      <w:rPr>
                        <w:sz w:val="20"/>
                      </w:rPr>
                    </w:pPr>
                  </w:p>
                </w:tc>
                <w:tc>
                  <w:tcPr>
                    <w:tcW w:w="1279" w:type="dxa"/>
                    <w:vMerge/>
                    <w:tcBorders>
                      <w:left w:val="single" w:sz="4" w:space="0" w:color="auto"/>
                      <w:right w:val="single" w:sz="4" w:space="0" w:color="auto"/>
                    </w:tcBorders>
                  </w:tcPr>
                  <w:p>
                    <w:pPr>
                      <w:jc w:val="center"/>
                      <w:rPr>
                        <w:sz w:val="20"/>
                      </w:rPr>
                    </w:pPr>
                  </w:p>
                </w:tc>
              </w:tr>
              <w:tr>
                <w:trPr>
                  <w:trHeight w:val="414"/>
                </w:trPr>
                <w:tc>
                  <w:tcPr>
                    <w:tcW w:w="2130" w:type="dxa"/>
                    <w:gridSpan w:val="2"/>
                    <w:vMerge w:val="restart"/>
                    <w:tcBorders>
                      <w:top w:val="single" w:sz="4" w:space="0" w:color="auto"/>
                      <w:left w:val="single" w:sz="4" w:space="0" w:color="auto"/>
                      <w:right w:val="single" w:sz="4" w:space="0" w:color="auto"/>
                    </w:tcBorders>
                  </w:tcPr>
                  <w:p>
                    <w:pPr>
                      <w:rPr>
                        <w:sz w:val="20"/>
                      </w:rPr>
                    </w:pPr>
                    <w:r>
                      <w:rPr>
                        <w:sz w:val="20"/>
                      </w:rPr>
                      <w:t>4.6 E. sveikatos sistemos tobulinimas, Vidurio ir vakarų Lietuvos regionas</w:t>
                    </w:r>
                  </w:p>
                </w:tc>
                <w:tc>
                  <w:tcPr>
                    <w:tcW w:w="699" w:type="dxa"/>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I</w:t>
                    </w:r>
                  </w:p>
                </w:tc>
                <w:tc>
                  <w:tcPr>
                    <w:tcW w:w="1985" w:type="dxa"/>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VĮ Registrų centras</w:t>
                    </w:r>
                  </w:p>
                </w:tc>
                <w:tc>
                  <w:tcPr>
                    <w:tcW w:w="829" w:type="dxa"/>
                    <w:gridSpan w:val="3"/>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P</w:t>
                    </w:r>
                  </w:p>
                </w:tc>
                <w:tc>
                  <w:tcPr>
                    <w:tcW w:w="1014" w:type="dxa"/>
                    <w:gridSpan w:val="3"/>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Taip</w:t>
                    </w:r>
                  </w:p>
                </w:tc>
                <w:tc>
                  <w:tcPr>
                    <w:tcW w:w="681" w:type="dxa"/>
                    <w:gridSpan w:val="3"/>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D</w:t>
                    </w:r>
                  </w:p>
                </w:tc>
                <w:tc>
                  <w:tcPr>
                    <w:tcW w:w="1167" w:type="dxa"/>
                    <w:gridSpan w:val="2"/>
                    <w:tcBorders>
                      <w:top w:val="single" w:sz="2" w:space="0" w:color="auto"/>
                      <w:left w:val="single" w:sz="2" w:space="0" w:color="auto"/>
                      <w:bottom w:val="single" w:sz="2" w:space="0" w:color="auto"/>
                      <w:right w:val="single" w:sz="2" w:space="0" w:color="auto"/>
                    </w:tcBorders>
                  </w:tcPr>
                  <w:p>
                    <w:pPr>
                      <w:jc w:val="center"/>
                      <w:rPr>
                        <w:sz w:val="20"/>
                      </w:rPr>
                    </w:pPr>
                    <w:r>
                      <w:rPr>
                        <w:kern w:val="2"/>
                        <w:sz w:val="20"/>
                        <w14:ligatures w14:val="standardContextual"/>
                      </w:rPr>
                      <w:t>14 888,775</w:t>
                    </w:r>
                  </w:p>
                </w:tc>
                <w:tc>
                  <w:tcPr>
                    <w:tcW w:w="1118" w:type="dxa"/>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2021–2027 m. IP (ERPF)</w:t>
                    </w:r>
                  </w:p>
                </w:tc>
                <w:tc>
                  <w:tcPr>
                    <w:tcW w:w="2001" w:type="dxa"/>
                    <w:gridSpan w:val="2"/>
                    <w:tcBorders>
                      <w:top w:val="single" w:sz="2" w:space="0" w:color="auto"/>
                      <w:left w:val="single" w:sz="2" w:space="0" w:color="auto"/>
                      <w:bottom w:val="single" w:sz="2" w:space="0" w:color="auto"/>
                      <w:right w:val="single" w:sz="2" w:space="0" w:color="auto"/>
                    </w:tcBorders>
                  </w:tcPr>
                  <w:p>
                    <w:pPr>
                      <w:ind w:left="-57" w:right="-57"/>
                      <w:rPr>
                        <w:sz w:val="20"/>
                      </w:rPr>
                    </w:pPr>
                    <w:r>
                      <w:rPr>
                        <w:kern w:val="2"/>
                        <w:sz w:val="20"/>
                        <w14:ligatures w14:val="standardContextual"/>
                      </w:rPr>
                      <w:t>P – Naujos arba modernizuotos sveikatos priežiūros infrastruktūros talpumas, asmenys per metus</w:t>
                    </w:r>
                  </w:p>
                </w:tc>
                <w:tc>
                  <w:tcPr>
                    <w:tcW w:w="1134" w:type="dxa"/>
                    <w:gridSpan w:val="2"/>
                    <w:tcBorders>
                      <w:top w:val="single" w:sz="2" w:space="0" w:color="auto"/>
                      <w:left w:val="single" w:sz="2" w:space="0" w:color="auto"/>
                      <w:bottom w:val="single" w:sz="2" w:space="0" w:color="auto"/>
                      <w:right w:val="single" w:sz="2" w:space="0" w:color="auto"/>
                    </w:tcBorders>
                  </w:tcPr>
                  <w:p>
                    <w:pPr>
                      <w:spacing w:line="276" w:lineRule="auto"/>
                      <w:ind w:left="-57" w:right="-57"/>
                      <w:jc w:val="center"/>
                      <w:rPr>
                        <w:kern w:val="2"/>
                        <w14:ligatures w14:val="standardContextual"/>
                      </w:rPr>
                    </w:pPr>
                    <w:r>
                      <w:rPr>
                        <w:kern w:val="2"/>
                        <w:sz w:val="20"/>
                        <w14:ligatures w14:val="standardContextual"/>
                      </w:rPr>
                      <w:t>1 000 000</w:t>
                    </w:r>
                  </w:p>
                  <w:p>
                    <w:pPr>
                      <w:ind w:left="-57" w:right="-57"/>
                      <w:jc w:val="center"/>
                      <w:rPr>
                        <w:sz w:val="20"/>
                      </w:rPr>
                    </w:pPr>
                    <w:r>
                      <w:rPr>
                        <w:kern w:val="2"/>
                        <w:sz w:val="20"/>
                        <w14:ligatures w14:val="standardContextual"/>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sz w:val="20"/>
                      </w:rPr>
                    </w:pP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Borders>
                      <w:top w:val="single" w:sz="2" w:space="0" w:color="auto"/>
                      <w:left w:val="single" w:sz="2" w:space="0" w:color="auto"/>
                      <w:bottom w:val="single" w:sz="2" w:space="0" w:color="auto"/>
                      <w:right w:val="single" w:sz="2" w:space="0" w:color="auto"/>
                    </w:tcBorders>
                  </w:tcPr>
                  <w:p>
                    <w:pPr>
                      <w:jc w:val="center"/>
                      <w:rPr>
                        <w:sz w:val="20"/>
                      </w:rPr>
                    </w:pPr>
                    <w:r>
                      <w:rPr>
                        <w:kern w:val="2"/>
                        <w:sz w:val="20"/>
                        <w14:ligatures w14:val="standardContextual"/>
                      </w:rPr>
                      <w:t>2 627,431</w:t>
                    </w:r>
                  </w:p>
                </w:tc>
                <w:tc>
                  <w:tcPr>
                    <w:tcW w:w="1118" w:type="dxa"/>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2021–2027 m. IP (BF)</w:t>
                    </w:r>
                  </w:p>
                </w:tc>
                <w:tc>
                  <w:tcPr>
                    <w:tcW w:w="2001" w:type="dxa"/>
                    <w:gridSpan w:val="2"/>
                    <w:tcBorders>
                      <w:top w:val="single" w:sz="2" w:space="0" w:color="auto"/>
                      <w:left w:val="single" w:sz="2" w:space="0" w:color="auto"/>
                      <w:bottom w:val="single" w:sz="2" w:space="0" w:color="auto"/>
                      <w:right w:val="single" w:sz="2" w:space="0" w:color="auto"/>
                    </w:tcBorders>
                  </w:tcPr>
                  <w:p>
                    <w:pPr>
                      <w:spacing w:line="276" w:lineRule="auto"/>
                      <w:ind w:left="-57" w:right="-57"/>
                      <w:rPr>
                        <w:kern w:val="2"/>
                        <w14:ligatures w14:val="standardContextual"/>
                      </w:rPr>
                    </w:pPr>
                    <w:r>
                      <w:rPr>
                        <w:kern w:val="2"/>
                        <w:sz w:val="20"/>
                        <w14:ligatures w14:val="standardContextual"/>
                      </w:rPr>
                      <w:t>Naujų arba modernizuotų e. sveikatos priežiūros</w:t>
                    </w:r>
                  </w:p>
                  <w:p>
                    <w:pPr>
                      <w:ind w:left="-57" w:right="-57"/>
                      <w:rPr>
                        <w:sz w:val="20"/>
                      </w:rPr>
                    </w:pPr>
                    <w:r>
                      <w:rPr>
                        <w:kern w:val="2"/>
                        <w:sz w:val="20"/>
                        <w14:ligatures w14:val="standardContextual"/>
                      </w:rPr>
                      <w:t>paslaugų naudotojų skaičius per metus, naudotojai per metus</w:t>
                    </w:r>
                  </w:p>
                </w:tc>
                <w:tc>
                  <w:tcPr>
                    <w:tcW w:w="1134" w:type="dxa"/>
                    <w:gridSpan w:val="2"/>
                    <w:tcBorders>
                      <w:top w:val="single" w:sz="2" w:space="0" w:color="auto"/>
                      <w:left w:val="single" w:sz="2" w:space="0" w:color="auto"/>
                      <w:bottom w:val="single" w:sz="2" w:space="0" w:color="auto"/>
                      <w:right w:val="single" w:sz="2" w:space="0" w:color="auto"/>
                    </w:tcBorders>
                  </w:tcPr>
                  <w:p>
                    <w:pPr>
                      <w:spacing w:line="276" w:lineRule="auto"/>
                      <w:ind w:left="-57" w:right="-57"/>
                      <w:jc w:val="center"/>
                      <w:rPr>
                        <w:kern w:val="2"/>
                        <w14:ligatures w14:val="standardContextual"/>
                      </w:rPr>
                    </w:pPr>
                    <w:r>
                      <w:rPr>
                        <w:kern w:val="2"/>
                        <w:sz w:val="20"/>
                        <w14:ligatures w14:val="standardContextual"/>
                      </w:rPr>
                      <w:t>1 000 000</w:t>
                    </w:r>
                  </w:p>
                  <w:p>
                    <w:pPr>
                      <w:ind w:left="-57" w:right="-57"/>
                      <w:jc w:val="center"/>
                      <w:rPr>
                        <w:sz w:val="20"/>
                      </w:rPr>
                    </w:pPr>
                    <w:r>
                      <w:rPr>
                        <w:kern w:val="2"/>
                        <w:sz w:val="20"/>
                        <w14:ligatures w14:val="standardContextual"/>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sz w:val="20"/>
                      </w:rPr>
                    </w:pPr>
                  </w:p>
                </w:tc>
              </w:tr>
              <w:tr>
                <w:trPr>
                  <w:trHeight w:val="414"/>
                </w:trPr>
                <w:tc>
                  <w:tcPr>
                    <w:tcW w:w="2130" w:type="dxa"/>
                    <w:gridSpan w:val="2"/>
                    <w:shd w:val="clear" w:color="auto" w:fill="F2F2F2" w:themeFill="background1" w:themeFillShade="F2"/>
                  </w:tcPr>
                  <w:p>
                    <w:pPr>
                      <w:rPr>
                        <w:b/>
                        <w:bCs/>
                        <w:iCs/>
                        <w:sz w:val="20"/>
                      </w:rPr>
                    </w:pPr>
                    <w:r>
                      <w:rPr>
                        <w:b/>
                        <w:bCs/>
                        <w:sz w:val="20"/>
                      </w:rPr>
                      <w:t>5. Pažangos priemonėje planuojamų veiklų investavimo krypčių ir pagrįstumo vertinimas</w:t>
                    </w:r>
                  </w:p>
                </w:tc>
                <w:tc>
                  <w:tcPr>
                    <w:tcW w:w="699" w:type="dxa"/>
                    <w:shd w:val="clear" w:color="auto" w:fill="F2F2F2" w:themeFill="background1" w:themeFillShade="F2"/>
                  </w:tcPr>
                  <w:p>
                    <w:pPr>
                      <w:rPr>
                        <w:sz w:val="20"/>
                      </w:rPr>
                    </w:pPr>
                    <w:r>
                      <w:rPr>
                        <w:sz w:val="20"/>
                      </w:rPr>
                      <w:t>A</w:t>
                    </w:r>
                  </w:p>
                </w:tc>
                <w:tc>
                  <w:tcPr>
                    <w:tcW w:w="1985" w:type="dxa"/>
                    <w:shd w:val="clear" w:color="auto" w:fill="F2F2F2" w:themeFill="background1" w:themeFillShade="F2"/>
                  </w:tcPr>
                  <w:p>
                    <w:pPr>
                      <w:rPr>
                        <w:sz w:val="20"/>
                      </w:rPr>
                    </w:pPr>
                    <w:r>
                      <w:rPr>
                        <w:sz w:val="20"/>
                      </w:rPr>
                      <w:t>SAM</w:t>
                    </w:r>
                  </w:p>
                </w:tc>
                <w:tc>
                  <w:tcPr>
                    <w:tcW w:w="829" w:type="dxa"/>
                    <w:gridSpan w:val="3"/>
                    <w:shd w:val="clear" w:color="auto" w:fill="F2F2F2" w:themeFill="background1" w:themeFillShade="F2"/>
                  </w:tcPr>
                  <w:p>
                    <w:pPr>
                      <w:rPr>
                        <w:sz w:val="20"/>
                      </w:rPr>
                    </w:pPr>
                    <w:r>
                      <w:rPr>
                        <w:sz w:val="20"/>
                      </w:rPr>
                      <w:t>P</w:t>
                    </w:r>
                  </w:p>
                </w:tc>
                <w:tc>
                  <w:tcPr>
                    <w:tcW w:w="1014" w:type="dxa"/>
                    <w:gridSpan w:val="3"/>
                    <w:shd w:val="clear" w:color="auto" w:fill="F2F2F2" w:themeFill="background1" w:themeFillShade="F2"/>
                  </w:tcPr>
                  <w:p>
                    <w:pPr>
                      <w:rPr>
                        <w:sz w:val="20"/>
                      </w:rPr>
                    </w:pPr>
                    <w:r>
                      <w:rPr>
                        <w:sz w:val="20"/>
                      </w:rPr>
                      <w:t>Ne</w:t>
                    </w:r>
                  </w:p>
                </w:tc>
                <w:tc>
                  <w:tcPr>
                    <w:tcW w:w="681" w:type="dxa"/>
                    <w:gridSpan w:val="3"/>
                    <w:shd w:val="clear" w:color="auto" w:fill="F2F2F2" w:themeFill="background1" w:themeFillShade="F2"/>
                  </w:tcPr>
                  <w:p>
                    <w:pPr>
                      <w:rPr>
                        <w:sz w:val="20"/>
                      </w:rPr>
                    </w:pPr>
                    <w:r>
                      <w:rPr>
                        <w:sz w:val="20"/>
                      </w:rPr>
                      <w:t>D</w:t>
                    </w:r>
                  </w:p>
                </w:tc>
                <w:tc>
                  <w:tcPr>
                    <w:tcW w:w="1167" w:type="dxa"/>
                    <w:gridSpan w:val="2"/>
                    <w:shd w:val="clear" w:color="auto" w:fill="F2F2F2" w:themeFill="background1" w:themeFillShade="F2"/>
                  </w:tcPr>
                  <w:p>
                    <w:pPr>
                      <w:rPr>
                        <w:b/>
                        <w:bCs/>
                        <w:sz w:val="20"/>
                      </w:rPr>
                    </w:pPr>
                    <w:r>
                      <w:rPr>
                        <w:b/>
                        <w:bCs/>
                        <w:sz w:val="20"/>
                        <w:lang w:val="en-US"/>
                      </w:rPr>
                      <w:t>169,719</w:t>
                    </w:r>
                  </w:p>
                </w:tc>
                <w:tc>
                  <w:tcPr>
                    <w:tcW w:w="1118" w:type="dxa"/>
                    <w:shd w:val="clear" w:color="auto" w:fill="F2F2F2" w:themeFill="background1" w:themeFillShade="F2"/>
                  </w:tcPr>
                  <w:p>
                    <w:pPr>
                      <w:rPr>
                        <w:sz w:val="20"/>
                      </w:rPr>
                    </w:pPr>
                    <w:r>
                      <w:rPr>
                        <w:sz w:val="20"/>
                      </w:rPr>
                      <w:t>VB</w:t>
                    </w:r>
                  </w:p>
                </w:tc>
                <w:tc>
                  <w:tcPr>
                    <w:tcW w:w="2001" w:type="dxa"/>
                    <w:gridSpan w:val="2"/>
                    <w:shd w:val="clear" w:color="auto" w:fill="F2F2F2" w:themeFill="background1" w:themeFillShade="F2"/>
                  </w:tcPr>
                  <w:p>
                    <w:pPr>
                      <w:ind w:left="-57" w:right="-57"/>
                      <w:rPr>
                        <w:color w:val="FF0000"/>
                        <w:sz w:val="20"/>
                      </w:rPr>
                    </w:pPr>
                    <w:r>
                      <w:rPr>
                        <w:sz w:val="20"/>
                      </w:rPr>
                      <w:t xml:space="preserve">P – Atliktų sveikatos sektoriaus analizių skaičius </w:t>
                    </w:r>
                  </w:p>
                </w:tc>
                <w:tc>
                  <w:tcPr>
                    <w:tcW w:w="1134" w:type="dxa"/>
                    <w:gridSpan w:val="2"/>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(2022 m.)</w:t>
                    </w:r>
                  </w:p>
                  <w:p>
                    <w:pPr>
                      <w:ind w:left="-57" w:right="-57"/>
                      <w:jc w:val="center"/>
                      <w:rPr>
                        <w:sz w:val="20"/>
                      </w:rPr>
                    </w:pPr>
                  </w:p>
                  <w:p>
                    <w:pPr>
                      <w:ind w:left="-57" w:right="-57"/>
                      <w:jc w:val="center"/>
                      <w:rPr>
                        <w:sz w:val="20"/>
                      </w:rPr>
                    </w:pPr>
                  </w:p>
                </w:tc>
                <w:tc>
                  <w:tcPr>
                    <w:tcW w:w="992" w:type="dxa"/>
                    <w:shd w:val="clear" w:color="auto" w:fill="F2F2F2" w:themeFill="background1" w:themeFillShade="F2"/>
                  </w:tcPr>
                  <w:p>
                    <w:pPr>
                      <w:rPr>
                        <w:sz w:val="20"/>
                      </w:rPr>
                    </w:pPr>
                    <w:r>
                      <w:rPr>
                        <w:sz w:val="20"/>
                      </w:rPr>
                      <w:t>SAM</w:t>
                    </w:r>
                  </w:p>
                </w:tc>
                <w:tc>
                  <w:tcPr>
                    <w:tcW w:w="1279" w:type="dxa"/>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130" w:type="dxa"/>
                    <w:gridSpan w:val="2"/>
                    <w:vMerge w:val="restart"/>
                    <w:hideMark/>
                  </w:tcPr>
                  <w:p>
                    <w:pPr>
                      <w:rPr>
                        <w:iCs/>
                        <w:sz w:val="20"/>
                      </w:rPr>
                    </w:pPr>
                    <w:r>
                      <w:rPr>
                        <w:iCs/>
                        <w:sz w:val="20"/>
                      </w:rPr>
                      <w:t>6. Bazinių sveikatos priežiūros paslaugų užtikrinimas:</w:t>
                    </w:r>
                  </w:p>
                </w:tc>
                <w:tc>
                  <w:tcPr>
                    <w:tcW w:w="699" w:type="dxa"/>
                    <w:vMerge w:val="restart"/>
                    <w:hideMark/>
                  </w:tcPr>
                  <w:p>
                    <w:pPr>
                      <w:rPr>
                        <w:sz w:val="20"/>
                      </w:rPr>
                    </w:pPr>
                    <w:r>
                      <w:rPr>
                        <w:sz w:val="20"/>
                      </w:rPr>
                      <w:t>-</w:t>
                    </w:r>
                  </w:p>
                </w:tc>
                <w:tc>
                  <w:tcPr>
                    <w:tcW w:w="1985" w:type="dxa"/>
                    <w:vMerge w:val="restart"/>
                    <w:hideMark/>
                  </w:tcPr>
                  <w:p>
                    <w:pPr>
                      <w:rPr>
                        <w:sz w:val="20"/>
                      </w:rPr>
                    </w:pPr>
                    <w:r>
                      <w:rPr>
                        <w:sz w:val="20"/>
                      </w:rPr>
                      <w:t>-</w:t>
                    </w:r>
                  </w:p>
                </w:tc>
                <w:tc>
                  <w:tcPr>
                    <w:tcW w:w="829" w:type="dxa"/>
                    <w:gridSpan w:val="3"/>
                    <w:vMerge w:val="restart"/>
                    <w:hideMark/>
                  </w:tcPr>
                  <w:p>
                    <w:pPr>
                      <w:rPr>
                        <w:sz w:val="20"/>
                      </w:rPr>
                    </w:pPr>
                    <w:r>
                      <w:rPr>
                        <w:sz w:val="20"/>
                      </w:rPr>
                      <w:t>-</w:t>
                    </w:r>
                  </w:p>
                </w:tc>
                <w:tc>
                  <w:tcPr>
                    <w:tcW w:w="1014" w:type="dxa"/>
                    <w:gridSpan w:val="3"/>
                    <w:vMerge w:val="restart"/>
                    <w:hideMark/>
                  </w:tcPr>
                  <w:p>
                    <w:pPr>
                      <w:rPr>
                        <w:sz w:val="20"/>
                      </w:rPr>
                    </w:pPr>
                    <w:r>
                      <w:rPr>
                        <w:sz w:val="20"/>
                      </w:rPr>
                      <w:t>-</w:t>
                    </w:r>
                  </w:p>
                </w:tc>
                <w:tc>
                  <w:tcPr>
                    <w:tcW w:w="681" w:type="dxa"/>
                    <w:gridSpan w:val="3"/>
                    <w:vMerge w:val="restart"/>
                    <w:hideMark/>
                  </w:tcPr>
                  <w:p>
                    <w:pPr>
                      <w:rPr>
                        <w:sz w:val="20"/>
                      </w:rPr>
                    </w:pPr>
                    <w:r>
                      <w:rPr>
                        <w:sz w:val="20"/>
                      </w:rPr>
                      <w:t>-</w:t>
                    </w:r>
                  </w:p>
                </w:tc>
                <w:tc>
                  <w:tcPr>
                    <w:tcW w:w="1167" w:type="dxa"/>
                    <w:gridSpan w:val="2"/>
                    <w:hideMark/>
                  </w:tcPr>
                  <w:p>
                    <w:pPr>
                      <w:jc w:val="center"/>
                      <w:rPr>
                        <w:sz w:val="20"/>
                      </w:rPr>
                    </w:pPr>
                    <w:r>
                      <w:rPr>
                        <w:sz w:val="20"/>
                      </w:rPr>
                      <w:t>159 658,803</w:t>
                    </w:r>
                  </w:p>
                </w:tc>
                <w:tc>
                  <w:tcPr>
                    <w:tcW w:w="1118" w:type="dxa"/>
                    <w:hideMark/>
                  </w:tcPr>
                  <w:p>
                    <w:pPr>
                      <w:rPr>
                        <w:sz w:val="20"/>
                      </w:rPr>
                    </w:pPr>
                    <w:r>
                      <w:rPr>
                        <w:sz w:val="20"/>
                      </w:rPr>
                      <w:t>-</w:t>
                    </w:r>
                  </w:p>
                </w:tc>
                <w:tc>
                  <w:tcPr>
                    <w:tcW w:w="2001" w:type="dxa"/>
                    <w:gridSpan w:val="2"/>
                    <w:hideMark/>
                  </w:tcPr>
                  <w:p>
                    <w:pPr>
                      <w:ind w:left="-57" w:right="-57"/>
                      <w:rPr>
                        <w:sz w:val="20"/>
                      </w:rPr>
                    </w:pPr>
                    <w:r>
                      <w:rPr>
                        <w:sz w:val="20"/>
                      </w:rPr>
                      <w:t xml:space="preserve">R </w:t>
                    </w:r>
                    <w:r>
                      <w:rPr>
                        <w:szCs w:val="24"/>
                      </w:rPr>
                      <w:t>–</w:t>
                    </w:r>
                    <w:r>
                      <w:rPr>
                        <w:sz w:val="20"/>
                      </w:rPr>
                      <w:t xml:space="preserve"> Šeimos gydytojo ir jo komandos narių suteiktų sveikatos priežiūros paslaugų santykis</w:t>
                    </w:r>
                  </w:p>
                </w:tc>
                <w:tc>
                  <w:tcPr>
                    <w:tcW w:w="1134" w:type="dxa"/>
                    <w:gridSpan w:val="2"/>
                    <w:hideMark/>
                  </w:tcPr>
                  <w:p>
                    <w:pPr>
                      <w:ind w:left="-57" w:right="-57"/>
                      <w:jc w:val="center"/>
                      <w:rPr>
                        <w:sz w:val="20"/>
                      </w:rPr>
                    </w:pPr>
                    <w:r>
                      <w:rPr>
                        <w:sz w:val="20"/>
                      </w:rPr>
                      <w:t>40/60</w:t>
                    </w:r>
                  </w:p>
                  <w:p>
                    <w:pPr>
                      <w:ind w:left="-57" w:right="-57"/>
                      <w:jc w:val="center"/>
                      <w:rPr>
                        <w:sz w:val="20"/>
                      </w:rPr>
                    </w:pPr>
                    <w:r>
                      <w:rPr>
                        <w:sz w:val="20"/>
                      </w:rPr>
                      <w:t>(2030 m.)</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127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hideMark/>
                  </w:tcPr>
                  <w:p>
                    <w:pPr>
                      <w:jc w:val="center"/>
                      <w:rPr>
                        <w:sz w:val="20"/>
                      </w:rPr>
                    </w:pPr>
                    <w:r>
                      <w:rPr>
                        <w:sz w:val="20"/>
                      </w:rPr>
                      <w:t>13 303,764</w:t>
                    </w:r>
                  </w:p>
                </w:tc>
                <w:tc>
                  <w:tcPr>
                    <w:tcW w:w="1118" w:type="dxa"/>
                    <w:hideMark/>
                  </w:tcPr>
                  <w:p>
                    <w:pPr>
                      <w:rPr>
                        <w:sz w:val="20"/>
                      </w:rPr>
                    </w:pPr>
                    <w:r>
                      <w:rPr>
                        <w:sz w:val="20"/>
                      </w:rPr>
                      <w:t>2021–2027 m. IP (ERPF, Sostinės regionas)</w:t>
                    </w:r>
                  </w:p>
                </w:tc>
                <w:tc>
                  <w:tcPr>
                    <w:tcW w:w="2001" w:type="dxa"/>
                    <w:gridSpan w:val="2"/>
                    <w:hideMark/>
                  </w:tcPr>
                  <w:p>
                    <w:pPr>
                      <w:ind w:left="-57" w:right="-57"/>
                      <w:rPr>
                        <w:sz w:val="20"/>
                      </w:rPr>
                    </w:pPr>
                    <w:r>
                      <w:rPr>
                        <w:sz w:val="20"/>
                      </w:rPr>
                      <w:t xml:space="preserve">R </w:t>
                    </w:r>
                    <w:r>
                      <w:rPr>
                        <w:szCs w:val="24"/>
                      </w:rPr>
                      <w:t>–</w:t>
                    </w:r>
                    <w:r>
                      <w:rPr>
                        <w:sz w:val="20"/>
                      </w:rPr>
                      <w:t xml:space="preserve"> Asmenų, kuriems onkologinė liga diagnozuota ankstyvoje stadijoje (I–II st.), dalis, proc.</w:t>
                    </w:r>
                  </w:p>
                </w:tc>
                <w:tc>
                  <w:tcPr>
                    <w:tcW w:w="1134" w:type="dxa"/>
                    <w:gridSpan w:val="2"/>
                    <w:hideMark/>
                  </w:tcPr>
                  <w:p>
                    <w:pPr>
                      <w:ind w:left="-57" w:right="-57"/>
                      <w:jc w:val="center"/>
                      <w:rPr>
                        <w:sz w:val="20"/>
                      </w:rPr>
                    </w:pPr>
                    <w:r>
                      <w:rPr>
                        <w:sz w:val="20"/>
                      </w:rPr>
                      <w:t>60,0</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tcPr>
                  <w:p>
                    <w:pPr>
                      <w:jc w:val="center"/>
                      <w:rPr>
                        <w:sz w:val="20"/>
                      </w:rPr>
                    </w:pPr>
                    <w:r>
                      <w:rPr>
                        <w:sz w:val="20"/>
                      </w:rPr>
                      <w:t>13 303,764</w:t>
                    </w:r>
                  </w:p>
                  <w:p>
                    <w:pPr>
                      <w:jc w:val="center"/>
                      <w:rPr>
                        <w:sz w:val="20"/>
                      </w:rPr>
                    </w:pPr>
                  </w:p>
                </w:tc>
                <w:tc>
                  <w:tcPr>
                    <w:tcW w:w="1118" w:type="dxa"/>
                    <w:hideMark/>
                  </w:tcPr>
                  <w:p>
                    <w:pPr>
                      <w:rPr>
                        <w:sz w:val="20"/>
                      </w:rPr>
                    </w:pPr>
                    <w:r>
                      <w:rPr>
                        <w:sz w:val="20"/>
                      </w:rPr>
                      <w:t>2021–2027 m. IP (BF, Sostinės regionas)</w:t>
                    </w:r>
                  </w:p>
                </w:tc>
                <w:tc>
                  <w:tcPr>
                    <w:tcW w:w="2001" w:type="dxa"/>
                    <w:gridSpan w:val="2"/>
                    <w:hideMark/>
                  </w:tcPr>
                  <w:p>
                    <w:pPr>
                      <w:ind w:left="-57" w:right="-57"/>
                      <w:rPr>
                        <w:sz w:val="20"/>
                      </w:rPr>
                    </w:pPr>
                    <w:r>
                      <w:rPr>
                        <w:sz w:val="20"/>
                      </w:rPr>
                      <w:t xml:space="preserve">R </w:t>
                    </w:r>
                    <w:r>
                      <w:rPr>
                        <w:szCs w:val="24"/>
                      </w:rPr>
                      <w:t>–</w:t>
                    </w:r>
                    <w:r>
                      <w:rPr>
                        <w:sz w:val="20"/>
                      </w:rPr>
                      <w:t xml:space="preserve"> Gyventojų, dėl laukimo laiko (ilgų eilių) atidėjusių kreipimąsi dėl sveikatos priežiūros paslaugų, dalis,  proc.</w:t>
                    </w:r>
                  </w:p>
                </w:tc>
                <w:tc>
                  <w:tcPr>
                    <w:tcW w:w="1134" w:type="dxa"/>
                    <w:gridSpan w:val="2"/>
                    <w:hideMark/>
                  </w:tcPr>
                  <w:p>
                    <w:pPr>
                      <w:ind w:left="-57" w:right="-57"/>
                      <w:jc w:val="center"/>
                      <w:rPr>
                        <w:sz w:val="20"/>
                      </w:rPr>
                    </w:pPr>
                    <w:r>
                      <w:rPr>
                        <w:sz w:val="20"/>
                      </w:rPr>
                      <w:t>6</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hideMark/>
                  </w:tcPr>
                  <w:p>
                    <w:pPr>
                      <w:rPr>
                        <w:sz w:val="20"/>
                      </w:rPr>
                    </w:pPr>
                    <w:r>
                      <w:rPr>
                        <w:sz w:val="20"/>
                        <w:lang w:val="en-US"/>
                      </w:rPr>
                      <w:t>74 860,004</w:t>
                    </w:r>
                  </w:p>
                </w:tc>
                <w:tc>
                  <w:tcPr>
                    <w:tcW w:w="1118" w:type="dxa"/>
                    <w:hideMark/>
                  </w:tcPr>
                  <w:p>
                    <w:pPr>
                      <w:rPr>
                        <w:sz w:val="20"/>
                      </w:rPr>
                    </w:pPr>
                    <w:r>
                      <w:rPr>
                        <w:sz w:val="20"/>
                      </w:rPr>
                      <w:t>2021–2027 m. IP (ERPF, VVL regionas)</w:t>
                    </w:r>
                  </w:p>
                </w:tc>
                <w:tc>
                  <w:tcPr>
                    <w:tcW w:w="2001" w:type="dxa"/>
                    <w:gridSpan w:val="2"/>
                    <w:hideMark/>
                  </w:tcPr>
                  <w:p>
                    <w:pPr>
                      <w:ind w:left="-57" w:right="-57"/>
                      <w:rPr>
                        <w:sz w:val="20"/>
                      </w:rPr>
                    </w:pPr>
                    <w:r>
                      <w:rPr>
                        <w:sz w:val="20"/>
                      </w:rPr>
                      <w:t xml:space="preserve">R </w:t>
                    </w:r>
                    <w:r>
                      <w:rPr>
                        <w:szCs w:val="24"/>
                      </w:rPr>
                      <w:t>–</w:t>
                    </w:r>
                    <w:r>
                      <w:rPr>
                        <w:sz w:val="20"/>
                      </w:rPr>
                      <w:t xml:space="preserve"> Stacionarinio aktyviojo gydymo atvejų skaičiaus sumažėjimas lyginant su 2019 m., atvejų skaičius</w:t>
                    </w:r>
                  </w:p>
                </w:tc>
                <w:tc>
                  <w:tcPr>
                    <w:tcW w:w="1134" w:type="dxa"/>
                    <w:gridSpan w:val="2"/>
                  </w:tcPr>
                  <w:p>
                    <w:pPr>
                      <w:ind w:left="-57" w:right="-57"/>
                      <w:jc w:val="center"/>
                      <w:rPr>
                        <w:sz w:val="20"/>
                      </w:rPr>
                    </w:pPr>
                    <w:r>
                      <w:rPr>
                        <w:sz w:val="20"/>
                      </w:rPr>
                      <w:t>431 714</w:t>
                    </w:r>
                  </w:p>
                  <w:p>
                    <w:pPr>
                      <w:ind w:left="-57" w:right="-57"/>
                      <w:jc w:val="center"/>
                      <w:rPr>
                        <w:sz w:val="20"/>
                      </w:rPr>
                    </w:pPr>
                    <w:r>
                      <w:rPr>
                        <w:sz w:val="20"/>
                      </w:rPr>
                      <w:t>(2030 m.)</w:t>
                    </w:r>
                  </w:p>
                  <w:p>
                    <w:pPr>
                      <w:ind w:right="-57"/>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hideMark/>
                  </w:tcPr>
                  <w:p>
                    <w:pPr>
                      <w:jc w:val="center"/>
                      <w:rPr>
                        <w:strike/>
                        <w:sz w:val="20"/>
                      </w:rPr>
                    </w:pPr>
                    <w:r>
                      <w:rPr>
                        <w:sz w:val="20"/>
                      </w:rPr>
                      <w:t>31 433,580</w:t>
                    </w:r>
                  </w:p>
                </w:tc>
                <w:tc>
                  <w:tcPr>
                    <w:tcW w:w="1118" w:type="dxa"/>
                    <w:hideMark/>
                  </w:tcPr>
                  <w:p>
                    <w:pPr>
                      <w:rPr>
                        <w:sz w:val="20"/>
                      </w:rPr>
                    </w:pPr>
                    <w:r>
                      <w:rPr>
                        <w:sz w:val="20"/>
                      </w:rPr>
                      <w:t>2021–2027 m. IP (ESF+, VVL regionas)</w:t>
                    </w:r>
                  </w:p>
                </w:tc>
                <w:tc>
                  <w:tcPr>
                    <w:tcW w:w="2001" w:type="dxa"/>
                    <w:gridSpan w:val="2"/>
                  </w:tcPr>
                  <w:p>
                    <w:pPr>
                      <w:ind w:left="-57" w:right="-57"/>
                      <w:rPr>
                        <w:sz w:val="20"/>
                      </w:rPr>
                    </w:pPr>
                    <w:r>
                      <w:rPr>
                        <w:sz w:val="20"/>
                      </w:rPr>
                      <w:t>R – Dienos stacionaro atvejų skaičiaus padidėjimas lyginant su 2019 m., atvejų skaičius</w:t>
                    </w:r>
                  </w:p>
                  <w:p>
                    <w:pPr>
                      <w:ind w:right="-57"/>
                      <w:rPr>
                        <w:sz w:val="20"/>
                      </w:rPr>
                    </w:pPr>
                  </w:p>
                </w:tc>
                <w:tc>
                  <w:tcPr>
                    <w:tcW w:w="1134" w:type="dxa"/>
                    <w:gridSpan w:val="2"/>
                  </w:tcPr>
                  <w:p>
                    <w:pPr>
                      <w:ind w:left="-57" w:right="-57"/>
                      <w:jc w:val="center"/>
                      <w:rPr>
                        <w:sz w:val="20"/>
                      </w:rPr>
                    </w:pPr>
                    <w:r>
                      <w:rPr>
                        <w:sz w:val="20"/>
                      </w:rPr>
                      <w:t>362 243</w:t>
                    </w:r>
                  </w:p>
                  <w:p>
                    <w:pPr>
                      <w:ind w:left="-57" w:right="-57"/>
                      <w:jc w:val="center"/>
                      <w:rPr>
                        <w:sz w:val="20"/>
                      </w:rPr>
                    </w:pPr>
                    <w:r>
                      <w:rPr>
                        <w:sz w:val="20"/>
                      </w:rPr>
                      <w:t>(2030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hideMark/>
                  </w:tcPr>
                  <w:p>
                    <w:pPr>
                      <w:rPr>
                        <w:sz w:val="20"/>
                      </w:rPr>
                    </w:pPr>
                    <w:r>
                      <w:rPr>
                        <w:sz w:val="20"/>
                        <w:lang w:val="en-US"/>
                      </w:rPr>
                      <w:t>18 757,691</w:t>
                    </w:r>
                  </w:p>
                </w:tc>
                <w:tc>
                  <w:tcPr>
                    <w:tcW w:w="1118" w:type="dxa"/>
                    <w:hideMark/>
                  </w:tcPr>
                  <w:p>
                    <w:pPr>
                      <w:rPr>
                        <w:sz w:val="20"/>
                      </w:rPr>
                    </w:pPr>
                    <w:r>
                      <w:rPr>
                        <w:sz w:val="20"/>
                      </w:rPr>
                      <w:t>2021–2027 m. IP (BF, VVL regionas)</w:t>
                    </w:r>
                  </w:p>
                </w:tc>
                <w:tc>
                  <w:tcPr>
                    <w:tcW w:w="2001" w:type="dxa"/>
                    <w:gridSpan w:val="2"/>
                    <w:hideMark/>
                  </w:tcPr>
                  <w:p>
                    <w:pPr>
                      <w:ind w:left="-57" w:right="-57"/>
                      <w:rPr>
                        <w:sz w:val="20"/>
                      </w:rPr>
                    </w:pPr>
                    <w:r>
                      <w:rPr>
                        <w:sz w:val="20"/>
                      </w:rPr>
                      <w:t xml:space="preserve">R </w:t>
                    </w:r>
                    <w:r>
                      <w:rPr>
                        <w:szCs w:val="24"/>
                      </w:rPr>
                      <w:t>–</w:t>
                    </w:r>
                    <w:r>
                      <w:rPr>
                        <w:sz w:val="20"/>
                      </w:rPr>
                      <w:t xml:space="preserve"> Dienos chirurgijos atvejų skaičiaus padidėjimas lyginant su 2019 m., atvejų skaičius</w:t>
                    </w:r>
                  </w:p>
                </w:tc>
                <w:tc>
                  <w:tcPr>
                    <w:tcW w:w="1134" w:type="dxa"/>
                    <w:gridSpan w:val="2"/>
                    <w:hideMark/>
                  </w:tcPr>
                  <w:p>
                    <w:pPr>
                      <w:ind w:left="-57" w:right="-57"/>
                      <w:jc w:val="center"/>
                      <w:rPr>
                        <w:sz w:val="20"/>
                      </w:rPr>
                    </w:pPr>
                    <w:r>
                      <w:rPr>
                        <w:sz w:val="20"/>
                      </w:rPr>
                      <w:t>73 020</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17"/>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hideMark/>
                  </w:tcPr>
                  <w:p>
                    <w:pPr>
                      <w:jc w:val="center"/>
                      <w:rPr>
                        <w:sz w:val="20"/>
                      </w:rPr>
                    </w:pPr>
                    <w:r>
                      <w:rPr>
                        <w:sz w:val="20"/>
                      </w:rPr>
                      <w:t>8 000</w:t>
                    </w:r>
                  </w:p>
                </w:tc>
                <w:tc>
                  <w:tcPr>
                    <w:tcW w:w="1118" w:type="dxa"/>
                    <w:hideMark/>
                  </w:tcPr>
                  <w:p>
                    <w:pPr>
                      <w:rPr>
                        <w:sz w:val="20"/>
                      </w:rPr>
                    </w:pPr>
                    <w:r>
                      <w:rPr>
                        <w:sz w:val="20"/>
                      </w:rPr>
                      <w:t>VB</w:t>
                    </w:r>
                  </w:p>
                </w:tc>
                <w:tc>
                  <w:tcPr>
                    <w:tcW w:w="2001" w:type="dxa"/>
                    <w:gridSpan w:val="2"/>
                    <w:hideMark/>
                  </w:tcPr>
                  <w:p>
                    <w:pPr>
                      <w:ind w:left="-57" w:right="-57"/>
                      <w:rPr>
                        <w:sz w:val="20"/>
                      </w:rPr>
                    </w:pPr>
                    <w:r>
                      <w:rPr>
                        <w:sz w:val="20"/>
                      </w:rPr>
                      <w:t xml:space="preserve">R </w:t>
                    </w:r>
                    <w:r>
                      <w:rPr>
                        <w:szCs w:val="24"/>
                      </w:rPr>
                      <w:t>–</w:t>
                    </w:r>
                    <w:r>
                      <w:rPr>
                        <w:sz w:val="20"/>
                      </w:rPr>
                      <w:t xml:space="preserve"> Aktyviojo gydymo lovų užimtumas, proc.</w:t>
                    </w:r>
                  </w:p>
                </w:tc>
                <w:tc>
                  <w:tcPr>
                    <w:tcW w:w="1134" w:type="dxa"/>
                    <w:gridSpan w:val="2"/>
                    <w:hideMark/>
                  </w:tcPr>
                  <w:p>
                    <w:pPr>
                      <w:ind w:left="-57" w:right="-57"/>
                      <w:jc w:val="center"/>
                      <w:rPr>
                        <w:sz w:val="20"/>
                      </w:rPr>
                    </w:pPr>
                    <w:r>
                      <w:rPr>
                        <w:sz w:val="20"/>
                      </w:rPr>
                      <w:t>82</w:t>
                    </w:r>
                  </w:p>
                  <w:p>
                    <w:pPr>
                      <w:ind w:right="-57"/>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val="restart"/>
                  </w:tcPr>
                  <w:p>
                    <w:pPr>
                      <w:rPr>
                        <w:iCs/>
                        <w:sz w:val="20"/>
                      </w:rPr>
                    </w:pPr>
                    <w:r>
                      <w:rPr>
                        <w:sz w:val="20"/>
                      </w:rPr>
                      <w:t>6.1. Teisės aktų ir kitų dokumentų, reglamentuojančių bazinių sveikatos priežiūros paslaugų teikimo ir organizavimo reikalavimus</w:t>
                    </w:r>
                    <w:r>
                      <w:rPr>
                        <w:i/>
                        <w:iCs/>
                        <w:sz w:val="20"/>
                      </w:rPr>
                      <w:t xml:space="preserve">, </w:t>
                    </w:r>
                    <w:r>
                      <w:rPr>
                        <w:sz w:val="20"/>
                      </w:rPr>
                      <w:t>rengimas</w:t>
                    </w:r>
                  </w:p>
                </w:tc>
                <w:tc>
                  <w:tcPr>
                    <w:tcW w:w="699" w:type="dxa"/>
                    <w:vMerge w:val="restart"/>
                  </w:tcPr>
                  <w:p>
                    <w:pPr>
                      <w:rPr>
                        <w:sz w:val="20"/>
                      </w:rPr>
                    </w:pPr>
                    <w:r>
                      <w:rPr>
                        <w:sz w:val="20"/>
                      </w:rPr>
                      <w:t>R</w:t>
                    </w:r>
                  </w:p>
                </w:tc>
                <w:tc>
                  <w:tcPr>
                    <w:tcW w:w="1985" w:type="dxa"/>
                    <w:vMerge w:val="restart"/>
                  </w:tcPr>
                  <w:p>
                    <w:pPr>
                      <w:rPr>
                        <w:sz w:val="20"/>
                      </w:rPr>
                    </w:pPr>
                    <w:r>
                      <w:rPr>
                        <w:sz w:val="20"/>
                      </w:rPr>
                      <w:t>-</w:t>
                    </w:r>
                  </w:p>
                </w:tc>
                <w:tc>
                  <w:tcPr>
                    <w:tcW w:w="829" w:type="dxa"/>
                    <w:gridSpan w:val="3"/>
                    <w:vMerge w:val="restart"/>
                  </w:tcPr>
                  <w:p>
                    <w:pPr>
                      <w:rPr>
                        <w:sz w:val="20"/>
                      </w:rPr>
                    </w:pPr>
                    <w:r>
                      <w:rPr>
                        <w:sz w:val="20"/>
                      </w:rPr>
                      <w:t>-</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w:t>
                    </w:r>
                  </w:p>
                </w:tc>
                <w:tc>
                  <w:tcPr>
                    <w:tcW w:w="1167" w:type="dxa"/>
                    <w:gridSpan w:val="2"/>
                    <w:vMerge w:val="restart"/>
                  </w:tcPr>
                  <w:p>
                    <w:pPr>
                      <w:rPr>
                        <w:sz w:val="20"/>
                      </w:rPr>
                    </w:pPr>
                    <w:r>
                      <w:rPr>
                        <w:sz w:val="20"/>
                      </w:rPr>
                      <w:t>-</w:t>
                    </w:r>
                  </w:p>
                </w:tc>
                <w:tc>
                  <w:tcPr>
                    <w:tcW w:w="1118" w:type="dxa"/>
                    <w:vMerge w:val="restart"/>
                  </w:tcPr>
                  <w:p>
                    <w:pPr>
                      <w:rPr>
                        <w:sz w:val="20"/>
                      </w:rPr>
                    </w:pPr>
                    <w:r>
                      <w:rPr>
                        <w:sz w:val="20"/>
                      </w:rPr>
                      <w:t>-</w:t>
                    </w:r>
                  </w:p>
                </w:tc>
                <w:tc>
                  <w:tcPr>
                    <w:tcW w:w="2001" w:type="dxa"/>
                    <w:gridSpan w:val="2"/>
                  </w:tcPr>
                  <w:p>
                    <w:pPr>
                      <w:ind w:left="-57" w:right="-57"/>
                      <w:jc w:val="both"/>
                      <w:rPr>
                        <w:sz w:val="20"/>
                      </w:rPr>
                    </w:pPr>
                    <w:r>
                      <w:rPr>
                        <w:sz w:val="20"/>
                      </w:rPr>
                      <w:t xml:space="preserve">P – Įsigalioję teisės aktai dėl kompetencijos centrų ir regioninio bendradarbiavimo modeliu pagrįsto asmens sveikatos priežiūros įstaigų tinklo sukūrimo ir reglamentavimo, kompl. </w:t>
                    </w:r>
                  </w:p>
                </w:tc>
                <w:tc>
                  <w:tcPr>
                    <w:tcW w:w="1134" w:type="dxa"/>
                    <w:gridSpan w:val="2"/>
                  </w:tcPr>
                  <w:p>
                    <w:pPr>
                      <w:ind w:left="-57" w:right="-57"/>
                      <w:jc w:val="center"/>
                      <w:rPr>
                        <w:sz w:val="20"/>
                      </w:rPr>
                    </w:pPr>
                    <w:r>
                      <w:rPr>
                        <w:sz w:val="20"/>
                      </w:rPr>
                      <w:t>1</w:t>
                    </w:r>
                  </w:p>
                  <w:p>
                    <w:pPr>
                      <w:ind w:left="-57" w:right="-57"/>
                      <w:jc w:val="center"/>
                      <w:rPr>
                        <w:sz w:val="20"/>
                      </w:rPr>
                    </w:pPr>
                    <w:r>
                      <w:rPr>
                        <w:sz w:val="20"/>
                      </w:rPr>
                      <w:t>(2023 m. III ketv.)</w:t>
                    </w:r>
                  </w:p>
                  <w:p>
                    <w:pPr>
                      <w:ind w:left="-57" w:right="-57"/>
                      <w:jc w:val="center"/>
                      <w:rPr>
                        <w:i/>
                        <w:iCs/>
                        <w:sz w:val="20"/>
                      </w:rPr>
                    </w:pPr>
                  </w:p>
                  <w:p>
                    <w:pPr>
                      <w:ind w:left="-57" w:right="-57"/>
                      <w:jc w:val="center"/>
                      <w:rPr>
                        <w:i/>
                        <w:iCs/>
                        <w:sz w:val="20"/>
                      </w:rPr>
                    </w:pPr>
                  </w:p>
                  <w:p>
                    <w:pPr>
                      <w:ind w:left="-57" w:right="-57"/>
                      <w:jc w:val="center"/>
                      <w:rPr>
                        <w:sz w:val="20"/>
                      </w:rPr>
                    </w:pPr>
                  </w:p>
                </w:tc>
                <w:tc>
                  <w:tcPr>
                    <w:tcW w:w="992" w:type="dxa"/>
                  </w:tcPr>
                  <w:p>
                    <w:pPr>
                      <w:rPr>
                        <w:sz w:val="20"/>
                      </w:rPr>
                    </w:pPr>
                    <w:r>
                      <w:rPr>
                        <w:sz w:val="20"/>
                      </w:rPr>
                      <w:t>-</w:t>
                    </w:r>
                  </w:p>
                </w:tc>
                <w:tc>
                  <w:tcPr>
                    <w:tcW w:w="1279" w:type="dxa"/>
                    <w:vMerge w:val="restart"/>
                    <w:tcBorders>
                      <w:left w:val="single" w:sz="4" w:space="0" w:color="auto"/>
                      <w:right w:val="single" w:sz="4" w:space="0" w:color="auto"/>
                    </w:tcBorders>
                  </w:tcPr>
                  <w:p>
                    <w:pPr>
                      <w:jc w:val="center"/>
                      <w:rPr>
                        <w:sz w:val="20"/>
                      </w:rPr>
                    </w:pPr>
                    <w:r>
                      <w:rPr>
                        <w:sz w:val="20"/>
                      </w:rPr>
                      <w:t>SAM</w:t>
                    </w: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jc w:val="both"/>
                      <w:rPr>
                        <w:sz w:val="20"/>
                      </w:rPr>
                    </w:pPr>
                    <w:r>
                      <w:rPr>
                        <w:sz w:val="20"/>
                      </w:rPr>
                      <w:t>P – Sprendimo dėl reguliavimo, investavimo ir komunikacijos veiksmų, siekiant sukurti tvarų sveikatos priežiūros įstaigų tinklą, priėmimas</w:t>
                    </w:r>
                  </w:p>
                </w:tc>
                <w:tc>
                  <w:tcPr>
                    <w:tcW w:w="1134" w:type="dxa"/>
                    <w:gridSpan w:val="2"/>
                  </w:tcPr>
                  <w:p>
                    <w:pPr>
                      <w:ind w:left="-57" w:right="-57"/>
                      <w:jc w:val="center"/>
                      <w:rPr>
                        <w:sz w:val="20"/>
                      </w:rPr>
                    </w:pPr>
                    <w:r>
                      <w:rPr>
                        <w:sz w:val="20"/>
                      </w:rPr>
                      <w:t>1</w:t>
                    </w:r>
                  </w:p>
                  <w:p>
                    <w:pPr>
                      <w:ind w:left="-57" w:right="-57"/>
                      <w:jc w:val="center"/>
                      <w:rPr>
                        <w:sz w:val="20"/>
                      </w:rPr>
                    </w:pPr>
                    <w:r>
                      <w:rPr>
                        <w:sz w:val="20"/>
                      </w:rPr>
                      <w:t>(2023 m. I ketv.)</w:t>
                    </w:r>
                  </w:p>
                </w:tc>
                <w:tc>
                  <w:tcPr>
                    <w:tcW w:w="992" w:type="dxa"/>
                  </w:tcPr>
                  <w:p>
                    <w:pPr>
                      <w:rPr>
                        <w:sz w:val="20"/>
                      </w:rPr>
                    </w:pPr>
                    <w:r>
                      <w:rPr>
                        <w:sz w:val="20"/>
                      </w:rPr>
                      <w:t>-</w:t>
                    </w:r>
                  </w:p>
                </w:tc>
                <w:tc>
                  <w:tcPr>
                    <w:tcW w:w="1279" w:type="dxa"/>
                    <w:vMerge/>
                    <w:tcBorders>
                      <w:left w:val="single" w:sz="4" w:space="0" w:color="auto"/>
                      <w:right w:val="single" w:sz="4" w:space="0" w:color="auto"/>
                    </w:tcBorders>
                  </w:tcPr>
                  <w:p>
                    <w:pPr>
                      <w:jc w:val="center"/>
                      <w:rPr>
                        <w:sz w:val="20"/>
                      </w:rPr>
                    </w:pP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jc w:val="both"/>
                      <w:rPr>
                        <w:sz w:val="20"/>
                      </w:rPr>
                    </w:pPr>
                    <w:r>
                      <w:rPr>
                        <w:sz w:val="20"/>
                      </w:rPr>
                      <w:t>P – Patvirtintas atnaujintas Šeimos medicinos plėtros 2016–2025 m. veiksmų planas</w:t>
                    </w:r>
                  </w:p>
                </w:tc>
                <w:tc>
                  <w:tcPr>
                    <w:tcW w:w="1134" w:type="dxa"/>
                    <w:gridSpan w:val="2"/>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rPr>
                        <w:sz w:val="20"/>
                      </w:rPr>
                    </w:pPr>
                    <w:r>
                      <w:rPr>
                        <w:sz w:val="20"/>
                      </w:rPr>
                      <w:t>-</w:t>
                    </w:r>
                  </w:p>
                </w:tc>
                <w:tc>
                  <w:tcPr>
                    <w:tcW w:w="1279" w:type="dxa"/>
                    <w:vMerge/>
                    <w:tcBorders>
                      <w:left w:val="single" w:sz="4" w:space="0" w:color="auto"/>
                      <w:right w:val="single" w:sz="4" w:space="0" w:color="auto"/>
                    </w:tcBorders>
                  </w:tcPr>
                  <w:p>
                    <w:pPr>
                      <w:jc w:val="center"/>
                      <w:rPr>
                        <w:sz w:val="20"/>
                      </w:rPr>
                    </w:pPr>
                  </w:p>
                </w:tc>
              </w:tr>
              <w:tr>
                <w:trPr>
                  <w:trHeight w:val="920"/>
                </w:trPr>
                <w:tc>
                  <w:tcPr>
                    <w:tcW w:w="2130" w:type="dxa"/>
                    <w:gridSpan w:val="2"/>
                    <w:vMerge w:val="restart"/>
                  </w:tcPr>
                  <w:p>
                    <w:pPr>
                      <w:rPr>
                        <w:sz w:val="20"/>
                      </w:rPr>
                    </w:pPr>
                    <w:r>
                      <w:rPr>
                        <w:sz w:val="20"/>
                      </w:rPr>
                      <w:t>6.2. Sveikatos centro pirminės ambulatorinės asmens sveikatos priežiūros paslaugoms teikti reikiamos infrastruktūros modernizavimas, Sostinės regionas</w:t>
                    </w:r>
                  </w:p>
                </w:tc>
                <w:tc>
                  <w:tcPr>
                    <w:tcW w:w="699" w:type="dxa"/>
                    <w:vMerge w:val="restart"/>
                  </w:tcPr>
                  <w:p>
                    <w:pPr>
                      <w:rPr>
                        <w:sz w:val="20"/>
                      </w:rPr>
                    </w:pPr>
                    <w:r>
                      <w:rPr>
                        <w:sz w:val="20"/>
                      </w:rPr>
                      <w:t>I</w:t>
                    </w:r>
                  </w:p>
                </w:tc>
                <w:tc>
                  <w:tcPr>
                    <w:tcW w:w="1985" w:type="dxa"/>
                    <w:vMerge w:val="restart"/>
                  </w:tcPr>
                  <w:p>
                    <w:pPr>
                      <w:rPr>
                        <w:sz w:val="20"/>
                      </w:rPr>
                    </w:pPr>
                    <w:r>
                      <w:rPr>
                        <w:sz w:val="20"/>
                      </w:rPr>
                      <w:t>Savivaldybių administracijos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rPr>
                        <w:sz w:val="20"/>
                        <w:lang w:val="en-US"/>
                      </w:rPr>
                    </w:pPr>
                    <w:r>
                      <w:rPr>
                        <w:sz w:val="20"/>
                        <w:lang w:val="en-US"/>
                      </w:rPr>
                      <w:t>5 700,000</w:t>
                    </w:r>
                  </w:p>
                </w:tc>
                <w:tc>
                  <w:tcPr>
                    <w:tcW w:w="1118" w:type="dxa"/>
                  </w:tcPr>
                  <w:p>
                    <w:pPr>
                      <w:rPr>
                        <w:sz w:val="20"/>
                      </w:rPr>
                    </w:pPr>
                    <w:r>
                      <w:rPr>
                        <w:sz w:val="20"/>
                      </w:rPr>
                      <w:t>2021–2027 m. IP (ERPF)</w:t>
                    </w:r>
                  </w:p>
                </w:tc>
                <w:tc>
                  <w:tcPr>
                    <w:tcW w:w="2001" w:type="dxa"/>
                    <w:gridSpan w:val="2"/>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tcPr>
                  <w:p>
                    <w:pPr>
                      <w:ind w:left="-57" w:right="-57"/>
                      <w:jc w:val="center"/>
                      <w:rPr>
                        <w:sz w:val="20"/>
                      </w:rPr>
                    </w:pPr>
                    <w:r>
                      <w:rPr>
                        <w:sz w:val="20"/>
                      </w:rPr>
                      <w:t>358 500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val="restart"/>
                  </w:tcPr>
                  <w:p>
                    <w:pPr>
                      <w:rPr>
                        <w:sz w:val="20"/>
                        <w:lang w:val="en-US"/>
                      </w:rPr>
                    </w:pPr>
                    <w:r>
                      <w:rPr>
                        <w:sz w:val="20"/>
                        <w:lang w:val="en-US"/>
                      </w:rPr>
                      <w:t>5 700,000</w:t>
                    </w:r>
                  </w:p>
                </w:tc>
                <w:tc>
                  <w:tcPr>
                    <w:tcW w:w="1118" w:type="dxa"/>
                    <w:vMerge w:val="restart"/>
                  </w:tcPr>
                  <w:p>
                    <w:pPr>
                      <w:rPr>
                        <w:sz w:val="20"/>
                      </w:rPr>
                    </w:pPr>
                    <w:r>
                      <w:rPr>
                        <w:sz w:val="20"/>
                      </w:rPr>
                      <w:t>2021–2027 m. IP (BF)</w:t>
                    </w:r>
                  </w:p>
                </w:tc>
                <w:tc>
                  <w:tcPr>
                    <w:tcW w:w="2001" w:type="dxa"/>
                    <w:gridSpan w:val="2"/>
                  </w:tcPr>
                  <w:p>
                    <w:pPr>
                      <w:ind w:left="-57" w:right="-57"/>
                      <w:rPr>
                        <w:sz w:val="20"/>
                      </w:rPr>
                    </w:pPr>
                    <w:r>
                      <w:rPr>
                        <w:sz w:val="20"/>
                      </w:rPr>
                      <w:t>R – Naujos arba modernizuotos sveikatos priežiūros infrastruktūros naudotojų skaičius per metus</w:t>
                    </w:r>
                  </w:p>
                </w:tc>
                <w:tc>
                  <w:tcPr>
                    <w:tcW w:w="1134" w:type="dxa"/>
                    <w:gridSpan w:val="2"/>
                  </w:tcPr>
                  <w:p>
                    <w:pPr>
                      <w:ind w:left="-57" w:right="-57"/>
                      <w:jc w:val="center"/>
                      <w:rPr>
                        <w:sz w:val="20"/>
                      </w:rPr>
                    </w:pPr>
                    <w:r>
                      <w:rPr>
                        <w:sz w:val="20"/>
                      </w:rPr>
                      <w:t>295 085</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46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lang w:val="en-US"/>
                      </w:rPr>
                    </w:pPr>
                  </w:p>
                </w:tc>
                <w:tc>
                  <w:tcPr>
                    <w:tcW w:w="1118" w:type="dxa"/>
                    <w:vMerge/>
                  </w:tcPr>
                  <w:p>
                    <w:pPr>
                      <w:rPr>
                        <w:sz w:val="20"/>
                      </w:rPr>
                    </w:pPr>
                  </w:p>
                </w:tc>
                <w:tc>
                  <w:tcPr>
                    <w:tcW w:w="2001" w:type="dxa"/>
                    <w:gridSpan w:val="2"/>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1134" w:type="dxa"/>
                    <w:gridSpan w:val="2"/>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986"/>
                </w:trPr>
                <w:tc>
                  <w:tcPr>
                    <w:tcW w:w="2130" w:type="dxa"/>
                    <w:gridSpan w:val="2"/>
                    <w:vMerge w:val="restart"/>
                  </w:tcPr>
                  <w:p>
                    <w:pPr>
                      <w:rPr>
                        <w:sz w:val="20"/>
                      </w:rPr>
                    </w:pPr>
                    <w:r>
                      <w:rPr>
                        <w:sz w:val="20"/>
                      </w:rPr>
                      <w:t>6.3.</w:t>
                    </w:r>
                    <w:r>
                      <w:t xml:space="preserve"> </w:t>
                    </w:r>
                    <w:r>
                      <w:rPr>
                        <w:sz w:val="20"/>
                      </w:rPr>
                      <w:t>Sveikatos centro antrinio lygio ambulatorinės specializuotos asmens sveikatos priežiūros, ambulatorinės chirurgijos, dienos chirurgijos, dienos stacionaro bei skubiosios pagalbos paslaugoms teikti reikiamos infrastruktūros modernizavimas, Sostinės regionas</w:t>
                    </w:r>
                  </w:p>
                </w:tc>
                <w:tc>
                  <w:tcPr>
                    <w:tcW w:w="699" w:type="dxa"/>
                    <w:vMerge w:val="restart"/>
                  </w:tcPr>
                  <w:p>
                    <w:pPr>
                      <w:rPr>
                        <w:sz w:val="20"/>
                      </w:rPr>
                    </w:pPr>
                    <w:r>
                      <w:rPr>
                        <w:sz w:val="20"/>
                      </w:rPr>
                      <w:t>I</w:t>
                    </w:r>
                  </w:p>
                </w:tc>
                <w:tc>
                  <w:tcPr>
                    <w:tcW w:w="1985" w:type="dxa"/>
                    <w:vMerge w:val="restart"/>
                  </w:tcPr>
                  <w:p>
                    <w:pPr>
                      <w:rPr>
                        <w:sz w:val="20"/>
                      </w:rPr>
                    </w:pPr>
                    <w:r>
                      <w:rPr>
                        <w:sz w:val="20"/>
                      </w:rPr>
                      <w:t>Savivaldybių administracijos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rPr>
                        <w:sz w:val="20"/>
                        <w:lang w:val="en-US"/>
                      </w:rPr>
                    </w:pPr>
                    <w:r>
                      <w:rPr>
                        <w:sz w:val="20"/>
                        <w:lang w:val="en-US"/>
                      </w:rPr>
                      <w:t>7 603,764</w:t>
                    </w:r>
                  </w:p>
                </w:tc>
                <w:tc>
                  <w:tcPr>
                    <w:tcW w:w="1118" w:type="dxa"/>
                  </w:tcPr>
                  <w:p>
                    <w:pPr>
                      <w:rPr>
                        <w:sz w:val="20"/>
                      </w:rPr>
                    </w:pPr>
                    <w:r>
                      <w:rPr>
                        <w:sz w:val="20"/>
                      </w:rPr>
                      <w:t>2021–2027 m. IP (ERPF)</w:t>
                    </w:r>
                  </w:p>
                </w:tc>
                <w:tc>
                  <w:tcPr>
                    <w:tcW w:w="2001" w:type="dxa"/>
                    <w:gridSpan w:val="2"/>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tcPr>
                  <w:p>
                    <w:pPr>
                      <w:ind w:left="-57" w:right="-57"/>
                      <w:jc w:val="center"/>
                      <w:rPr>
                        <w:sz w:val="20"/>
                      </w:rPr>
                    </w:pPr>
                    <w:r>
                      <w:rPr>
                        <w:sz w:val="20"/>
                      </w:rPr>
                      <w:t>53 500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val="restart"/>
                  </w:tcPr>
                  <w:p>
                    <w:pPr>
                      <w:rPr>
                        <w:sz w:val="20"/>
                        <w:lang w:val="en-US"/>
                      </w:rPr>
                    </w:pPr>
                    <w:r>
                      <w:rPr>
                        <w:sz w:val="20"/>
                        <w:lang w:val="en-US"/>
                      </w:rPr>
                      <w:t>7 603,764</w:t>
                    </w:r>
                  </w:p>
                </w:tc>
                <w:tc>
                  <w:tcPr>
                    <w:tcW w:w="1118" w:type="dxa"/>
                    <w:vMerge w:val="restart"/>
                  </w:tcPr>
                  <w:p>
                    <w:pPr>
                      <w:rPr>
                        <w:sz w:val="20"/>
                      </w:rPr>
                    </w:pPr>
                    <w:r>
                      <w:rPr>
                        <w:sz w:val="20"/>
                      </w:rPr>
                      <w:t>2021–2027 m. IP (BF)</w:t>
                    </w:r>
                  </w:p>
                </w:tc>
                <w:tc>
                  <w:tcPr>
                    <w:tcW w:w="2001" w:type="dxa"/>
                    <w:gridSpan w:val="2"/>
                  </w:tcPr>
                  <w:p>
                    <w:pPr>
                      <w:ind w:left="-57" w:right="-57"/>
                      <w:rPr>
                        <w:sz w:val="20"/>
                      </w:rPr>
                    </w:pPr>
                    <w:r>
                      <w:rPr>
                        <w:sz w:val="20"/>
                      </w:rPr>
                      <w:t>R – Naujos arba modernizuotos sveikatos priežiūros infrastruktūros naudotojų skaičius per metus</w:t>
                    </w:r>
                  </w:p>
                </w:tc>
                <w:tc>
                  <w:tcPr>
                    <w:tcW w:w="1134" w:type="dxa"/>
                    <w:gridSpan w:val="2"/>
                  </w:tcPr>
                  <w:p>
                    <w:pPr>
                      <w:ind w:left="-57" w:right="-57"/>
                      <w:jc w:val="center"/>
                      <w:rPr>
                        <w:sz w:val="20"/>
                      </w:rPr>
                    </w:pPr>
                    <w:r>
                      <w:rPr>
                        <w:sz w:val="20"/>
                      </w:rPr>
                      <w:t>44 100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69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Borders>
                      <w:bottom w:val="single" w:sz="4" w:space="0" w:color="auto"/>
                    </w:tcBorders>
                  </w:tcPr>
                  <w:p>
                    <w:pPr>
                      <w:rPr>
                        <w:sz w:val="20"/>
                        <w:lang w:val="en-US"/>
                      </w:rPr>
                    </w:pPr>
                  </w:p>
                </w:tc>
                <w:tc>
                  <w:tcPr>
                    <w:tcW w:w="1118" w:type="dxa"/>
                    <w:vMerge/>
                    <w:tcBorders>
                      <w:bottom w:val="single" w:sz="4" w:space="0" w:color="auto"/>
                    </w:tcBorders>
                  </w:tcPr>
                  <w:p>
                    <w:pPr>
                      <w:rPr>
                        <w:sz w:val="20"/>
                      </w:rPr>
                    </w:pPr>
                  </w:p>
                </w:tc>
                <w:tc>
                  <w:tcPr>
                    <w:tcW w:w="2001" w:type="dxa"/>
                    <w:gridSpan w:val="2"/>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1134" w:type="dxa"/>
                    <w:gridSpan w:val="2"/>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920"/>
                </w:trPr>
                <w:tc>
                  <w:tcPr>
                    <w:tcW w:w="2130" w:type="dxa"/>
                    <w:gridSpan w:val="2"/>
                    <w:vMerge w:val="restart"/>
                  </w:tcPr>
                  <w:p>
                    <w:pPr>
                      <w:rPr>
                        <w:sz w:val="20"/>
                      </w:rPr>
                    </w:pPr>
                    <w:r>
                      <w:rPr>
                        <w:sz w:val="20"/>
                      </w:rPr>
                      <w:t>6.4. Sveikatos centro pirminės ambulatorinės asmens sveikatos priežiūros paslaugoms teikti reikiamos infrastruktūros modernizavimas, Vidurio ir vakarų Lietuvos regionas</w:t>
                    </w:r>
                  </w:p>
                </w:tc>
                <w:tc>
                  <w:tcPr>
                    <w:tcW w:w="699" w:type="dxa"/>
                    <w:vMerge w:val="restart"/>
                  </w:tcPr>
                  <w:p>
                    <w:pPr>
                      <w:rPr>
                        <w:sz w:val="20"/>
                      </w:rPr>
                    </w:pPr>
                    <w:r>
                      <w:rPr>
                        <w:sz w:val="20"/>
                      </w:rPr>
                      <w:t>I</w:t>
                    </w:r>
                  </w:p>
                </w:tc>
                <w:tc>
                  <w:tcPr>
                    <w:tcW w:w="1985" w:type="dxa"/>
                    <w:vMerge w:val="restart"/>
                  </w:tcPr>
                  <w:p>
                    <w:pPr>
                      <w:rPr>
                        <w:sz w:val="20"/>
                      </w:rPr>
                    </w:pPr>
                    <w:r>
                      <w:rPr>
                        <w:sz w:val="20"/>
                      </w:rPr>
                      <w:t>Savivaldybių administracijos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jc w:val="center"/>
                      <w:rPr>
                        <w:sz w:val="20"/>
                      </w:rPr>
                    </w:pPr>
                    <w:r>
                      <w:rPr>
                        <w:sz w:val="20"/>
                      </w:rPr>
                      <w:t>26 963,273</w:t>
                    </w:r>
                  </w:p>
                </w:tc>
                <w:tc>
                  <w:tcPr>
                    <w:tcW w:w="1118" w:type="dxa"/>
                  </w:tcPr>
                  <w:p>
                    <w:pPr>
                      <w:rPr>
                        <w:sz w:val="20"/>
                      </w:rPr>
                    </w:pPr>
                    <w:r>
                      <w:rPr>
                        <w:sz w:val="20"/>
                      </w:rPr>
                      <w:t>2021–2027 m. IP (ERPF)</w:t>
                    </w:r>
                  </w:p>
                </w:tc>
                <w:tc>
                  <w:tcPr>
                    <w:tcW w:w="2001" w:type="dxa"/>
                    <w:gridSpan w:val="2"/>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tcPr>
                  <w:p>
                    <w:pPr>
                      <w:ind w:left="-57" w:right="-57"/>
                      <w:jc w:val="center"/>
                      <w:rPr>
                        <w:sz w:val="20"/>
                      </w:rPr>
                    </w:pPr>
                    <w:r>
                      <w:rPr>
                        <w:sz w:val="20"/>
                      </w:rPr>
                      <w:t>1 113 600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val="restart"/>
                  </w:tcPr>
                  <w:p>
                    <w:pPr>
                      <w:jc w:val="center"/>
                      <w:rPr>
                        <w:sz w:val="20"/>
                      </w:rPr>
                    </w:pPr>
                    <w:r>
                      <w:rPr>
                        <w:sz w:val="20"/>
                      </w:rPr>
                      <w:t>4 758,224</w:t>
                    </w:r>
                  </w:p>
                </w:tc>
                <w:tc>
                  <w:tcPr>
                    <w:tcW w:w="1118" w:type="dxa"/>
                    <w:vMerge w:val="restart"/>
                  </w:tcPr>
                  <w:p>
                    <w:pPr>
                      <w:rPr>
                        <w:sz w:val="20"/>
                      </w:rPr>
                    </w:pPr>
                    <w:r>
                      <w:rPr>
                        <w:sz w:val="20"/>
                      </w:rPr>
                      <w:t>2021–2027 m. IP (BF)</w:t>
                    </w:r>
                  </w:p>
                </w:tc>
                <w:tc>
                  <w:tcPr>
                    <w:tcW w:w="2001" w:type="dxa"/>
                    <w:gridSpan w:val="2"/>
                  </w:tcPr>
                  <w:p>
                    <w:pPr>
                      <w:ind w:left="-57" w:right="-57"/>
                      <w:rPr>
                        <w:sz w:val="20"/>
                      </w:rPr>
                    </w:pPr>
                    <w:r>
                      <w:rPr>
                        <w:sz w:val="20"/>
                      </w:rPr>
                      <w:t>R – Naujos arba modernizuotos sveikatos priežiūros infrastruktūros naudotojų skaičius per metus</w:t>
                    </w:r>
                  </w:p>
                </w:tc>
                <w:tc>
                  <w:tcPr>
                    <w:tcW w:w="1134" w:type="dxa"/>
                    <w:gridSpan w:val="2"/>
                  </w:tcPr>
                  <w:p>
                    <w:pPr>
                      <w:ind w:left="-57" w:right="-57"/>
                      <w:jc w:val="center"/>
                      <w:rPr>
                        <w:sz w:val="20"/>
                      </w:rPr>
                    </w:pPr>
                    <w:r>
                      <w:rPr>
                        <w:sz w:val="20"/>
                      </w:rPr>
                      <w:t>917 565</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46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1134" w:type="dxa"/>
                    <w:gridSpan w:val="2"/>
                  </w:tcPr>
                  <w:p>
                    <w:pPr>
                      <w:ind w:left="-57" w:right="-57"/>
                      <w:jc w:val="center"/>
                      <w:rPr>
                        <w:sz w:val="20"/>
                      </w:rPr>
                    </w:pPr>
                    <w:r>
                      <w:rPr>
                        <w:sz w:val="20"/>
                      </w:rPr>
                      <w:t>16</w:t>
                    </w:r>
                  </w:p>
                  <w:p>
                    <w:pPr>
                      <w:ind w:left="-57" w:right="-57"/>
                      <w:jc w:val="center"/>
                      <w:rPr>
                        <w:sz w:val="20"/>
                      </w:rPr>
                    </w:pPr>
                    <w:r>
                      <w:rPr>
                        <w:sz w:val="20"/>
                      </w:rPr>
                      <w:t xml:space="preserve">(2029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1120"/>
                </w:trPr>
                <w:tc>
                  <w:tcPr>
                    <w:tcW w:w="2130" w:type="dxa"/>
                    <w:gridSpan w:val="2"/>
                    <w:vMerge w:val="restart"/>
                  </w:tcPr>
                  <w:p>
                    <w:pPr>
                      <w:rPr>
                        <w:sz w:val="20"/>
                      </w:rPr>
                    </w:pPr>
                    <w:r>
                      <w:rPr>
                        <w:sz w:val="20"/>
                      </w:rPr>
                      <w:t>6.5. Sveikatos centro antrinio lygio ambulatorinės specializuotos asmens sveikatos priežiūros, ambulatorinės chirurgijos, dienos chirurgijos, dienos stacionaro bei skubiosios pagalbos paslaugoms teikti reikiamos infrastruktūros modernizavimas, Vidurio ir vakarų Lietuvos regionas</w:t>
                    </w:r>
                  </w:p>
                </w:tc>
                <w:tc>
                  <w:tcPr>
                    <w:tcW w:w="699" w:type="dxa"/>
                    <w:vMerge w:val="restart"/>
                  </w:tcPr>
                  <w:p>
                    <w:pPr>
                      <w:rPr>
                        <w:sz w:val="20"/>
                      </w:rPr>
                    </w:pPr>
                    <w:r>
                      <w:rPr>
                        <w:sz w:val="20"/>
                      </w:rPr>
                      <w:t>I</w:t>
                    </w:r>
                  </w:p>
                </w:tc>
                <w:tc>
                  <w:tcPr>
                    <w:tcW w:w="1985" w:type="dxa"/>
                    <w:vMerge w:val="restart"/>
                  </w:tcPr>
                  <w:p>
                    <w:pPr>
                      <w:rPr>
                        <w:sz w:val="20"/>
                      </w:rPr>
                    </w:pPr>
                    <w:r>
                      <w:rPr>
                        <w:sz w:val="20"/>
                      </w:rPr>
                      <w:t>Savivaldybių administracijos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jc w:val="center"/>
                      <w:rPr>
                        <w:sz w:val="20"/>
                        <w:lang w:val="en-US"/>
                      </w:rPr>
                    </w:pPr>
                    <w:r>
                      <w:rPr>
                        <w:sz w:val="20"/>
                        <w:lang w:val="en-US"/>
                      </w:rPr>
                      <w:t>47 896,731</w:t>
                    </w:r>
                  </w:p>
                </w:tc>
                <w:tc>
                  <w:tcPr>
                    <w:tcW w:w="1118" w:type="dxa"/>
                  </w:tcPr>
                  <w:p>
                    <w:pPr>
                      <w:rPr>
                        <w:sz w:val="20"/>
                      </w:rPr>
                    </w:pPr>
                    <w:r>
                      <w:rPr>
                        <w:sz w:val="20"/>
                      </w:rPr>
                      <w:t>2021–2027 m. IP (ERPF)</w:t>
                    </w:r>
                  </w:p>
                </w:tc>
                <w:tc>
                  <w:tcPr>
                    <w:tcW w:w="2001" w:type="dxa"/>
                    <w:gridSpan w:val="2"/>
                  </w:tcPr>
                  <w:p>
                    <w:pPr>
                      <w:ind w:left="-57" w:right="-57"/>
                      <w:rPr>
                        <w:sz w:val="20"/>
                      </w:rPr>
                    </w:pPr>
                    <w:r>
                      <w:rPr>
                        <w:sz w:val="20"/>
                      </w:rPr>
                      <w:t xml:space="preserve">P </w:t>
                    </w:r>
                    <w:r>
                      <w:rPr>
                        <w:color w:val="000000"/>
                        <w:sz w:val="20"/>
                      </w:rPr>
                      <w:t>–</w:t>
                    </w:r>
                    <w:r>
                      <w:rPr>
                        <w:sz w:val="20"/>
                      </w:rPr>
                      <w:t xml:space="preserve"> Naujos arba modernizuotos sveikatos priežiūros infrastruktūros talpumas, asmenys per metus </w:t>
                    </w:r>
                  </w:p>
                </w:tc>
                <w:tc>
                  <w:tcPr>
                    <w:tcW w:w="1134" w:type="dxa"/>
                    <w:gridSpan w:val="2"/>
                  </w:tcPr>
                  <w:p>
                    <w:pPr>
                      <w:ind w:left="-57" w:right="-57"/>
                      <w:jc w:val="center"/>
                      <w:rPr>
                        <w:sz w:val="20"/>
                      </w:rPr>
                    </w:pPr>
                    <w:r>
                      <w:rPr>
                        <w:sz w:val="20"/>
                      </w:rPr>
                      <w:t>166 400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val="restart"/>
                  </w:tcPr>
                  <w:p>
                    <w:pPr>
                      <w:rPr>
                        <w:sz w:val="20"/>
                        <w:lang w:val="en-US"/>
                      </w:rPr>
                    </w:pPr>
                    <w:r>
                      <w:rPr>
                        <w:sz w:val="20"/>
                        <w:lang w:val="en-US"/>
                      </w:rPr>
                      <w:t>8 452,365</w:t>
                    </w:r>
                  </w:p>
                </w:tc>
                <w:tc>
                  <w:tcPr>
                    <w:tcW w:w="1118" w:type="dxa"/>
                    <w:vMerge w:val="restart"/>
                  </w:tcPr>
                  <w:p>
                    <w:pPr>
                      <w:rPr>
                        <w:sz w:val="20"/>
                      </w:rPr>
                    </w:pPr>
                    <w:r>
                      <w:rPr>
                        <w:sz w:val="20"/>
                      </w:rPr>
                      <w:t>2021–2027 m. IP (BF)</w:t>
                    </w:r>
                  </w:p>
                </w:tc>
                <w:tc>
                  <w:tcPr>
                    <w:tcW w:w="2001" w:type="dxa"/>
                    <w:gridSpan w:val="2"/>
                  </w:tcPr>
                  <w:p>
                    <w:pPr>
                      <w:ind w:left="-57" w:right="-57"/>
                      <w:rPr>
                        <w:sz w:val="20"/>
                      </w:rPr>
                    </w:pPr>
                    <w:r>
                      <w:rPr>
                        <w:sz w:val="20"/>
                      </w:rPr>
                      <w:t xml:space="preserve">R </w:t>
                    </w:r>
                    <w:r>
                      <w:rPr>
                        <w:color w:val="000000"/>
                        <w:sz w:val="20"/>
                      </w:rPr>
                      <w:t>–</w:t>
                    </w:r>
                    <w:r>
                      <w:rPr>
                        <w:sz w:val="20"/>
                      </w:rPr>
                      <w:t xml:space="preserve"> Naujos arba modernizuotos sveikatos priežiūros infrastruktūros naudotojų skaičius per metus</w:t>
                    </w:r>
                  </w:p>
                </w:tc>
                <w:tc>
                  <w:tcPr>
                    <w:tcW w:w="1134" w:type="dxa"/>
                    <w:gridSpan w:val="2"/>
                  </w:tcPr>
                  <w:p>
                    <w:pPr>
                      <w:ind w:left="-57" w:right="-57"/>
                      <w:jc w:val="center"/>
                      <w:rPr>
                        <w:sz w:val="20"/>
                        <w:lang w:val="en-US"/>
                      </w:rPr>
                    </w:pPr>
                    <w:r>
                      <w:rPr>
                        <w:sz w:val="20"/>
                        <w:lang w:val="en-US"/>
                      </w:rPr>
                      <w:t>137 100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69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Borders>
                      <w:bottom w:val="single" w:sz="4" w:space="0" w:color="auto"/>
                    </w:tcBorders>
                  </w:tcPr>
                  <w:p>
                    <w:pPr>
                      <w:rPr>
                        <w:sz w:val="20"/>
                        <w:lang w:val="en-US"/>
                      </w:rPr>
                    </w:pPr>
                  </w:p>
                </w:tc>
                <w:tc>
                  <w:tcPr>
                    <w:tcW w:w="1118" w:type="dxa"/>
                    <w:vMerge/>
                    <w:tcBorders>
                      <w:bottom w:val="single" w:sz="4" w:space="0" w:color="auto"/>
                    </w:tcBorders>
                  </w:tcPr>
                  <w:p>
                    <w:pPr>
                      <w:rPr>
                        <w:sz w:val="20"/>
                      </w:rPr>
                    </w:pPr>
                  </w:p>
                </w:tc>
                <w:tc>
                  <w:tcPr>
                    <w:tcW w:w="2001" w:type="dxa"/>
                    <w:gridSpan w:val="2"/>
                  </w:tcPr>
                  <w:p>
                    <w:pPr>
                      <w:ind w:left="-57" w:right="-57"/>
                      <w:rPr>
                        <w:sz w:val="20"/>
                      </w:rPr>
                    </w:pPr>
                    <w:r>
                      <w:rPr>
                        <w:sz w:val="20"/>
                      </w:rPr>
                      <w:t xml:space="preserve">R </w:t>
                    </w:r>
                    <w:r>
                      <w:rPr>
                        <w:color w:val="000000"/>
                        <w:sz w:val="20"/>
                      </w:rPr>
                      <w:t xml:space="preserve">– </w:t>
                    </w:r>
                    <w:r>
                      <w:rPr>
                        <w:sz w:val="20"/>
                      </w:rPr>
                      <w:t>Išvengiamų hospitalizacijų skaičius 1000 gyventojų</w:t>
                    </w:r>
                  </w:p>
                </w:tc>
                <w:tc>
                  <w:tcPr>
                    <w:tcW w:w="1134" w:type="dxa"/>
                    <w:gridSpan w:val="2"/>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403"/>
                </w:trPr>
                <w:tc>
                  <w:tcPr>
                    <w:tcW w:w="12758" w:type="dxa"/>
                    <w:gridSpan w:val="20"/>
                  </w:tcPr>
                  <w:p>
                    <w:pPr>
                      <w:ind w:right="-57"/>
                      <w:rPr>
                        <w:sz w:val="20"/>
                      </w:rPr>
                    </w:pPr>
                    <w:r>
                      <w:rPr>
                        <w:sz w:val="20"/>
                      </w:rPr>
                      <w:t xml:space="preserve">6.6. </w:t>
                    </w:r>
                    <w:r>
                      <w:rPr>
                        <w:i/>
                        <w:sz w:val="20"/>
                      </w:rPr>
                      <w:t>Neteko galios nuo 2025-10-04</w:t>
                    </w:r>
                  </w:p>
                </w:tc>
                <w:tc>
                  <w:tcPr>
                    <w:tcW w:w="992" w:type="dxa"/>
                    <w:vMerge w:val="restart"/>
                  </w:tcPr>
                  <w:p>
                    <w:pPr>
                      <w:rPr>
                        <w:sz w:val="20"/>
                      </w:rPr>
                    </w:pPr>
                  </w:p>
                </w:tc>
                <w:tc>
                  <w:tcPr>
                    <w:tcW w:w="1279" w:type="dxa"/>
                    <w:vMerge w:val="restart"/>
                    <w:tcBorders>
                      <w:left w:val="single" w:sz="4" w:space="0" w:color="auto"/>
                      <w:right w:val="single" w:sz="4" w:space="0" w:color="auto"/>
                    </w:tcBorders>
                  </w:tcPr>
                  <w:p>
                    <w:pPr>
                      <w:rPr>
                        <w:color w:val="000000"/>
                        <w:sz w:val="20"/>
                      </w:rPr>
                    </w:pPr>
                  </w:p>
                </w:tc>
              </w:tr>
              <w:tr>
                <w:trPr>
                  <w:trHeight w:val="557"/>
                </w:trPr>
                <w:tc>
                  <w:tcPr>
                    <w:tcW w:w="12758" w:type="dxa"/>
                    <w:gridSpan w:val="20"/>
                  </w:tcPr>
                  <w:p>
                    <w:pPr>
                      <w:ind w:left="-57" w:right="-57"/>
                      <w:rPr>
                        <w:sz w:val="20"/>
                      </w:rPr>
                    </w:pPr>
                    <w:r>
                      <w:rPr>
                        <w:sz w:val="20"/>
                      </w:rPr>
                      <w:t xml:space="preserve">6.7. </w:t>
                    </w:r>
                    <w:r>
                      <w:rPr>
                        <w:i/>
                        <w:sz w:val="20"/>
                      </w:rPr>
                      <w:t>Neteko galios nuo 2025-10-04</w:t>
                    </w:r>
                  </w:p>
                </w:tc>
                <w:tc>
                  <w:tcPr>
                    <w:tcW w:w="992" w:type="dxa"/>
                    <w:vMerge/>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857"/>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6.8. Inovatyvių pirminės sveikatos priežiūros paslaugų teikimo ir organizavimo modelių kūrimas ir išbandymas Vidurio ir vakarų Lietuvos regionas</w:t>
                    </w:r>
                  </w:p>
                </w:tc>
                <w:tc>
                  <w:tcPr>
                    <w:tcW w:w="69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Savivaldybių administracijos,ASPĮ, SAM</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hideMark/>
                  </w:tcPr>
                  <w:p>
                    <w:pPr>
                      <w:rPr>
                        <w:sz w:val="20"/>
                        <w:highlight w:val="green"/>
                      </w:rPr>
                    </w:pPr>
                    <w:r>
                      <w:rPr>
                        <w:sz w:val="20"/>
                      </w:rPr>
                      <w:t>31 433,580</w:t>
                    </w:r>
                  </w:p>
                </w:tc>
                <w:tc>
                  <w:tcPr>
                    <w:tcW w:w="1118" w:type="dxa"/>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 m. IP (ESF+) </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w:t>
                    </w:r>
                    <w:r>
                      <w:rPr>
                        <w:rFonts w:eastAsia="Calibri"/>
                        <w:sz w:val="20"/>
                        <w:lang w:eastAsia="lt-LT" w:bidi="lt-LT"/>
                      </w:rPr>
                      <w:t>Asmenys, dalyvavę veiklose, skirtose lėtinei ligai savarankiškai valdyti, asmenys</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25 000</w:t>
                    </w:r>
                  </w:p>
                  <w:p>
                    <w:pPr>
                      <w:ind w:left="-57" w:right="-57"/>
                      <w:jc w:val="center"/>
                      <w:rPr>
                        <w:sz w:val="20"/>
                      </w:rP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SAM</w:t>
                    </w:r>
                  </w:p>
                </w:tc>
              </w:tr>
              <w:tr>
                <w:trPr>
                  <w:trHeight w:val="230"/>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val="restart"/>
                    <w:tcBorders>
                      <w:top w:val="single" w:sz="4" w:space="0" w:color="auto"/>
                      <w:left w:val="single" w:sz="4" w:space="0" w:color="auto"/>
                      <w:bottom w:val="single" w:sz="4" w:space="0" w:color="auto"/>
                      <w:right w:val="single" w:sz="4" w:space="0" w:color="auto"/>
                    </w:tcBorders>
                  </w:tcPr>
                  <w:p>
                    <w:pPr>
                      <w:rPr>
                        <w:sz w:val="20"/>
                        <w:highlight w:val="green"/>
                      </w:rPr>
                    </w:pPr>
                  </w:p>
                  <w:p>
                    <w:pPr>
                      <w:rPr>
                        <w:sz w:val="20"/>
                        <w:highlight w:val="green"/>
                      </w:rPr>
                    </w:pPr>
                    <w:r>
                      <w:rPr>
                        <w:sz w:val="20"/>
                      </w:rPr>
                      <w:t>5 547,102</w:t>
                    </w:r>
                  </w:p>
                </w:tc>
                <w:tc>
                  <w:tcPr>
                    <w:tcW w:w="1118"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2021–2027m.  IP (BF) </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P – Specialistai, dalyvavę kvalifikacijos tobulinimo ar perkvalifikavimo veiklose, asmenys</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1 100</w:t>
                    </w:r>
                  </w:p>
                  <w:p>
                    <w:pPr>
                      <w:ind w:left="-57" w:right="-57"/>
                      <w:jc w:val="center"/>
                      <w:rPr>
                        <w:sz w:val="20"/>
                      </w:rPr>
                    </w:pPr>
                    <w:r>
                      <w:rPr>
                        <w:sz w:val="20"/>
                      </w:rPr>
                      <w:t>(2029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690"/>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p>
                  <w:p>
                    <w:pPr>
                      <w:ind w:left="-57" w:right="-57"/>
                      <w:jc w:val="center"/>
                      <w:rPr>
                        <w:sz w:val="20"/>
                      </w:rPr>
                    </w:pPr>
                    <w:r>
                      <w:rPr>
                        <w:sz w:val="20"/>
                      </w:rPr>
                      <w:t>138</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R – Asmenų, teigusių, kad pagerėjo jų gyvenimo kokybė po dalyvavimo veiklose, skirtose savarankiškam lėtinės ligos valdymui, dalis, proc. </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sz w:val="20"/>
                      </w:rPr>
                      <w:t>R –</w:t>
                    </w:r>
                    <w:r>
                      <w:rPr>
                        <w:sz w:val="20"/>
                        <w:lang w:eastAsia="lt-LT"/>
                      </w:rPr>
                      <w:t xml:space="preserve"> Specialistų, kurie po dalyvavimo veiklose įgijo ar patobulino kvalifikaciją, dalis proc.</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b/>
                        <w:bCs/>
                        <w:color w:val="FF0000"/>
                        <w:sz w:val="20"/>
                      </w:rPr>
                    </w:pPr>
                    <w:r>
                      <w:rPr>
                        <w:color w:val="000000"/>
                        <w:sz w:val="20"/>
                      </w:rPr>
                      <w:t xml:space="preserve">R – Pacientų pasitenkinimas gautomis paslaugomis, proc. </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70</w:t>
                    </w:r>
                  </w:p>
                  <w:p>
                    <w:pPr>
                      <w:ind w:left="-57" w:right="-57"/>
                      <w:jc w:val="center"/>
                      <w:rPr>
                        <w:color w:val="FF0000"/>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tcPr>
                  <w:p>
                    <w:pPr>
                      <w:rPr>
                        <w:sz w:val="20"/>
                      </w:rPr>
                    </w:pPr>
                    <w:r>
                      <w:rPr>
                        <w:sz w:val="20"/>
                      </w:rPr>
                      <w:t>6.9. ASPĮ išlaidų, patirtų įgyvendinant pertvarką, kompensavimas</w:t>
                    </w:r>
                  </w:p>
                </w:tc>
                <w:tc>
                  <w:tcPr>
                    <w:tcW w:w="699" w:type="dxa"/>
                  </w:tcPr>
                  <w:p>
                    <w:pPr>
                      <w:rPr>
                        <w:sz w:val="20"/>
                      </w:rPr>
                    </w:pPr>
                    <w:r>
                      <w:rPr>
                        <w:sz w:val="20"/>
                      </w:rPr>
                      <w:t>I</w:t>
                    </w:r>
                  </w:p>
                </w:tc>
                <w:tc>
                  <w:tcPr>
                    <w:tcW w:w="1985" w:type="dxa"/>
                  </w:tcPr>
                  <w:p>
                    <w:pPr>
                      <w:rPr>
                        <w:sz w:val="20"/>
                      </w:rPr>
                    </w:pPr>
                    <w:r>
                      <w:rPr>
                        <w:sz w:val="20"/>
                      </w:rPr>
                      <w:t>ASPĮ</w:t>
                    </w:r>
                  </w:p>
                </w:tc>
                <w:tc>
                  <w:tcPr>
                    <w:tcW w:w="829" w:type="dxa"/>
                    <w:gridSpan w:val="3"/>
                  </w:tcPr>
                  <w:p>
                    <w:pPr>
                      <w:rPr>
                        <w:sz w:val="20"/>
                      </w:rPr>
                    </w:pPr>
                    <w:r>
                      <w:rPr>
                        <w:sz w:val="20"/>
                      </w:rPr>
                      <w:t>P</w:t>
                    </w:r>
                  </w:p>
                </w:tc>
                <w:tc>
                  <w:tcPr>
                    <w:tcW w:w="1014" w:type="dxa"/>
                    <w:gridSpan w:val="3"/>
                  </w:tcPr>
                  <w:p>
                    <w:pPr>
                      <w:rPr>
                        <w:sz w:val="20"/>
                      </w:rPr>
                    </w:pPr>
                    <w:r>
                      <w:rPr>
                        <w:sz w:val="20"/>
                      </w:rPr>
                      <w:t>Taip</w:t>
                    </w:r>
                  </w:p>
                </w:tc>
                <w:tc>
                  <w:tcPr>
                    <w:tcW w:w="681" w:type="dxa"/>
                    <w:gridSpan w:val="3"/>
                  </w:tcPr>
                  <w:p>
                    <w:pPr>
                      <w:rPr>
                        <w:sz w:val="20"/>
                      </w:rPr>
                    </w:pPr>
                    <w:r>
                      <w:rPr>
                        <w:sz w:val="20"/>
                      </w:rPr>
                      <w:t>D</w:t>
                    </w:r>
                  </w:p>
                </w:tc>
                <w:tc>
                  <w:tcPr>
                    <w:tcW w:w="1167" w:type="dxa"/>
                    <w:gridSpan w:val="2"/>
                  </w:tcPr>
                  <w:p>
                    <w:pPr>
                      <w:rPr>
                        <w:sz w:val="20"/>
                      </w:rPr>
                    </w:pPr>
                    <w:r>
                      <w:rPr>
                        <w:sz w:val="20"/>
                        <w:lang w:val="en-US"/>
                      </w:rPr>
                      <w:t>8 000</w:t>
                    </w:r>
                  </w:p>
                </w:tc>
                <w:tc>
                  <w:tcPr>
                    <w:tcW w:w="1118" w:type="dxa"/>
                  </w:tcPr>
                  <w:p>
                    <w:pPr>
                      <w:rPr>
                        <w:sz w:val="20"/>
                      </w:rPr>
                    </w:pPr>
                    <w:r>
                      <w:rPr>
                        <w:sz w:val="20"/>
                      </w:rPr>
                      <w:t>VB</w:t>
                    </w:r>
                  </w:p>
                </w:tc>
                <w:tc>
                  <w:tcPr>
                    <w:tcW w:w="2001" w:type="dxa"/>
                    <w:gridSpan w:val="2"/>
                  </w:tcPr>
                  <w:p>
                    <w:pPr>
                      <w:ind w:left="-57" w:right="-57"/>
                      <w:rPr>
                        <w:sz w:val="20"/>
                      </w:rPr>
                    </w:pPr>
                    <w:r>
                      <w:rPr>
                        <w:sz w:val="20"/>
                      </w:rPr>
                      <w:t xml:space="preserve">P </w:t>
                    </w:r>
                    <w:r>
                      <w:rPr>
                        <w:color w:val="000000"/>
                        <w:szCs w:val="24"/>
                      </w:rPr>
                      <w:t>–</w:t>
                    </w:r>
                    <w:r>
                      <w:rPr>
                        <w:sz w:val="20"/>
                      </w:rPr>
                      <w:t xml:space="preserve"> Struktūrinius sveikatos priežiūros paslaugų teikimo pokyčius įgyvendinusių ASPĮ skaičius, vnt. </w:t>
                    </w:r>
                  </w:p>
                </w:tc>
                <w:tc>
                  <w:tcPr>
                    <w:tcW w:w="1134" w:type="dxa"/>
                    <w:gridSpan w:val="2"/>
                  </w:tcPr>
                  <w:p>
                    <w:pPr>
                      <w:ind w:left="-57" w:right="-57"/>
                      <w:jc w:val="center"/>
                      <w:rPr>
                        <w:sz w:val="20"/>
                      </w:rPr>
                    </w:pPr>
                    <w:r>
                      <w:rPr>
                        <w:sz w:val="20"/>
                      </w:rPr>
                      <w:t>250</w:t>
                    </w:r>
                  </w:p>
                  <w:p>
                    <w:pPr>
                      <w:ind w:left="-57" w:right="-57"/>
                      <w:jc w:val="center"/>
                      <w:rPr>
                        <w:sz w:val="20"/>
                      </w:rPr>
                    </w:pPr>
                    <w:r>
                      <w:rPr>
                        <w:sz w:val="20"/>
                      </w:rPr>
                      <w:t>(2030 m.)</w:t>
                    </w:r>
                  </w:p>
                </w:tc>
                <w:tc>
                  <w:tcPr>
                    <w:tcW w:w="992" w:type="dxa"/>
                  </w:tcPr>
                  <w:p>
                    <w:pPr>
                      <w:rPr>
                        <w:sz w:val="20"/>
                      </w:rPr>
                    </w:pPr>
                    <w:r>
                      <w:rPr>
                        <w:sz w:val="20"/>
                      </w:rPr>
                      <w:t>SAM</w:t>
                    </w:r>
                  </w:p>
                </w:tc>
                <w:tc>
                  <w:tcPr>
                    <w:tcW w:w="1279" w:type="dxa"/>
                    <w:tcBorders>
                      <w:left w:val="single" w:sz="4" w:space="0" w:color="auto"/>
                      <w:right w:val="single" w:sz="4" w:space="0" w:color="auto"/>
                    </w:tcBorders>
                  </w:tcPr>
                  <w:p>
                    <w:pPr>
                      <w:jc w:val="center"/>
                      <w:rPr>
                        <w:color w:val="000000"/>
                        <w:sz w:val="20"/>
                      </w:rPr>
                    </w:pPr>
                  </w:p>
                </w:tc>
              </w:tr>
              <w:tr>
                <w:trPr>
                  <w:trHeight w:val="414"/>
                </w:trPr>
                <w:tc>
                  <w:tcPr>
                    <w:tcW w:w="2130"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b/>
                        <w:bCs/>
                        <w:sz w:val="20"/>
                      </w:rPr>
                    </w:pPr>
                    <w:r>
                      <w:rPr>
                        <w:b/>
                        <w:bCs/>
                        <w:sz w:val="20"/>
                      </w:rPr>
                      <w:t>7. Ambulatorinių psichikos sveikatos priežiūros paslaugų plėtra ir kokybės gerinimas:</w:t>
                    </w:r>
                  </w:p>
                </w:tc>
                <w:tc>
                  <w:tcPr>
                    <w:tcW w:w="69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85"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829"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014"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681"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 xml:space="preserve">37 355,406 </w:t>
                    </w:r>
                  </w:p>
                  <w:p>
                    <w:pPr>
                      <w:rPr>
                        <w:sz w:val="20"/>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2001"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color w:val="FF0000"/>
                        <w:sz w:val="20"/>
                      </w:rPr>
                    </w:pPr>
                    <w:r>
                      <w:rPr>
                        <w:sz w:val="20"/>
                      </w:rPr>
                      <w:t xml:space="preserve">R </w:t>
                    </w:r>
                    <w:r>
                      <w:rPr>
                        <w:color w:val="000000"/>
                        <w:szCs w:val="24"/>
                      </w:rPr>
                      <w:t>–</w:t>
                    </w:r>
                    <w:r>
                      <w:rPr>
                        <w:sz w:val="20"/>
                      </w:rPr>
                      <w:t xml:space="preserve"> Asmenų, gavusių tęstines ambulatorines ir (ar) dienos stacionaro psichikos sveikatos paslaugas per 30 dienų nuo išrašymo iš stacionaro, dalis</w:t>
                      <w:tab/>
                    </w:r>
                  </w:p>
                </w:tc>
                <w:tc>
                  <w:tcPr>
                    <w:tcW w:w="1134"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sz w:val="20"/>
                      </w:rPr>
                    </w:pPr>
                    <w:r>
                      <w:rPr>
                        <w:sz w:val="20"/>
                      </w:rPr>
                      <w:t>80</w:t>
                    </w:r>
                  </w:p>
                  <w:p>
                    <w:pPr>
                      <w:ind w:left="-57" w:right="-57"/>
                      <w:jc w:val="center"/>
                      <w:rPr>
                        <w:i/>
                        <w:iCs/>
                        <w:sz w:val="20"/>
                      </w:rPr>
                    </w:pPr>
                    <w:r>
                      <w:rPr>
                        <w:sz w:val="20"/>
                      </w:rPr>
                      <w:t xml:space="preserve">(2030 m.) </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i/>
                        <w:iCs/>
                        <w:sz w:val="20"/>
                      </w:rPr>
                    </w:pPr>
                    <w:r>
                      <w:rPr>
                        <w:sz w:val="20"/>
                      </w:rPr>
                      <w:t>-</w:t>
                      <w:br w:type="column"/>
                    </w:r>
                  </w:p>
                </w:tc>
                <w:tc>
                  <w:tcPr>
                    <w:tcW w:w="127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2 523,178</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(ERPF, Sostinės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2 523,178</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(BF, Sostinės regionas</w:t>
                    </w: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 </w:t>
                    </w:r>
                  </w:p>
                  <w:p>
                    <w:pPr>
                      <w:ind w:left="-57" w:right="-57"/>
                      <w:rPr>
                        <w:sz w:val="20"/>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431714</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12 710,597</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(ERPF, VVL regionas)</w:t>
                    </w:r>
                  </w:p>
                </w:tc>
                <w:tc>
                  <w:tcPr>
                    <w:tcW w:w="2001"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R – Dienos stacionaro atvejų skaičiaus padidėjimas lyginant su 2019 m., atvejų skaičius</w:t>
                    </w:r>
                  </w:p>
                  <w:p>
                    <w:pPr>
                      <w:ind w:left="-57" w:right="-57"/>
                      <w:rPr>
                        <w:sz w:val="20"/>
                      </w:rPr>
                    </w:pPr>
                  </w:p>
                </w:tc>
                <w:tc>
                  <w:tcPr>
                    <w:tcW w:w="1134"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362243</w:t>
                    </w:r>
                  </w:p>
                  <w:p>
                    <w:pPr>
                      <w:ind w:left="-57" w:right="-57"/>
                      <w:jc w:val="center"/>
                      <w:rPr>
                        <w:sz w:val="20"/>
                      </w:rPr>
                    </w:pPr>
                    <w:r>
                      <w:rPr>
                        <w:sz w:val="20"/>
                      </w:rPr>
                      <w:t>(2030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9 652,095</w:t>
                    </w:r>
                  </w:p>
                  <w:p>
                    <w:pPr>
                      <w:rPr>
                        <w:sz w:val="20"/>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(ESF+,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3 946,358</w:t>
                    </w:r>
                  </w:p>
                  <w:p>
                    <w:pPr>
                      <w:rPr>
                        <w:sz w:val="20"/>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(BF,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6 000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382"/>
                </w:trPr>
                <w:tc>
                  <w:tcPr>
                    <w:tcW w:w="2130" w:type="dxa"/>
                    <w:gridSpan w:val="2"/>
                    <w:vMerge w:val="restart"/>
                  </w:tcPr>
                  <w:p>
                    <w:pPr>
                      <w:rPr>
                        <w:sz w:val="20"/>
                      </w:rPr>
                    </w:pPr>
                    <w:r>
                      <w:rPr>
                        <w:sz w:val="20"/>
                      </w:rPr>
                      <w:t>7.1. Ambulatorinių psichikos sveikatos paslaugų ir psichosocialinės reabilitacijos plėtrai reikalingos infrastruktūros įrengimas, Sostinės regionas</w:t>
                    </w:r>
                  </w:p>
                </w:tc>
                <w:tc>
                  <w:tcPr>
                    <w:tcW w:w="699" w:type="dxa"/>
                    <w:vMerge w:val="restart"/>
                  </w:tcPr>
                  <w:p>
                    <w:pPr>
                      <w:rPr>
                        <w:sz w:val="20"/>
                      </w:rPr>
                    </w:pPr>
                    <w:r>
                      <w:rPr>
                        <w:sz w:val="20"/>
                      </w:rPr>
                      <w:t>I</w:t>
                    </w:r>
                  </w:p>
                </w:tc>
                <w:tc>
                  <w:tcPr>
                    <w:tcW w:w="1985" w:type="dxa"/>
                    <w:vMerge w:val="restart"/>
                  </w:tcPr>
                  <w:p>
                    <w:pPr>
                      <w:rPr>
                        <w:sz w:val="20"/>
                      </w:rPr>
                    </w:pPr>
                    <w:r>
                      <w:rPr>
                        <w:sz w:val="20"/>
                      </w:rPr>
                      <w:t>ASPĮ</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rPr>
                        <w:sz w:val="20"/>
                        <w:lang w:val="en-US"/>
                      </w:rPr>
                    </w:pPr>
                    <w:r>
                      <w:rPr>
                        <w:sz w:val="20"/>
                        <w:lang w:val="en-US"/>
                      </w:rPr>
                      <w:t>2 523,178</w:t>
                    </w:r>
                  </w:p>
                  <w:p>
                    <w:pPr>
                      <w:rPr>
                        <w:sz w:val="20"/>
                        <w:lang w:val="en-US"/>
                      </w:rPr>
                    </w:pPr>
                  </w:p>
                </w:tc>
                <w:tc>
                  <w:tcPr>
                    <w:tcW w:w="1118" w:type="dxa"/>
                  </w:tcPr>
                  <w:p>
                    <w:pPr>
                      <w:rPr>
                        <w:sz w:val="20"/>
                      </w:rPr>
                    </w:pPr>
                    <w:r>
                      <w:rPr>
                        <w:sz w:val="20"/>
                      </w:rPr>
                      <w:t>2021–2027 m. IP (ERPF)</w:t>
                    </w:r>
                  </w:p>
                </w:tc>
                <w:tc>
                  <w:tcPr>
                    <w:tcW w:w="2001" w:type="dxa"/>
                    <w:gridSpan w:val="2"/>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tcPr>
                  <w:p>
                    <w:pPr>
                      <w:ind w:left="-57" w:right="-57"/>
                      <w:jc w:val="center"/>
                      <w:rPr>
                        <w:sz w:val="20"/>
                      </w:rPr>
                    </w:pPr>
                    <w:r>
                      <w:rPr>
                        <w:sz w:val="20"/>
                      </w:rPr>
                      <w:t>1 500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82"/>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Pr>
                  <w:p>
                    <w:pPr>
                      <w:rPr>
                        <w:sz w:val="20"/>
                        <w:lang w:val="en-US"/>
                      </w:rPr>
                    </w:pPr>
                    <w:r>
                      <w:rPr>
                        <w:sz w:val="20"/>
                        <w:lang w:val="en-US"/>
                      </w:rPr>
                      <w:t>2 523,178</w:t>
                    </w:r>
                  </w:p>
                </w:tc>
                <w:tc>
                  <w:tcPr>
                    <w:tcW w:w="1118" w:type="dxa"/>
                  </w:tcPr>
                  <w:p>
                    <w:pPr>
                      <w:rPr>
                        <w:sz w:val="20"/>
                      </w:rPr>
                    </w:pPr>
                    <w:r>
                      <w:rPr>
                        <w:sz w:val="20"/>
                      </w:rPr>
                      <w:t>2021–2027 m. IP (BF)</w:t>
                    </w:r>
                  </w:p>
                </w:tc>
                <w:tc>
                  <w:tcPr>
                    <w:tcW w:w="2001" w:type="dxa"/>
                    <w:gridSpan w:val="2"/>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1134" w:type="dxa"/>
                    <w:gridSpan w:val="2"/>
                  </w:tcPr>
                  <w:p>
                    <w:pPr>
                      <w:ind w:left="-57" w:right="-57"/>
                      <w:jc w:val="center"/>
                      <w:rPr>
                        <w:sz w:val="20"/>
                      </w:rPr>
                    </w:pPr>
                    <w:r>
                      <w:rPr>
                        <w:sz w:val="20"/>
                      </w:rPr>
                      <w:t>1 335</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1025"/>
                </w:trPr>
                <w:tc>
                  <w:tcPr>
                    <w:tcW w:w="2130" w:type="dxa"/>
                    <w:gridSpan w:val="2"/>
                    <w:vMerge w:val="restart"/>
                  </w:tcPr>
                  <w:p>
                    <w:pPr>
                      <w:rPr>
                        <w:sz w:val="20"/>
                      </w:rPr>
                    </w:pPr>
                    <w:r>
                      <w:rPr>
                        <w:sz w:val="20"/>
                      </w:rPr>
                      <w:t>7.2. Ambulatorinių psichikos sveikatos paslaugų ir psichosocialinės reabilitacijos plėtrai reikalingos infrastruktūros įrengimas, Vidurio ir vakarų Lietuvos regionas</w:t>
                    </w:r>
                  </w:p>
                </w:tc>
                <w:tc>
                  <w:tcPr>
                    <w:tcW w:w="699" w:type="dxa"/>
                    <w:vMerge w:val="restart"/>
                  </w:tcPr>
                  <w:p>
                    <w:pPr>
                      <w:rPr>
                        <w:sz w:val="20"/>
                      </w:rPr>
                    </w:pPr>
                    <w:r>
                      <w:rPr>
                        <w:sz w:val="20"/>
                      </w:rPr>
                      <w:t>I</w:t>
                    </w:r>
                  </w:p>
                  <w:p>
                    <w:pPr>
                      <w:rPr>
                        <w:sz w:val="20"/>
                      </w:rPr>
                    </w:pPr>
                  </w:p>
                </w:tc>
                <w:tc>
                  <w:tcPr>
                    <w:tcW w:w="1985" w:type="dxa"/>
                    <w:vMerge w:val="restart"/>
                  </w:tcPr>
                  <w:p>
                    <w:pPr>
                      <w:rPr>
                        <w:sz w:val="20"/>
                      </w:rPr>
                    </w:pPr>
                    <w:r>
                      <w:rPr>
                        <w:sz w:val="20"/>
                      </w:rPr>
                      <w:t>ASPĮ</w:t>
                    </w:r>
                  </w:p>
                  <w:p>
                    <w:pPr>
                      <w:rPr>
                        <w:sz w:val="20"/>
                      </w:rPr>
                    </w:pPr>
                  </w:p>
                </w:tc>
                <w:tc>
                  <w:tcPr>
                    <w:tcW w:w="829" w:type="dxa"/>
                    <w:gridSpan w:val="3"/>
                    <w:vMerge w:val="restart"/>
                  </w:tcPr>
                  <w:p>
                    <w:pPr>
                      <w:rPr>
                        <w:sz w:val="20"/>
                      </w:rPr>
                    </w:pPr>
                    <w:r>
                      <w:rPr>
                        <w:sz w:val="20"/>
                      </w:rPr>
                      <w:t>P</w:t>
                    </w:r>
                  </w:p>
                  <w:p>
                    <w:pPr>
                      <w:rPr>
                        <w:sz w:val="20"/>
                      </w:rPr>
                    </w:pPr>
                  </w:p>
                </w:tc>
                <w:tc>
                  <w:tcPr>
                    <w:tcW w:w="1014" w:type="dxa"/>
                    <w:gridSpan w:val="3"/>
                    <w:vMerge w:val="restart"/>
                  </w:tcPr>
                  <w:p>
                    <w:pPr>
                      <w:rPr>
                        <w:sz w:val="20"/>
                      </w:rPr>
                    </w:pPr>
                    <w:r>
                      <w:rPr>
                        <w:sz w:val="20"/>
                      </w:rPr>
                      <w:t>Taip</w:t>
                    </w:r>
                  </w:p>
                  <w:p>
                    <w:pPr>
                      <w:rPr>
                        <w:sz w:val="20"/>
                      </w:rPr>
                    </w:pPr>
                  </w:p>
                </w:tc>
                <w:tc>
                  <w:tcPr>
                    <w:tcW w:w="681" w:type="dxa"/>
                    <w:gridSpan w:val="3"/>
                    <w:vMerge w:val="restart"/>
                  </w:tcPr>
                  <w:p>
                    <w:pPr>
                      <w:rPr>
                        <w:sz w:val="20"/>
                      </w:rPr>
                    </w:pPr>
                    <w:r>
                      <w:rPr>
                        <w:sz w:val="20"/>
                      </w:rPr>
                      <w:t>D</w:t>
                    </w:r>
                  </w:p>
                  <w:p>
                    <w:pPr>
                      <w:rPr>
                        <w:sz w:val="20"/>
                      </w:rPr>
                    </w:pPr>
                  </w:p>
                </w:tc>
                <w:tc>
                  <w:tcPr>
                    <w:tcW w:w="1167" w:type="dxa"/>
                    <w:gridSpan w:val="2"/>
                  </w:tcPr>
                  <w:p>
                    <w:pPr>
                      <w:rPr>
                        <w:sz w:val="20"/>
                        <w:lang w:val="en-US"/>
                      </w:rPr>
                    </w:pPr>
                    <w:r>
                      <w:rPr>
                        <w:sz w:val="20"/>
                        <w:lang w:val="en-US"/>
                      </w:rPr>
                      <w:t>12 710,597</w:t>
                    </w:r>
                  </w:p>
                </w:tc>
                <w:tc>
                  <w:tcPr>
                    <w:tcW w:w="1118" w:type="dxa"/>
                  </w:tcPr>
                  <w:p>
                    <w:pPr>
                      <w:rPr>
                        <w:sz w:val="20"/>
                      </w:rPr>
                    </w:pPr>
                    <w:r>
                      <w:rPr>
                        <w:sz w:val="20"/>
                      </w:rPr>
                      <w:t>2021–2027 m. IP (ERPF)</w:t>
                    </w:r>
                  </w:p>
                  <w:p>
                    <w:pPr>
                      <w:rPr>
                        <w:sz w:val="20"/>
                      </w:rPr>
                    </w:pPr>
                  </w:p>
                </w:tc>
                <w:tc>
                  <w:tcPr>
                    <w:tcW w:w="2001" w:type="dxa"/>
                    <w:gridSpan w:val="2"/>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tcPr>
                  <w:p>
                    <w:pPr>
                      <w:ind w:left="-57" w:right="-57"/>
                      <w:jc w:val="center"/>
                      <w:rPr>
                        <w:sz w:val="20"/>
                      </w:rPr>
                    </w:pPr>
                    <w:r>
                      <w:rPr>
                        <w:sz w:val="20"/>
                      </w:rPr>
                      <w:t>4 450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972"/>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Pr>
                  <w:p>
                    <w:pPr>
                      <w:rPr>
                        <w:sz w:val="20"/>
                        <w:lang w:val="en-US"/>
                      </w:rPr>
                    </w:pPr>
                    <w:r>
                      <w:rPr>
                        <w:sz w:val="20"/>
                        <w:lang w:val="en-US"/>
                      </w:rPr>
                      <w:t>2 243,047</w:t>
                    </w:r>
                  </w:p>
                  <w:p>
                    <w:pPr>
                      <w:rPr>
                        <w:sz w:val="20"/>
                      </w:rPr>
                    </w:pPr>
                  </w:p>
                </w:tc>
                <w:tc>
                  <w:tcPr>
                    <w:tcW w:w="1118" w:type="dxa"/>
                  </w:tcPr>
                  <w:p>
                    <w:pPr>
                      <w:rPr>
                        <w:sz w:val="20"/>
                      </w:rPr>
                    </w:pPr>
                    <w:r>
                      <w:rPr>
                        <w:sz w:val="20"/>
                      </w:rPr>
                      <w:t>2021–2027 m. IP (BF)</w:t>
                    </w:r>
                  </w:p>
                  <w:p>
                    <w:pPr>
                      <w:rPr>
                        <w:sz w:val="20"/>
                      </w:rPr>
                    </w:pPr>
                  </w:p>
                </w:tc>
                <w:tc>
                  <w:tcPr>
                    <w:tcW w:w="2001" w:type="dxa"/>
                    <w:gridSpan w:val="2"/>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1134" w:type="dxa"/>
                    <w:gridSpan w:val="2"/>
                  </w:tcPr>
                  <w:p>
                    <w:pPr>
                      <w:ind w:left="-57" w:right="-57"/>
                      <w:jc w:val="center"/>
                      <w:rPr>
                        <w:sz w:val="20"/>
                      </w:rPr>
                    </w:pPr>
                    <w:r>
                      <w:rPr>
                        <w:sz w:val="20"/>
                      </w:rPr>
                      <w:t>3 965</w:t>
                    </w:r>
                  </w:p>
                  <w:p>
                    <w:pPr>
                      <w:ind w:left="-57" w:right="-57"/>
                      <w:jc w:val="center"/>
                      <w:rPr>
                        <w:sz w:val="20"/>
                      </w:rPr>
                    </w:pPr>
                    <w:r>
                      <w:rPr>
                        <w:sz w:val="20"/>
                      </w:rPr>
                      <w:t>(2029 m.)</w:t>
                    </w:r>
                  </w:p>
                  <w:p>
                    <w:pPr>
                      <w:rPr>
                        <w:sz w:val="20"/>
                      </w:rPr>
                    </w:pP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414"/>
                </w:trPr>
                <w:tc>
                  <w:tcPr>
                    <w:tcW w:w="2130" w:type="dxa"/>
                    <w:gridSpan w:val="2"/>
                  </w:tcPr>
                  <w:p>
                    <w:pPr>
                      <w:rPr>
                        <w:sz w:val="22"/>
                        <w:szCs w:val="22"/>
                      </w:rPr>
                    </w:pPr>
                    <w:r>
                      <w:rPr>
                        <w:sz w:val="20"/>
                      </w:rPr>
                      <w:t xml:space="preserve">7.3. </w:t>
                    </w:r>
                    <w:r>
                      <w:rPr>
                        <w:color w:val="212121"/>
                        <w:sz w:val="20"/>
                      </w:rPr>
                      <w:t>Nemedikamentinių paslaugų prieinamumo ir žmogaus teisėms palankios aplinkos gerinimas teikiant stacionarines psichikos sveikatos priežiūros paslaugas</w:t>
                    </w:r>
                  </w:p>
                </w:tc>
                <w:tc>
                  <w:tcPr>
                    <w:tcW w:w="699" w:type="dxa"/>
                  </w:tcPr>
                  <w:p>
                    <w:pPr>
                      <w:rPr>
                        <w:sz w:val="22"/>
                        <w:szCs w:val="22"/>
                      </w:rPr>
                    </w:pPr>
                    <w:r>
                      <w:rPr>
                        <w:sz w:val="20"/>
                      </w:rPr>
                      <w:t>I</w:t>
                    </w:r>
                  </w:p>
                </w:tc>
                <w:tc>
                  <w:tcPr>
                    <w:tcW w:w="1985" w:type="dxa"/>
                  </w:tcPr>
                  <w:p>
                    <w:pPr>
                      <w:rPr>
                        <w:sz w:val="22"/>
                        <w:szCs w:val="22"/>
                      </w:rPr>
                    </w:pPr>
                    <w:r>
                      <w:rPr>
                        <w:sz w:val="20"/>
                      </w:rPr>
                      <w:t>ASPĮ</w:t>
                    </w:r>
                  </w:p>
                </w:tc>
                <w:tc>
                  <w:tcPr>
                    <w:tcW w:w="829" w:type="dxa"/>
                    <w:gridSpan w:val="3"/>
                  </w:tcPr>
                  <w:p>
                    <w:pPr>
                      <w:rPr>
                        <w:sz w:val="22"/>
                        <w:szCs w:val="22"/>
                      </w:rPr>
                    </w:pPr>
                    <w:r>
                      <w:rPr>
                        <w:sz w:val="20"/>
                      </w:rPr>
                      <w:t>P</w:t>
                    </w:r>
                  </w:p>
                </w:tc>
                <w:tc>
                  <w:tcPr>
                    <w:tcW w:w="1014" w:type="dxa"/>
                    <w:gridSpan w:val="3"/>
                  </w:tcPr>
                  <w:p>
                    <w:pPr>
                      <w:rPr>
                        <w:sz w:val="22"/>
                        <w:szCs w:val="22"/>
                      </w:rPr>
                    </w:pPr>
                    <w:r>
                      <w:rPr>
                        <w:sz w:val="20"/>
                      </w:rPr>
                      <w:t>Taip</w:t>
                    </w:r>
                  </w:p>
                </w:tc>
                <w:tc>
                  <w:tcPr>
                    <w:tcW w:w="681" w:type="dxa"/>
                    <w:gridSpan w:val="3"/>
                  </w:tcPr>
                  <w:p>
                    <w:pPr>
                      <w:rPr>
                        <w:sz w:val="22"/>
                        <w:szCs w:val="22"/>
                      </w:rPr>
                    </w:pPr>
                    <w:r>
                      <w:rPr>
                        <w:sz w:val="20"/>
                      </w:rPr>
                      <w:t>D</w:t>
                    </w:r>
                  </w:p>
                </w:tc>
                <w:tc>
                  <w:tcPr>
                    <w:tcW w:w="1167" w:type="dxa"/>
                    <w:gridSpan w:val="2"/>
                  </w:tcPr>
                  <w:p>
                    <w:pPr>
                      <w:rPr>
                        <w:sz w:val="22"/>
                        <w:szCs w:val="22"/>
                        <w:lang w:val="en-US"/>
                      </w:rPr>
                    </w:pPr>
                    <w:r>
                      <w:rPr>
                        <w:sz w:val="20"/>
                      </w:rPr>
                      <w:t>6 000</w:t>
                    </w:r>
                  </w:p>
                </w:tc>
                <w:tc>
                  <w:tcPr>
                    <w:tcW w:w="1118" w:type="dxa"/>
                  </w:tcPr>
                  <w:p>
                    <w:pPr>
                      <w:rPr>
                        <w:sz w:val="22"/>
                        <w:szCs w:val="22"/>
                      </w:rPr>
                    </w:pPr>
                    <w:r>
                      <w:rPr>
                        <w:sz w:val="20"/>
                      </w:rPr>
                      <w:t>VB</w:t>
                    </w:r>
                  </w:p>
                </w:tc>
                <w:tc>
                  <w:tcPr>
                    <w:tcW w:w="2001" w:type="dxa"/>
                    <w:gridSpan w:val="2"/>
                    <w:shd w:val="clear" w:color="auto" w:fill="FFFFFF" w:themeFill="background1"/>
                  </w:tcPr>
                  <w:p>
                    <w:pPr>
                      <w:ind w:left="-57" w:right="-57"/>
                      <w:rPr>
                        <w:sz w:val="20"/>
                      </w:rPr>
                    </w:pPr>
                    <w:r>
                      <w:rPr>
                        <w:sz w:val="20"/>
                      </w:rPr>
                      <w:t xml:space="preserve">P </w:t>
                    </w:r>
                    <w:r>
                      <w:rPr>
                        <w:color w:val="000000"/>
                        <w:szCs w:val="24"/>
                      </w:rPr>
                      <w:t>–</w:t>
                    </w:r>
                    <w:r>
                      <w:rPr>
                        <w:sz w:val="20"/>
                      </w:rPr>
                      <w:t xml:space="preserve"> Modernizuotų asmens sveikatos priežiūros įstaigų skaičius</w:t>
                    </w:r>
                  </w:p>
                </w:tc>
                <w:tc>
                  <w:tcPr>
                    <w:tcW w:w="1134" w:type="dxa"/>
                    <w:gridSpan w:val="2"/>
                    <w:shd w:val="clear" w:color="auto" w:fill="FFFFFF" w:themeFill="background1"/>
                  </w:tcPr>
                  <w:p>
                    <w:pPr>
                      <w:ind w:left="-57" w:right="-57"/>
                      <w:jc w:val="center"/>
                      <w:rPr>
                        <w:sz w:val="20"/>
                      </w:rPr>
                    </w:pPr>
                    <w:r>
                      <w:rPr>
                        <w:sz w:val="20"/>
                      </w:rPr>
                      <w:t>7</w:t>
                    </w:r>
                  </w:p>
                  <w:p>
                    <w:pPr>
                      <w:ind w:left="-57" w:right="-57"/>
                      <w:jc w:val="center"/>
                      <w:rPr>
                        <w:sz w:val="20"/>
                      </w:rPr>
                    </w:pPr>
                    <w:r>
                      <w:rPr>
                        <w:sz w:val="20"/>
                      </w:rPr>
                      <w:t>(2030 m.)</w:t>
                    </w:r>
                  </w:p>
                  <w:p>
                    <w:pPr>
                      <w:ind w:left="-57" w:right="-57"/>
                      <w:jc w:val="center"/>
                      <w:rPr>
                        <w:sz w:val="20"/>
                      </w:rPr>
                    </w:pPr>
                  </w:p>
                  <w:p>
                    <w:pPr>
                      <w:ind w:left="-57" w:right="-57"/>
                      <w:jc w:val="center"/>
                      <w:rPr>
                        <w:sz w:val="22"/>
                        <w:szCs w:val="22"/>
                      </w:rPr>
                    </w:pPr>
                  </w:p>
                </w:tc>
                <w:tc>
                  <w:tcPr>
                    <w:tcW w:w="992" w:type="dxa"/>
                  </w:tcPr>
                  <w:p>
                    <w:pPr>
                      <w:rPr>
                        <w:sz w:val="20"/>
                      </w:rPr>
                    </w:pPr>
                    <w:r>
                      <w:rPr>
                        <w:sz w:val="20"/>
                      </w:rPr>
                      <w:t>CPVA</w:t>
                    </w:r>
                  </w:p>
                  <w:p>
                    <w:pPr>
                      <w:rPr>
                        <w:sz w:val="22"/>
                        <w:szCs w:val="22"/>
                      </w:rPr>
                    </w:pPr>
                  </w:p>
                </w:tc>
                <w:tc>
                  <w:tcPr>
                    <w:tcW w:w="1279" w:type="dxa"/>
                    <w:tcBorders>
                      <w:left w:val="single" w:sz="4" w:space="0" w:color="auto"/>
                      <w:right w:val="single" w:sz="4" w:space="0" w:color="auto"/>
                    </w:tcBorders>
                  </w:tcPr>
                  <w:p>
                    <w:pPr>
                      <w:rPr>
                        <w:color w:val="000000"/>
                        <w:sz w:val="22"/>
                        <w:szCs w:val="22"/>
                      </w:rPr>
                    </w:pPr>
                    <w:r>
                      <w:rPr>
                        <w:color w:val="000000"/>
                        <w:sz w:val="20"/>
                      </w:rPr>
                      <w:t>SAM</w:t>
                    </w:r>
                  </w:p>
                </w:tc>
              </w:tr>
              <w:tr>
                <w:trPr>
                  <w:trHeight w:val="753"/>
                </w:trPr>
                <w:tc>
                  <w:tcPr>
                    <w:tcW w:w="2130" w:type="dxa"/>
                    <w:gridSpan w:val="2"/>
                    <w:vMerge w:val="restart"/>
                    <w:hideMark/>
                  </w:tcPr>
                  <w:p>
                    <w:pPr>
                      <w:rPr>
                        <w:sz w:val="20"/>
                      </w:rPr>
                    </w:pPr>
                    <w:r>
                      <w:rPr>
                        <w:color w:val="000000"/>
                        <w:sz w:val="20"/>
                      </w:rPr>
                      <w:t>7.4. Integruotų psichikos sveikatos paslaugų bei modelių išbandymas ir diegimas, Vidurio ir vakarų Lietuvos regionas</w:t>
                    </w:r>
                  </w:p>
                </w:tc>
                <w:tc>
                  <w:tcPr>
                    <w:tcW w:w="699" w:type="dxa"/>
                    <w:vMerge w:val="restart"/>
                    <w:hideMark/>
                  </w:tcPr>
                  <w:p>
                    <w:pPr>
                      <w:rPr>
                        <w:sz w:val="20"/>
                      </w:rPr>
                    </w:pPr>
                    <w:r>
                      <w:rPr>
                        <w:color w:val="000000"/>
                        <w:sz w:val="20"/>
                      </w:rPr>
                      <w:t>I</w:t>
                    </w:r>
                  </w:p>
                </w:tc>
                <w:tc>
                  <w:tcPr>
                    <w:tcW w:w="1985" w:type="dxa"/>
                    <w:vMerge w:val="restart"/>
                    <w:hideMark/>
                  </w:tcPr>
                  <w:p>
                    <w:pPr>
                      <w:jc w:val="both"/>
                      <w:rPr>
                        <w:sz w:val="20"/>
                      </w:rPr>
                    </w:pPr>
                    <w:r>
                      <w:rPr>
                        <w:color w:val="000000"/>
                        <w:sz w:val="20"/>
                      </w:rPr>
                      <w:t xml:space="preserve">ASPĮ, </w:t>
                    </w:r>
                    <w:r>
                      <w:rPr>
                        <w:sz w:val="20"/>
                      </w:rPr>
                      <w:t>SAM,</w:t>
                    </w:r>
                  </w:p>
                  <w:p>
                    <w:pPr>
                      <w:jc w:val="both"/>
                      <w:rPr>
                        <w:color w:val="000000"/>
                        <w:sz w:val="20"/>
                      </w:rPr>
                    </w:pPr>
                    <w:r>
                      <w:rPr>
                        <w:color w:val="000000"/>
                        <w:sz w:val="20"/>
                      </w:rPr>
                      <w:t>VASPVT,</w:t>
                    </w:r>
                  </w:p>
                  <w:p>
                    <w:pPr>
                      <w:rPr>
                        <w:sz w:val="20"/>
                      </w:rPr>
                    </w:pPr>
                    <w:r>
                      <w:rPr>
                        <w:sz w:val="20"/>
                      </w:rPr>
                      <w:t>Higienos institutas</w:t>
                    </w:r>
                  </w:p>
                </w:tc>
                <w:tc>
                  <w:tcPr>
                    <w:tcW w:w="829" w:type="dxa"/>
                    <w:gridSpan w:val="3"/>
                    <w:vMerge w:val="restart"/>
                    <w:hideMark/>
                  </w:tcPr>
                  <w:p>
                    <w:pPr>
                      <w:rPr>
                        <w:sz w:val="20"/>
                      </w:rPr>
                    </w:pPr>
                    <w:r>
                      <w:rPr>
                        <w:color w:val="000000"/>
                        <w:sz w:val="20"/>
                      </w:rPr>
                      <w:t>P</w:t>
                    </w:r>
                  </w:p>
                </w:tc>
                <w:tc>
                  <w:tcPr>
                    <w:tcW w:w="1014" w:type="dxa"/>
                    <w:gridSpan w:val="3"/>
                    <w:vMerge w:val="restart"/>
                    <w:hideMark/>
                  </w:tcPr>
                  <w:p>
                    <w:pPr>
                      <w:rPr>
                        <w:sz w:val="20"/>
                      </w:rPr>
                    </w:pPr>
                    <w:r>
                      <w:rPr>
                        <w:color w:val="000000"/>
                        <w:sz w:val="20"/>
                      </w:rPr>
                      <w:t>Taip</w:t>
                    </w:r>
                  </w:p>
                </w:tc>
                <w:tc>
                  <w:tcPr>
                    <w:tcW w:w="681" w:type="dxa"/>
                    <w:gridSpan w:val="3"/>
                    <w:vMerge w:val="restart"/>
                    <w:hideMark/>
                  </w:tcPr>
                  <w:p>
                    <w:pPr>
                      <w:rPr>
                        <w:sz w:val="20"/>
                      </w:rPr>
                    </w:pPr>
                    <w:r>
                      <w:rPr>
                        <w:color w:val="000000"/>
                        <w:sz w:val="20"/>
                      </w:rPr>
                      <w:t>D</w:t>
                    </w:r>
                  </w:p>
                </w:tc>
                <w:tc>
                  <w:tcPr>
                    <w:tcW w:w="1167" w:type="dxa"/>
                    <w:gridSpan w:val="2"/>
                  </w:tcPr>
                  <w:p>
                    <w:pPr>
                      <w:jc w:val="center"/>
                      <w:rPr>
                        <w:sz w:val="20"/>
                        <w:highlight w:val="green"/>
                      </w:rPr>
                    </w:pPr>
                    <w:r>
                      <w:rPr>
                        <w:sz w:val="20"/>
                        <w:lang w:eastAsia="lt-LT"/>
                      </w:rPr>
                      <w:t>946,050</w:t>
                    </w:r>
                  </w:p>
                </w:tc>
                <w:tc>
                  <w:tcPr>
                    <w:tcW w:w="1118" w:type="dxa"/>
                    <w:hideMark/>
                  </w:tcPr>
                  <w:p>
                    <w:pPr>
                      <w:rPr>
                        <w:sz w:val="20"/>
                      </w:rPr>
                    </w:pPr>
                    <w:r>
                      <w:rPr>
                        <w:color w:val="000000"/>
                        <w:sz w:val="20"/>
                      </w:rPr>
                      <w:t>2021–2027 m. IP (ESF+)</w:t>
                    </w:r>
                  </w:p>
                </w:tc>
                <w:tc>
                  <w:tcPr>
                    <w:tcW w:w="2001" w:type="dxa"/>
                    <w:gridSpan w:val="2"/>
                    <w:hideMark/>
                  </w:tcPr>
                  <w:p>
                    <w:pPr>
                      <w:ind w:left="-57" w:right="-57"/>
                      <w:rPr>
                        <w:color w:val="000000"/>
                        <w:sz w:val="20"/>
                      </w:rPr>
                    </w:pPr>
                    <w:r>
                      <w:rPr>
                        <w:color w:val="000000"/>
                        <w:sz w:val="20"/>
                      </w:rPr>
                      <w:t>P – Tikslinių grupių asmenys, gavę naujas ar patobulintas psichikos sveikatos priežiūros paslaugas, asmenys</w:t>
                    </w:r>
                  </w:p>
                </w:tc>
                <w:tc>
                  <w:tcPr>
                    <w:tcW w:w="1134" w:type="dxa"/>
                    <w:gridSpan w:val="2"/>
                    <w:hideMark/>
                  </w:tcPr>
                  <w:p>
                    <w:pPr>
                      <w:jc w:val="both"/>
                      <w:rPr>
                        <w:color w:val="000000"/>
                        <w:sz w:val="20"/>
                      </w:rPr>
                    </w:pPr>
                    <w:r>
                      <w:rPr>
                        <w:color w:val="000000"/>
                        <w:sz w:val="20"/>
                      </w:rPr>
                      <w:t>900</w:t>
                    </w:r>
                  </w:p>
                  <w:p>
                    <w:pPr>
                      <w:ind w:left="-57" w:right="-57"/>
                      <w:jc w:val="center"/>
                      <w:rPr>
                        <w:sz w:val="20"/>
                      </w:rPr>
                    </w:pPr>
                    <w:r>
                      <w:rPr>
                        <w:color w:val="000000"/>
                        <w:sz w:val="20"/>
                      </w:rPr>
                      <w:t>(2029 m.)</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SAM</w:t>
                    </w:r>
                  </w:p>
                </w:tc>
              </w:tr>
              <w:tr>
                <w:trPr>
                  <w:trHeight w:val="753"/>
                </w:trPr>
                <w:tc>
                  <w:tcPr>
                    <w:tcW w:w="2130" w:type="dxa"/>
                    <w:gridSpan w:val="2"/>
                    <w:vMerge/>
                    <w:vAlign w:val="center"/>
                    <w:hideMark/>
                  </w:tcPr>
                  <w:p>
                    <w:pPr>
                      <w:rPr>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vMerge w:val="restart"/>
                  </w:tcPr>
                  <w:p>
                    <w:pPr>
                      <w:ind w:firstLine="62"/>
                      <w:jc w:val="both"/>
                      <w:rPr>
                        <w:sz w:val="20"/>
                        <w:lang w:eastAsia="lt-LT"/>
                      </w:rPr>
                    </w:pPr>
                    <w:r>
                      <w:rPr>
                        <w:sz w:val="20"/>
                        <w:lang w:eastAsia="lt-LT"/>
                      </w:rPr>
                      <w:t>166,950</w:t>
                    </w:r>
                  </w:p>
                  <w:p>
                    <w:pPr>
                      <w:rPr>
                        <w:sz w:val="20"/>
                        <w:highlight w:val="green"/>
                      </w:rPr>
                    </w:pPr>
                  </w:p>
                </w:tc>
                <w:tc>
                  <w:tcPr>
                    <w:tcW w:w="1118" w:type="dxa"/>
                    <w:vMerge w:val="restart"/>
                    <w:hideMark/>
                  </w:tcPr>
                  <w:p>
                    <w:pPr>
                      <w:rPr>
                        <w:sz w:val="20"/>
                      </w:rPr>
                    </w:pPr>
                    <w:r>
                      <w:rPr>
                        <w:color w:val="000000"/>
                        <w:sz w:val="20"/>
                      </w:rPr>
                      <w:t>2021–2027 m. IP (BF)</w:t>
                    </w:r>
                  </w:p>
                </w:tc>
                <w:tc>
                  <w:tcPr>
                    <w:tcW w:w="2001" w:type="dxa"/>
                    <w:gridSpan w:val="2"/>
                    <w:hideMark/>
                  </w:tcPr>
                  <w:p>
                    <w:pPr>
                      <w:ind w:left="-57" w:right="-57"/>
                      <w:rPr>
                        <w:color w:val="000000"/>
                        <w:sz w:val="20"/>
                      </w:rPr>
                    </w:pPr>
                    <w:r>
                      <w:rPr>
                        <w:color w:val="000000"/>
                        <w:sz w:val="20"/>
                      </w:rPr>
                      <w:t>R – Tikslinių grupių asmenų, kurių gyvenimo kokybė pagerėjo gavus naujas ar patobulintas psichikos sveikatos priežiūros paslaugas, dalis, proc.</w:t>
                    </w:r>
                  </w:p>
                </w:tc>
                <w:tc>
                  <w:tcPr>
                    <w:tcW w:w="1134" w:type="dxa"/>
                    <w:gridSpan w:val="2"/>
                    <w:hideMark/>
                  </w:tcPr>
                  <w:p>
                    <w:pPr>
                      <w:jc w:val="both"/>
                      <w:rPr>
                        <w:color w:val="000000"/>
                        <w:sz w:val="20"/>
                      </w:rPr>
                    </w:pPr>
                    <w:r>
                      <w:rPr>
                        <w:color w:val="000000"/>
                        <w:sz w:val="20"/>
                      </w:rPr>
                      <w:t>25</w:t>
                    </w:r>
                  </w:p>
                  <w:p>
                    <w:pPr>
                      <w:ind w:left="-57" w:right="-57"/>
                      <w:jc w:val="center"/>
                      <w:rPr>
                        <w:sz w:val="20"/>
                      </w:rPr>
                    </w:pPr>
                    <w:r>
                      <w:rPr>
                        <w:color w:val="000000"/>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53"/>
                </w:trPr>
                <w:tc>
                  <w:tcPr>
                    <w:tcW w:w="2130" w:type="dxa"/>
                    <w:gridSpan w:val="2"/>
                    <w:vMerge/>
                    <w:vAlign w:val="center"/>
                    <w:hideMark/>
                  </w:tcPr>
                  <w:p>
                    <w:pPr>
                      <w:rPr>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vMerge/>
                    <w:vAlign w:val="center"/>
                    <w:hideMark/>
                  </w:tcPr>
                  <w:p>
                    <w:pPr>
                      <w:rPr>
                        <w:sz w:val="20"/>
                        <w:highlight w:val="green"/>
                      </w:rPr>
                    </w:pPr>
                  </w:p>
                </w:tc>
                <w:tc>
                  <w:tcPr>
                    <w:tcW w:w="1118" w:type="dxa"/>
                    <w:vMerge/>
                    <w:vAlign w:val="center"/>
                    <w:hideMark/>
                  </w:tcPr>
                  <w:p>
                    <w:pPr>
                      <w:rPr>
                        <w:sz w:val="20"/>
                      </w:rPr>
                    </w:pPr>
                  </w:p>
                </w:tc>
                <w:tc>
                  <w:tcPr>
                    <w:tcW w:w="2001" w:type="dxa"/>
                    <w:gridSpan w:val="2"/>
                    <w:hideMark/>
                  </w:tcPr>
                  <w:p>
                    <w:pPr>
                      <w:ind w:left="-57" w:right="-57"/>
                      <w:rPr>
                        <w:color w:val="000000"/>
                        <w:sz w:val="20"/>
                      </w:rPr>
                    </w:pPr>
                    <w:r>
                      <w:rPr>
                        <w:color w:val="000000"/>
                        <w:sz w:val="20"/>
                      </w:rPr>
                      <w:t>P – Paramą gavusių nacionalinio, regionų ar vietos lygmens viešojo administravimo ar viešąsias paslaugas teikiančių įstaigų skaičius, subjektų skaičius</w:t>
                    </w:r>
                  </w:p>
                </w:tc>
                <w:tc>
                  <w:tcPr>
                    <w:tcW w:w="1134" w:type="dxa"/>
                    <w:gridSpan w:val="2"/>
                    <w:hideMark/>
                  </w:tcPr>
                  <w:p>
                    <w:pPr>
                      <w:ind w:firstLine="62"/>
                      <w:jc w:val="both"/>
                      <w:rPr>
                        <w:strike/>
                        <w:color w:val="000000"/>
                        <w:sz w:val="20"/>
                      </w:rPr>
                    </w:pPr>
                    <w:r>
                      <w:rPr>
                        <w:color w:val="000000"/>
                        <w:sz w:val="20"/>
                      </w:rPr>
                      <w:t>10</w:t>
                    </w:r>
                  </w:p>
                  <w:p>
                    <w:pPr>
                      <w:ind w:left="-57" w:right="-57"/>
                      <w:jc w:val="center"/>
                      <w:rPr>
                        <w:sz w:val="20"/>
                      </w:rPr>
                    </w:pPr>
                    <w:r>
                      <w:rPr>
                        <w:color w:val="000000"/>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53"/>
                </w:trPr>
                <w:tc>
                  <w:tcPr>
                    <w:tcW w:w="2130" w:type="dxa"/>
                    <w:gridSpan w:val="2"/>
                    <w:vMerge/>
                    <w:vAlign w:val="center"/>
                    <w:hideMark/>
                  </w:tcPr>
                  <w:p>
                    <w:pPr>
                      <w:rPr>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vMerge/>
                    <w:vAlign w:val="center"/>
                    <w:hideMark/>
                  </w:tcPr>
                  <w:p>
                    <w:pPr>
                      <w:rPr>
                        <w:sz w:val="20"/>
                        <w:highlight w:val="green"/>
                      </w:rPr>
                    </w:pPr>
                  </w:p>
                </w:tc>
                <w:tc>
                  <w:tcPr>
                    <w:tcW w:w="1118" w:type="dxa"/>
                    <w:vMerge/>
                    <w:vAlign w:val="center"/>
                    <w:hideMark/>
                  </w:tcPr>
                  <w:p>
                    <w:pPr>
                      <w:rPr>
                        <w:sz w:val="20"/>
                      </w:rPr>
                    </w:pPr>
                  </w:p>
                </w:tc>
                <w:tc>
                  <w:tcPr>
                    <w:tcW w:w="2001" w:type="dxa"/>
                    <w:gridSpan w:val="2"/>
                    <w:shd w:val="clear" w:color="auto" w:fill="FFFFFF"/>
                    <w:hideMark/>
                  </w:tcPr>
                  <w:p>
                    <w:pPr>
                      <w:ind w:left="-57" w:right="-57"/>
                      <w:rPr>
                        <w:color w:val="000000"/>
                        <w:sz w:val="20"/>
                      </w:rPr>
                    </w:pPr>
                    <w:r>
                      <w:rPr>
                        <w:color w:val="000000"/>
                        <w:sz w:val="20"/>
                      </w:rPr>
                      <w:t>R – Pacientų pasitenkinimas gautomis paslaugomis, proc.</w:t>
                    </w:r>
                  </w:p>
                </w:tc>
                <w:tc>
                  <w:tcPr>
                    <w:tcW w:w="1134" w:type="dxa"/>
                    <w:gridSpan w:val="2"/>
                    <w:hideMark/>
                  </w:tcPr>
                  <w:p>
                    <w:pPr>
                      <w:jc w:val="both"/>
                      <w:rPr>
                        <w:color w:val="000000"/>
                        <w:sz w:val="20"/>
                      </w:rPr>
                    </w:pPr>
                    <w:r>
                      <w:rPr>
                        <w:color w:val="000000"/>
                        <w:sz w:val="20"/>
                      </w:rPr>
                      <w:t>70</w:t>
                    </w:r>
                  </w:p>
                  <w:p>
                    <w:pPr>
                      <w:ind w:left="-57" w:right="-57"/>
                      <w:jc w:val="center"/>
                      <w:rPr>
                        <w:sz w:val="20"/>
                      </w:rPr>
                    </w:pPr>
                    <w:r>
                      <w:rPr>
                        <w:color w:val="000000"/>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920"/>
                </w:trPr>
                <w:tc>
                  <w:tcPr>
                    <w:tcW w:w="2130" w:type="dxa"/>
                    <w:gridSpan w:val="2"/>
                    <w:vMerge w:val="restart"/>
                    <w:tcBorders>
                      <w:top w:val="single" w:sz="4" w:space="0" w:color="auto"/>
                      <w:left w:val="single" w:sz="4" w:space="0" w:color="auto"/>
                      <w:right w:val="single" w:sz="4" w:space="0" w:color="auto"/>
                    </w:tcBorders>
                  </w:tcPr>
                  <w:p>
                    <w:pPr>
                      <w:rPr>
                        <w:sz w:val="20"/>
                      </w:rPr>
                    </w:pPr>
                    <w:r>
                      <w:rPr>
                        <w:sz w:val="20"/>
                      </w:rPr>
                      <w:t>7.5. Integruotų psichikos sveikatos paslaugų bei modelių išbandymas ir diegimas, Vidurio ir vakarų Lietuvos regionas</w:t>
                    </w:r>
                  </w:p>
                </w:tc>
                <w:tc>
                  <w:tcPr>
                    <w:tcW w:w="699" w:type="dxa"/>
                    <w:vMerge w:val="restart"/>
                    <w:tcBorders>
                      <w:top w:val="single" w:sz="4" w:space="0" w:color="auto"/>
                      <w:left w:val="single" w:sz="4" w:space="0" w:color="auto"/>
                      <w:right w:val="single" w:sz="4" w:space="0" w:color="auto"/>
                    </w:tcBorders>
                  </w:tcPr>
                  <w:p>
                    <w:pPr>
                      <w:rPr>
                        <w:sz w:val="20"/>
                      </w:rPr>
                    </w:pPr>
                    <w:r>
                      <w:rPr>
                        <w:sz w:val="20"/>
                      </w:rPr>
                      <w:t>I</w:t>
                    </w:r>
                  </w:p>
                </w:tc>
                <w:tc>
                  <w:tcPr>
                    <w:tcW w:w="1985" w:type="dxa"/>
                    <w:vMerge w:val="restart"/>
                    <w:tcBorders>
                      <w:top w:val="single" w:sz="4" w:space="0" w:color="auto"/>
                      <w:left w:val="single" w:sz="4" w:space="0" w:color="auto"/>
                      <w:right w:val="single" w:sz="4" w:space="0" w:color="auto"/>
                    </w:tcBorders>
                  </w:tcPr>
                  <w:p>
                    <w:pPr>
                      <w:rPr>
                        <w:sz w:val="20"/>
                      </w:rPr>
                    </w:pPr>
                    <w:r>
                      <w:rPr>
                        <w:sz w:val="20"/>
                      </w:rPr>
                      <w:t>LMB</w:t>
                    </w:r>
                  </w:p>
                </w:tc>
                <w:tc>
                  <w:tcPr>
                    <w:tcW w:w="829" w:type="dxa"/>
                    <w:gridSpan w:val="3"/>
                    <w:vMerge w:val="restart"/>
                    <w:tcBorders>
                      <w:top w:val="single" w:sz="4" w:space="0" w:color="auto"/>
                      <w:left w:val="single" w:sz="4" w:space="0" w:color="auto"/>
                      <w:right w:val="single" w:sz="4" w:space="0" w:color="auto"/>
                    </w:tcBorders>
                  </w:tcPr>
                  <w:p>
                    <w:pPr>
                      <w:rPr>
                        <w:sz w:val="20"/>
                      </w:rPr>
                    </w:pPr>
                    <w:r>
                      <w:rPr>
                        <w:sz w:val="20"/>
                      </w:rPr>
                      <w:t>P</w:t>
                    </w:r>
                  </w:p>
                </w:tc>
                <w:tc>
                  <w:tcPr>
                    <w:tcW w:w="1014" w:type="dxa"/>
                    <w:gridSpan w:val="3"/>
                    <w:vMerge w:val="restart"/>
                    <w:tcBorders>
                      <w:top w:val="single" w:sz="4" w:space="0" w:color="auto"/>
                      <w:left w:val="single" w:sz="4" w:space="0" w:color="auto"/>
                      <w:right w:val="single" w:sz="4" w:space="0" w:color="auto"/>
                    </w:tcBorders>
                  </w:tcPr>
                  <w:p>
                    <w:pP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rPr>
                        <w:sz w:val="20"/>
                      </w:rPr>
                    </w:pPr>
                    <w:r>
                      <w:rPr>
                        <w:sz w:val="20"/>
                      </w:rPr>
                      <w:t>D</w:t>
                    </w:r>
                  </w:p>
                </w:tc>
                <w:tc>
                  <w:tcPr>
                    <w:tcW w:w="1167" w:type="dxa"/>
                    <w:gridSpan w:val="2"/>
                    <w:tcBorders>
                      <w:top w:val="single" w:sz="4" w:space="0" w:color="auto"/>
                      <w:left w:val="single" w:sz="4" w:space="0" w:color="auto"/>
                      <w:right w:val="single" w:sz="4" w:space="0" w:color="auto"/>
                    </w:tcBorders>
                  </w:tcPr>
                  <w:p>
                    <w:pPr>
                      <w:rPr>
                        <w:sz w:val="20"/>
                        <w:lang w:val="en-US"/>
                      </w:rPr>
                    </w:pPr>
                    <w:r>
                      <w:rPr>
                        <w:sz w:val="20"/>
                      </w:rPr>
                      <w:t>3 544,845</w:t>
                    </w:r>
                  </w:p>
                </w:tc>
                <w:tc>
                  <w:tcPr>
                    <w:tcW w:w="1118" w:type="dxa"/>
                    <w:tcBorders>
                      <w:top w:val="single" w:sz="4" w:space="0" w:color="auto"/>
                      <w:left w:val="single" w:sz="4" w:space="0" w:color="auto"/>
                      <w:right w:val="single" w:sz="4" w:space="0" w:color="auto"/>
                    </w:tcBorders>
                  </w:tcPr>
                  <w:p>
                    <w:pPr>
                      <w:rPr>
                        <w:sz w:val="20"/>
                      </w:rPr>
                    </w:pPr>
                    <w:r>
                      <w:rPr>
                        <w:sz w:val="20"/>
                      </w:rPr>
                      <w:t xml:space="preserve">2021–2027 m. IP (ESF+) </w:t>
                    </w:r>
                  </w:p>
                </w:tc>
                <w:tc>
                  <w:tcPr>
                    <w:tcW w:w="2001" w:type="dxa"/>
                    <w:gridSpan w:val="2"/>
                    <w:tcBorders>
                      <w:top w:val="single" w:sz="4" w:space="0" w:color="auto"/>
                      <w:left w:val="single" w:sz="4" w:space="0" w:color="auto"/>
                      <w:right w:val="single" w:sz="4" w:space="0" w:color="auto"/>
                    </w:tcBorders>
                  </w:tcPr>
                  <w:p>
                    <w:pPr>
                      <w:ind w:left="-57" w:right="-57"/>
                      <w:rPr>
                        <w:color w:val="000000"/>
                        <w:sz w:val="20"/>
                      </w:rPr>
                    </w:pPr>
                    <w:r>
                      <w:rPr>
                        <w:sz w:val="20"/>
                      </w:rPr>
                      <w:t>P – Paramą gavusių nacionalinio, regionų ar vietos lygmens viešojo administravimo ar viešąsias paslaugas teikiančių įstaigų skaičius, subjektų skaičius</w:t>
                    </w:r>
                  </w:p>
                </w:tc>
                <w:tc>
                  <w:tcPr>
                    <w:tcW w:w="1134" w:type="dxa"/>
                    <w:gridSpan w:val="2"/>
                    <w:tcBorders>
                      <w:top w:val="single" w:sz="4" w:space="0" w:color="auto"/>
                      <w:left w:val="single" w:sz="4" w:space="0" w:color="auto"/>
                      <w:right w:val="single" w:sz="4" w:space="0" w:color="auto"/>
                    </w:tcBorders>
                  </w:tcPr>
                  <w:p>
                    <w:pPr>
                      <w:ind w:left="-57" w:right="-57"/>
                      <w:jc w:val="center"/>
                      <w:rPr>
                        <w:sz w:val="20"/>
                      </w:rPr>
                    </w:pPr>
                    <w:r>
                      <w:rPr>
                        <w:sz w:val="20"/>
                      </w:rPr>
                      <w:t>11</w:t>
                    </w:r>
                  </w:p>
                  <w:p>
                    <w:pPr>
                      <w:ind w:left="-57" w:right="-57"/>
                      <w:jc w:val="center"/>
                      <w:rPr>
                        <w:sz w:val="20"/>
                      </w:rPr>
                    </w:pPr>
                    <w:r>
                      <w:rPr>
                        <w:sz w:val="20"/>
                      </w:rPr>
                      <w:t>(2029 m.)</w:t>
                    </w:r>
                  </w:p>
                </w:tc>
                <w:tc>
                  <w:tcPr>
                    <w:tcW w:w="992" w:type="dxa"/>
                    <w:vMerge w:val="restart"/>
                    <w:tcBorders>
                      <w:top w:val="single" w:sz="4" w:space="0" w:color="auto"/>
                      <w:left w:val="single" w:sz="4" w:space="0" w:color="auto"/>
                      <w:right w:val="single" w:sz="4" w:space="0" w:color="auto"/>
                    </w:tcBorders>
                  </w:tcPr>
                  <w:p>
                    <w:pPr>
                      <w:rPr>
                        <w:sz w:val="20"/>
                      </w:rPr>
                    </w:pPr>
                    <w:r>
                      <w:rPr>
                        <w:sz w:val="20"/>
                      </w:rPr>
                      <w:t>CPVA</w:t>
                    </w:r>
                  </w:p>
                </w:tc>
                <w:tc>
                  <w:tcPr>
                    <w:tcW w:w="1279" w:type="dxa"/>
                    <w:vMerge w:val="restart"/>
                    <w:tcBorders>
                      <w:top w:val="single" w:sz="4" w:space="0" w:color="auto"/>
                      <w:left w:val="single" w:sz="4" w:space="0" w:color="auto"/>
                      <w:right w:val="single" w:sz="4" w:space="0" w:color="auto"/>
                    </w:tcBorders>
                  </w:tcPr>
                  <w:p>
                    <w:pPr>
                      <w:jc w:val="center"/>
                      <w:rPr>
                        <w:color w:val="000000"/>
                        <w:sz w:val="20"/>
                      </w:rPr>
                    </w:pPr>
                    <w:r>
                      <w:rPr>
                        <w:sz w:val="20"/>
                      </w:rPr>
                      <w:t>SAM</w:t>
                    </w:r>
                  </w:p>
                </w:tc>
              </w:tr>
              <w:tr>
                <w:trPr>
                  <w:trHeight w:val="920"/>
                </w:trPr>
                <w:tc>
                  <w:tcPr>
                    <w:tcW w:w="2130" w:type="dxa"/>
                    <w:gridSpan w:val="2"/>
                    <w:vMerge/>
                    <w:tcBorders>
                      <w:left w:val="single" w:sz="4" w:space="0" w:color="auto"/>
                      <w:right w:val="single" w:sz="4" w:space="0" w:color="auto"/>
                    </w:tcBorders>
                  </w:tcPr>
                  <w:p>
                    <w:pPr>
                      <w:rPr>
                        <w:sz w:val="20"/>
                      </w:rPr>
                    </w:pPr>
                  </w:p>
                </w:tc>
                <w:tc>
                  <w:tcPr>
                    <w:tcW w:w="699" w:type="dxa"/>
                    <w:vMerge/>
                    <w:tcBorders>
                      <w:left w:val="single" w:sz="4" w:space="0" w:color="auto"/>
                      <w:right w:val="single" w:sz="4" w:space="0" w:color="auto"/>
                    </w:tcBorders>
                  </w:tcPr>
                  <w:p>
                    <w:pPr>
                      <w:rPr>
                        <w:sz w:val="20"/>
                      </w:rPr>
                    </w:pPr>
                  </w:p>
                </w:tc>
                <w:tc>
                  <w:tcPr>
                    <w:tcW w:w="1985" w:type="dxa"/>
                    <w:vMerge/>
                    <w:tcBorders>
                      <w:left w:val="single" w:sz="4" w:space="0" w:color="auto"/>
                      <w:right w:val="single" w:sz="4" w:space="0" w:color="auto"/>
                    </w:tcBorders>
                  </w:tcPr>
                  <w:p>
                    <w:pPr>
                      <w:rPr>
                        <w:sz w:val="20"/>
                      </w:rPr>
                    </w:pPr>
                  </w:p>
                </w:tc>
                <w:tc>
                  <w:tcPr>
                    <w:tcW w:w="829" w:type="dxa"/>
                    <w:gridSpan w:val="3"/>
                    <w:vMerge/>
                    <w:tcBorders>
                      <w:left w:val="single" w:sz="4" w:space="0" w:color="auto"/>
                      <w:right w:val="single" w:sz="4" w:space="0" w:color="auto"/>
                    </w:tcBorders>
                  </w:tcPr>
                  <w:p>
                    <w:pPr>
                      <w:rPr>
                        <w:sz w:val="20"/>
                      </w:rPr>
                    </w:pPr>
                  </w:p>
                </w:tc>
                <w:tc>
                  <w:tcPr>
                    <w:tcW w:w="1014" w:type="dxa"/>
                    <w:gridSpan w:val="3"/>
                    <w:vMerge/>
                    <w:tcBorders>
                      <w:left w:val="single" w:sz="4" w:space="0" w:color="auto"/>
                      <w:right w:val="single" w:sz="4" w:space="0" w:color="auto"/>
                    </w:tcBorders>
                  </w:tcPr>
                  <w:p>
                    <w:pPr>
                      <w:rPr>
                        <w:sz w:val="20"/>
                      </w:rPr>
                    </w:pPr>
                  </w:p>
                </w:tc>
                <w:tc>
                  <w:tcPr>
                    <w:tcW w:w="681" w:type="dxa"/>
                    <w:gridSpan w:val="3"/>
                    <w:vMerge/>
                    <w:tcBorders>
                      <w:left w:val="single" w:sz="4" w:space="0" w:color="auto"/>
                      <w:right w:val="single" w:sz="4" w:space="0" w:color="auto"/>
                    </w:tcBorders>
                  </w:tcPr>
                  <w:p>
                    <w:pPr>
                      <w:rPr>
                        <w:sz w:val="20"/>
                      </w:rPr>
                    </w:pPr>
                  </w:p>
                </w:tc>
                <w:tc>
                  <w:tcPr>
                    <w:tcW w:w="1167" w:type="dxa"/>
                    <w:gridSpan w:val="2"/>
                    <w:tcBorders>
                      <w:top w:val="single" w:sz="4" w:space="0" w:color="auto"/>
                      <w:left w:val="single" w:sz="4" w:space="0" w:color="auto"/>
                      <w:right w:val="single" w:sz="4" w:space="0" w:color="auto"/>
                    </w:tcBorders>
                  </w:tcPr>
                  <w:p>
                    <w:pPr>
                      <w:rPr>
                        <w:sz w:val="20"/>
                        <w:lang w:val="en-US"/>
                      </w:rPr>
                    </w:pPr>
                    <w:r>
                      <w:rPr>
                        <w:sz w:val="20"/>
                      </w:rPr>
                      <w:t>625, 561</w:t>
                    </w:r>
                  </w:p>
                </w:tc>
                <w:tc>
                  <w:tcPr>
                    <w:tcW w:w="1118" w:type="dxa"/>
                    <w:tcBorders>
                      <w:left w:val="single" w:sz="4" w:space="0" w:color="auto"/>
                      <w:right w:val="single" w:sz="4" w:space="0" w:color="auto"/>
                    </w:tcBorders>
                  </w:tcPr>
                  <w:p>
                    <w:pPr>
                      <w:rPr>
                        <w:sz w:val="20"/>
                      </w:rPr>
                    </w:pPr>
                    <w:r>
                      <w:rPr>
                        <w:sz w:val="20"/>
                      </w:rPr>
                      <w:t>2021–2027 m. IP (BF)</w:t>
                    </w:r>
                  </w:p>
                </w:tc>
                <w:tc>
                  <w:tcPr>
                    <w:tcW w:w="2001" w:type="dxa"/>
                    <w:gridSpan w:val="2"/>
                    <w:tcBorders>
                      <w:left w:val="single" w:sz="4" w:space="0" w:color="auto"/>
                      <w:right w:val="single" w:sz="4" w:space="0" w:color="auto"/>
                    </w:tcBorders>
                  </w:tcPr>
                  <w:p>
                    <w:pPr>
                      <w:ind w:left="-57" w:right="-57"/>
                      <w:rPr>
                        <w:color w:val="000000"/>
                        <w:sz w:val="20"/>
                      </w:rPr>
                    </w:pPr>
                    <w:r>
                      <w:rPr>
                        <w:sz w:val="20"/>
                      </w:rPr>
                      <w:t>R – Pacientų pasitenkinimas gautomis paslaugomis, proc.</w:t>
                    </w:r>
                  </w:p>
                </w:tc>
                <w:tc>
                  <w:tcPr>
                    <w:tcW w:w="1134" w:type="dxa"/>
                    <w:gridSpan w:val="2"/>
                    <w:tcBorders>
                      <w:left w:val="single" w:sz="4" w:space="0" w:color="auto"/>
                      <w:righ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shd w:val="clear" w:color="auto" w:fill="F2F2F2" w:themeFill="background1" w:themeFillShade="F2"/>
                  </w:tcPr>
                  <w:p>
                    <w:pPr>
                      <w:rPr>
                        <w:b/>
                        <w:bCs/>
                        <w:sz w:val="20"/>
                      </w:rPr>
                    </w:pPr>
                  </w:p>
                </w:tc>
                <w:tc>
                  <w:tcPr>
                    <w:tcW w:w="699" w:type="dxa"/>
                    <w:vMerge/>
                    <w:tcBorders>
                      <w:left w:val="single" w:sz="4" w:space="0" w:color="auto"/>
                      <w:right w:val="single" w:sz="4" w:space="0" w:color="auto"/>
                    </w:tcBorders>
                    <w:shd w:val="clear" w:color="auto" w:fill="F2F2F2" w:themeFill="background1" w:themeFillShade="F2"/>
                  </w:tcPr>
                  <w:p>
                    <w:pPr>
                      <w:rPr>
                        <w:sz w:val="20"/>
                      </w:rPr>
                    </w:pPr>
                  </w:p>
                </w:tc>
                <w:tc>
                  <w:tcPr>
                    <w:tcW w:w="1985" w:type="dxa"/>
                    <w:vMerge/>
                    <w:tcBorders>
                      <w:left w:val="single" w:sz="4" w:space="0" w:color="auto"/>
                      <w:right w:val="single" w:sz="4" w:space="0" w:color="auto"/>
                    </w:tcBorders>
                    <w:shd w:val="clear" w:color="auto" w:fill="F2F2F2" w:themeFill="background1" w:themeFillShade="F2"/>
                  </w:tcPr>
                  <w:p>
                    <w:pPr>
                      <w:rPr>
                        <w:sz w:val="20"/>
                      </w:rPr>
                    </w:pPr>
                  </w:p>
                </w:tc>
                <w:tc>
                  <w:tcPr>
                    <w:tcW w:w="829"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014"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167" w:type="dxa"/>
                    <w:gridSpan w:val="2"/>
                    <w:tcBorders>
                      <w:left w:val="single" w:sz="4" w:space="0" w:color="auto"/>
                    </w:tcBorders>
                    <w:shd w:val="clear" w:color="auto" w:fill="F2F2F2" w:themeFill="background1" w:themeFillShade="F2"/>
                  </w:tcPr>
                  <w:p>
                    <w:pPr>
                      <w:rPr>
                        <w:b/>
                        <w:bCs/>
                        <w:sz w:val="20"/>
                      </w:rPr>
                    </w:pPr>
                  </w:p>
                </w:tc>
                <w:tc>
                  <w:tcPr>
                    <w:tcW w:w="1118" w:type="dxa"/>
                    <w:shd w:val="clear" w:color="auto" w:fill="F2F2F2" w:themeFill="background1" w:themeFillShade="F2"/>
                  </w:tcPr>
                  <w:p>
                    <w:pPr>
                      <w:rPr>
                        <w:sz w:val="20"/>
                      </w:rPr>
                    </w:pPr>
                  </w:p>
                </w:tc>
                <w:tc>
                  <w:tcPr>
                    <w:tcW w:w="2001" w:type="dxa"/>
                    <w:gridSpan w:val="2"/>
                    <w:shd w:val="clear" w:color="auto" w:fill="F2F2F2" w:themeFill="background1" w:themeFillShade="F2"/>
                  </w:tcPr>
                  <w:p>
                    <w:pPr>
                      <w:ind w:left="-57" w:right="-57"/>
                      <w:rPr>
                        <w:sz w:val="20"/>
                      </w:rPr>
                    </w:pPr>
                    <w:r>
                      <w:rPr>
                        <w:sz w:val="20"/>
                      </w:rPr>
                      <w:t>P – Specialistai, dalyvavę kvalifikacijos tobulinimo ar perkvalifikavimo veiklose, asmenys</w:t>
                    </w:r>
                  </w:p>
                </w:tc>
                <w:tc>
                  <w:tcPr>
                    <w:tcW w:w="1134" w:type="dxa"/>
                    <w:gridSpan w:val="2"/>
                    <w:tcBorders>
                      <w:right w:val="single" w:sz="4" w:space="0" w:color="auto"/>
                    </w:tcBorders>
                    <w:shd w:val="clear" w:color="auto" w:fill="F2F2F2" w:themeFill="background1" w:themeFillShade="F2"/>
                  </w:tcPr>
                  <w:p>
                    <w:pPr>
                      <w:ind w:left="-57" w:right="-57"/>
                      <w:jc w:val="center"/>
                      <w:rPr>
                        <w:sz w:val="20"/>
                      </w:rPr>
                    </w:pPr>
                    <w:r>
                      <w:rPr>
                        <w:sz w:val="20"/>
                      </w:rPr>
                      <w:t>550</w:t>
                    </w:r>
                  </w:p>
                  <w:p>
                    <w:pPr>
                      <w:ind w:left="-57" w:right="-57"/>
                      <w:jc w:val="center"/>
                      <w:rPr>
                        <w:sz w:val="20"/>
                      </w:rPr>
                    </w:pPr>
                    <w:r>
                      <w:rPr>
                        <w:sz w:val="20"/>
                      </w:rPr>
                      <w:t>(2029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shd w:val="clear" w:color="auto" w:fill="F2F2F2" w:themeFill="background1" w:themeFillShade="F2"/>
                  </w:tcPr>
                  <w:p>
                    <w:pPr>
                      <w:rPr>
                        <w:b/>
                        <w:bCs/>
                        <w:sz w:val="20"/>
                      </w:rPr>
                    </w:pPr>
                  </w:p>
                </w:tc>
                <w:tc>
                  <w:tcPr>
                    <w:tcW w:w="699" w:type="dxa"/>
                    <w:vMerge/>
                    <w:tcBorders>
                      <w:left w:val="single" w:sz="4" w:space="0" w:color="auto"/>
                      <w:right w:val="single" w:sz="4" w:space="0" w:color="auto"/>
                    </w:tcBorders>
                    <w:shd w:val="clear" w:color="auto" w:fill="F2F2F2" w:themeFill="background1" w:themeFillShade="F2"/>
                  </w:tcPr>
                  <w:p>
                    <w:pPr>
                      <w:rPr>
                        <w:sz w:val="20"/>
                      </w:rPr>
                    </w:pPr>
                  </w:p>
                </w:tc>
                <w:tc>
                  <w:tcPr>
                    <w:tcW w:w="1985" w:type="dxa"/>
                    <w:vMerge/>
                    <w:tcBorders>
                      <w:left w:val="single" w:sz="4" w:space="0" w:color="auto"/>
                      <w:right w:val="single" w:sz="4" w:space="0" w:color="auto"/>
                    </w:tcBorders>
                    <w:shd w:val="clear" w:color="auto" w:fill="F2F2F2" w:themeFill="background1" w:themeFillShade="F2"/>
                  </w:tcPr>
                  <w:p>
                    <w:pPr>
                      <w:rPr>
                        <w:sz w:val="20"/>
                      </w:rPr>
                    </w:pPr>
                  </w:p>
                </w:tc>
                <w:tc>
                  <w:tcPr>
                    <w:tcW w:w="829"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014"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167" w:type="dxa"/>
                    <w:gridSpan w:val="2"/>
                    <w:tcBorders>
                      <w:left w:val="single" w:sz="4" w:space="0" w:color="auto"/>
                    </w:tcBorders>
                    <w:shd w:val="clear" w:color="auto" w:fill="F2F2F2" w:themeFill="background1" w:themeFillShade="F2"/>
                  </w:tcPr>
                  <w:p>
                    <w:pPr>
                      <w:rPr>
                        <w:b/>
                        <w:bCs/>
                        <w:sz w:val="20"/>
                      </w:rPr>
                    </w:pPr>
                  </w:p>
                </w:tc>
                <w:tc>
                  <w:tcPr>
                    <w:tcW w:w="1118" w:type="dxa"/>
                    <w:shd w:val="clear" w:color="auto" w:fill="F2F2F2" w:themeFill="background1" w:themeFillShade="F2"/>
                  </w:tcPr>
                  <w:p>
                    <w:pPr>
                      <w:rPr>
                        <w:sz w:val="20"/>
                      </w:rPr>
                    </w:pPr>
                  </w:p>
                </w:tc>
                <w:tc>
                  <w:tcPr>
                    <w:tcW w:w="2001" w:type="dxa"/>
                    <w:gridSpan w:val="2"/>
                    <w:shd w:val="clear" w:color="auto" w:fill="F2F2F2" w:themeFill="background1" w:themeFillShade="F2"/>
                  </w:tcPr>
                  <w:p>
                    <w:pPr>
                      <w:ind w:left="-57" w:right="-57"/>
                      <w:rPr>
                        <w:sz w:val="20"/>
                      </w:rPr>
                    </w:pPr>
                    <w:r>
                      <w:rPr>
                        <w:sz w:val="20"/>
                      </w:rPr>
                      <w:t>R – Specialistų, kurie po dalyvavimo veiklose įgijo ar patobulino kvalifikaciją, dalis proc.</w:t>
                    </w:r>
                  </w:p>
                </w:tc>
                <w:tc>
                  <w:tcPr>
                    <w:tcW w:w="1134" w:type="dxa"/>
                    <w:gridSpan w:val="2"/>
                    <w:tcBorders>
                      <w:right w:val="single" w:sz="4" w:space="0" w:color="auto"/>
                    </w:tcBorders>
                    <w:shd w:val="clear" w:color="auto" w:fill="F2F2F2" w:themeFill="background1" w:themeFillShade="F2"/>
                  </w:tcPr>
                  <w:p>
                    <w:pPr>
                      <w:ind w:left="-57" w:right="-57"/>
                      <w:jc w:val="center"/>
                      <w:rPr>
                        <w:sz w:val="20"/>
                      </w:rPr>
                    </w:pPr>
                    <w:r>
                      <w:rPr>
                        <w:sz w:val="20"/>
                      </w:rPr>
                      <w:t>90</w:t>
                    </w:r>
                  </w:p>
                  <w:p>
                    <w:pPr>
                      <w:ind w:left="-57" w:right="-57"/>
                      <w:jc w:val="center"/>
                      <w:rPr>
                        <w:sz w:val="20"/>
                      </w:rPr>
                    </w:pPr>
                    <w:r>
                      <w:rPr>
                        <w:sz w:val="20"/>
                      </w:rPr>
                      <w:t>(2029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val="restart"/>
                  </w:tcPr>
                  <w:p>
                    <w:pPr>
                      <w:rPr>
                        <w:b/>
                        <w:bCs/>
                        <w:sz w:val="20"/>
                      </w:rPr>
                    </w:pPr>
                    <w:r>
                      <w:rPr>
                        <w:color w:val="000000"/>
                        <w:sz w:val="20"/>
                      </w:rPr>
                      <w:t>7.6. Integruotų psichikos sveikatos paslaugų bei modelių išbandymas ir diegimas, Vidurio ir vakarų Lietuvos regionas</w:t>
                    </w:r>
                  </w:p>
                </w:tc>
                <w:tc>
                  <w:tcPr>
                    <w:tcW w:w="699" w:type="dxa"/>
                    <w:vMerge w:val="restart"/>
                  </w:tcPr>
                  <w:p>
                    <w:pPr>
                      <w:rPr>
                        <w:sz w:val="20"/>
                      </w:rPr>
                    </w:pPr>
                    <w:r>
                      <w:rPr>
                        <w:color w:val="000000"/>
                        <w:sz w:val="20"/>
                      </w:rPr>
                      <w:t>I</w:t>
                    </w:r>
                  </w:p>
                </w:tc>
                <w:tc>
                  <w:tcPr>
                    <w:tcW w:w="1985" w:type="dxa"/>
                    <w:vMerge w:val="restart"/>
                  </w:tcPr>
                  <w:p>
                    <w:pPr>
                      <w:jc w:val="both"/>
                      <w:rPr>
                        <w:color w:val="000000"/>
                        <w:sz w:val="20"/>
                      </w:rPr>
                    </w:pPr>
                    <w:r>
                      <w:rPr>
                        <w:color w:val="000000"/>
                        <w:sz w:val="20"/>
                      </w:rPr>
                      <w:t>SAM,</w:t>
                    </w:r>
                  </w:p>
                  <w:p>
                    <w:pPr>
                      <w:jc w:val="both"/>
                      <w:rPr>
                        <w:sz w:val="20"/>
                      </w:rPr>
                    </w:pPr>
                    <w:r>
                      <w:rPr>
                        <w:color w:val="000000"/>
                        <w:sz w:val="20"/>
                      </w:rPr>
                      <w:t>Higienos institutas</w:t>
                    </w:r>
                  </w:p>
                </w:tc>
                <w:tc>
                  <w:tcPr>
                    <w:tcW w:w="829" w:type="dxa"/>
                    <w:gridSpan w:val="3"/>
                    <w:vMerge w:val="restart"/>
                  </w:tcPr>
                  <w:p>
                    <w:pPr>
                      <w:rPr>
                        <w:sz w:val="20"/>
                      </w:rPr>
                    </w:pPr>
                    <w:r>
                      <w:rPr>
                        <w:color w:val="000000"/>
                        <w:sz w:val="20"/>
                      </w:rPr>
                      <w:t xml:space="preserve">P </w:t>
                    </w:r>
                  </w:p>
                </w:tc>
                <w:tc>
                  <w:tcPr>
                    <w:tcW w:w="1014" w:type="dxa"/>
                    <w:gridSpan w:val="3"/>
                    <w:vMerge w:val="restart"/>
                  </w:tcPr>
                  <w:p>
                    <w:pPr>
                      <w:rPr>
                        <w:sz w:val="20"/>
                      </w:rPr>
                    </w:pPr>
                    <w:r>
                      <w:rPr>
                        <w:sz w:val="20"/>
                      </w:rPr>
                      <w:t>Taip</w:t>
                    </w:r>
                  </w:p>
                </w:tc>
                <w:tc>
                  <w:tcPr>
                    <w:tcW w:w="681" w:type="dxa"/>
                    <w:gridSpan w:val="3"/>
                    <w:vMerge w:val="restart"/>
                  </w:tcPr>
                  <w:p>
                    <w:pPr>
                      <w:rPr>
                        <w:sz w:val="20"/>
                      </w:rPr>
                    </w:pPr>
                    <w:r>
                      <w:rPr>
                        <w:color w:val="000000"/>
                        <w:sz w:val="20"/>
                      </w:rPr>
                      <w:t>D</w:t>
                    </w:r>
                  </w:p>
                </w:tc>
                <w:tc>
                  <w:tcPr>
                    <w:tcW w:w="1167" w:type="dxa"/>
                    <w:gridSpan w:val="2"/>
                  </w:tcPr>
                  <w:p>
                    <w:pPr>
                      <w:ind w:firstLine="62"/>
                      <w:jc w:val="both"/>
                      <w:rPr>
                        <w:color w:val="000000"/>
                        <w:sz w:val="20"/>
                      </w:rPr>
                    </w:pPr>
                    <w:r>
                      <w:rPr>
                        <w:color w:val="000000"/>
                        <w:sz w:val="20"/>
                      </w:rPr>
                      <w:t>5 161,200</w:t>
                    </w:r>
                  </w:p>
                  <w:p>
                    <w:pPr>
                      <w:rPr>
                        <w:b/>
                        <w:bCs/>
                        <w:sz w:val="20"/>
                      </w:rPr>
                    </w:pPr>
                  </w:p>
                </w:tc>
                <w:tc>
                  <w:tcPr>
                    <w:tcW w:w="1118" w:type="dxa"/>
                  </w:tcPr>
                  <w:p>
                    <w:pPr>
                      <w:rPr>
                        <w:sz w:val="20"/>
                      </w:rPr>
                    </w:pPr>
                    <w:r>
                      <w:rPr>
                        <w:color w:val="000000"/>
                        <w:sz w:val="20"/>
                      </w:rPr>
                      <w:t>2021–2027 m. IP (ESF+)</w:t>
                    </w:r>
                  </w:p>
                </w:tc>
                <w:tc>
                  <w:tcPr>
                    <w:tcW w:w="2001" w:type="dxa"/>
                    <w:gridSpan w:val="2"/>
                  </w:tcPr>
                  <w:p>
                    <w:pPr>
                      <w:ind w:left="-57" w:right="-57"/>
                      <w:rPr>
                        <w:sz w:val="20"/>
                      </w:rPr>
                    </w:pPr>
                    <w:r>
                      <w:rPr>
                        <w:color w:val="000000"/>
                        <w:sz w:val="20"/>
                      </w:rPr>
                      <w:t>P – Tikslinių grupių asmenys, gavę naujas ar patobulintas psichikos sveikatos priežiūros paslaugas, asmenys</w:t>
                    </w:r>
                  </w:p>
                </w:tc>
                <w:tc>
                  <w:tcPr>
                    <w:tcW w:w="1134" w:type="dxa"/>
                    <w:gridSpan w:val="2"/>
                  </w:tcPr>
                  <w:p>
                    <w:pPr>
                      <w:jc w:val="both"/>
                      <w:rPr>
                        <w:color w:val="000000"/>
                        <w:sz w:val="20"/>
                      </w:rPr>
                    </w:pPr>
                    <w:r>
                      <w:rPr>
                        <w:color w:val="000000"/>
                        <w:sz w:val="20"/>
                      </w:rPr>
                      <w:t>5225</w:t>
                    </w:r>
                  </w:p>
                  <w:p>
                    <w:pPr>
                      <w:ind w:left="-57" w:right="-57"/>
                      <w:jc w:val="center"/>
                      <w:rPr>
                        <w:sz w:val="20"/>
                      </w:rPr>
                    </w:pPr>
                    <w:r>
                      <w:rPr>
                        <w:color w:val="000000"/>
                        <w:sz w:val="20"/>
                      </w:rPr>
                      <w:t>(2029 m.)</w:t>
                    </w:r>
                  </w:p>
                </w:tc>
                <w:tc>
                  <w:tcPr>
                    <w:tcW w:w="992" w:type="dxa"/>
                    <w:vMerge w:val="restart"/>
                    <w:tcBorders>
                      <w:left w:val="single" w:sz="4" w:space="0" w:color="auto"/>
                      <w:right w:val="single" w:sz="4" w:space="0" w:color="auto"/>
                    </w:tcBorders>
                    <w:shd w:val="clear" w:color="auto" w:fill="F2F2F2" w:themeFill="background1" w:themeFillShade="F2"/>
                  </w:tcPr>
                  <w:p>
                    <w:pPr>
                      <w:rPr>
                        <w:sz w:val="20"/>
                      </w:rPr>
                    </w:pPr>
                    <w:r>
                      <w:rPr>
                        <w:sz w:val="20"/>
                      </w:rPr>
                      <w:t>CPVA</w:t>
                    </w:r>
                  </w:p>
                </w:tc>
                <w:tc>
                  <w:tcPr>
                    <w:tcW w:w="1279"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SAM</w:t>
                    </w:r>
                  </w:p>
                </w:tc>
              </w:tr>
              <w:tr>
                <w:trPr>
                  <w:trHeight w:val="414"/>
                </w:trPr>
                <w:tc>
                  <w:tcPr>
                    <w:tcW w:w="2130" w:type="dxa"/>
                    <w:gridSpan w:val="2"/>
                    <w:vMerge/>
                    <w:vAlign w:val="center"/>
                  </w:tcPr>
                  <w:p>
                    <w:pPr>
                      <w:rPr>
                        <w:b/>
                        <w:bCs/>
                        <w:sz w:val="20"/>
                      </w:rPr>
                    </w:pPr>
                  </w:p>
                </w:tc>
                <w:tc>
                  <w:tcPr>
                    <w:tcW w:w="699" w:type="dxa"/>
                    <w:vMerge/>
                    <w:vAlign w:val="center"/>
                  </w:tcPr>
                  <w:p>
                    <w:pPr>
                      <w:rPr>
                        <w:sz w:val="20"/>
                      </w:rPr>
                    </w:pPr>
                  </w:p>
                </w:tc>
                <w:tc>
                  <w:tcPr>
                    <w:tcW w:w="1985" w:type="dxa"/>
                    <w:vMerge/>
                    <w:vAlign w:val="center"/>
                  </w:tcPr>
                  <w:p>
                    <w:pPr>
                      <w:rPr>
                        <w:sz w:val="20"/>
                      </w:rPr>
                    </w:pPr>
                  </w:p>
                </w:tc>
                <w:tc>
                  <w:tcPr>
                    <w:tcW w:w="829" w:type="dxa"/>
                    <w:gridSpan w:val="3"/>
                    <w:vMerge/>
                    <w:vAlign w:val="center"/>
                  </w:tcPr>
                  <w:p>
                    <w:pPr>
                      <w:rPr>
                        <w:sz w:val="20"/>
                      </w:rPr>
                    </w:pPr>
                  </w:p>
                </w:tc>
                <w:tc>
                  <w:tcPr>
                    <w:tcW w:w="1014" w:type="dxa"/>
                    <w:gridSpan w:val="3"/>
                    <w:vMerge/>
                    <w:vAlign w:val="center"/>
                  </w:tcPr>
                  <w:p>
                    <w:pPr>
                      <w:rPr>
                        <w:sz w:val="20"/>
                      </w:rPr>
                    </w:pPr>
                  </w:p>
                </w:tc>
                <w:tc>
                  <w:tcPr>
                    <w:tcW w:w="681" w:type="dxa"/>
                    <w:gridSpan w:val="3"/>
                    <w:vMerge/>
                    <w:vAlign w:val="center"/>
                  </w:tcPr>
                  <w:p>
                    <w:pPr>
                      <w:rPr>
                        <w:sz w:val="20"/>
                      </w:rPr>
                    </w:pPr>
                  </w:p>
                </w:tc>
                <w:tc>
                  <w:tcPr>
                    <w:tcW w:w="1167" w:type="dxa"/>
                    <w:gridSpan w:val="2"/>
                    <w:vMerge w:val="restart"/>
                  </w:tcPr>
                  <w:p>
                    <w:pPr>
                      <w:ind w:firstLine="62"/>
                      <w:jc w:val="both"/>
                      <w:rPr>
                        <w:sz w:val="20"/>
                      </w:rPr>
                    </w:pPr>
                    <w:r>
                      <w:rPr>
                        <w:sz w:val="20"/>
                      </w:rPr>
                      <w:t>910,800</w:t>
                    </w:r>
                  </w:p>
                  <w:p>
                    <w:pPr>
                      <w:rPr>
                        <w:b/>
                        <w:bCs/>
                        <w:sz w:val="20"/>
                      </w:rPr>
                    </w:pPr>
                  </w:p>
                </w:tc>
                <w:tc>
                  <w:tcPr>
                    <w:tcW w:w="1118" w:type="dxa"/>
                    <w:vMerge w:val="restart"/>
                  </w:tcPr>
                  <w:p>
                    <w:pPr>
                      <w:rPr>
                        <w:sz w:val="20"/>
                      </w:rPr>
                    </w:pPr>
                    <w:r>
                      <w:rPr>
                        <w:color w:val="000000"/>
                        <w:sz w:val="20"/>
                      </w:rPr>
                      <w:t>2021–2027 m. IP (BF)</w:t>
                    </w:r>
                  </w:p>
                </w:tc>
                <w:tc>
                  <w:tcPr>
                    <w:tcW w:w="2001" w:type="dxa"/>
                    <w:gridSpan w:val="2"/>
                  </w:tcPr>
                  <w:p>
                    <w:pPr>
                      <w:ind w:left="-57" w:right="-57"/>
                      <w:rPr>
                        <w:sz w:val="20"/>
                      </w:rPr>
                    </w:pPr>
                    <w:r>
                      <w:rPr>
                        <w:color w:val="000000"/>
                        <w:sz w:val="20"/>
                      </w:rPr>
                      <w:t>R – Tikslinių grupių asmenų, kurių gyvenimo kokybė pagerėjo gavus naujas ar patobulintas psichikos sveikatos priežiūros paslaugas, dalis, proc.</w:t>
                    </w:r>
                  </w:p>
                </w:tc>
                <w:tc>
                  <w:tcPr>
                    <w:tcW w:w="1134" w:type="dxa"/>
                    <w:gridSpan w:val="2"/>
                  </w:tcPr>
                  <w:p>
                    <w:pPr>
                      <w:jc w:val="both"/>
                      <w:rPr>
                        <w:color w:val="000000"/>
                        <w:sz w:val="20"/>
                      </w:rPr>
                    </w:pPr>
                    <w:r>
                      <w:rPr>
                        <w:color w:val="000000"/>
                        <w:sz w:val="20"/>
                      </w:rPr>
                      <w:t>25</w:t>
                    </w:r>
                  </w:p>
                  <w:p>
                    <w:pPr>
                      <w:ind w:left="-57" w:right="-57"/>
                      <w:jc w:val="center"/>
                      <w:rPr>
                        <w:sz w:val="20"/>
                      </w:rPr>
                    </w:pPr>
                    <w:r>
                      <w:rPr>
                        <w:color w:val="000000"/>
                        <w:sz w:val="20"/>
                      </w:rPr>
                      <w:t>(2029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vAlign w:val="center"/>
                  </w:tcPr>
                  <w:p>
                    <w:pPr>
                      <w:rPr>
                        <w:b/>
                        <w:bCs/>
                        <w:sz w:val="20"/>
                      </w:rPr>
                    </w:pPr>
                  </w:p>
                </w:tc>
                <w:tc>
                  <w:tcPr>
                    <w:tcW w:w="699" w:type="dxa"/>
                    <w:vMerge/>
                    <w:vAlign w:val="center"/>
                  </w:tcPr>
                  <w:p>
                    <w:pPr>
                      <w:rPr>
                        <w:sz w:val="20"/>
                      </w:rPr>
                    </w:pPr>
                  </w:p>
                </w:tc>
                <w:tc>
                  <w:tcPr>
                    <w:tcW w:w="1985" w:type="dxa"/>
                    <w:vMerge/>
                    <w:vAlign w:val="center"/>
                  </w:tcPr>
                  <w:p>
                    <w:pPr>
                      <w:rPr>
                        <w:sz w:val="20"/>
                      </w:rPr>
                    </w:pPr>
                  </w:p>
                </w:tc>
                <w:tc>
                  <w:tcPr>
                    <w:tcW w:w="829" w:type="dxa"/>
                    <w:gridSpan w:val="3"/>
                    <w:vMerge/>
                    <w:vAlign w:val="center"/>
                  </w:tcPr>
                  <w:p>
                    <w:pPr>
                      <w:rPr>
                        <w:sz w:val="20"/>
                      </w:rPr>
                    </w:pPr>
                  </w:p>
                </w:tc>
                <w:tc>
                  <w:tcPr>
                    <w:tcW w:w="1014" w:type="dxa"/>
                    <w:gridSpan w:val="3"/>
                    <w:vMerge/>
                    <w:vAlign w:val="center"/>
                  </w:tcPr>
                  <w:p>
                    <w:pPr>
                      <w:rPr>
                        <w:sz w:val="20"/>
                      </w:rPr>
                    </w:pPr>
                  </w:p>
                </w:tc>
                <w:tc>
                  <w:tcPr>
                    <w:tcW w:w="681" w:type="dxa"/>
                    <w:gridSpan w:val="3"/>
                    <w:vMerge/>
                    <w:vAlign w:val="center"/>
                  </w:tcPr>
                  <w:p>
                    <w:pPr>
                      <w:rPr>
                        <w:sz w:val="20"/>
                      </w:rPr>
                    </w:pPr>
                  </w:p>
                </w:tc>
                <w:tc>
                  <w:tcPr>
                    <w:tcW w:w="1167" w:type="dxa"/>
                    <w:gridSpan w:val="2"/>
                    <w:vMerge/>
                  </w:tcPr>
                  <w:p>
                    <w:pPr>
                      <w:rPr>
                        <w:b/>
                        <w:bCs/>
                        <w:sz w:val="20"/>
                      </w:rPr>
                    </w:pPr>
                  </w:p>
                </w:tc>
                <w:tc>
                  <w:tcPr>
                    <w:tcW w:w="1118" w:type="dxa"/>
                    <w:vMerge/>
                  </w:tcPr>
                  <w:p>
                    <w:pPr>
                      <w:rPr>
                        <w:sz w:val="20"/>
                      </w:rPr>
                    </w:pPr>
                  </w:p>
                </w:tc>
                <w:tc>
                  <w:tcPr>
                    <w:tcW w:w="2001" w:type="dxa"/>
                    <w:gridSpan w:val="2"/>
                  </w:tcPr>
                  <w:p>
                    <w:pPr>
                      <w:ind w:left="-57" w:right="-57"/>
                      <w:rPr>
                        <w:sz w:val="20"/>
                      </w:rPr>
                    </w:pPr>
                    <w:r>
                      <w:rPr>
                        <w:color w:val="000000"/>
                        <w:sz w:val="20"/>
                      </w:rPr>
                      <w:t>P – Paramą gavusių nacionalinio, regionų ar vietos lygmens viešojo administravimo ar viešąsias paslaugas teikiančių įstaigų skaičius, subjektų skaičius</w:t>
                    </w:r>
                  </w:p>
                </w:tc>
                <w:tc>
                  <w:tcPr>
                    <w:tcW w:w="1134" w:type="dxa"/>
                    <w:gridSpan w:val="2"/>
                  </w:tcPr>
                  <w:p>
                    <w:pPr>
                      <w:jc w:val="both"/>
                      <w:rPr>
                        <w:color w:val="000000"/>
                        <w:sz w:val="20"/>
                      </w:rPr>
                    </w:pPr>
                    <w:r>
                      <w:rPr>
                        <w:color w:val="000000"/>
                        <w:sz w:val="20"/>
                      </w:rPr>
                      <w:t>24</w:t>
                    </w:r>
                  </w:p>
                  <w:p>
                    <w:pPr>
                      <w:ind w:left="-57" w:right="-57"/>
                      <w:jc w:val="center"/>
                      <w:rPr>
                        <w:sz w:val="20"/>
                      </w:rPr>
                    </w:pPr>
                    <w:r>
                      <w:rPr>
                        <w:color w:val="000000"/>
                        <w:sz w:val="20"/>
                      </w:rPr>
                      <w:t>(2029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vAlign w:val="center"/>
                  </w:tcPr>
                  <w:p>
                    <w:pPr>
                      <w:rPr>
                        <w:b/>
                        <w:bCs/>
                        <w:sz w:val="20"/>
                      </w:rPr>
                    </w:pPr>
                  </w:p>
                </w:tc>
                <w:tc>
                  <w:tcPr>
                    <w:tcW w:w="699" w:type="dxa"/>
                    <w:vMerge/>
                    <w:vAlign w:val="center"/>
                  </w:tcPr>
                  <w:p>
                    <w:pPr>
                      <w:rPr>
                        <w:sz w:val="20"/>
                      </w:rPr>
                    </w:pPr>
                  </w:p>
                </w:tc>
                <w:tc>
                  <w:tcPr>
                    <w:tcW w:w="1985" w:type="dxa"/>
                    <w:vMerge/>
                    <w:vAlign w:val="center"/>
                  </w:tcPr>
                  <w:p>
                    <w:pPr>
                      <w:rPr>
                        <w:sz w:val="20"/>
                      </w:rPr>
                    </w:pPr>
                  </w:p>
                </w:tc>
                <w:tc>
                  <w:tcPr>
                    <w:tcW w:w="829" w:type="dxa"/>
                    <w:gridSpan w:val="3"/>
                    <w:vMerge/>
                    <w:vAlign w:val="center"/>
                  </w:tcPr>
                  <w:p>
                    <w:pPr>
                      <w:rPr>
                        <w:sz w:val="20"/>
                      </w:rPr>
                    </w:pPr>
                  </w:p>
                </w:tc>
                <w:tc>
                  <w:tcPr>
                    <w:tcW w:w="1014" w:type="dxa"/>
                    <w:gridSpan w:val="3"/>
                    <w:vMerge/>
                    <w:vAlign w:val="center"/>
                  </w:tcPr>
                  <w:p>
                    <w:pPr>
                      <w:rPr>
                        <w:sz w:val="20"/>
                      </w:rPr>
                    </w:pPr>
                  </w:p>
                </w:tc>
                <w:tc>
                  <w:tcPr>
                    <w:tcW w:w="681" w:type="dxa"/>
                    <w:gridSpan w:val="3"/>
                    <w:vMerge/>
                    <w:vAlign w:val="center"/>
                  </w:tcPr>
                  <w:p>
                    <w:pPr>
                      <w:rPr>
                        <w:sz w:val="20"/>
                      </w:rPr>
                    </w:pPr>
                  </w:p>
                </w:tc>
                <w:tc>
                  <w:tcPr>
                    <w:tcW w:w="1167" w:type="dxa"/>
                    <w:gridSpan w:val="2"/>
                    <w:vMerge/>
                  </w:tcPr>
                  <w:p>
                    <w:pPr>
                      <w:rPr>
                        <w:b/>
                        <w:bCs/>
                        <w:sz w:val="20"/>
                      </w:rPr>
                    </w:pPr>
                  </w:p>
                </w:tc>
                <w:tc>
                  <w:tcPr>
                    <w:tcW w:w="1118" w:type="dxa"/>
                    <w:vMerge/>
                  </w:tcPr>
                  <w:p>
                    <w:pPr>
                      <w:rPr>
                        <w:sz w:val="20"/>
                      </w:rPr>
                    </w:pPr>
                  </w:p>
                </w:tc>
                <w:tc>
                  <w:tcPr>
                    <w:tcW w:w="2001" w:type="dxa"/>
                    <w:gridSpan w:val="2"/>
                  </w:tcPr>
                  <w:p>
                    <w:pPr>
                      <w:ind w:left="-57" w:right="-57"/>
                      <w:rPr>
                        <w:sz w:val="20"/>
                      </w:rPr>
                    </w:pPr>
                    <w:r>
                      <w:rPr>
                        <w:color w:val="000000"/>
                        <w:sz w:val="20"/>
                      </w:rPr>
                      <w:t>R – Pacientų pasitenkinimas gautomis paslaugomis, proc.</w:t>
                    </w:r>
                  </w:p>
                </w:tc>
                <w:tc>
                  <w:tcPr>
                    <w:tcW w:w="1134" w:type="dxa"/>
                    <w:gridSpan w:val="2"/>
                  </w:tcPr>
                  <w:p>
                    <w:pPr>
                      <w:ind w:left="720" w:hanging="720"/>
                      <w:jc w:val="both"/>
                      <w:rPr>
                        <w:color w:val="000000"/>
                        <w:sz w:val="20"/>
                      </w:rPr>
                    </w:pPr>
                    <w:r>
                      <w:rPr>
                        <w:color w:val="000000"/>
                        <w:sz w:val="20"/>
                      </w:rPr>
                      <w:t>70</w:t>
                    </w:r>
                  </w:p>
                  <w:p>
                    <w:pPr>
                      <w:ind w:left="720" w:hanging="828"/>
                      <w:jc w:val="both"/>
                      <w:rPr>
                        <w:color w:val="000000"/>
                        <w:sz w:val="20"/>
                      </w:rPr>
                    </w:pPr>
                    <w:r>
                      <w:rPr>
                        <w:color w:val="000000"/>
                        <w:sz w:val="20"/>
                      </w:rPr>
                      <w:t>(2029 m.)</w:t>
                    </w:r>
                  </w:p>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shd w:val="clear" w:color="auto" w:fill="F2F2F2" w:themeFill="background1" w:themeFillShade="F2"/>
                  </w:tcPr>
                  <w:p>
                    <w:pPr>
                      <w:rPr>
                        <w:i/>
                        <w:iCs/>
                        <w:sz w:val="20"/>
                      </w:rPr>
                    </w:pPr>
                    <w:r>
                      <w:rPr>
                        <w:b/>
                        <w:bCs/>
                        <w:sz w:val="20"/>
                      </w:rPr>
                      <w:t>8. Pacientų pavėžėjimo paslaugos modelio sukūrimas ir išbandymas</w:t>
                    </w:r>
                  </w:p>
                </w:tc>
                <w:tc>
                  <w:tcPr>
                    <w:tcW w:w="699" w:type="dxa"/>
                    <w:shd w:val="clear" w:color="auto" w:fill="F2F2F2" w:themeFill="background1" w:themeFillShade="F2"/>
                  </w:tcPr>
                  <w:p>
                    <w:pPr>
                      <w:rPr>
                        <w:sz w:val="20"/>
                      </w:rPr>
                    </w:pPr>
                    <w:r>
                      <w:rPr>
                        <w:sz w:val="20"/>
                      </w:rPr>
                      <w:t>-</w:t>
                    </w:r>
                  </w:p>
                </w:tc>
                <w:tc>
                  <w:tcPr>
                    <w:tcW w:w="1985" w:type="dxa"/>
                    <w:shd w:val="clear" w:color="auto" w:fill="F2F2F2" w:themeFill="background1" w:themeFillShade="F2"/>
                  </w:tcPr>
                  <w:p>
                    <w:pPr>
                      <w:rPr>
                        <w:sz w:val="20"/>
                      </w:rPr>
                    </w:pPr>
                    <w:r>
                      <w:rPr>
                        <w:sz w:val="20"/>
                      </w:rPr>
                      <w:t>-</w:t>
                    </w:r>
                  </w:p>
                </w:tc>
                <w:tc>
                  <w:tcPr>
                    <w:tcW w:w="829" w:type="dxa"/>
                    <w:gridSpan w:val="3"/>
                    <w:shd w:val="clear" w:color="auto" w:fill="F2F2F2" w:themeFill="background1" w:themeFillShade="F2"/>
                  </w:tcPr>
                  <w:p>
                    <w:pPr>
                      <w:rPr>
                        <w:sz w:val="20"/>
                      </w:rPr>
                    </w:pPr>
                    <w:r>
                      <w:rPr>
                        <w:sz w:val="20"/>
                      </w:rPr>
                      <w:t>-</w:t>
                    </w:r>
                  </w:p>
                </w:tc>
                <w:tc>
                  <w:tcPr>
                    <w:tcW w:w="1014" w:type="dxa"/>
                    <w:gridSpan w:val="3"/>
                    <w:shd w:val="clear" w:color="auto" w:fill="F2F2F2" w:themeFill="background1" w:themeFillShade="F2"/>
                  </w:tcPr>
                  <w:p>
                    <w:pPr>
                      <w:rPr>
                        <w:sz w:val="20"/>
                      </w:rPr>
                    </w:pPr>
                    <w:r>
                      <w:rPr>
                        <w:sz w:val="20"/>
                      </w:rPr>
                      <w:t>-</w:t>
                    </w:r>
                  </w:p>
                </w:tc>
                <w:tc>
                  <w:tcPr>
                    <w:tcW w:w="681" w:type="dxa"/>
                    <w:gridSpan w:val="3"/>
                    <w:shd w:val="clear" w:color="auto" w:fill="F2F2F2" w:themeFill="background1" w:themeFillShade="F2"/>
                  </w:tcPr>
                  <w:p>
                    <w:pPr>
                      <w:rPr>
                        <w:sz w:val="20"/>
                      </w:rPr>
                    </w:pPr>
                    <w:r>
                      <w:rPr>
                        <w:sz w:val="20"/>
                      </w:rPr>
                      <w:t>-</w:t>
                    </w:r>
                  </w:p>
                </w:tc>
                <w:tc>
                  <w:tcPr>
                    <w:tcW w:w="1167" w:type="dxa"/>
                    <w:gridSpan w:val="2"/>
                    <w:shd w:val="clear" w:color="auto" w:fill="F2F2F2" w:themeFill="background1" w:themeFillShade="F2"/>
                  </w:tcPr>
                  <w:p>
                    <w:pPr>
                      <w:rPr>
                        <w:sz w:val="20"/>
                        <w:lang w:val="en-US"/>
                      </w:rPr>
                    </w:pPr>
                    <w:r>
                      <w:rPr>
                        <w:b/>
                        <w:bCs/>
                        <w:sz w:val="20"/>
                      </w:rPr>
                      <w:t>7 000</w:t>
                    </w:r>
                  </w:p>
                </w:tc>
                <w:tc>
                  <w:tcPr>
                    <w:tcW w:w="1118" w:type="dxa"/>
                    <w:shd w:val="clear" w:color="auto" w:fill="F2F2F2" w:themeFill="background1" w:themeFillShade="F2"/>
                  </w:tcPr>
                  <w:p>
                    <w:pPr>
                      <w:rPr>
                        <w:sz w:val="20"/>
                      </w:rPr>
                    </w:pPr>
                    <w:r>
                      <w:rPr>
                        <w:sz w:val="20"/>
                      </w:rPr>
                      <w:t>VB</w:t>
                    </w:r>
                  </w:p>
                </w:tc>
                <w:tc>
                  <w:tcPr>
                    <w:tcW w:w="2001" w:type="dxa"/>
                    <w:gridSpan w:val="2"/>
                    <w:shd w:val="clear" w:color="auto" w:fill="F2F2F2" w:themeFill="background1" w:themeFillShade="F2"/>
                  </w:tcPr>
                  <w:p>
                    <w:pPr>
                      <w:ind w:left="-57" w:right="-57"/>
                      <w:rPr>
                        <w:sz w:val="20"/>
                      </w:rPr>
                    </w:pPr>
                    <w:r>
                      <w:rPr>
                        <w:sz w:val="20"/>
                      </w:rPr>
                      <w:t>-</w:t>
                    </w:r>
                  </w:p>
                </w:tc>
                <w:tc>
                  <w:tcPr>
                    <w:tcW w:w="1134" w:type="dxa"/>
                    <w:gridSpan w:val="2"/>
                    <w:shd w:val="clear" w:color="auto" w:fill="F2F2F2" w:themeFill="background1" w:themeFillShade="F2"/>
                  </w:tcPr>
                  <w:p>
                    <w:pPr>
                      <w:ind w:left="-57" w:right="-57"/>
                      <w:jc w:val="center"/>
                      <w:rPr>
                        <w:i/>
                        <w:iCs/>
                        <w:sz w:val="20"/>
                      </w:rPr>
                    </w:pPr>
                    <w:r>
                      <w:rPr>
                        <w:sz w:val="20"/>
                      </w:rPr>
                      <w:t>-</w:t>
                    </w:r>
                  </w:p>
                </w:tc>
                <w:tc>
                  <w:tcPr>
                    <w:tcW w:w="992" w:type="dxa"/>
                    <w:shd w:val="clear" w:color="auto" w:fill="F2F2F2" w:themeFill="background1" w:themeFillShade="F2"/>
                  </w:tcPr>
                  <w:p>
                    <w:pPr>
                      <w:rPr>
                        <w:i/>
                        <w:iCs/>
                        <w:sz w:val="20"/>
                      </w:rPr>
                    </w:pPr>
                    <w:r>
                      <w:rPr>
                        <w:sz w:val="20"/>
                      </w:rPr>
                      <w:t>-</w:t>
                    </w:r>
                  </w:p>
                </w:tc>
                <w:tc>
                  <w:tcPr>
                    <w:tcW w:w="1279" w:type="dxa"/>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tcPr>
                  <w:p>
                    <w:pPr>
                      <w:rPr>
                        <w:sz w:val="20"/>
                      </w:rPr>
                    </w:pPr>
                    <w:r>
                      <w:rPr>
                        <w:sz w:val="20"/>
                      </w:rPr>
                      <w:t>8.1. Pavėžėjimo paslaugų organizavimą ir teikimą reglamentuojančių teisės aktų parengimas</w:t>
                    </w:r>
                  </w:p>
                </w:tc>
                <w:tc>
                  <w:tcPr>
                    <w:tcW w:w="699" w:type="dxa"/>
                  </w:tcPr>
                  <w:p>
                    <w:pPr>
                      <w:rPr>
                        <w:sz w:val="20"/>
                      </w:rPr>
                    </w:pPr>
                    <w:r>
                      <w:rPr>
                        <w:sz w:val="20"/>
                      </w:rPr>
                      <w:t>R</w:t>
                    </w:r>
                  </w:p>
                </w:tc>
                <w:tc>
                  <w:tcPr>
                    <w:tcW w:w="1985" w:type="dxa"/>
                  </w:tcPr>
                  <w:p>
                    <w:pPr>
                      <w:rPr>
                        <w:sz w:val="20"/>
                      </w:rPr>
                    </w:pPr>
                    <w:r>
                      <w:rPr>
                        <w:sz w:val="20"/>
                      </w:rPr>
                      <w:t>-</w:t>
                    </w:r>
                  </w:p>
                </w:tc>
                <w:tc>
                  <w:tcPr>
                    <w:tcW w:w="829" w:type="dxa"/>
                    <w:gridSpan w:val="3"/>
                  </w:tcPr>
                  <w:p>
                    <w:pPr>
                      <w:rPr>
                        <w:sz w:val="20"/>
                      </w:rPr>
                    </w:pPr>
                    <w:r>
                      <w:rPr>
                        <w:sz w:val="20"/>
                      </w:rPr>
                      <w:t>-</w:t>
                    </w:r>
                  </w:p>
                </w:tc>
                <w:tc>
                  <w:tcPr>
                    <w:tcW w:w="1014" w:type="dxa"/>
                    <w:gridSpan w:val="3"/>
                  </w:tcPr>
                  <w:p>
                    <w:pPr>
                      <w:rPr>
                        <w:sz w:val="20"/>
                      </w:rPr>
                    </w:pPr>
                    <w:r>
                      <w:rPr>
                        <w:sz w:val="20"/>
                      </w:rPr>
                      <w:t>Taip</w:t>
                    </w:r>
                  </w:p>
                </w:tc>
                <w:tc>
                  <w:tcPr>
                    <w:tcW w:w="681" w:type="dxa"/>
                    <w:gridSpan w:val="3"/>
                  </w:tcPr>
                  <w:p>
                    <w:pPr>
                      <w:rPr>
                        <w:sz w:val="20"/>
                      </w:rPr>
                    </w:pPr>
                    <w:r>
                      <w:rPr>
                        <w:sz w:val="20"/>
                      </w:rPr>
                      <w:t>-</w:t>
                    </w:r>
                  </w:p>
                </w:tc>
                <w:tc>
                  <w:tcPr>
                    <w:tcW w:w="1167" w:type="dxa"/>
                    <w:gridSpan w:val="2"/>
                  </w:tcPr>
                  <w:p>
                    <w:pPr>
                      <w:rPr>
                        <w:sz w:val="20"/>
                        <w:lang w:val="en-US"/>
                      </w:rPr>
                    </w:pPr>
                    <w:r>
                      <w:rPr>
                        <w:sz w:val="20"/>
                        <w:lang w:val="en-US"/>
                      </w:rPr>
                      <w:t>-</w:t>
                    </w:r>
                  </w:p>
                </w:tc>
                <w:tc>
                  <w:tcPr>
                    <w:tcW w:w="1118" w:type="dxa"/>
                  </w:tcPr>
                  <w:p>
                    <w:pPr>
                      <w:rPr>
                        <w:sz w:val="20"/>
                      </w:rPr>
                    </w:pPr>
                    <w:r>
                      <w:rPr>
                        <w:sz w:val="20"/>
                      </w:rPr>
                      <w:t>-</w:t>
                    </w:r>
                  </w:p>
                </w:tc>
                <w:tc>
                  <w:tcPr>
                    <w:tcW w:w="2001" w:type="dxa"/>
                    <w:gridSpan w:val="2"/>
                  </w:tcPr>
                  <w:p>
                    <w:pPr>
                      <w:ind w:left="-57" w:right="-57"/>
                      <w:jc w:val="both"/>
                      <w:rPr>
                        <w:sz w:val="20"/>
                      </w:rPr>
                    </w:pPr>
                    <w:r>
                      <w:rPr>
                        <w:sz w:val="20"/>
                      </w:rPr>
                      <w:t xml:space="preserve">P – Įsigalioję teisės aktai, reglamentuojantys pavėžėjimo paslaugų teikimo ir organizavimo reikalavimus, kompl. </w:t>
                    </w:r>
                  </w:p>
                  <w:p>
                    <w:pPr>
                      <w:ind w:left="-57" w:right="-57"/>
                      <w:rPr>
                        <w:sz w:val="20"/>
                      </w:rPr>
                    </w:pPr>
                  </w:p>
                </w:tc>
                <w:tc>
                  <w:tcPr>
                    <w:tcW w:w="1134" w:type="dxa"/>
                    <w:gridSpan w:val="2"/>
                  </w:tcPr>
                  <w:p>
                    <w:pPr>
                      <w:ind w:left="-57" w:right="-57"/>
                      <w:jc w:val="center"/>
                      <w:rPr>
                        <w:sz w:val="20"/>
                      </w:rPr>
                    </w:pPr>
                    <w:r>
                      <w:rPr>
                        <w:sz w:val="20"/>
                      </w:rPr>
                      <w:t>1</w:t>
                    </w:r>
                  </w:p>
                  <w:p>
                    <w:pPr>
                      <w:ind w:left="-57" w:right="-57"/>
                      <w:jc w:val="center"/>
                      <w:rPr>
                        <w:sz w:val="20"/>
                      </w:rPr>
                    </w:pPr>
                    <w:r>
                      <w:rPr>
                        <w:sz w:val="20"/>
                      </w:rPr>
                      <w:t>(2024 m.)</w:t>
                    </w:r>
                  </w:p>
                  <w:p>
                    <w:pPr>
                      <w:ind w:left="-57" w:right="-57"/>
                      <w:jc w:val="center"/>
                      <w:rPr>
                        <w:i/>
                        <w:iCs/>
                        <w:color w:val="FF0000"/>
                        <w:sz w:val="20"/>
                      </w:rPr>
                    </w:pPr>
                  </w:p>
                </w:tc>
                <w:tc>
                  <w:tcPr>
                    <w:tcW w:w="992" w:type="dxa"/>
                  </w:tcPr>
                  <w:p>
                    <w:pPr>
                      <w:rPr>
                        <w:sz w:val="20"/>
                      </w:rPr>
                    </w:pPr>
                    <w:r>
                      <w:rPr>
                        <w:sz w:val="20"/>
                      </w:rPr>
                      <w:t>-</w:t>
                    </w:r>
                  </w:p>
                </w:tc>
                <w:tc>
                  <w:tcPr>
                    <w:tcW w:w="1279" w:type="dxa"/>
                    <w:tcBorders>
                      <w:left w:val="single" w:sz="4" w:space="0" w:color="auto"/>
                      <w:right w:val="single" w:sz="4" w:space="0" w:color="auto"/>
                    </w:tcBorders>
                  </w:tcPr>
                  <w:p>
                    <w:pPr>
                      <w:ind w:left="-57" w:right="-57"/>
                      <w:jc w:val="center"/>
                      <w:rPr>
                        <w:sz w:val="20"/>
                      </w:rPr>
                    </w:pPr>
                    <w:r>
                      <w:rPr>
                        <w:sz w:val="20"/>
                      </w:rPr>
                      <w:t>SAM, Vidaus reikalų ministerija (toliau –VRM),</w:t>
                    </w:r>
                  </w:p>
                  <w:p>
                    <w:pPr>
                      <w:jc w:val="center"/>
                      <w:rPr>
                        <w:color w:val="000000"/>
                        <w:sz w:val="20"/>
                      </w:rPr>
                    </w:pPr>
                    <w:r>
                      <w:rPr>
                        <w:sz w:val="20"/>
                      </w:rPr>
                      <w:t>savivaldybių administraci-jos</w:t>
                    </w:r>
                  </w:p>
                </w:tc>
              </w:tr>
              <w:tr>
                <w:trPr>
                  <w:trHeight w:val="414"/>
                </w:trPr>
                <w:tc>
                  <w:tcPr>
                    <w:tcW w:w="2130" w:type="dxa"/>
                    <w:gridSpan w:val="2"/>
                    <w:vMerge w:val="restart"/>
                  </w:tcPr>
                  <w:p>
                    <w:pPr>
                      <w:rPr>
                        <w:sz w:val="20"/>
                      </w:rPr>
                    </w:pPr>
                    <w:r>
                      <w:rPr>
                        <w:sz w:val="20"/>
                      </w:rPr>
                      <w:t>8.2. Bandomojo pavėžėjimo paslaugų teikimo projekto įgyvendinimas</w:t>
                    </w:r>
                  </w:p>
                </w:tc>
                <w:tc>
                  <w:tcPr>
                    <w:tcW w:w="699" w:type="dxa"/>
                    <w:vMerge w:val="restart"/>
                  </w:tcPr>
                  <w:p>
                    <w:pPr>
                      <w:rPr>
                        <w:sz w:val="20"/>
                      </w:rPr>
                    </w:pPr>
                    <w:r>
                      <w:rPr>
                        <w:sz w:val="20"/>
                      </w:rPr>
                      <w:t>M</w:t>
                    </w:r>
                  </w:p>
                </w:tc>
                <w:tc>
                  <w:tcPr>
                    <w:tcW w:w="1985" w:type="dxa"/>
                    <w:vMerge w:val="restart"/>
                  </w:tcPr>
                  <w:p>
                    <w:pPr>
                      <w:rPr>
                        <w:sz w:val="20"/>
                      </w:rPr>
                    </w:pPr>
                    <w:r>
                      <w:rPr>
                        <w:sz w:val="20"/>
                      </w:rPr>
                      <w:t>V</w:t>
                    </w:r>
                    <w:r>
                      <w:rPr>
                        <w:sz w:val="18"/>
                        <w:szCs w:val="18"/>
                      </w:rPr>
                      <w:t>šĮ Kauno miesto greitosios medicinos pagalbos stotis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vMerge w:val="restart"/>
                  </w:tcPr>
                  <w:p>
                    <w:pPr>
                      <w:rPr>
                        <w:sz w:val="20"/>
                        <w:lang w:val="en-US"/>
                      </w:rPr>
                    </w:pPr>
                    <w:r>
                      <w:rPr>
                        <w:sz w:val="20"/>
                        <w:lang w:val="en-US"/>
                      </w:rPr>
                      <w:t>7 000</w:t>
                    </w:r>
                  </w:p>
                </w:tc>
                <w:tc>
                  <w:tcPr>
                    <w:tcW w:w="1118" w:type="dxa"/>
                    <w:vMerge w:val="restart"/>
                  </w:tcPr>
                  <w:p>
                    <w:pPr>
                      <w:rPr>
                        <w:sz w:val="20"/>
                      </w:rPr>
                    </w:pPr>
                    <w:r>
                      <w:rPr>
                        <w:sz w:val="20"/>
                      </w:rPr>
                      <w:t>VB</w:t>
                    </w:r>
                  </w:p>
                </w:tc>
                <w:tc>
                  <w:tcPr>
                    <w:tcW w:w="2001" w:type="dxa"/>
                    <w:gridSpan w:val="2"/>
                  </w:tcPr>
                  <w:p>
                    <w:pPr>
                      <w:ind w:left="-57" w:right="-57"/>
                      <w:rPr>
                        <w:sz w:val="20"/>
                      </w:rPr>
                    </w:pPr>
                    <w:r>
                      <w:rPr>
                        <w:sz w:val="20"/>
                      </w:rPr>
                      <w:t xml:space="preserve">P </w:t>
                    </w:r>
                    <w:r>
                      <w:rPr>
                        <w:color w:val="000000"/>
                        <w:szCs w:val="24"/>
                      </w:rPr>
                      <w:t xml:space="preserve">– </w:t>
                    </w:r>
                    <w:r>
                      <w:rPr>
                        <w:sz w:val="20"/>
                      </w:rPr>
                      <w:t xml:space="preserve">Sukurtas ir išbandytas pacientų pavėžėjimo paslaugų teikimo modelis, skaičius </w:t>
                    </w:r>
                  </w:p>
                </w:tc>
                <w:tc>
                  <w:tcPr>
                    <w:tcW w:w="1134" w:type="dxa"/>
                    <w:gridSpan w:val="2"/>
                  </w:tcPr>
                  <w:p>
                    <w:pPr>
                      <w:ind w:left="-57" w:right="-57"/>
                      <w:jc w:val="center"/>
                      <w:rPr>
                        <w:sz w:val="20"/>
                      </w:rPr>
                    </w:pPr>
                    <w:r>
                      <w:rPr>
                        <w:sz w:val="20"/>
                      </w:rPr>
                      <w:t>1</w:t>
                    </w:r>
                  </w:p>
                  <w:p>
                    <w:pPr>
                      <w:ind w:left="-57" w:right="-57"/>
                      <w:jc w:val="center"/>
                      <w:rPr>
                        <w:i/>
                        <w:iCs/>
                        <w:sz w:val="20"/>
                      </w:rPr>
                    </w:pPr>
                    <w:r>
                      <w:rPr>
                        <w:sz w:val="20"/>
                      </w:rPr>
                      <w:t>(2024 m.)</w:t>
                    </w:r>
                  </w:p>
                </w:tc>
                <w:tc>
                  <w:tcPr>
                    <w:tcW w:w="992" w:type="dxa"/>
                    <w:vMerge w:val="restart"/>
                  </w:tcPr>
                  <w:p>
                    <w:pPr>
                      <w:rPr>
                        <w:i/>
                        <w:iCs/>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sz w:val="20"/>
                      </w:rPr>
                      <w:t>VRM, savivaldybių administraci-jos</w:t>
                    </w: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lang w:val="en-US"/>
                      </w:rPr>
                    </w:pPr>
                  </w:p>
                </w:tc>
                <w:tc>
                  <w:tcPr>
                    <w:tcW w:w="1118" w:type="dxa"/>
                    <w:vMerge/>
                  </w:tcPr>
                  <w:p>
                    <w:pPr>
                      <w:rPr>
                        <w:sz w:val="20"/>
                      </w:rPr>
                    </w:pPr>
                  </w:p>
                </w:tc>
                <w:tc>
                  <w:tcPr>
                    <w:tcW w:w="2001" w:type="dxa"/>
                    <w:gridSpan w:val="2"/>
                  </w:tcPr>
                  <w:p>
                    <w:pPr>
                      <w:ind w:left="-57" w:right="-57"/>
                      <w:rPr>
                        <w:sz w:val="20"/>
                      </w:rPr>
                    </w:pPr>
                    <w:r>
                      <w:rPr>
                        <w:sz w:val="20"/>
                      </w:rPr>
                      <w:t xml:space="preserve">R </w:t>
                    </w:r>
                    <w:r>
                      <w:rPr>
                        <w:color w:val="000000"/>
                        <w:szCs w:val="24"/>
                      </w:rPr>
                      <w:t>–</w:t>
                    </w:r>
                    <w:r>
                      <w:rPr>
                        <w:sz w:val="20"/>
                      </w:rPr>
                      <w:t xml:space="preserve"> Suteiktų pavėžėjimo paslaugų skaičius pagal bandomąjį pavėžėjimo paslaugų teikimo modelį, skaičius</w:t>
                    </w:r>
                  </w:p>
                </w:tc>
                <w:tc>
                  <w:tcPr>
                    <w:tcW w:w="1134" w:type="dxa"/>
                    <w:gridSpan w:val="2"/>
                  </w:tcPr>
                  <w:p>
                    <w:pPr>
                      <w:ind w:left="-57" w:right="-57"/>
                      <w:jc w:val="center"/>
                      <w:rPr>
                        <w:sz w:val="20"/>
                      </w:rPr>
                    </w:pPr>
                    <w:r>
                      <w:rPr>
                        <w:sz w:val="20"/>
                      </w:rPr>
                      <w:t>40 000</w:t>
                    </w:r>
                  </w:p>
                  <w:p>
                    <w:pPr>
                      <w:ind w:left="-57" w:right="-57"/>
                      <w:jc w:val="center"/>
                      <w:rPr>
                        <w:sz w:val="20"/>
                      </w:rPr>
                    </w:pPr>
                    <w:r>
                      <w:rPr>
                        <w:sz w:val="20"/>
                      </w:rPr>
                      <w:t>(2024 m.)</w:t>
                    </w:r>
                  </w:p>
                </w:tc>
                <w:tc>
                  <w:tcPr>
                    <w:tcW w:w="992" w:type="dxa"/>
                    <w:vMerge/>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20"/>
                </w:trPr>
                <w:tc>
                  <w:tcPr>
                    <w:tcW w:w="2130" w:type="dxa"/>
                    <w:gridSpan w:val="2"/>
                    <w:vMerge w:val="restart"/>
                    <w:tcMar>
                      <w:left w:w="105" w:type="dxa"/>
                      <w:right w:w="105" w:type="dxa"/>
                    </w:tcMar>
                  </w:tcPr>
                  <w:p>
                    <w:pPr>
                      <w:rPr>
                        <w:color w:val="000000"/>
                        <w:sz w:val="20"/>
                      </w:rPr>
                    </w:pPr>
                    <w:r>
                      <w:rPr>
                        <w:b/>
                        <w:bCs/>
                        <w:color w:val="000000"/>
                        <w:sz w:val="20"/>
                      </w:rPr>
                      <w:t>9. Greitosios medicinos pagalbos tinklo veiklos efektyvumo didinimas:</w:t>
                    </w:r>
                  </w:p>
                </w:tc>
                <w:tc>
                  <w:tcPr>
                    <w:tcW w:w="699" w:type="dxa"/>
                    <w:vMerge w:val="restart"/>
                    <w:tcMar>
                      <w:left w:w="105" w:type="dxa"/>
                      <w:right w:w="105" w:type="dxa"/>
                    </w:tcMar>
                  </w:tcPr>
                  <w:p>
                    <w:pPr>
                      <w:rPr>
                        <w:color w:val="000000"/>
                        <w:sz w:val="20"/>
                      </w:rPr>
                    </w:pPr>
                    <w:r>
                      <w:rPr>
                        <w:color w:val="000000"/>
                        <w:sz w:val="20"/>
                      </w:rPr>
                      <w:t>-</w:t>
                    </w:r>
                  </w:p>
                </w:tc>
                <w:tc>
                  <w:tcPr>
                    <w:tcW w:w="2099" w:type="dxa"/>
                    <w:gridSpan w:val="2"/>
                    <w:vMerge w:val="restart"/>
                    <w:tcMar>
                      <w:left w:w="105" w:type="dxa"/>
                      <w:right w:w="105" w:type="dxa"/>
                    </w:tcMar>
                  </w:tcPr>
                  <w:p>
                    <w:pPr>
                      <w:rPr>
                        <w:color w:val="000000"/>
                        <w:sz w:val="20"/>
                      </w:rPr>
                    </w:pPr>
                    <w:r>
                      <w:rPr>
                        <w:color w:val="000000"/>
                        <w:sz w:val="20"/>
                      </w:rPr>
                      <w:t>-</w:t>
                    </w:r>
                  </w:p>
                </w:tc>
                <w:tc>
                  <w:tcPr>
                    <w:tcW w:w="680" w:type="dxa"/>
                    <w:vMerge w:val="restart"/>
                    <w:tcMar>
                      <w:left w:w="105" w:type="dxa"/>
                      <w:right w:w="105" w:type="dxa"/>
                    </w:tcMar>
                  </w:tcPr>
                  <w:p>
                    <w:pPr>
                      <w:rPr>
                        <w:color w:val="000000"/>
                        <w:sz w:val="20"/>
                      </w:rPr>
                    </w:pPr>
                    <w:r>
                      <w:rPr>
                        <w:color w:val="000000"/>
                        <w:sz w:val="20"/>
                      </w:rPr>
                      <w:t>-</w:t>
                    </w:r>
                  </w:p>
                </w:tc>
                <w:tc>
                  <w:tcPr>
                    <w:tcW w:w="1081" w:type="dxa"/>
                    <w:gridSpan w:val="5"/>
                    <w:vMerge w:val="restart"/>
                    <w:tcMar>
                      <w:left w:w="105" w:type="dxa"/>
                      <w:right w:w="105" w:type="dxa"/>
                    </w:tcMar>
                  </w:tcPr>
                  <w:p>
                    <w:pPr>
                      <w:rPr>
                        <w:color w:val="000000"/>
                        <w:sz w:val="20"/>
                      </w:rPr>
                    </w:pPr>
                    <w:r>
                      <w:rPr>
                        <w:color w:val="000000"/>
                        <w:sz w:val="20"/>
                      </w:rPr>
                      <w:t>-</w:t>
                    </w:r>
                  </w:p>
                </w:tc>
                <w:tc>
                  <w:tcPr>
                    <w:tcW w:w="625" w:type="dxa"/>
                    <w:vMerge w:val="restart"/>
                    <w:tcMar>
                      <w:left w:w="105" w:type="dxa"/>
                      <w:right w:w="105" w:type="dxa"/>
                    </w:tcMar>
                  </w:tcPr>
                  <w:p>
                    <w:pPr>
                      <w:rPr>
                        <w:color w:val="000000"/>
                        <w:sz w:val="20"/>
                      </w:rPr>
                    </w:pPr>
                    <w:r>
                      <w:rPr>
                        <w:color w:val="000000"/>
                        <w:sz w:val="20"/>
                      </w:rPr>
                      <w:t>-</w:t>
                    </w:r>
                  </w:p>
                </w:tc>
                <w:tc>
                  <w:tcPr>
                    <w:tcW w:w="1191" w:type="dxa"/>
                    <w:gridSpan w:val="3"/>
                    <w:tcMar>
                      <w:left w:w="105" w:type="dxa"/>
                      <w:right w:w="105" w:type="dxa"/>
                    </w:tcMar>
                  </w:tcPr>
                  <w:p>
                    <w:pPr>
                      <w:rPr>
                        <w:sz w:val="4"/>
                        <w:szCs w:val="4"/>
                      </w:rPr>
                    </w:pPr>
                  </w:p>
                  <w:p>
                    <w:pPr>
                      <w:spacing w:afterLines="40" w:after="96"/>
                      <w:jc w:val="center"/>
                      <w:rPr>
                        <w:color w:val="000000"/>
                        <w:sz w:val="20"/>
                      </w:rPr>
                    </w:pPr>
                    <w:r>
                      <w:rPr>
                        <w:color w:val="000000"/>
                        <w:sz w:val="20"/>
                      </w:rPr>
                      <w:t>53 902,535</w:t>
                    </w:r>
                  </w:p>
                </w:tc>
                <w:tc>
                  <w:tcPr>
                    <w:tcW w:w="1118" w:type="dxa"/>
                    <w:tcMar>
                      <w:left w:w="105" w:type="dxa"/>
                      <w:right w:w="105" w:type="dxa"/>
                    </w:tcMar>
                  </w:tcPr>
                  <w:p>
                    <w:pPr>
                      <w:rPr>
                        <w:color w:val="000000"/>
                        <w:sz w:val="20"/>
                      </w:rPr>
                    </w:pPr>
                    <w:r>
                      <w:rPr>
                        <w:color w:val="000000"/>
                        <w:sz w:val="20"/>
                      </w:rPr>
                      <w:t xml:space="preserve">- </w:t>
                    </w:r>
                  </w:p>
                </w:tc>
                <w:tc>
                  <w:tcPr>
                    <w:tcW w:w="2001" w:type="dxa"/>
                    <w:gridSpan w:val="2"/>
                    <w:vMerge w:val="restart"/>
                    <w:tcMar>
                      <w:left w:w="105" w:type="dxa"/>
                      <w:right w:w="105" w:type="dxa"/>
                    </w:tcMar>
                  </w:tcPr>
                  <w:p>
                    <w:pPr>
                      <w:ind w:left="-57" w:right="-57"/>
                      <w:rPr>
                        <w:color w:val="000000"/>
                        <w:sz w:val="20"/>
                      </w:rPr>
                    </w:pPr>
                    <w:r>
                      <w:rPr>
                        <w:color w:val="000000"/>
                        <w:sz w:val="20"/>
                      </w:rPr>
                      <w:t>-</w:t>
                    </w:r>
                  </w:p>
                </w:tc>
                <w:tc>
                  <w:tcPr>
                    <w:tcW w:w="1001" w:type="dxa"/>
                    <w:vMerge w:val="restart"/>
                    <w:tcMar>
                      <w:left w:w="105" w:type="dxa"/>
                      <w:right w:w="105" w:type="dxa"/>
                    </w:tcMar>
                  </w:tcPr>
                  <w:p>
                    <w:pPr>
                      <w:ind w:left="-57" w:right="-57"/>
                      <w:jc w:val="center"/>
                      <w:rPr>
                        <w:color w:val="000000"/>
                        <w:sz w:val="20"/>
                      </w:rPr>
                    </w:pPr>
                    <w:r>
                      <w:rPr>
                        <w:color w:val="000000"/>
                        <w:sz w:val="20"/>
                      </w:rPr>
                      <w:t>-</w:t>
                    </w:r>
                  </w:p>
                </w:tc>
                <w:tc>
                  <w:tcPr>
                    <w:tcW w:w="1125" w:type="dxa"/>
                    <w:gridSpan w:val="2"/>
                    <w:vMerge w:val="restart"/>
                    <w:tcMar>
                      <w:left w:w="105" w:type="dxa"/>
                      <w:right w:w="105" w:type="dxa"/>
                    </w:tcMar>
                  </w:tcPr>
                  <w:p>
                    <w:pPr>
                      <w:rPr>
                        <w:color w:val="000000"/>
                        <w:sz w:val="20"/>
                      </w:rPr>
                    </w:pPr>
                    <w:r>
                      <w:rPr>
                        <w:color w:val="000000"/>
                        <w:sz w:val="20"/>
                      </w:rPr>
                      <w:t>-</w:t>
                    </w:r>
                  </w:p>
                </w:tc>
                <w:tc>
                  <w:tcPr>
                    <w:tcW w:w="1279" w:type="dxa"/>
                    <w:vMerge w:val="restart"/>
                    <w:tcMar>
                      <w:left w:w="105" w:type="dxa"/>
                      <w:right w:w="105" w:type="dxa"/>
                    </w:tcMar>
                    <w:vAlign w:val="center"/>
                  </w:tcPr>
                  <w:p>
                    <w:pPr>
                      <w:ind w:firstLine="53"/>
                      <w:rPr>
                        <w:color w:val="000000"/>
                        <w:sz w:val="20"/>
                      </w:rPr>
                    </w:pPr>
                  </w:p>
                </w:tc>
              </w:tr>
              <w:tr>
                <w:trPr>
                  <w:trHeight w:val="765"/>
                </w:trPr>
                <w:tc>
                  <w:tcPr>
                    <w:tcW w:w="2130" w:type="dxa"/>
                    <w:gridSpan w:val="2"/>
                    <w:vMerge/>
                    <w:vAlign w:val="center"/>
                  </w:tcPr>
                  <w:p>
                    <w:pPr/>
                  </w:p>
                </w:tc>
                <w:tc>
                  <w:tcPr>
                    <w:tcW w:w="699" w:type="dxa"/>
                    <w:vMerge/>
                    <w:vAlign w:val="center"/>
                  </w:tcPr>
                  <w:p>
                    <w:pPr/>
                  </w:p>
                </w:tc>
                <w:tc>
                  <w:tcPr>
                    <w:tcW w:w="2099" w:type="dxa"/>
                    <w:gridSpan w:val="2"/>
                    <w:vMerge/>
                    <w:vAlign w:val="center"/>
                  </w:tcPr>
                  <w:p>
                    <w:pPr/>
                  </w:p>
                </w:tc>
                <w:tc>
                  <w:tcPr>
                    <w:tcW w:w="680" w:type="dxa"/>
                    <w:vMerge/>
                    <w:vAlign w:val="center"/>
                  </w:tcPr>
                  <w:p>
                    <w:pPr/>
                  </w:p>
                </w:tc>
                <w:tc>
                  <w:tcPr>
                    <w:tcW w:w="1081" w:type="dxa"/>
                    <w:gridSpan w:val="5"/>
                    <w:vMerge/>
                    <w:vAlign w:val="center"/>
                  </w:tcPr>
                  <w:p>
                    <w:pPr/>
                  </w:p>
                </w:tc>
                <w:tc>
                  <w:tcPr>
                    <w:tcW w:w="625" w:type="dxa"/>
                    <w:vMerge/>
                    <w:vAlign w:val="center"/>
                  </w:tcPr>
                  <w:p>
                    <w:pPr/>
                  </w:p>
                </w:tc>
                <w:tc>
                  <w:tcPr>
                    <w:tcW w:w="1191" w:type="dxa"/>
                    <w:gridSpan w:val="3"/>
                    <w:tcMar>
                      <w:left w:w="105" w:type="dxa"/>
                      <w:right w:w="105" w:type="dxa"/>
                    </w:tcMar>
                  </w:tcPr>
                  <w:p>
                    <w:pPr>
                      <w:rPr>
                        <w:sz w:val="4"/>
                        <w:szCs w:val="4"/>
                      </w:rPr>
                    </w:pPr>
                  </w:p>
                  <w:p>
                    <w:pPr>
                      <w:jc w:val="center"/>
                      <w:rPr>
                        <w:color w:val="000000"/>
                        <w:sz w:val="20"/>
                      </w:rPr>
                    </w:pPr>
                    <w:r>
                      <w:rPr>
                        <w:color w:val="000000"/>
                        <w:sz w:val="20"/>
                      </w:rPr>
                      <w:t>6 857,123</w:t>
                    </w:r>
                  </w:p>
                </w:tc>
                <w:tc>
                  <w:tcPr>
                    <w:tcW w:w="1118" w:type="dxa"/>
                    <w:tcMar>
                      <w:left w:w="105" w:type="dxa"/>
                      <w:right w:w="105" w:type="dxa"/>
                    </w:tcMar>
                  </w:tcPr>
                  <w:p>
                    <w:pPr>
                      <w:rPr>
                        <w:color w:val="000000"/>
                        <w:sz w:val="20"/>
                      </w:rPr>
                    </w:pPr>
                    <w:r>
                      <w:rPr>
                        <w:color w:val="000000"/>
                        <w:sz w:val="20"/>
                      </w:rPr>
                      <w:t>2021–2027 m. IP (ERPF, Sostinės regionas)</w:t>
                    </w:r>
                  </w:p>
                </w:tc>
                <w:tc>
                  <w:tcPr>
                    <w:tcW w:w="2001" w:type="dxa"/>
                    <w:gridSpan w:val="2"/>
                    <w:vMerge/>
                    <w:vAlign w:val="center"/>
                  </w:tcPr>
                  <w:p>
                    <w:pPr/>
                  </w:p>
                </w:tc>
                <w:tc>
                  <w:tcPr>
                    <w:tcW w:w="1001" w:type="dxa"/>
                    <w:vMerge/>
                    <w:vAlign w:val="center"/>
                  </w:tcPr>
                  <w:p>
                    <w:pPr/>
                  </w:p>
                </w:tc>
                <w:tc>
                  <w:tcPr>
                    <w:tcW w:w="1125" w:type="dxa"/>
                    <w:gridSpan w:val="2"/>
                    <w:vMerge/>
                    <w:vAlign w:val="center"/>
                  </w:tcPr>
                  <w:p>
                    <w:pPr/>
                  </w:p>
                </w:tc>
                <w:tc>
                  <w:tcPr>
                    <w:tcW w:w="1279" w:type="dxa"/>
                    <w:vMerge/>
                    <w:vAlign w:val="center"/>
                  </w:tcPr>
                  <w:p>
                    <w:pPr/>
                  </w:p>
                </w:tc>
              </w:tr>
              <w:tr>
                <w:trPr>
                  <w:trHeight w:val="420"/>
                </w:trPr>
                <w:tc>
                  <w:tcPr>
                    <w:tcW w:w="2130" w:type="dxa"/>
                    <w:gridSpan w:val="2"/>
                    <w:vMerge/>
                    <w:vAlign w:val="center"/>
                  </w:tcPr>
                  <w:p>
                    <w:pPr/>
                  </w:p>
                </w:tc>
                <w:tc>
                  <w:tcPr>
                    <w:tcW w:w="699" w:type="dxa"/>
                    <w:vMerge/>
                    <w:vAlign w:val="center"/>
                  </w:tcPr>
                  <w:p>
                    <w:pPr/>
                  </w:p>
                </w:tc>
                <w:tc>
                  <w:tcPr>
                    <w:tcW w:w="2099" w:type="dxa"/>
                    <w:gridSpan w:val="2"/>
                    <w:vMerge/>
                    <w:vAlign w:val="center"/>
                  </w:tcPr>
                  <w:p>
                    <w:pPr/>
                  </w:p>
                </w:tc>
                <w:tc>
                  <w:tcPr>
                    <w:tcW w:w="680" w:type="dxa"/>
                    <w:vMerge/>
                    <w:vAlign w:val="center"/>
                  </w:tcPr>
                  <w:p>
                    <w:pPr/>
                  </w:p>
                </w:tc>
                <w:tc>
                  <w:tcPr>
                    <w:tcW w:w="1081" w:type="dxa"/>
                    <w:gridSpan w:val="5"/>
                    <w:vMerge/>
                    <w:vAlign w:val="center"/>
                  </w:tcPr>
                  <w:p>
                    <w:pPr/>
                  </w:p>
                </w:tc>
                <w:tc>
                  <w:tcPr>
                    <w:tcW w:w="625" w:type="dxa"/>
                    <w:vMerge/>
                    <w:vAlign w:val="center"/>
                  </w:tcPr>
                  <w:p>
                    <w:pPr/>
                  </w:p>
                </w:tc>
                <w:tc>
                  <w:tcPr>
                    <w:tcW w:w="1191" w:type="dxa"/>
                    <w:gridSpan w:val="3"/>
                    <w:tcMar>
                      <w:left w:w="105" w:type="dxa"/>
                      <w:right w:w="105" w:type="dxa"/>
                    </w:tcMar>
                  </w:tcPr>
                  <w:p>
                    <w:pPr>
                      <w:rPr>
                        <w:sz w:val="4"/>
                        <w:szCs w:val="4"/>
                      </w:rPr>
                    </w:pPr>
                  </w:p>
                  <w:p>
                    <w:pPr>
                      <w:jc w:val="center"/>
                      <w:rPr>
                        <w:color w:val="000000"/>
                        <w:sz w:val="20"/>
                      </w:rPr>
                    </w:pPr>
                    <w:r>
                      <w:rPr>
                        <w:color w:val="000000"/>
                        <w:sz w:val="20"/>
                      </w:rPr>
                      <w:t>6 857,123</w:t>
                    </w:r>
                  </w:p>
                </w:tc>
                <w:tc>
                  <w:tcPr>
                    <w:tcW w:w="1118" w:type="dxa"/>
                    <w:tcMar>
                      <w:left w:w="105" w:type="dxa"/>
                      <w:right w:w="105" w:type="dxa"/>
                    </w:tcMar>
                  </w:tcPr>
                  <w:p>
                    <w:pPr>
                      <w:rPr>
                        <w:color w:val="000000"/>
                        <w:sz w:val="20"/>
                      </w:rPr>
                    </w:pPr>
                    <w:r>
                      <w:rPr>
                        <w:color w:val="000000"/>
                        <w:sz w:val="20"/>
                      </w:rPr>
                      <w:t>2021–2027 m. IP (BF, Sostinės regionas)</w:t>
                    </w:r>
                  </w:p>
                </w:tc>
                <w:tc>
                  <w:tcPr>
                    <w:tcW w:w="2001" w:type="dxa"/>
                    <w:gridSpan w:val="2"/>
                    <w:vMerge/>
                    <w:vAlign w:val="center"/>
                  </w:tcPr>
                  <w:p>
                    <w:pPr/>
                  </w:p>
                </w:tc>
                <w:tc>
                  <w:tcPr>
                    <w:tcW w:w="1001" w:type="dxa"/>
                    <w:vMerge/>
                    <w:vAlign w:val="center"/>
                  </w:tcPr>
                  <w:p>
                    <w:pPr/>
                  </w:p>
                </w:tc>
                <w:tc>
                  <w:tcPr>
                    <w:tcW w:w="1125" w:type="dxa"/>
                    <w:gridSpan w:val="2"/>
                    <w:vMerge/>
                    <w:vAlign w:val="center"/>
                  </w:tcPr>
                  <w:p>
                    <w:pPr/>
                  </w:p>
                </w:tc>
                <w:tc>
                  <w:tcPr>
                    <w:tcW w:w="1279" w:type="dxa"/>
                    <w:vMerge/>
                    <w:vAlign w:val="center"/>
                  </w:tcPr>
                  <w:p>
                    <w:pPr/>
                  </w:p>
                </w:tc>
              </w:tr>
              <w:tr>
                <w:trPr>
                  <w:trHeight w:val="420"/>
                </w:trPr>
                <w:tc>
                  <w:tcPr>
                    <w:tcW w:w="2130" w:type="dxa"/>
                    <w:gridSpan w:val="2"/>
                    <w:vMerge/>
                    <w:vAlign w:val="center"/>
                  </w:tcPr>
                  <w:p>
                    <w:pPr/>
                  </w:p>
                </w:tc>
                <w:tc>
                  <w:tcPr>
                    <w:tcW w:w="699" w:type="dxa"/>
                    <w:vMerge/>
                    <w:vAlign w:val="center"/>
                  </w:tcPr>
                  <w:p>
                    <w:pPr/>
                  </w:p>
                </w:tc>
                <w:tc>
                  <w:tcPr>
                    <w:tcW w:w="2099" w:type="dxa"/>
                    <w:gridSpan w:val="2"/>
                    <w:vMerge/>
                    <w:vAlign w:val="center"/>
                  </w:tcPr>
                  <w:p>
                    <w:pPr/>
                  </w:p>
                </w:tc>
                <w:tc>
                  <w:tcPr>
                    <w:tcW w:w="680" w:type="dxa"/>
                    <w:vMerge/>
                    <w:vAlign w:val="center"/>
                  </w:tcPr>
                  <w:p>
                    <w:pPr/>
                  </w:p>
                </w:tc>
                <w:tc>
                  <w:tcPr>
                    <w:tcW w:w="1081" w:type="dxa"/>
                    <w:gridSpan w:val="5"/>
                    <w:vMerge/>
                    <w:vAlign w:val="center"/>
                  </w:tcPr>
                  <w:p>
                    <w:pPr/>
                  </w:p>
                </w:tc>
                <w:tc>
                  <w:tcPr>
                    <w:tcW w:w="625" w:type="dxa"/>
                    <w:vMerge/>
                    <w:vAlign w:val="center"/>
                  </w:tcPr>
                  <w:p>
                    <w:pPr/>
                  </w:p>
                </w:tc>
                <w:tc>
                  <w:tcPr>
                    <w:tcW w:w="1191" w:type="dxa"/>
                    <w:gridSpan w:val="3"/>
                    <w:tcMar>
                      <w:left w:w="105" w:type="dxa"/>
                      <w:right w:w="105" w:type="dxa"/>
                    </w:tcMar>
                  </w:tcPr>
                  <w:p>
                    <w:pPr>
                      <w:rPr>
                        <w:sz w:val="4"/>
                        <w:szCs w:val="4"/>
                      </w:rPr>
                    </w:pPr>
                  </w:p>
                  <w:p>
                    <w:pPr>
                      <w:jc w:val="center"/>
                      <w:rPr>
                        <w:color w:val="000000"/>
                        <w:sz w:val="20"/>
                      </w:rPr>
                    </w:pPr>
                    <w:r>
                      <w:rPr>
                        <w:color w:val="000000"/>
                        <w:sz w:val="20"/>
                      </w:rPr>
                      <w:t>34 160,046</w:t>
                    </w:r>
                  </w:p>
                </w:tc>
                <w:tc>
                  <w:tcPr>
                    <w:tcW w:w="1118" w:type="dxa"/>
                    <w:tcMar>
                      <w:left w:w="105" w:type="dxa"/>
                      <w:right w:w="105" w:type="dxa"/>
                    </w:tcMar>
                  </w:tcPr>
                  <w:p>
                    <w:pPr>
                      <w:rPr>
                        <w:color w:val="000000"/>
                        <w:sz w:val="20"/>
                      </w:rPr>
                    </w:pPr>
                    <w:r>
                      <w:rPr>
                        <w:color w:val="000000"/>
                        <w:sz w:val="20"/>
                      </w:rPr>
                      <w:t>2021–2027 m. IP (ERPF, VVL regionas)</w:t>
                    </w:r>
                  </w:p>
                </w:tc>
                <w:tc>
                  <w:tcPr>
                    <w:tcW w:w="2001" w:type="dxa"/>
                    <w:gridSpan w:val="2"/>
                    <w:vMerge/>
                    <w:vAlign w:val="center"/>
                  </w:tcPr>
                  <w:p>
                    <w:pPr/>
                  </w:p>
                </w:tc>
                <w:tc>
                  <w:tcPr>
                    <w:tcW w:w="1001" w:type="dxa"/>
                    <w:vMerge/>
                    <w:vAlign w:val="center"/>
                  </w:tcPr>
                  <w:p>
                    <w:pPr/>
                  </w:p>
                </w:tc>
                <w:tc>
                  <w:tcPr>
                    <w:tcW w:w="1125" w:type="dxa"/>
                    <w:gridSpan w:val="2"/>
                    <w:vMerge/>
                    <w:vAlign w:val="center"/>
                  </w:tcPr>
                  <w:p>
                    <w:pPr/>
                  </w:p>
                </w:tc>
                <w:tc>
                  <w:tcPr>
                    <w:tcW w:w="1279" w:type="dxa"/>
                    <w:vMerge/>
                    <w:vAlign w:val="center"/>
                  </w:tcPr>
                  <w:p>
                    <w:pPr/>
                  </w:p>
                </w:tc>
              </w:tr>
              <w:tr>
                <w:trPr>
                  <w:trHeight w:val="420"/>
                </w:trPr>
                <w:tc>
                  <w:tcPr>
                    <w:tcW w:w="2130" w:type="dxa"/>
                    <w:gridSpan w:val="2"/>
                    <w:vMerge/>
                    <w:vAlign w:val="center"/>
                  </w:tcPr>
                  <w:p>
                    <w:pPr/>
                  </w:p>
                </w:tc>
                <w:tc>
                  <w:tcPr>
                    <w:tcW w:w="699" w:type="dxa"/>
                    <w:vMerge/>
                    <w:vAlign w:val="center"/>
                  </w:tcPr>
                  <w:p>
                    <w:pPr/>
                  </w:p>
                </w:tc>
                <w:tc>
                  <w:tcPr>
                    <w:tcW w:w="2099" w:type="dxa"/>
                    <w:gridSpan w:val="2"/>
                    <w:vMerge/>
                    <w:vAlign w:val="center"/>
                  </w:tcPr>
                  <w:p>
                    <w:pPr/>
                  </w:p>
                </w:tc>
                <w:tc>
                  <w:tcPr>
                    <w:tcW w:w="680" w:type="dxa"/>
                    <w:vMerge/>
                    <w:vAlign w:val="center"/>
                  </w:tcPr>
                  <w:p>
                    <w:pPr/>
                  </w:p>
                </w:tc>
                <w:tc>
                  <w:tcPr>
                    <w:tcW w:w="1081" w:type="dxa"/>
                    <w:gridSpan w:val="5"/>
                    <w:vMerge/>
                    <w:vAlign w:val="center"/>
                  </w:tcPr>
                  <w:p>
                    <w:pPr/>
                  </w:p>
                </w:tc>
                <w:tc>
                  <w:tcPr>
                    <w:tcW w:w="625" w:type="dxa"/>
                    <w:vMerge/>
                    <w:vAlign w:val="center"/>
                  </w:tcPr>
                  <w:p>
                    <w:pPr/>
                  </w:p>
                </w:tc>
                <w:tc>
                  <w:tcPr>
                    <w:tcW w:w="1191" w:type="dxa"/>
                    <w:gridSpan w:val="3"/>
                    <w:tcMar>
                      <w:left w:w="105" w:type="dxa"/>
                      <w:right w:w="105" w:type="dxa"/>
                    </w:tcMar>
                  </w:tcPr>
                  <w:p>
                    <w:pPr>
                      <w:rPr>
                        <w:sz w:val="4"/>
                        <w:szCs w:val="4"/>
                      </w:rPr>
                    </w:pPr>
                  </w:p>
                  <w:p>
                    <w:pPr>
                      <w:jc w:val="center"/>
                      <w:rPr>
                        <w:color w:val="000000"/>
                        <w:sz w:val="20"/>
                      </w:rPr>
                    </w:pPr>
                    <w:r>
                      <w:rPr>
                        <w:color w:val="000000"/>
                        <w:sz w:val="20"/>
                      </w:rPr>
                      <w:t>6 028,243</w:t>
                    </w:r>
                  </w:p>
                </w:tc>
                <w:tc>
                  <w:tcPr>
                    <w:tcW w:w="1118" w:type="dxa"/>
                    <w:tcMar>
                      <w:left w:w="105" w:type="dxa"/>
                      <w:right w:w="105" w:type="dxa"/>
                    </w:tcMar>
                  </w:tcPr>
                  <w:p>
                    <w:pPr>
                      <w:rPr>
                        <w:color w:val="000000"/>
                        <w:sz w:val="20"/>
                      </w:rPr>
                    </w:pPr>
                    <w:r>
                      <w:rPr>
                        <w:color w:val="000000"/>
                        <w:sz w:val="20"/>
                      </w:rPr>
                      <w:t>2021–2027 m. IP (BF, VVL regionas)</w:t>
                    </w:r>
                  </w:p>
                </w:tc>
                <w:tc>
                  <w:tcPr>
                    <w:tcW w:w="2001" w:type="dxa"/>
                    <w:gridSpan w:val="2"/>
                    <w:vMerge/>
                    <w:vAlign w:val="center"/>
                  </w:tcPr>
                  <w:p>
                    <w:pPr/>
                  </w:p>
                </w:tc>
                <w:tc>
                  <w:tcPr>
                    <w:tcW w:w="1001" w:type="dxa"/>
                    <w:vMerge/>
                    <w:vAlign w:val="center"/>
                  </w:tcPr>
                  <w:p>
                    <w:pPr/>
                  </w:p>
                </w:tc>
                <w:tc>
                  <w:tcPr>
                    <w:tcW w:w="1125" w:type="dxa"/>
                    <w:gridSpan w:val="2"/>
                    <w:vMerge/>
                    <w:vAlign w:val="center"/>
                  </w:tcPr>
                  <w:p>
                    <w:pPr/>
                  </w:p>
                </w:tc>
                <w:tc>
                  <w:tcPr>
                    <w:tcW w:w="1279" w:type="dxa"/>
                    <w:vMerge/>
                    <w:vAlign w:val="center"/>
                  </w:tcPr>
                  <w:p>
                    <w:pPr/>
                  </w:p>
                </w:tc>
              </w:tr>
              <w:tr>
                <w:trPr>
                  <w:trHeight w:val="420"/>
                </w:trPr>
                <w:tc>
                  <w:tcPr>
                    <w:tcW w:w="2130" w:type="dxa"/>
                    <w:gridSpan w:val="2"/>
                    <w:tcMar>
                      <w:left w:w="105" w:type="dxa"/>
                      <w:right w:w="105" w:type="dxa"/>
                    </w:tcMar>
                  </w:tcPr>
                  <w:p>
                    <w:pPr>
                      <w:rPr>
                        <w:color w:val="000000"/>
                        <w:sz w:val="20"/>
                      </w:rPr>
                    </w:pPr>
                    <w:r>
                      <w:rPr>
                        <w:color w:val="000000"/>
                        <w:sz w:val="20"/>
                      </w:rPr>
                      <w:t>9.1. Centralizuotą greitosios medicinos pagalbos teikimą reglamentuojančių teisės aktų parengimas</w:t>
                    </w:r>
                  </w:p>
                </w:tc>
                <w:tc>
                  <w:tcPr>
                    <w:tcW w:w="699" w:type="dxa"/>
                    <w:tcMar>
                      <w:left w:w="105" w:type="dxa"/>
                      <w:right w:w="105" w:type="dxa"/>
                    </w:tcMar>
                  </w:tcPr>
                  <w:p>
                    <w:pPr>
                      <w:rPr>
                        <w:color w:val="000000"/>
                        <w:sz w:val="20"/>
                      </w:rPr>
                    </w:pPr>
                    <w:r>
                      <w:rPr>
                        <w:color w:val="000000"/>
                        <w:sz w:val="20"/>
                      </w:rPr>
                      <w:t>R</w:t>
                    </w:r>
                  </w:p>
                </w:tc>
                <w:tc>
                  <w:tcPr>
                    <w:tcW w:w="2099" w:type="dxa"/>
                    <w:gridSpan w:val="2"/>
                    <w:tcMar>
                      <w:left w:w="105" w:type="dxa"/>
                      <w:right w:w="105" w:type="dxa"/>
                    </w:tcMar>
                  </w:tcPr>
                  <w:p>
                    <w:pPr>
                      <w:rPr>
                        <w:color w:val="000000"/>
                        <w:sz w:val="20"/>
                      </w:rPr>
                    </w:pPr>
                    <w:r>
                      <w:rPr>
                        <w:color w:val="000000"/>
                        <w:sz w:val="20"/>
                      </w:rPr>
                      <w:t>-</w:t>
                    </w:r>
                  </w:p>
                </w:tc>
                <w:tc>
                  <w:tcPr>
                    <w:tcW w:w="680" w:type="dxa"/>
                    <w:tcMar>
                      <w:left w:w="105" w:type="dxa"/>
                      <w:right w:w="105" w:type="dxa"/>
                    </w:tcMar>
                  </w:tcPr>
                  <w:p>
                    <w:pPr>
                      <w:rPr>
                        <w:color w:val="000000"/>
                        <w:sz w:val="20"/>
                      </w:rPr>
                    </w:pPr>
                    <w:r>
                      <w:rPr>
                        <w:color w:val="000000"/>
                        <w:sz w:val="20"/>
                      </w:rPr>
                      <w:t>-</w:t>
                    </w:r>
                  </w:p>
                </w:tc>
                <w:tc>
                  <w:tcPr>
                    <w:tcW w:w="1081" w:type="dxa"/>
                    <w:gridSpan w:val="5"/>
                    <w:tcMar>
                      <w:left w:w="105" w:type="dxa"/>
                      <w:right w:w="105" w:type="dxa"/>
                    </w:tcMar>
                  </w:tcPr>
                  <w:p>
                    <w:pPr>
                      <w:rPr>
                        <w:color w:val="000000"/>
                        <w:sz w:val="20"/>
                      </w:rPr>
                    </w:pPr>
                    <w:r>
                      <w:rPr>
                        <w:color w:val="000000"/>
                        <w:sz w:val="20"/>
                      </w:rPr>
                      <w:t>Taip</w:t>
                    </w:r>
                  </w:p>
                </w:tc>
                <w:tc>
                  <w:tcPr>
                    <w:tcW w:w="625" w:type="dxa"/>
                    <w:tcMar>
                      <w:left w:w="105" w:type="dxa"/>
                      <w:right w:w="105" w:type="dxa"/>
                    </w:tcMar>
                  </w:tcPr>
                  <w:p>
                    <w:pPr>
                      <w:rPr>
                        <w:color w:val="000000"/>
                        <w:sz w:val="20"/>
                      </w:rPr>
                    </w:pPr>
                    <w:r>
                      <w:rPr>
                        <w:color w:val="000000"/>
                        <w:sz w:val="20"/>
                      </w:rPr>
                      <w:t>-</w:t>
                    </w:r>
                  </w:p>
                </w:tc>
                <w:tc>
                  <w:tcPr>
                    <w:tcW w:w="1191" w:type="dxa"/>
                    <w:gridSpan w:val="3"/>
                    <w:tcMar>
                      <w:left w:w="105" w:type="dxa"/>
                      <w:right w:w="105" w:type="dxa"/>
                    </w:tcMar>
                  </w:tcPr>
                  <w:p>
                    <w:pPr>
                      <w:rPr>
                        <w:color w:val="000000"/>
                        <w:sz w:val="20"/>
                      </w:rPr>
                    </w:pPr>
                    <w:r>
                      <w:rPr>
                        <w:color w:val="000000"/>
                        <w:sz w:val="20"/>
                        <w:lang w:val="en-US"/>
                      </w:rPr>
                      <w:t>-</w:t>
                    </w:r>
                  </w:p>
                </w:tc>
                <w:tc>
                  <w:tcPr>
                    <w:tcW w:w="1118" w:type="dxa"/>
                    <w:tcMar>
                      <w:left w:w="105" w:type="dxa"/>
                      <w:right w:w="105" w:type="dxa"/>
                    </w:tcMar>
                  </w:tcPr>
                  <w:p>
                    <w:pPr>
                      <w:rPr>
                        <w:color w:val="000000"/>
                        <w:sz w:val="20"/>
                      </w:rPr>
                    </w:pPr>
                    <w:r>
                      <w:rPr>
                        <w:color w:val="000000"/>
                        <w:sz w:val="20"/>
                      </w:rPr>
                      <w:t>-</w:t>
                    </w:r>
                  </w:p>
                </w:tc>
                <w:tc>
                  <w:tcPr>
                    <w:tcW w:w="2001" w:type="dxa"/>
                    <w:gridSpan w:val="2"/>
                    <w:tcMar>
                      <w:left w:w="105" w:type="dxa"/>
                      <w:right w:w="105" w:type="dxa"/>
                    </w:tcMar>
                  </w:tcPr>
                  <w:p>
                    <w:pPr>
                      <w:ind w:left="-57" w:right="-57"/>
                      <w:rPr>
                        <w:color w:val="000000"/>
                        <w:sz w:val="20"/>
                      </w:rPr>
                    </w:pPr>
                    <w:r>
                      <w:rPr>
                        <w:color w:val="000000"/>
                        <w:sz w:val="20"/>
                      </w:rPr>
                      <w:t xml:space="preserve">P – Lietuvos Respublikos sveikatos priežiūros įstaigų įstatymo, Lietuvos Respublikos sveikatos sistemos įstatymo ir susijusių teisės aktų pakeitimų įsigaliojimas, kompl. </w:t>
                    </w:r>
                  </w:p>
                </w:tc>
                <w:tc>
                  <w:tcPr>
                    <w:tcW w:w="1001" w:type="dxa"/>
                    <w:tcMar>
                      <w:left w:w="105" w:type="dxa"/>
                      <w:right w:w="105" w:type="dxa"/>
                    </w:tcMar>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IV ketv.)</w:t>
                    </w:r>
                  </w:p>
                </w:tc>
                <w:tc>
                  <w:tcPr>
                    <w:tcW w:w="1125" w:type="dxa"/>
                    <w:gridSpan w:val="2"/>
                    <w:tcMar>
                      <w:left w:w="105" w:type="dxa"/>
                      <w:right w:w="105" w:type="dxa"/>
                    </w:tcMar>
                  </w:tcPr>
                  <w:p>
                    <w:pPr>
                      <w:jc w:val="center"/>
                      <w:rPr>
                        <w:color w:val="000000"/>
                        <w:sz w:val="20"/>
                      </w:rPr>
                    </w:pPr>
                    <w:r>
                      <w:rPr>
                        <w:color w:val="000000"/>
                        <w:sz w:val="20"/>
                      </w:rPr>
                      <w:t>-</w:t>
                    </w:r>
                  </w:p>
                </w:tc>
                <w:tc>
                  <w:tcPr>
                    <w:tcW w:w="1279" w:type="dxa"/>
                    <w:tcMar>
                      <w:left w:w="105" w:type="dxa"/>
                      <w:right w:w="105" w:type="dxa"/>
                    </w:tcMar>
                  </w:tcPr>
                  <w:p>
                    <w:pPr>
                      <w:jc w:val="center"/>
                      <w:rPr>
                        <w:color w:val="000000"/>
                        <w:sz w:val="20"/>
                      </w:rPr>
                    </w:pPr>
                    <w:r>
                      <w:rPr>
                        <w:color w:val="000000"/>
                        <w:sz w:val="20"/>
                      </w:rPr>
                      <w:t>SAM</w:t>
                    </w:r>
                  </w:p>
                </w:tc>
              </w:tr>
              <w:tr>
                <w:trPr>
                  <w:trHeight w:val="1290"/>
                </w:trPr>
                <w:tc>
                  <w:tcPr>
                    <w:tcW w:w="2130" w:type="dxa"/>
                    <w:gridSpan w:val="2"/>
                    <w:vMerge w:val="restart"/>
                    <w:tcMar>
                      <w:left w:w="105" w:type="dxa"/>
                      <w:right w:w="105" w:type="dxa"/>
                    </w:tcMar>
                  </w:tcPr>
                  <w:p>
                    <w:pPr>
                      <w:rPr>
                        <w:color w:val="000000"/>
                        <w:sz w:val="20"/>
                      </w:rPr>
                    </w:pPr>
                    <w:r>
                      <w:rPr>
                        <w:color w:val="000000"/>
                        <w:sz w:val="20"/>
                      </w:rPr>
                      <w:t>9.2. Greitosios medicinos pagalbos automobilių, įrangos įsigijimas</w:t>
                    </w:r>
                    <w:r>
                      <w:rPr>
                        <w:color w:val="0070C0"/>
                        <w:sz w:val="20"/>
                      </w:rPr>
                      <w:t xml:space="preserve">, </w:t>
                    </w:r>
                    <w:r>
                      <w:rPr>
                        <w:color w:val="000000"/>
                        <w:sz w:val="20"/>
                      </w:rPr>
                      <w:t>greitosios medicinos pagalbos stočių infrastruktūros pritaikymas, Sostinės regionas</w:t>
                    </w:r>
                  </w:p>
                </w:tc>
                <w:tc>
                  <w:tcPr>
                    <w:tcW w:w="699" w:type="dxa"/>
                    <w:vMerge w:val="restart"/>
                    <w:tcMar>
                      <w:left w:w="105" w:type="dxa"/>
                      <w:right w:w="105" w:type="dxa"/>
                    </w:tcMar>
                  </w:tcPr>
                  <w:p>
                    <w:pPr>
                      <w:rPr>
                        <w:color w:val="000000"/>
                        <w:sz w:val="20"/>
                      </w:rPr>
                    </w:pPr>
                    <w:r>
                      <w:rPr>
                        <w:color w:val="000000"/>
                        <w:sz w:val="20"/>
                      </w:rPr>
                      <w:t>I</w:t>
                    </w:r>
                  </w:p>
                </w:tc>
                <w:tc>
                  <w:tcPr>
                    <w:tcW w:w="2099" w:type="dxa"/>
                    <w:gridSpan w:val="2"/>
                    <w:vMerge w:val="restart"/>
                    <w:tcMar>
                      <w:left w:w="105" w:type="dxa"/>
                      <w:right w:w="105" w:type="dxa"/>
                    </w:tcMar>
                  </w:tcPr>
                  <w:p>
                    <w:pPr>
                      <w:rPr>
                        <w:color w:val="000000"/>
                        <w:sz w:val="20"/>
                      </w:rPr>
                    </w:pPr>
                    <w:r>
                      <w:rPr>
                        <w:color w:val="000000"/>
                        <w:sz w:val="20"/>
                      </w:rPr>
                      <w:t>Greitosios medicinos pagalbos tarnyba (toliau –GMP tarnyba)</w:t>
                    </w:r>
                  </w:p>
                </w:tc>
                <w:tc>
                  <w:tcPr>
                    <w:tcW w:w="680" w:type="dxa"/>
                    <w:vMerge w:val="restart"/>
                    <w:tcMar>
                      <w:left w:w="105" w:type="dxa"/>
                      <w:right w:w="105" w:type="dxa"/>
                    </w:tcMar>
                  </w:tcPr>
                  <w:p>
                    <w:pPr>
                      <w:rPr>
                        <w:color w:val="000000"/>
                        <w:sz w:val="20"/>
                      </w:rPr>
                    </w:pPr>
                    <w:r>
                      <w:rPr>
                        <w:color w:val="000000"/>
                        <w:sz w:val="20"/>
                      </w:rPr>
                      <w:t>P</w:t>
                    </w:r>
                  </w:p>
                </w:tc>
                <w:tc>
                  <w:tcPr>
                    <w:tcW w:w="1081" w:type="dxa"/>
                    <w:gridSpan w:val="5"/>
                    <w:vMerge w:val="restart"/>
                    <w:tcMar>
                      <w:left w:w="105" w:type="dxa"/>
                      <w:right w:w="105" w:type="dxa"/>
                    </w:tcMar>
                  </w:tcPr>
                  <w:p>
                    <w:pPr>
                      <w:rPr>
                        <w:color w:val="000000"/>
                        <w:sz w:val="20"/>
                      </w:rPr>
                    </w:pPr>
                    <w:r>
                      <w:rPr>
                        <w:color w:val="000000"/>
                        <w:sz w:val="20"/>
                      </w:rPr>
                      <w:t>Taip</w:t>
                    </w:r>
                  </w:p>
                </w:tc>
                <w:tc>
                  <w:tcPr>
                    <w:tcW w:w="625" w:type="dxa"/>
                    <w:vMerge w:val="restart"/>
                    <w:tcMar>
                      <w:left w:w="105" w:type="dxa"/>
                      <w:right w:w="105" w:type="dxa"/>
                    </w:tcMar>
                  </w:tcPr>
                  <w:p>
                    <w:pPr>
                      <w:rPr>
                        <w:color w:val="000000"/>
                        <w:sz w:val="20"/>
                      </w:rPr>
                    </w:pPr>
                    <w:r>
                      <w:rPr>
                        <w:color w:val="000000"/>
                        <w:sz w:val="20"/>
                      </w:rPr>
                      <w:t>D</w:t>
                    </w:r>
                  </w:p>
                </w:tc>
                <w:tc>
                  <w:tcPr>
                    <w:tcW w:w="1191" w:type="dxa"/>
                    <w:gridSpan w:val="3"/>
                    <w:tcMar>
                      <w:left w:w="105" w:type="dxa"/>
                      <w:right w:w="105" w:type="dxa"/>
                    </w:tcMar>
                  </w:tcPr>
                  <w:p>
                    <w:pPr>
                      <w:jc w:val="center"/>
                      <w:rPr>
                        <w:color w:val="000000"/>
                        <w:sz w:val="20"/>
                      </w:rPr>
                    </w:pPr>
                    <w:r>
                      <w:rPr>
                        <w:color w:val="000000"/>
                        <w:sz w:val="20"/>
                      </w:rPr>
                      <w:t>6 857,123</w:t>
                    </w:r>
                  </w:p>
                </w:tc>
                <w:tc>
                  <w:tcPr>
                    <w:tcW w:w="1118" w:type="dxa"/>
                    <w:tcMar>
                      <w:left w:w="105" w:type="dxa"/>
                      <w:right w:w="105" w:type="dxa"/>
                    </w:tcMar>
                  </w:tcPr>
                  <w:p>
                    <w:pPr>
                      <w:rPr>
                        <w:color w:val="000000"/>
                        <w:sz w:val="20"/>
                      </w:rPr>
                    </w:pPr>
                    <w:r>
                      <w:rPr>
                        <w:color w:val="000000"/>
                        <w:sz w:val="20"/>
                      </w:rPr>
                      <w:t>2021–2027 m. IP (ERPF)</w:t>
                    </w:r>
                  </w:p>
                </w:tc>
                <w:tc>
                  <w:tcPr>
                    <w:tcW w:w="2001" w:type="dxa"/>
                    <w:gridSpan w:val="2"/>
                    <w:tcMar>
                      <w:left w:w="105" w:type="dxa"/>
                      <w:right w:w="105" w:type="dxa"/>
                    </w:tcMar>
                  </w:tcPr>
                  <w:p>
                    <w:pPr>
                      <w:ind w:left="-57" w:right="-57"/>
                      <w:rPr>
                        <w:color w:val="000000"/>
                        <w:sz w:val="20"/>
                      </w:rPr>
                    </w:pPr>
                    <w:r>
                      <w:rPr>
                        <w:color w:val="000000"/>
                        <w:sz w:val="20"/>
                      </w:rPr>
                      <w:t xml:space="preserve">P – Greitosios medicinos pagalbos paslaugų infrastruktūros, kuriai skirta parama, pajėgumas, asmenys per metus </w:t>
                    </w:r>
                  </w:p>
                </w:tc>
                <w:tc>
                  <w:tcPr>
                    <w:tcW w:w="1001" w:type="dxa"/>
                    <w:tcMar>
                      <w:left w:w="105" w:type="dxa"/>
                      <w:right w:w="105" w:type="dxa"/>
                    </w:tcMar>
                  </w:tcPr>
                  <w:p>
                    <w:pPr>
                      <w:ind w:left="-57" w:right="-57"/>
                      <w:jc w:val="center"/>
                      <w:rPr>
                        <w:color w:val="000000"/>
                        <w:sz w:val="20"/>
                      </w:rPr>
                    </w:pPr>
                    <w:r>
                      <w:rPr>
                        <w:color w:val="000000"/>
                        <w:sz w:val="20"/>
                      </w:rPr>
                      <w:t>790 000</w:t>
                    </w:r>
                  </w:p>
                  <w:p>
                    <w:pPr>
                      <w:ind w:left="-57" w:right="-57"/>
                      <w:jc w:val="center"/>
                      <w:rPr>
                        <w:color w:val="000000"/>
                        <w:sz w:val="20"/>
                      </w:rPr>
                    </w:pPr>
                    <w:r>
                      <w:rPr>
                        <w:color w:val="000000"/>
                        <w:sz w:val="20"/>
                      </w:rPr>
                      <w:t>(2029 m.)</w:t>
                    </w:r>
                  </w:p>
                </w:tc>
                <w:tc>
                  <w:tcPr>
                    <w:tcW w:w="1125" w:type="dxa"/>
                    <w:gridSpan w:val="2"/>
                    <w:vMerge w:val="restart"/>
                    <w:tcMar>
                      <w:left w:w="105" w:type="dxa"/>
                      <w:right w:w="105" w:type="dxa"/>
                    </w:tcMar>
                  </w:tcPr>
                  <w:p>
                    <w:pPr>
                      <w:rPr>
                        <w:color w:val="000000"/>
                        <w:sz w:val="20"/>
                      </w:rPr>
                    </w:pPr>
                    <w:r>
                      <w:rPr>
                        <w:color w:val="000000"/>
                        <w:sz w:val="20"/>
                      </w:rPr>
                      <w:t>CPVA</w:t>
                    </w:r>
                  </w:p>
                </w:tc>
                <w:tc>
                  <w:tcPr>
                    <w:tcW w:w="1279" w:type="dxa"/>
                    <w:vMerge w:val="restart"/>
                    <w:tcMar>
                      <w:left w:w="105" w:type="dxa"/>
                      <w:right w:w="105" w:type="dxa"/>
                    </w:tcMar>
                  </w:tcPr>
                  <w:p>
                    <w:pPr>
                      <w:jc w:val="center"/>
                      <w:rPr>
                        <w:color w:val="000000"/>
                        <w:sz w:val="20"/>
                      </w:rPr>
                    </w:pPr>
                    <w:r>
                      <w:rPr>
                        <w:color w:val="000000"/>
                        <w:sz w:val="20"/>
                      </w:rPr>
                      <w:t>SAM</w:t>
                    </w:r>
                  </w:p>
                </w:tc>
              </w:tr>
              <w:tr>
                <w:trPr>
                  <w:trHeight w:val="930"/>
                </w:trPr>
                <w:tc>
                  <w:tcPr>
                    <w:tcW w:w="2130" w:type="dxa"/>
                    <w:gridSpan w:val="2"/>
                    <w:vMerge/>
                    <w:vAlign w:val="center"/>
                  </w:tcPr>
                  <w:p>
                    <w:pPr/>
                  </w:p>
                </w:tc>
                <w:tc>
                  <w:tcPr>
                    <w:tcW w:w="699" w:type="dxa"/>
                    <w:vMerge/>
                    <w:vAlign w:val="center"/>
                  </w:tcPr>
                  <w:p>
                    <w:pPr/>
                  </w:p>
                </w:tc>
                <w:tc>
                  <w:tcPr>
                    <w:tcW w:w="2099" w:type="dxa"/>
                    <w:gridSpan w:val="2"/>
                    <w:vMerge/>
                    <w:vAlign w:val="center"/>
                  </w:tcPr>
                  <w:p>
                    <w:pPr/>
                  </w:p>
                </w:tc>
                <w:tc>
                  <w:tcPr>
                    <w:tcW w:w="680" w:type="dxa"/>
                    <w:vMerge/>
                    <w:vAlign w:val="center"/>
                  </w:tcPr>
                  <w:p>
                    <w:pPr/>
                  </w:p>
                </w:tc>
                <w:tc>
                  <w:tcPr>
                    <w:tcW w:w="1081" w:type="dxa"/>
                    <w:gridSpan w:val="5"/>
                    <w:vMerge/>
                    <w:vAlign w:val="center"/>
                  </w:tcPr>
                  <w:p>
                    <w:pPr/>
                  </w:p>
                </w:tc>
                <w:tc>
                  <w:tcPr>
                    <w:tcW w:w="625" w:type="dxa"/>
                    <w:vMerge/>
                    <w:vAlign w:val="center"/>
                  </w:tcPr>
                  <w:p>
                    <w:pPr/>
                  </w:p>
                </w:tc>
                <w:tc>
                  <w:tcPr>
                    <w:tcW w:w="1191" w:type="dxa"/>
                    <w:gridSpan w:val="3"/>
                    <w:vMerge w:val="restart"/>
                    <w:tcMar>
                      <w:left w:w="105" w:type="dxa"/>
                      <w:right w:w="105" w:type="dxa"/>
                    </w:tcMar>
                  </w:tcPr>
                  <w:p>
                    <w:pPr>
                      <w:jc w:val="center"/>
                      <w:rPr>
                        <w:color w:val="000000"/>
                        <w:sz w:val="20"/>
                      </w:rPr>
                    </w:pPr>
                    <w:r>
                      <w:rPr>
                        <w:color w:val="000000"/>
                        <w:sz w:val="20"/>
                      </w:rPr>
                      <w:t>6 857,123</w:t>
                    </w:r>
                  </w:p>
                </w:tc>
                <w:tc>
                  <w:tcPr>
                    <w:tcW w:w="1118" w:type="dxa"/>
                    <w:vMerge w:val="restart"/>
                    <w:tcMar>
                      <w:left w:w="105" w:type="dxa"/>
                      <w:right w:w="105" w:type="dxa"/>
                    </w:tcMar>
                  </w:tcPr>
                  <w:p>
                    <w:pPr>
                      <w:rPr>
                        <w:color w:val="000000"/>
                        <w:sz w:val="20"/>
                      </w:rPr>
                    </w:pPr>
                    <w:r>
                      <w:rPr>
                        <w:color w:val="000000"/>
                        <w:sz w:val="20"/>
                      </w:rPr>
                      <w:t>2021–2027 m. IP (BF)</w:t>
                    </w:r>
                  </w:p>
                </w:tc>
                <w:tc>
                  <w:tcPr>
                    <w:tcW w:w="2001" w:type="dxa"/>
                    <w:gridSpan w:val="2"/>
                    <w:shd w:val="clear" w:color="auto" w:fill="FFFFFF" w:themeFill="background1"/>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15 min. (mieste), dalis, proc. </w:t>
                    </w:r>
                  </w:p>
                </w:tc>
                <w:tc>
                  <w:tcPr>
                    <w:tcW w:w="1001" w:type="dxa"/>
                    <w:shd w:val="clear" w:color="auto" w:fill="FFFFFF" w:themeFill="background1"/>
                    <w:tcMar>
                      <w:left w:w="105" w:type="dxa"/>
                      <w:right w:w="105" w:type="dxa"/>
                    </w:tcMar>
                  </w:tcPr>
                  <w:p>
                    <w:pPr>
                      <w:ind w:left="-57" w:right="-57"/>
                      <w:jc w:val="center"/>
                      <w:rPr>
                        <w:color w:val="000000"/>
                        <w:sz w:val="20"/>
                      </w:rPr>
                    </w:pPr>
                    <w:r>
                      <w:rPr>
                        <w:color w:val="000000"/>
                        <w:sz w:val="20"/>
                      </w:rPr>
                      <w:t>98</w:t>
                    </w:r>
                  </w:p>
                  <w:p>
                    <w:pPr>
                      <w:ind w:left="-57" w:right="-57"/>
                      <w:jc w:val="center"/>
                      <w:rPr>
                        <w:color w:val="000000"/>
                        <w:sz w:val="20"/>
                      </w:rPr>
                    </w:pPr>
                    <w:r>
                      <w:rPr>
                        <w:color w:val="000000"/>
                        <w:sz w:val="20"/>
                      </w:rPr>
                      <w:t>(2029 m.)</w:t>
                    </w:r>
                  </w:p>
                </w:tc>
                <w:tc>
                  <w:tcPr>
                    <w:tcW w:w="1125" w:type="dxa"/>
                    <w:gridSpan w:val="2"/>
                    <w:vMerge/>
                    <w:vAlign w:val="center"/>
                  </w:tcPr>
                  <w:p>
                    <w:pPr/>
                  </w:p>
                </w:tc>
                <w:tc>
                  <w:tcPr>
                    <w:tcW w:w="1279" w:type="dxa"/>
                    <w:vMerge/>
                    <w:vAlign w:val="center"/>
                  </w:tcPr>
                  <w:p>
                    <w:pPr/>
                  </w:p>
                </w:tc>
              </w:tr>
              <w:tr>
                <w:trPr>
                  <w:trHeight w:val="930"/>
                </w:trPr>
                <w:tc>
                  <w:tcPr>
                    <w:tcW w:w="2130" w:type="dxa"/>
                    <w:gridSpan w:val="2"/>
                    <w:vMerge/>
                    <w:vAlign w:val="center"/>
                  </w:tcPr>
                  <w:p>
                    <w:pPr/>
                  </w:p>
                </w:tc>
                <w:tc>
                  <w:tcPr>
                    <w:tcW w:w="699" w:type="dxa"/>
                    <w:vMerge/>
                    <w:vAlign w:val="center"/>
                  </w:tcPr>
                  <w:p>
                    <w:pPr/>
                  </w:p>
                </w:tc>
                <w:tc>
                  <w:tcPr>
                    <w:tcW w:w="2099" w:type="dxa"/>
                    <w:gridSpan w:val="2"/>
                    <w:vMerge/>
                    <w:vAlign w:val="center"/>
                  </w:tcPr>
                  <w:p>
                    <w:pPr/>
                  </w:p>
                </w:tc>
                <w:tc>
                  <w:tcPr>
                    <w:tcW w:w="680" w:type="dxa"/>
                    <w:vMerge/>
                    <w:vAlign w:val="center"/>
                  </w:tcPr>
                  <w:p>
                    <w:pPr/>
                  </w:p>
                </w:tc>
                <w:tc>
                  <w:tcPr>
                    <w:tcW w:w="1081" w:type="dxa"/>
                    <w:gridSpan w:val="5"/>
                    <w:vMerge/>
                    <w:vAlign w:val="center"/>
                  </w:tcPr>
                  <w:p>
                    <w:pPr/>
                  </w:p>
                </w:tc>
                <w:tc>
                  <w:tcPr>
                    <w:tcW w:w="625" w:type="dxa"/>
                    <w:vMerge/>
                    <w:vAlign w:val="center"/>
                  </w:tcPr>
                  <w:p>
                    <w:pPr/>
                  </w:p>
                </w:tc>
                <w:tc>
                  <w:tcPr>
                    <w:tcW w:w="1191" w:type="dxa"/>
                    <w:gridSpan w:val="3"/>
                    <w:vMerge/>
                    <w:vAlign w:val="center"/>
                  </w:tcPr>
                  <w:p>
                    <w:pPr/>
                  </w:p>
                </w:tc>
                <w:tc>
                  <w:tcPr>
                    <w:tcW w:w="1118" w:type="dxa"/>
                    <w:vMerge/>
                    <w:vAlign w:val="center"/>
                  </w:tcPr>
                  <w:p>
                    <w:pPr/>
                  </w:p>
                </w:tc>
                <w:tc>
                  <w:tcPr>
                    <w:tcW w:w="2001" w:type="dxa"/>
                    <w:gridSpan w:val="2"/>
                    <w:shd w:val="clear" w:color="auto" w:fill="FFFFFF" w:themeFill="background1"/>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25 min. (kaime), dalis, proc. </w:t>
                    </w:r>
                  </w:p>
                </w:tc>
                <w:tc>
                  <w:tcPr>
                    <w:tcW w:w="1001" w:type="dxa"/>
                    <w:shd w:val="clear" w:color="auto" w:fill="FFFFFF" w:themeFill="background1"/>
                    <w:tcMar>
                      <w:left w:w="105" w:type="dxa"/>
                      <w:right w:w="105" w:type="dxa"/>
                    </w:tcMar>
                  </w:tcPr>
                  <w:p>
                    <w:pPr>
                      <w:ind w:left="-57" w:right="-57"/>
                      <w:jc w:val="center"/>
                      <w:rPr>
                        <w:color w:val="000000"/>
                        <w:sz w:val="20"/>
                      </w:rPr>
                    </w:pPr>
                    <w:r>
                      <w:rPr>
                        <w:color w:val="000000"/>
                        <w:sz w:val="20"/>
                      </w:rPr>
                      <w:t>98</w:t>
                    </w:r>
                  </w:p>
                  <w:p>
                    <w:pPr>
                      <w:ind w:left="-57" w:right="-57"/>
                      <w:jc w:val="center"/>
                      <w:rPr>
                        <w:color w:val="000000"/>
                        <w:sz w:val="20"/>
                      </w:rPr>
                    </w:pPr>
                    <w:r>
                      <w:rPr>
                        <w:color w:val="000000"/>
                        <w:sz w:val="20"/>
                      </w:rPr>
                      <w:t>(2029 m.)</w:t>
                    </w:r>
                  </w:p>
                </w:tc>
                <w:tc>
                  <w:tcPr>
                    <w:tcW w:w="1125" w:type="dxa"/>
                    <w:gridSpan w:val="2"/>
                    <w:vMerge/>
                    <w:vAlign w:val="center"/>
                  </w:tcPr>
                  <w:p>
                    <w:pPr/>
                  </w:p>
                </w:tc>
                <w:tc>
                  <w:tcPr>
                    <w:tcW w:w="1279" w:type="dxa"/>
                    <w:vMerge/>
                    <w:vAlign w:val="center"/>
                  </w:tcPr>
                  <w:p>
                    <w:pPr/>
                  </w:p>
                </w:tc>
              </w:tr>
              <w:tr>
                <w:trPr>
                  <w:trHeight w:val="645"/>
                </w:trPr>
                <w:tc>
                  <w:tcPr>
                    <w:tcW w:w="2130" w:type="dxa"/>
                    <w:gridSpan w:val="2"/>
                    <w:vMerge w:val="restart"/>
                    <w:tcMar>
                      <w:left w:w="105" w:type="dxa"/>
                      <w:right w:w="105" w:type="dxa"/>
                    </w:tcMar>
                  </w:tcPr>
                  <w:p>
                    <w:pPr>
                      <w:rPr>
                        <w:color w:val="000000"/>
                        <w:sz w:val="20"/>
                      </w:rPr>
                    </w:pPr>
                    <w:r>
                      <w:rPr>
                        <w:color w:val="000000"/>
                        <w:sz w:val="20"/>
                      </w:rPr>
                      <w:t>9.3. Greitosios medicinos pagalbos automobilių, įrangos įsigijimas</w:t>
                    </w:r>
                    <w:r>
                      <w:rPr>
                        <w:color w:val="0070C0"/>
                        <w:sz w:val="20"/>
                      </w:rPr>
                      <w:t xml:space="preserve">,  </w:t>
                    </w:r>
                    <w:r>
                      <w:rPr>
                        <w:color w:val="000000"/>
                        <w:sz w:val="20"/>
                      </w:rPr>
                      <w:t>greitosios medicinos pagalbos stočių infrastruktūros pritaikymas, Vidurio ir vakarų Lietuvos regionas</w:t>
                    </w:r>
                  </w:p>
                </w:tc>
                <w:tc>
                  <w:tcPr>
                    <w:tcW w:w="699" w:type="dxa"/>
                    <w:vMerge w:val="restart"/>
                    <w:tcMar>
                      <w:left w:w="105" w:type="dxa"/>
                      <w:right w:w="105" w:type="dxa"/>
                    </w:tcMar>
                  </w:tcPr>
                  <w:p>
                    <w:pPr>
                      <w:rPr>
                        <w:color w:val="000000"/>
                        <w:sz w:val="20"/>
                      </w:rPr>
                    </w:pPr>
                    <w:r>
                      <w:rPr>
                        <w:color w:val="000000"/>
                        <w:sz w:val="20"/>
                      </w:rPr>
                      <w:t>I</w:t>
                    </w:r>
                  </w:p>
                </w:tc>
                <w:tc>
                  <w:tcPr>
                    <w:tcW w:w="2099" w:type="dxa"/>
                    <w:gridSpan w:val="2"/>
                    <w:vMerge w:val="restart"/>
                    <w:tcMar>
                      <w:left w:w="105" w:type="dxa"/>
                      <w:right w:w="105" w:type="dxa"/>
                    </w:tcMar>
                  </w:tcPr>
                  <w:p>
                    <w:pPr>
                      <w:rPr>
                        <w:color w:val="000000"/>
                        <w:sz w:val="20"/>
                      </w:rPr>
                    </w:pPr>
                    <w:r>
                      <w:rPr>
                        <w:color w:val="000000"/>
                        <w:sz w:val="20"/>
                      </w:rPr>
                      <w:t>GMP tarnyba</w:t>
                    </w:r>
                  </w:p>
                </w:tc>
                <w:tc>
                  <w:tcPr>
                    <w:tcW w:w="680" w:type="dxa"/>
                    <w:vMerge w:val="restart"/>
                    <w:tcMar>
                      <w:left w:w="105" w:type="dxa"/>
                      <w:right w:w="105" w:type="dxa"/>
                    </w:tcMar>
                  </w:tcPr>
                  <w:p>
                    <w:pPr>
                      <w:rPr>
                        <w:color w:val="000000"/>
                        <w:sz w:val="20"/>
                      </w:rPr>
                    </w:pPr>
                    <w:r>
                      <w:rPr>
                        <w:color w:val="000000"/>
                        <w:sz w:val="20"/>
                      </w:rPr>
                      <w:t>P</w:t>
                    </w:r>
                  </w:p>
                </w:tc>
                <w:tc>
                  <w:tcPr>
                    <w:tcW w:w="1081" w:type="dxa"/>
                    <w:gridSpan w:val="5"/>
                    <w:vMerge w:val="restart"/>
                    <w:tcMar>
                      <w:left w:w="105" w:type="dxa"/>
                      <w:right w:w="105" w:type="dxa"/>
                    </w:tcMar>
                  </w:tcPr>
                  <w:p>
                    <w:pPr>
                      <w:rPr>
                        <w:color w:val="000000"/>
                        <w:sz w:val="20"/>
                      </w:rPr>
                    </w:pPr>
                    <w:r>
                      <w:rPr>
                        <w:color w:val="000000"/>
                        <w:sz w:val="20"/>
                      </w:rPr>
                      <w:t>Taip</w:t>
                    </w:r>
                  </w:p>
                </w:tc>
                <w:tc>
                  <w:tcPr>
                    <w:tcW w:w="625" w:type="dxa"/>
                    <w:vMerge w:val="restart"/>
                    <w:tcMar>
                      <w:left w:w="105" w:type="dxa"/>
                      <w:right w:w="105" w:type="dxa"/>
                    </w:tcMar>
                  </w:tcPr>
                  <w:p>
                    <w:pPr>
                      <w:rPr>
                        <w:color w:val="000000"/>
                        <w:sz w:val="20"/>
                      </w:rPr>
                    </w:pPr>
                    <w:r>
                      <w:rPr>
                        <w:color w:val="000000"/>
                        <w:sz w:val="20"/>
                      </w:rPr>
                      <w:t>D</w:t>
                    </w:r>
                  </w:p>
                </w:tc>
                <w:tc>
                  <w:tcPr>
                    <w:tcW w:w="1191" w:type="dxa"/>
                    <w:gridSpan w:val="3"/>
                    <w:tcMar>
                      <w:left w:w="105" w:type="dxa"/>
                      <w:right w:w="105" w:type="dxa"/>
                    </w:tcMar>
                  </w:tcPr>
                  <w:p>
                    <w:pPr>
                      <w:jc w:val="center"/>
                      <w:rPr>
                        <w:color w:val="000000"/>
                        <w:sz w:val="20"/>
                      </w:rPr>
                    </w:pPr>
                    <w:r>
                      <w:rPr>
                        <w:color w:val="000000"/>
                        <w:sz w:val="20"/>
                      </w:rPr>
                      <w:t>34 160,046</w:t>
                    </w:r>
                  </w:p>
                </w:tc>
                <w:tc>
                  <w:tcPr>
                    <w:tcW w:w="1118" w:type="dxa"/>
                    <w:tcMar>
                      <w:left w:w="105" w:type="dxa"/>
                      <w:right w:w="105" w:type="dxa"/>
                    </w:tcMar>
                  </w:tcPr>
                  <w:p>
                    <w:pPr>
                      <w:rPr>
                        <w:color w:val="000000"/>
                        <w:sz w:val="20"/>
                      </w:rPr>
                    </w:pPr>
                    <w:r>
                      <w:rPr>
                        <w:color w:val="000000"/>
                        <w:sz w:val="20"/>
                      </w:rPr>
                      <w:t>2021–2027 m. IP (ERPF)</w:t>
                    </w:r>
                  </w:p>
                </w:tc>
                <w:tc>
                  <w:tcPr>
                    <w:tcW w:w="2001" w:type="dxa"/>
                    <w:gridSpan w:val="2"/>
                    <w:tcMar>
                      <w:left w:w="105" w:type="dxa"/>
                      <w:right w:w="105" w:type="dxa"/>
                    </w:tcMar>
                  </w:tcPr>
                  <w:p>
                    <w:pPr>
                      <w:ind w:left="-57" w:right="-57"/>
                      <w:rPr>
                        <w:color w:val="000000"/>
                        <w:sz w:val="20"/>
                      </w:rPr>
                    </w:pPr>
                    <w:r>
                      <w:rPr>
                        <w:color w:val="000000"/>
                        <w:sz w:val="20"/>
                      </w:rPr>
                      <w:t xml:space="preserve">P – Greitosios medicinos pagalbos paslaugų infrastruktūros, kuriai skirta parama, pajėgumas, asmenys per metus </w:t>
                    </w:r>
                  </w:p>
                </w:tc>
                <w:tc>
                  <w:tcPr>
                    <w:tcW w:w="1001" w:type="dxa"/>
                    <w:tcMar>
                      <w:left w:w="105" w:type="dxa"/>
                      <w:right w:w="105" w:type="dxa"/>
                    </w:tcMar>
                  </w:tcPr>
                  <w:p>
                    <w:pPr>
                      <w:ind w:left="-57" w:right="-57"/>
                      <w:jc w:val="center"/>
                      <w:rPr>
                        <w:color w:val="000000"/>
                        <w:sz w:val="20"/>
                      </w:rPr>
                    </w:pPr>
                    <w:r>
                      <w:rPr>
                        <w:color w:val="000000"/>
                        <w:sz w:val="20"/>
                      </w:rPr>
                      <w:t xml:space="preserve">2 000 000 </w:t>
                    </w:r>
                  </w:p>
                  <w:p>
                    <w:pPr>
                      <w:ind w:left="-57" w:right="-57"/>
                      <w:jc w:val="center"/>
                      <w:rPr>
                        <w:color w:val="000000"/>
                        <w:sz w:val="20"/>
                      </w:rPr>
                    </w:pPr>
                    <w:r>
                      <w:rPr>
                        <w:color w:val="000000"/>
                        <w:sz w:val="20"/>
                      </w:rPr>
                      <w:t>(2029 m.)</w:t>
                    </w:r>
                  </w:p>
                </w:tc>
                <w:tc>
                  <w:tcPr>
                    <w:tcW w:w="1125" w:type="dxa"/>
                    <w:gridSpan w:val="2"/>
                    <w:vMerge/>
                    <w:vAlign w:val="center"/>
                  </w:tcPr>
                  <w:p>
                    <w:pPr/>
                  </w:p>
                </w:tc>
                <w:tc>
                  <w:tcPr>
                    <w:tcW w:w="1279" w:type="dxa"/>
                    <w:vMerge/>
                    <w:vAlign w:val="center"/>
                  </w:tcPr>
                  <w:p>
                    <w:pPr/>
                  </w:p>
                </w:tc>
              </w:tr>
              <w:tr>
                <w:trPr>
                  <w:trHeight w:val="645"/>
                </w:trPr>
                <w:tc>
                  <w:tcPr>
                    <w:tcW w:w="2130" w:type="dxa"/>
                    <w:gridSpan w:val="2"/>
                    <w:vMerge/>
                    <w:vAlign w:val="center"/>
                  </w:tcPr>
                  <w:p>
                    <w:pPr/>
                  </w:p>
                </w:tc>
                <w:tc>
                  <w:tcPr>
                    <w:tcW w:w="699" w:type="dxa"/>
                    <w:vMerge/>
                    <w:vAlign w:val="center"/>
                  </w:tcPr>
                  <w:p>
                    <w:pPr/>
                  </w:p>
                </w:tc>
                <w:tc>
                  <w:tcPr>
                    <w:tcW w:w="2099" w:type="dxa"/>
                    <w:gridSpan w:val="2"/>
                    <w:vMerge/>
                    <w:vAlign w:val="center"/>
                  </w:tcPr>
                  <w:p>
                    <w:pPr/>
                  </w:p>
                </w:tc>
                <w:tc>
                  <w:tcPr>
                    <w:tcW w:w="680" w:type="dxa"/>
                    <w:vMerge/>
                    <w:vAlign w:val="center"/>
                  </w:tcPr>
                  <w:p>
                    <w:pPr/>
                  </w:p>
                </w:tc>
                <w:tc>
                  <w:tcPr>
                    <w:tcW w:w="1081" w:type="dxa"/>
                    <w:gridSpan w:val="5"/>
                    <w:vMerge/>
                    <w:vAlign w:val="center"/>
                  </w:tcPr>
                  <w:p>
                    <w:pPr/>
                  </w:p>
                </w:tc>
                <w:tc>
                  <w:tcPr>
                    <w:tcW w:w="625" w:type="dxa"/>
                    <w:vMerge/>
                    <w:vAlign w:val="center"/>
                  </w:tcPr>
                  <w:p>
                    <w:pPr/>
                  </w:p>
                </w:tc>
                <w:tc>
                  <w:tcPr>
                    <w:tcW w:w="1191" w:type="dxa"/>
                    <w:gridSpan w:val="3"/>
                    <w:vMerge w:val="restart"/>
                    <w:tcMar>
                      <w:left w:w="105" w:type="dxa"/>
                      <w:right w:w="105" w:type="dxa"/>
                    </w:tcMar>
                  </w:tcPr>
                  <w:p>
                    <w:pPr>
                      <w:jc w:val="center"/>
                      <w:rPr>
                        <w:color w:val="000000"/>
                        <w:sz w:val="20"/>
                      </w:rPr>
                    </w:pPr>
                    <w:r>
                      <w:rPr>
                        <w:color w:val="000000"/>
                        <w:sz w:val="20"/>
                      </w:rPr>
                      <w:t>6 028, 243</w:t>
                    </w:r>
                  </w:p>
                </w:tc>
                <w:tc>
                  <w:tcPr>
                    <w:tcW w:w="1118" w:type="dxa"/>
                    <w:vMerge w:val="restart"/>
                    <w:tcMar>
                      <w:left w:w="105" w:type="dxa"/>
                      <w:right w:w="105" w:type="dxa"/>
                    </w:tcMar>
                  </w:tcPr>
                  <w:p>
                    <w:pPr>
                      <w:rPr>
                        <w:color w:val="000000"/>
                        <w:sz w:val="20"/>
                      </w:rPr>
                    </w:pPr>
                    <w:r>
                      <w:rPr>
                        <w:color w:val="000000"/>
                        <w:sz w:val="20"/>
                      </w:rPr>
                      <w:t>2021–2027 m. IP (BF)</w:t>
                    </w:r>
                  </w:p>
                </w:tc>
                <w:tc>
                  <w:tcPr>
                    <w:tcW w:w="2001" w:type="dxa"/>
                    <w:gridSpan w:val="2"/>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15 min. (mieste), dalis, proc. </w:t>
                    </w:r>
                  </w:p>
                </w:tc>
                <w:tc>
                  <w:tcPr>
                    <w:tcW w:w="1001" w:type="dxa"/>
                    <w:tcMar>
                      <w:left w:w="105" w:type="dxa"/>
                      <w:right w:w="105" w:type="dxa"/>
                    </w:tcMar>
                  </w:tcPr>
                  <w:p>
                    <w:pPr>
                      <w:ind w:left="-57" w:right="-57"/>
                      <w:jc w:val="center"/>
                      <w:rPr>
                        <w:color w:val="000000"/>
                        <w:sz w:val="20"/>
                      </w:rPr>
                    </w:pPr>
                    <w:r>
                      <w:rPr>
                        <w:color w:val="000000"/>
                        <w:sz w:val="20"/>
                      </w:rPr>
                      <w:t>98</w:t>
                    </w:r>
                  </w:p>
                  <w:p>
                    <w:pPr>
                      <w:ind w:left="-57" w:right="-57"/>
                      <w:jc w:val="center"/>
                      <w:rPr>
                        <w:color w:val="000000"/>
                        <w:sz w:val="20"/>
                      </w:rPr>
                    </w:pPr>
                    <w:r>
                      <w:rPr>
                        <w:color w:val="000000"/>
                        <w:sz w:val="20"/>
                      </w:rPr>
                      <w:t>(2029 m.)</w:t>
                    </w:r>
                  </w:p>
                </w:tc>
                <w:tc>
                  <w:tcPr>
                    <w:tcW w:w="1125" w:type="dxa"/>
                    <w:gridSpan w:val="2"/>
                    <w:vMerge/>
                    <w:vAlign w:val="center"/>
                  </w:tcPr>
                  <w:p>
                    <w:pPr/>
                  </w:p>
                </w:tc>
                <w:tc>
                  <w:tcPr>
                    <w:tcW w:w="1279" w:type="dxa"/>
                    <w:vMerge/>
                    <w:vAlign w:val="center"/>
                  </w:tcPr>
                  <w:p>
                    <w:pPr/>
                  </w:p>
                </w:tc>
              </w:tr>
              <w:tr>
                <w:trPr>
                  <w:trHeight w:val="420"/>
                </w:trPr>
                <w:tc>
                  <w:tcPr>
                    <w:tcW w:w="2130" w:type="dxa"/>
                    <w:gridSpan w:val="2"/>
                    <w:vMerge/>
                    <w:vAlign w:val="center"/>
                  </w:tcPr>
                  <w:p>
                    <w:pPr/>
                  </w:p>
                </w:tc>
                <w:tc>
                  <w:tcPr>
                    <w:tcW w:w="699" w:type="dxa"/>
                    <w:vMerge/>
                    <w:vAlign w:val="center"/>
                  </w:tcPr>
                  <w:p>
                    <w:pPr/>
                  </w:p>
                </w:tc>
                <w:tc>
                  <w:tcPr>
                    <w:tcW w:w="2099" w:type="dxa"/>
                    <w:gridSpan w:val="2"/>
                    <w:vMerge/>
                    <w:vAlign w:val="center"/>
                  </w:tcPr>
                  <w:p>
                    <w:pPr/>
                  </w:p>
                </w:tc>
                <w:tc>
                  <w:tcPr>
                    <w:tcW w:w="680" w:type="dxa"/>
                    <w:vMerge/>
                    <w:vAlign w:val="center"/>
                  </w:tcPr>
                  <w:p>
                    <w:pPr/>
                  </w:p>
                </w:tc>
                <w:tc>
                  <w:tcPr>
                    <w:tcW w:w="1081" w:type="dxa"/>
                    <w:gridSpan w:val="5"/>
                    <w:vMerge/>
                    <w:vAlign w:val="center"/>
                  </w:tcPr>
                  <w:p>
                    <w:pPr/>
                  </w:p>
                </w:tc>
                <w:tc>
                  <w:tcPr>
                    <w:tcW w:w="625" w:type="dxa"/>
                    <w:vMerge/>
                    <w:vAlign w:val="center"/>
                  </w:tcPr>
                  <w:p>
                    <w:pPr/>
                  </w:p>
                </w:tc>
                <w:tc>
                  <w:tcPr>
                    <w:tcW w:w="1191" w:type="dxa"/>
                    <w:gridSpan w:val="3"/>
                    <w:vMerge/>
                    <w:vAlign w:val="center"/>
                  </w:tcPr>
                  <w:p>
                    <w:pPr/>
                  </w:p>
                </w:tc>
                <w:tc>
                  <w:tcPr>
                    <w:tcW w:w="1118" w:type="dxa"/>
                    <w:vMerge/>
                    <w:vAlign w:val="center"/>
                  </w:tcPr>
                  <w:p>
                    <w:pPr/>
                  </w:p>
                </w:tc>
                <w:tc>
                  <w:tcPr>
                    <w:tcW w:w="2001" w:type="dxa"/>
                    <w:gridSpan w:val="2"/>
                    <w:shd w:val="clear" w:color="auto" w:fill="FFFFFF" w:themeFill="background1"/>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25 min. (kaime), dalis, proc. </w:t>
                    </w:r>
                  </w:p>
                </w:tc>
                <w:tc>
                  <w:tcPr>
                    <w:tcW w:w="1001" w:type="dxa"/>
                    <w:shd w:val="clear" w:color="auto" w:fill="FFFFFF" w:themeFill="background1"/>
                    <w:tcMar>
                      <w:left w:w="105" w:type="dxa"/>
                      <w:right w:w="105" w:type="dxa"/>
                    </w:tcMar>
                  </w:tcPr>
                  <w:p>
                    <w:pPr>
                      <w:ind w:left="-57" w:right="-57"/>
                      <w:jc w:val="center"/>
                      <w:rPr>
                        <w:color w:val="000000"/>
                        <w:sz w:val="20"/>
                      </w:rPr>
                    </w:pPr>
                    <w:r>
                      <w:rPr>
                        <w:color w:val="000000"/>
                        <w:sz w:val="20"/>
                      </w:rPr>
                      <w:t>98</w:t>
                    </w:r>
                  </w:p>
                  <w:p>
                    <w:pPr>
                      <w:ind w:left="-57" w:right="-57"/>
                      <w:jc w:val="center"/>
                      <w:rPr>
                        <w:b/>
                        <w:bCs/>
                        <w:color w:val="000000"/>
                        <w:sz w:val="20"/>
                      </w:rPr>
                    </w:pPr>
                    <w:r>
                      <w:rPr>
                        <w:color w:val="000000"/>
                        <w:sz w:val="20"/>
                      </w:rPr>
                      <w:t>(2029 m.)</w:t>
                    </w:r>
                  </w:p>
                </w:tc>
                <w:tc>
                  <w:tcPr>
                    <w:tcW w:w="1125" w:type="dxa"/>
                    <w:gridSpan w:val="2"/>
                    <w:vMerge/>
                    <w:vAlign w:val="center"/>
                  </w:tcPr>
                  <w:p>
                    <w:pPr/>
                  </w:p>
                </w:tc>
                <w:tc>
                  <w:tcPr>
                    <w:tcW w:w="1279" w:type="dxa"/>
                    <w:vMerge/>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3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tabs>
                        <w:tab w:val="left" w:pos="860"/>
                      </w:tabs>
                    </w:pPr>
                    <w:r>
                      <w:rPr>
                        <w:b/>
                        <w:bCs/>
                        <w:color w:val="000000"/>
                        <w:sz w:val="20"/>
                      </w:rPr>
                      <w:t>10. Sveikatos priežiūros specialistų pasiūlos užtikrinimas:</w:t>
                    </w:r>
                  </w:p>
                </w:tc>
                <w:tc>
                  <w:tcPr>
                    <w:tcW w:w="69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w:t>
                    </w:r>
                  </w:p>
                </w:tc>
                <w:tc>
                  <w:tcPr>
                    <w:tcW w:w="1985"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w:t>
                    </w:r>
                  </w:p>
                </w:tc>
                <w:tc>
                  <w:tcPr>
                    <w:tcW w:w="829"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w:t>
                    </w:r>
                  </w:p>
                </w:tc>
                <w:tc>
                  <w:tcPr>
                    <w:tcW w:w="1006"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w:t>
                    </w: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24 906,182</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w:t>
                    </w:r>
                  </w:p>
                </w:tc>
                <w:tc>
                  <w:tcPr>
                    <w:tcW w:w="2001"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color w:val="000000"/>
                        <w:sz w:val="20"/>
                      </w:rPr>
                      <w:t xml:space="preserve">R </w:t>
                    </w:r>
                    <w:r>
                      <w:rPr>
                        <w:color w:val="000000"/>
                        <w:szCs w:val="24"/>
                      </w:rPr>
                      <w:t>–</w:t>
                    </w:r>
                    <w:r>
                      <w:rPr>
                        <w:color w:val="000000"/>
                        <w:sz w:val="20"/>
                      </w:rPr>
                      <w:t xml:space="preserve"> Gyventojų, dėl laukimo laiko (ilgų eilių) atidėjusių kreipimąsi dėl sveikatos priežiūros paslaugų, dalis, proc.</w:t>
                    </w:r>
                  </w:p>
                </w:tc>
                <w:tc>
                  <w:tcPr>
                    <w:tcW w:w="1134"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color w:val="000000"/>
                        <w:sz w:val="20"/>
                      </w:rPr>
                      <w:t>6</w:t>
                    </w:r>
                  </w:p>
                  <w:p>
                    <w:pPr>
                      <w:ind w:left="-57" w:right="-57"/>
                      <w:jc w:val="center"/>
                    </w:pPr>
                    <w:r>
                      <w:rPr>
                        <w:color w:val="000000"/>
                        <w:sz w:val="20"/>
                      </w:rPr>
                      <w:t>(2030 m.)</w:t>
                    </w: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w:t>
                    </w:r>
                  </w:p>
                </w:tc>
                <w:tc>
                  <w:tcPr>
                    <w:tcW w:w="1279" w:type="dxa"/>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ind w:firstLine="53"/>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top w:val="single" w:sz="4" w:space="0" w:color="auto"/>
                      <w:left w:val="single" w:sz="4" w:space="0" w:color="auto"/>
                      <w:bottom w:val="single" w:sz="4" w:space="0" w:color="auto"/>
                      <w:right w:val="single" w:sz="4" w:space="0" w:color="auto"/>
                    </w:tcBorders>
                    <w:vAlign w:val="center"/>
                  </w:tcPr>
                  <w:p>
                    <w:pPr/>
                  </w:p>
                </w:tc>
                <w:tc>
                  <w:tcPr>
                    <w:tcW w:w="1985" w:type="dxa"/>
                    <w:vMerge/>
                    <w:tcBorders>
                      <w:top w:val="single" w:sz="4" w:space="0" w:color="auto"/>
                      <w:left w:val="single" w:sz="4" w:space="0" w:color="auto"/>
                      <w:bottom w:val="single" w:sz="4" w:space="0" w:color="auto"/>
                      <w:right w:val="single" w:sz="4" w:space="0" w:color="auto"/>
                    </w:tcBorders>
                    <w:vAlign w:val="center"/>
                  </w:tcPr>
                  <w:p>
                    <w:p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21 170,255</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2021–2027 m. IP (ESF+,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tcPr>
                  <w:p>
                    <w:pPr/>
                  </w:p>
                </w:tc>
                <w:tc>
                  <w:tcPr>
                    <w:tcW w:w="1134" w:type="dxa"/>
                    <w:gridSpan w:val="2"/>
                    <w:vMerge/>
                    <w:tcBorders>
                      <w:top w:val="single" w:sz="4" w:space="0" w:color="auto"/>
                      <w:left w:val="single" w:sz="4" w:space="0" w:color="auto"/>
                      <w:bottom w:val="single" w:sz="4" w:space="0" w:color="auto"/>
                      <w:right w:val="single" w:sz="4" w:space="0" w:color="auto"/>
                    </w:tcBorders>
                    <w:vAlign w:val="center"/>
                  </w:tcPr>
                  <w:p>
                    <w:pP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top w:val="single" w:sz="4" w:space="0" w:color="auto"/>
                      <w:left w:val="single" w:sz="4" w:space="0" w:color="auto"/>
                      <w:bottom w:val="single" w:sz="4" w:space="0" w:color="auto"/>
                      <w:right w:val="single" w:sz="4" w:space="0" w:color="auto"/>
                    </w:tcBorders>
                    <w:vAlign w:val="center"/>
                  </w:tcPr>
                  <w:p>
                    <w:pPr/>
                  </w:p>
                </w:tc>
                <w:tc>
                  <w:tcPr>
                    <w:tcW w:w="1985" w:type="dxa"/>
                    <w:vMerge/>
                    <w:tcBorders>
                      <w:top w:val="single" w:sz="4" w:space="0" w:color="auto"/>
                      <w:left w:val="single" w:sz="4" w:space="0" w:color="auto"/>
                      <w:bottom w:val="single" w:sz="4" w:space="0" w:color="auto"/>
                      <w:right w:val="single" w:sz="4" w:space="0" w:color="auto"/>
                    </w:tcBorders>
                    <w:vAlign w:val="center"/>
                  </w:tcPr>
                  <w:p>
                    <w:p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3 735,927</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2021–2027 m. IP (BF,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tcPr>
                  <w:p>
                    <w:pPr/>
                  </w:p>
                </w:tc>
                <w:tc>
                  <w:tcPr>
                    <w:tcW w:w="1134" w:type="dxa"/>
                    <w:gridSpan w:val="2"/>
                    <w:vMerge/>
                    <w:tcBorders>
                      <w:top w:val="single" w:sz="4" w:space="0" w:color="auto"/>
                      <w:left w:val="single" w:sz="4" w:space="0" w:color="auto"/>
                      <w:bottom w:val="single" w:sz="4" w:space="0" w:color="auto"/>
                      <w:right w:val="single" w:sz="4" w:space="0" w:color="auto"/>
                    </w:tcBorders>
                    <w:vAlign w:val="center"/>
                  </w:tcPr>
                  <w:p>
                    <w:pP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960"/>
                </w:trPr>
                <w:tc>
                  <w:tcPr>
                    <w:tcW w:w="213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10.1. Sveikatos žmogiškųjų išteklių valdymo efektyvumo didinimas,</w:t>
                    </w:r>
                    <w:r>
                      <w:rPr>
                        <w:szCs w:val="24"/>
                      </w:rPr>
                      <w:t xml:space="preserve"> </w:t>
                    </w:r>
                    <w:r>
                      <w:rPr>
                        <w:sz w:val="20"/>
                      </w:rPr>
                      <w:t>Vidurio ir vakarų Lietuvos regionas</w:t>
                    </w:r>
                  </w:p>
                </w:tc>
                <w:tc>
                  <w:tcPr>
                    <w:tcW w:w="69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M</w:t>
                    </w:r>
                  </w:p>
                  <w:p>
                    <w:pPr>
                      <w:ind w:firstLine="53"/>
                    </w:pPr>
                  </w:p>
                </w:tc>
                <w:tc>
                  <w:tcPr>
                    <w:tcW w:w="1985"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SAM</w:t>
                    </w:r>
                  </w:p>
                  <w:p>
                    <w:pPr>
                      <w:ind w:firstLine="53"/>
                    </w:pPr>
                  </w:p>
                </w:tc>
                <w:tc>
                  <w:tcPr>
                    <w:tcW w:w="829"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P</w:t>
                    </w:r>
                  </w:p>
                  <w:p>
                    <w:pPr>
                      <w:ind w:firstLine="53"/>
                    </w:pPr>
                  </w:p>
                </w:tc>
                <w:tc>
                  <w:tcPr>
                    <w:tcW w:w="1006"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Taip</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275,385</w:t>
                    </w:r>
                  </w:p>
                  <w:p>
                    <w:pPr>
                      <w:ind w:firstLine="53"/>
                    </w:pPr>
                  </w:p>
                  <w:p>
                    <w:pPr>
                      <w:ind w:firstLine="53"/>
                    </w:pPr>
                  </w:p>
                  <w:p>
                    <w:pPr>
                      <w:ind w:firstLine="53"/>
                    </w:pPr>
                  </w:p>
                  <w:p>
                    <w:pPr>
                      <w:ind w:firstLine="53"/>
                    </w:pP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2021–2027 m. IP (ESF+)</w:t>
                    </w:r>
                  </w:p>
                  <w:p>
                    <w:pPr>
                      <w:ind w:firstLine="53"/>
                    </w:pPr>
                  </w:p>
                </w:tc>
                <w:tc>
                  <w:tcPr>
                    <w:tcW w:w="2001"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Paramą gavusių nacionalinio, regionų ar vietos lygmens viešojo administravimo ar viešąsias paslaugas teikiančių įstaigų skaičius, subjektų skaičius</w:t>
                    </w:r>
                  </w:p>
                </w:tc>
                <w:tc>
                  <w:tcPr>
                    <w:tcW w:w="1134"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1</w:t>
                    </w:r>
                  </w:p>
                  <w:p>
                    <w:pPr>
                      <w:ind w:left="-57" w:right="-57"/>
                      <w:jc w:val="cente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SAM</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3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top w:val="single" w:sz="4" w:space="0" w:color="auto"/>
                      <w:left w:val="single" w:sz="4" w:space="0" w:color="auto"/>
                      <w:bottom w:val="single" w:sz="4" w:space="0" w:color="auto"/>
                      <w:right w:val="single" w:sz="4" w:space="0" w:color="auto"/>
                    </w:tcBorders>
                    <w:vAlign w:val="center"/>
                  </w:tcPr>
                  <w:p>
                    <w:pPr/>
                  </w:p>
                </w:tc>
                <w:tc>
                  <w:tcPr>
                    <w:tcW w:w="1985" w:type="dxa"/>
                    <w:vMerge/>
                    <w:tcBorders>
                      <w:top w:val="single" w:sz="4" w:space="0" w:color="auto"/>
                      <w:left w:val="single" w:sz="4" w:space="0" w:color="auto"/>
                      <w:bottom w:val="single" w:sz="4" w:space="0" w:color="auto"/>
                      <w:right w:val="single" w:sz="4" w:space="0" w:color="auto"/>
                    </w:tcBorders>
                    <w:vAlign w:val="center"/>
                  </w:tcPr>
                  <w:p>
                    <w:p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167"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48,597</w:t>
                    </w:r>
                  </w:p>
                </w:tc>
                <w:tc>
                  <w:tcPr>
                    <w:tcW w:w="1118"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 xml:space="preserve">2021–2027 m.  IP (BF)</w:t>
                    </w:r>
                  </w:p>
                  <w:p>
                    <w:pPr>
                      <w:ind w:firstLine="53"/>
                    </w:pPr>
                  </w:p>
                </w:tc>
                <w:tc>
                  <w:tcPr>
                    <w:tcW w:w="2001" w:type="dxa"/>
                    <w:gridSpan w:val="2"/>
                    <w:vMerge/>
                    <w:tcBorders>
                      <w:top w:val="single" w:sz="4" w:space="0" w:color="auto"/>
                      <w:left w:val="single" w:sz="4" w:space="0" w:color="auto"/>
                      <w:bottom w:val="single" w:sz="4" w:space="0" w:color="auto"/>
                      <w:right w:val="single" w:sz="4" w:space="0" w:color="auto"/>
                    </w:tcBorders>
                    <w:vAlign w:val="center"/>
                  </w:tcPr>
                  <w:p>
                    <w:pPr/>
                  </w:p>
                </w:tc>
                <w:tc>
                  <w:tcPr>
                    <w:tcW w:w="1134" w:type="dxa"/>
                    <w:gridSpan w:val="2"/>
                    <w:vMerge/>
                    <w:tcBorders>
                      <w:top w:val="single" w:sz="4" w:space="0" w:color="auto"/>
                      <w:left w:val="single" w:sz="4" w:space="0" w:color="auto"/>
                      <w:bottom w:val="single" w:sz="4" w:space="0" w:color="auto"/>
                      <w:right w:val="single" w:sz="4" w:space="0" w:color="auto"/>
                    </w:tcBorders>
                    <w:vAlign w:val="center"/>
                  </w:tcPr>
                  <w:p>
                    <w:pP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99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top w:val="single" w:sz="4" w:space="0" w:color="auto"/>
                      <w:left w:val="single" w:sz="4" w:space="0" w:color="auto"/>
                      <w:bottom w:val="single" w:sz="4" w:space="0" w:color="auto"/>
                      <w:right w:val="single" w:sz="4" w:space="0" w:color="auto"/>
                    </w:tcBorders>
                    <w:vAlign w:val="center"/>
                  </w:tcPr>
                  <w:p>
                    <w:pPr/>
                  </w:p>
                </w:tc>
                <w:tc>
                  <w:tcPr>
                    <w:tcW w:w="1985" w:type="dxa"/>
                    <w:vMerge/>
                    <w:tcBorders>
                      <w:top w:val="single" w:sz="4" w:space="0" w:color="auto"/>
                      <w:left w:val="single" w:sz="4" w:space="0" w:color="auto"/>
                      <w:bottom w:val="single" w:sz="4" w:space="0" w:color="auto"/>
                      <w:right w:val="single" w:sz="4" w:space="0" w:color="auto"/>
                    </w:tcBorders>
                    <w:vAlign w:val="center"/>
                  </w:tcPr>
                  <w:p>
                    <w:p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167" w:type="dxa"/>
                    <w:gridSpan w:val="2"/>
                    <w:vMerge/>
                    <w:tcBorders>
                      <w:top w:val="single" w:sz="4" w:space="0" w:color="auto"/>
                      <w:left w:val="single" w:sz="4" w:space="0" w:color="auto"/>
                      <w:bottom w:val="single" w:sz="4" w:space="0" w:color="auto"/>
                      <w:right w:val="single" w:sz="4" w:space="0" w:color="auto"/>
                    </w:tcBorders>
                    <w:vAlign w:val="center"/>
                  </w:tcPr>
                  <w:p>
                    <w:pPr/>
                  </w:p>
                </w:tc>
                <w:tc>
                  <w:tcPr>
                    <w:tcW w:w="1118" w:type="dxa"/>
                    <w:vMerge/>
                    <w:tcBorders>
                      <w:top w:val="single" w:sz="4" w:space="0" w:color="auto"/>
                      <w:left w:val="single" w:sz="4" w:space="0" w:color="auto"/>
                      <w:bottom w:val="single" w:sz="4" w:space="0" w:color="auto"/>
                      <w:right w:val="single" w:sz="4" w:space="0" w:color="auto"/>
                    </w:tcBorders>
                    <w:vAlign w:val="center"/>
                  </w:tcPr>
                  <w:p>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Parengta ir patvirtinta ilgalaikė sveikatos žmogiškųjų išteklių valdymo strategija, vnt.</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1</w:t>
                    </w:r>
                  </w:p>
                  <w:p>
                    <w:pPr>
                      <w:ind w:left="-57" w:right="-57" w:firstLine="53"/>
                      <w:jc w:val="center"/>
                    </w:pPr>
                    <w:r>
                      <w:rPr>
                        <w:sz w:val="20"/>
                      </w:rPr>
                      <w:t>(2026 m.)</w:t>
                    </w: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615"/>
                </w:trPr>
                <w:tc>
                  <w:tcPr>
                    <w:tcW w:w="2130" w:type="dxa"/>
                    <w:gridSpan w:val="2"/>
                    <w:vMerge w:val="restart"/>
                    <w:tcBorders>
                      <w:top w:val="single" w:sz="4" w:space="0" w:color="auto"/>
                      <w:left w:val="single" w:sz="4" w:space="0" w:color="auto"/>
                      <w:bottom w:val="single" w:sz="4" w:space="0" w:color="auto"/>
                      <w:right w:val="single" w:sz="4" w:space="0" w:color="auto"/>
                    </w:tcBorders>
                  </w:tcPr>
                  <w:p>
                    <w:pPr>
                      <w:rPr>
                        <w:sz w:val="20"/>
                      </w:rPr>
                    </w:pPr>
                    <w:r>
                      <w:rPr>
                        <w:sz w:val="20"/>
                      </w:rPr>
                      <w:t>10.2. Sveikatos priežiūros specialistų įgalinimo, pritraukimo ir išlaikymo sveikatos priežiūros įstaigoje modelio kūrimas ir diegimas, Vidurio ir vakarų Lietuvos regionas</w:t>
                    </w:r>
                  </w:p>
                  <w:p>
                    <w:pPr/>
                  </w:p>
                </w:tc>
                <w:tc>
                  <w:tcPr>
                    <w:tcW w:w="699" w:type="dxa"/>
                    <w:vMerge w:val="restart"/>
                    <w:tcBorders>
                      <w:top w:val="single" w:sz="4" w:space="0" w:color="auto"/>
                      <w:left w:val="single" w:sz="4" w:space="0" w:color="auto"/>
                      <w:right w:val="single" w:sz="4" w:space="0" w:color="auto"/>
                    </w:tcBorders>
                  </w:tcPr>
                  <w:p>
                    <w:pPr/>
                    <w:r>
                      <w:rPr>
                        <w:sz w:val="20"/>
                      </w:rPr>
                      <w:t>I</w:t>
                    </w:r>
                  </w:p>
                  <w:p>
                    <w:pPr>
                      <w:ind w:firstLine="53"/>
                      <w:rPr>
                        <w:sz w:val="20"/>
                      </w:rPr>
                    </w:pPr>
                  </w:p>
                </w:tc>
                <w:tc>
                  <w:tcPr>
                    <w:tcW w:w="1985" w:type="dxa"/>
                    <w:vMerge w:val="restart"/>
                    <w:tcBorders>
                      <w:top w:val="single" w:sz="4" w:space="0" w:color="auto"/>
                      <w:left w:val="single" w:sz="4" w:space="0" w:color="auto"/>
                      <w:right w:val="single" w:sz="4" w:space="0" w:color="auto"/>
                    </w:tcBorders>
                  </w:tcPr>
                  <w:p>
                    <w:pPr/>
                    <w:r>
                      <w:rPr>
                        <w:sz w:val="20"/>
                      </w:rPr>
                      <w:t>SAM</w:t>
                    </w:r>
                  </w:p>
                  <w:p>
                    <w:pPr>
                      <w:ind w:firstLine="53"/>
                      <w:rPr>
                        <w:sz w:val="20"/>
                      </w:rPr>
                    </w:pPr>
                  </w:p>
                </w:tc>
                <w:tc>
                  <w:tcPr>
                    <w:tcW w:w="829" w:type="dxa"/>
                    <w:gridSpan w:val="3"/>
                    <w:vMerge w:val="restart"/>
                    <w:tcBorders>
                      <w:top w:val="single" w:sz="4" w:space="0" w:color="auto"/>
                      <w:left w:val="single" w:sz="4" w:space="0" w:color="auto"/>
                      <w:right w:val="single" w:sz="4" w:space="0" w:color="auto"/>
                    </w:tcBorders>
                  </w:tcPr>
                  <w:p>
                    <w:pPr/>
                    <w:r>
                      <w:rPr>
                        <w:sz w:val="20"/>
                      </w:rPr>
                      <w:t>P</w:t>
                    </w:r>
                  </w:p>
                  <w:p>
                    <w:pPr>
                      <w:ind w:firstLine="53"/>
                      <w:rPr>
                        <w:sz w:val="20"/>
                      </w:rPr>
                    </w:pPr>
                  </w:p>
                </w:tc>
                <w:tc>
                  <w:tcPr>
                    <w:tcW w:w="1006" w:type="dxa"/>
                    <w:gridSpan w:val="2"/>
                    <w:vMerge w:val="restart"/>
                    <w:tcBorders>
                      <w:top w:val="single" w:sz="4" w:space="0" w:color="auto"/>
                      <w:left w:val="single" w:sz="4" w:space="0" w:color="auto"/>
                      <w:right w:val="single" w:sz="4" w:space="0" w:color="auto"/>
                    </w:tcBorders>
                  </w:tcPr>
                  <w:p>
                    <w:pPr/>
                    <w:r>
                      <w:rPr>
                        <w:sz w:val="20"/>
                      </w:rPr>
                      <w:t>Taip</w:t>
                    </w:r>
                  </w:p>
                  <w:p>
                    <w:pPr>
                      <w:ind w:firstLine="53"/>
                      <w:rPr>
                        <w:sz w:val="20"/>
                      </w:rPr>
                    </w:pPr>
                  </w:p>
                </w:tc>
                <w:tc>
                  <w:tcPr>
                    <w:tcW w:w="689" w:type="dxa"/>
                    <w:gridSpan w:val="4"/>
                    <w:vMerge w:val="restart"/>
                    <w:tcBorders>
                      <w:top w:val="single" w:sz="4" w:space="0" w:color="auto"/>
                      <w:left w:val="single" w:sz="4" w:space="0" w:color="auto"/>
                      <w:right w:val="single" w:sz="4" w:space="0" w:color="auto"/>
                    </w:tcBorders>
                  </w:tcPr>
                  <w:p>
                    <w:pPr/>
                    <w:r>
                      <w:rPr>
                        <w:sz w:val="20"/>
                      </w:rPr>
                      <w:t>D</w:t>
                    </w:r>
                  </w:p>
                  <w:p>
                    <w:pPr>
                      <w:ind w:firstLine="53"/>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r>
                      <w:rPr>
                        <w:sz w:val="20"/>
                      </w:rPr>
                      <w:t>3 113,920</w:t>
                    </w:r>
                  </w:p>
                  <w:p>
                    <w:pPr>
                      <w:ind w:firstLine="53"/>
                    </w:pPr>
                  </w:p>
                  <w:p>
                    <w:pPr>
                      <w:ind w:firstLine="53"/>
                    </w:pPr>
                  </w:p>
                  <w:p>
                    <w:pPr>
                      <w:ind w:firstLine="53"/>
                      <w:rPr>
                        <w:sz w:val="20"/>
                        <w:lang w:val="en-US"/>
                      </w:rPr>
                    </w:pPr>
                  </w:p>
                  <w:p>
                    <w:pPr>
                      <w:rPr>
                        <w:sz w:val="20"/>
                        <w:lang w:val="en-US"/>
                      </w:rPr>
                    </w:pPr>
                  </w:p>
                  <w:p>
                    <w:pPr>
                      <w:rPr>
                        <w:sz w:val="20"/>
                        <w:lang w:val="en-US"/>
                      </w:rPr>
                    </w:pPr>
                  </w:p>
                  <w:p>
                    <w:pPr>
                      <w:rPr>
                        <w:sz w:val="20"/>
                        <w:lang w:val="en-US"/>
                      </w:rPr>
                    </w:pPr>
                  </w:p>
                  <w:p>
                    <w:pPr/>
                  </w:p>
                </w:tc>
                <w:tc>
                  <w:tcPr>
                    <w:tcW w:w="1118" w:type="dxa"/>
                    <w:tcBorders>
                      <w:top w:val="single" w:sz="4" w:space="0" w:color="auto"/>
                      <w:left w:val="single" w:sz="4" w:space="0" w:color="auto"/>
                      <w:bottom w:val="single" w:sz="4" w:space="0" w:color="auto"/>
                      <w:right w:val="single" w:sz="4" w:space="0" w:color="auto"/>
                    </w:tcBorders>
                  </w:tcPr>
                  <w:p>
                    <w:pPr/>
                    <w:r>
                      <w:rPr>
                        <w:sz w:val="20"/>
                      </w:rPr>
                      <w:t xml:space="preserve">2021–2027 m. IP (ESF+) </w:t>
                    </w:r>
                  </w:p>
                  <w:p>
                    <w:pPr>
                      <w:ind w:firstLine="53"/>
                      <w:rPr>
                        <w:sz w:val="20"/>
                      </w:rPr>
                    </w:pPr>
                  </w:p>
                  <w:p>
                    <w:pPr>
                      <w:rPr>
                        <w:sz w:val="20"/>
                      </w:rPr>
                    </w:pPr>
                  </w:p>
                  <w:p>
                    <w:pPr>
                      <w:rPr>
                        <w:sz w:val="20"/>
                      </w:rPr>
                    </w:pPr>
                  </w:p>
                  <w:p>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Paramą gavusių nacionalinio, regionų ar vietos lygmens viešojo administravimo ar viešąsias paslaugas teikiančių įstaigų skaičius, subjektų skaičius</w:t>
                    </w:r>
                  </w:p>
                  <w:p>
                    <w:pPr>
                      <w:ind w:right="-57"/>
                    </w:pP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tabs>
                        <w:tab w:val="left" w:pos="184"/>
                        <w:tab w:val="center" w:pos="317"/>
                      </w:tabs>
                      <w:ind w:left="-57" w:right="-57"/>
                      <w:jc w:val="center"/>
                    </w:pPr>
                    <w:r>
                      <w:rPr>
                        <w:sz w:val="20"/>
                      </w:rPr>
                      <w:t>1</w:t>
                    </w:r>
                  </w:p>
                  <w:p>
                    <w:pPr>
                      <w:tabs>
                        <w:tab w:val="left" w:pos="184"/>
                        <w:tab w:val="center" w:pos="317"/>
                      </w:tabs>
                      <w:ind w:left="-57" w:right="-57"/>
                      <w:jc w:val="center"/>
                    </w:pPr>
                    <w:r>
                      <w:rPr>
                        <w:sz w:val="20"/>
                      </w:rPr>
                      <w:t>(2029 m.)</w:t>
                    </w:r>
                  </w:p>
                  <w:p>
                    <w:pPr>
                      <w:tabs>
                        <w:tab w:val="left" w:pos="184"/>
                        <w:tab w:val="center" w:pos="317"/>
                      </w:tabs>
                      <w:ind w:left="-57" w:right="-57" w:firstLine="53"/>
                      <w:jc w:val="center"/>
                    </w:pPr>
                  </w:p>
                  <w:p>
                    <w:pPr>
                      <w:tabs>
                        <w:tab w:val="left" w:pos="184"/>
                        <w:tab w:val="center" w:pos="317"/>
                      </w:tabs>
                      <w:ind w:left="-57" w:right="-57" w:firstLine="53"/>
                      <w:jc w:val="center"/>
                    </w:pPr>
                  </w:p>
                  <w:p>
                    <w:pPr>
                      <w:tabs>
                        <w:tab w:val="left" w:pos="184"/>
                        <w:tab w:val="center" w:pos="317"/>
                      </w:tabs>
                      <w:ind w:left="-57" w:right="-57" w:firstLine="53"/>
                      <w:jc w:val="center"/>
                    </w:pPr>
                  </w:p>
                  <w:p>
                    <w:pPr>
                      <w:tabs>
                        <w:tab w:val="left" w:pos="184"/>
                        <w:tab w:val="center" w:pos="317"/>
                      </w:tabs>
                      <w:ind w:left="-57" w:right="-57" w:firstLine="53"/>
                      <w:jc w:val="center"/>
                    </w:pPr>
                  </w:p>
                </w:tc>
                <w:tc>
                  <w:tcPr>
                    <w:tcW w:w="992" w:type="dxa"/>
                    <w:vMerge w:val="restart"/>
                    <w:tcBorders>
                      <w:top w:val="single" w:sz="4" w:space="0" w:color="auto"/>
                      <w:left w:val="single" w:sz="4" w:space="0" w:color="auto"/>
                      <w:right w:val="single" w:sz="4" w:space="0" w:color="auto"/>
                    </w:tcBorders>
                    <w:tcMar>
                      <w:left w:w="108" w:type="dxa"/>
                      <w:right w:w="108" w:type="dxa"/>
                    </w:tcMar>
                  </w:tcPr>
                  <w:p>
                    <w:pPr/>
                    <w:r>
                      <w:rPr>
                        <w:sz w:val="20"/>
                      </w:rPr>
                      <w:t>CPVA</w:t>
                    </w:r>
                  </w:p>
                  <w:p>
                    <w:pPr>
                      <w:ind w:firstLine="53"/>
                    </w:pPr>
                  </w:p>
                  <w:p>
                    <w:pPr>
                      <w:ind w:firstLine="53"/>
                    </w:pPr>
                  </w:p>
                  <w:p>
                    <w:pPr>
                      <w:ind w:firstLine="53"/>
                    </w:pPr>
                  </w:p>
                </w:tc>
                <w:tc>
                  <w:tcPr>
                    <w:tcW w:w="1279" w:type="dxa"/>
                    <w:vMerge w:val="restart"/>
                    <w:tcBorders>
                      <w:top w:val="single" w:sz="4" w:space="0" w:color="auto"/>
                      <w:left w:val="single" w:sz="4" w:space="0" w:color="auto"/>
                      <w:right w:val="single" w:sz="4" w:space="0" w:color="auto"/>
                    </w:tcBorders>
                    <w:tcMar>
                      <w:left w:w="108" w:type="dxa"/>
                      <w:right w:w="108" w:type="dxa"/>
                    </w:tcMar>
                  </w:tcPr>
                  <w:p>
                    <w:pPr>
                      <w:jc w:val="center"/>
                    </w:pPr>
                    <w:r>
                      <w:rPr>
                        <w:sz w:val="20"/>
                      </w:rPr>
                      <w:t>SAM</w:t>
                    </w:r>
                  </w:p>
                  <w:p>
                    <w:pPr>
                      <w:ind w:firstLine="53"/>
                      <w:jc w:val="center"/>
                    </w:pPr>
                  </w:p>
                  <w:p>
                    <w:pPr>
                      <w:ind w:firstLine="53"/>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48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left w:val="single" w:sz="4" w:space="0" w:color="auto"/>
                      <w:right w:val="single" w:sz="4" w:space="0" w:color="auto"/>
                    </w:tcBorders>
                    <w:vAlign w:val="center"/>
                  </w:tcPr>
                  <w:p>
                    <w:pPr/>
                  </w:p>
                </w:tc>
                <w:tc>
                  <w:tcPr>
                    <w:tcW w:w="1985" w:type="dxa"/>
                    <w:vMerge/>
                    <w:tcBorders>
                      <w:left w:val="single" w:sz="4" w:space="0" w:color="auto"/>
                      <w:right w:val="single" w:sz="4" w:space="0" w:color="auto"/>
                    </w:tcBorders>
                    <w:vAlign w:val="center"/>
                  </w:tcPr>
                  <w:p>
                    <w:pPr/>
                  </w:p>
                </w:tc>
                <w:tc>
                  <w:tcPr>
                    <w:tcW w:w="829" w:type="dxa"/>
                    <w:gridSpan w:val="3"/>
                    <w:vMerge/>
                    <w:tcBorders>
                      <w:left w:val="single" w:sz="4" w:space="0" w:color="auto"/>
                      <w:right w:val="single" w:sz="4" w:space="0" w:color="auto"/>
                    </w:tcBorders>
                    <w:vAlign w:val="center"/>
                  </w:tcPr>
                  <w:p>
                    <w:pPr/>
                  </w:p>
                </w:tc>
                <w:tc>
                  <w:tcPr>
                    <w:tcW w:w="1006" w:type="dxa"/>
                    <w:gridSpan w:val="2"/>
                    <w:vMerge/>
                    <w:tcBorders>
                      <w:left w:val="single" w:sz="4" w:space="0" w:color="auto"/>
                      <w:right w:val="single" w:sz="4" w:space="0" w:color="auto"/>
                    </w:tcBorders>
                    <w:vAlign w:val="center"/>
                  </w:tcPr>
                  <w:p>
                    <w:pPr/>
                  </w:p>
                </w:tc>
                <w:tc>
                  <w:tcPr>
                    <w:tcW w:w="689" w:type="dxa"/>
                    <w:gridSpan w:val="4"/>
                    <w:vMerge/>
                    <w:tcBorders>
                      <w:left w:val="single" w:sz="4" w:space="0" w:color="auto"/>
                      <w:right w:val="single" w:sz="4" w:space="0" w:color="auto"/>
                    </w:tcBorders>
                    <w:vAlign w:val="center"/>
                  </w:tcPr>
                  <w:p>
                    <w:pPr/>
                  </w:p>
                </w:tc>
                <w:tc>
                  <w:tcPr>
                    <w:tcW w:w="1167" w:type="dxa"/>
                    <w:gridSpan w:val="2"/>
                    <w:tcBorders>
                      <w:top w:val="single" w:sz="4" w:space="0" w:color="auto"/>
                      <w:left w:val="single" w:sz="4" w:space="0" w:color="auto"/>
                      <w:bottom w:val="single" w:sz="4" w:space="0" w:color="auto"/>
                      <w:right w:val="single" w:sz="4" w:space="0" w:color="auto"/>
                    </w:tcBorders>
                    <w:vAlign w:val="center"/>
                  </w:tcPr>
                  <w:p>
                    <w:pPr>
                      <w:rPr>
                        <w:sz w:val="20"/>
                      </w:rPr>
                    </w:pPr>
                    <w:r>
                      <w:rPr>
                        <w:sz w:val="20"/>
                      </w:rPr>
                      <w:t>549,515</w:t>
                    </w:r>
                  </w:p>
                  <w:p>
                    <w:pPr/>
                  </w:p>
                </w:tc>
                <w:tc>
                  <w:tcPr>
                    <w:tcW w:w="1118"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2021–2027 m. IP (BF)</w:t>
                    </w:r>
                  </w:p>
                  <w:p>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right="-57"/>
                      <w:rPr>
                        <w:sz w:val="20"/>
                      </w:rPr>
                    </w:pPr>
                    <w:r>
                      <w:rPr>
                        <w:sz w:val="20"/>
                      </w:rPr>
                      <w:t xml:space="preserve">P </w:t>
                    </w:r>
                    <w:r>
                      <w:rPr>
                        <w:color w:val="000000"/>
                        <w:szCs w:val="24"/>
                      </w:rPr>
                      <w:t>–</w:t>
                    </w:r>
                    <w:r>
                      <w:rPr>
                        <w:sz w:val="20"/>
                      </w:rPr>
                      <w:t xml:space="preserve"> Sveikatos priežiūros įstaigos, įgyvendinusios sveikatos priežiūros specialistų įgalinimo, pritraukimo ir išlaikymo projektus, skaičius</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6</w:t>
                    </w:r>
                  </w:p>
                  <w:p>
                    <w:pPr>
                      <w:ind w:left="-57" w:right="-57"/>
                      <w:jc w:val="center"/>
                      <w:rPr>
                        <w:sz w:val="20"/>
                      </w:rPr>
                    </w:pPr>
                    <w:r>
                      <w:rPr>
                        <w:sz w:val="20"/>
                      </w:rPr>
                      <w:t>(2029 m.)</w:t>
                    </w:r>
                  </w:p>
                </w:tc>
                <w:tc>
                  <w:tcPr>
                    <w:tcW w:w="992" w:type="dxa"/>
                    <w:vMerge/>
                    <w:tcBorders>
                      <w:left w:val="single" w:sz="4" w:space="0" w:color="auto"/>
                      <w:right w:val="single" w:sz="4" w:space="0" w:color="auto"/>
                    </w:tcBorders>
                    <w:vAlign w:val="center"/>
                  </w:tcPr>
                  <w:p>
                    <w:pPr/>
                  </w:p>
                </w:tc>
                <w:tc>
                  <w:tcPr>
                    <w:tcW w:w="1279" w:type="dxa"/>
                    <w:vMerge/>
                    <w:tcBorders>
                      <w:left w:val="single" w:sz="4" w:space="0" w:color="auto"/>
                      <w:right w:val="single" w:sz="4" w:space="0" w:color="auto"/>
                    </w:tcBorders>
                    <w:vAlign w:val="cente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30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left w:val="single" w:sz="4" w:space="0" w:color="auto"/>
                      <w:right w:val="single" w:sz="4" w:space="0" w:color="auto"/>
                    </w:tcBorders>
                    <w:vAlign w:val="center"/>
                  </w:tcPr>
                  <w:p>
                    <w:pPr/>
                  </w:p>
                </w:tc>
                <w:tc>
                  <w:tcPr>
                    <w:tcW w:w="1985" w:type="dxa"/>
                    <w:vMerge/>
                    <w:tcBorders>
                      <w:left w:val="single" w:sz="4" w:space="0" w:color="auto"/>
                      <w:right w:val="single" w:sz="4" w:space="0" w:color="auto"/>
                    </w:tcBorders>
                    <w:vAlign w:val="center"/>
                  </w:tcPr>
                  <w:p>
                    <w:pPr/>
                  </w:p>
                </w:tc>
                <w:tc>
                  <w:tcPr>
                    <w:tcW w:w="829" w:type="dxa"/>
                    <w:gridSpan w:val="3"/>
                    <w:vMerge/>
                    <w:tcBorders>
                      <w:left w:val="single" w:sz="4" w:space="0" w:color="auto"/>
                      <w:right w:val="single" w:sz="4" w:space="0" w:color="auto"/>
                    </w:tcBorders>
                    <w:vAlign w:val="center"/>
                  </w:tcPr>
                  <w:p>
                    <w:pPr/>
                  </w:p>
                </w:tc>
                <w:tc>
                  <w:tcPr>
                    <w:tcW w:w="1006" w:type="dxa"/>
                    <w:gridSpan w:val="2"/>
                    <w:vMerge/>
                    <w:tcBorders>
                      <w:left w:val="single" w:sz="4" w:space="0" w:color="auto"/>
                      <w:right w:val="single" w:sz="4" w:space="0" w:color="auto"/>
                    </w:tcBorders>
                    <w:vAlign w:val="center"/>
                  </w:tcPr>
                  <w:p>
                    <w:pPr/>
                  </w:p>
                </w:tc>
                <w:tc>
                  <w:tcPr>
                    <w:tcW w:w="689" w:type="dxa"/>
                    <w:gridSpan w:val="4"/>
                    <w:vMerge/>
                    <w:tcBorders>
                      <w:left w:val="single" w:sz="4" w:space="0" w:color="auto"/>
                      <w:right w:val="single" w:sz="4" w:space="0" w:color="auto"/>
                    </w:tcBorders>
                    <w:vAlign w:val="center"/>
                  </w:tcPr>
                  <w:p>
                    <w:pPr/>
                  </w:p>
                </w:tc>
                <w:tc>
                  <w:tcPr>
                    <w:tcW w:w="1167" w:type="dxa"/>
                    <w:gridSpan w:val="2"/>
                    <w:vMerge w:val="restart"/>
                    <w:tcBorders>
                      <w:top w:val="single" w:sz="4" w:space="0" w:color="auto"/>
                      <w:left w:val="single" w:sz="4" w:space="0" w:color="auto"/>
                      <w:bottom w:val="single" w:sz="4" w:space="0" w:color="auto"/>
                      <w:right w:val="single" w:sz="4" w:space="0" w:color="auto"/>
                    </w:tcBorders>
                    <w:vAlign w:val="center"/>
                  </w:tcPr>
                  <w:p>
                    <w:pPr/>
                  </w:p>
                </w:tc>
                <w:tc>
                  <w:tcPr>
                    <w:tcW w:w="1118" w:type="dxa"/>
                    <w:vMerge w:val="restart"/>
                    <w:tcBorders>
                      <w:top w:val="single" w:sz="4" w:space="0" w:color="auto"/>
                      <w:left w:val="single" w:sz="4" w:space="0" w:color="auto"/>
                      <w:bottom w:val="single" w:sz="4" w:space="0" w:color="auto"/>
                      <w:right w:val="single" w:sz="4" w:space="0" w:color="auto"/>
                    </w:tcBorders>
                    <w:vAlign w:val="center"/>
                  </w:tcPr>
                  <w:p>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 xml:space="preserve">R </w:t>
                    </w:r>
                    <w:r>
                      <w:rPr>
                        <w:color w:val="000000"/>
                        <w:szCs w:val="24"/>
                      </w:rPr>
                      <w:t>–</w:t>
                    </w:r>
                    <w:r>
                      <w:rPr>
                        <w:sz w:val="20"/>
                      </w:rPr>
                      <w:t xml:space="preserve"> Sveikatos priežiūros specialistų, kurie po dalyvavimo veiklose mažiausiai 2 metus dirbo sveikatos priežiūros įstaigose,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80</w:t>
                    </w:r>
                  </w:p>
                  <w:p>
                    <w:pPr>
                      <w:ind w:left="-57" w:right="-57"/>
                      <w:jc w:val="center"/>
                    </w:pPr>
                    <w:r>
                      <w:rPr>
                        <w:sz w:val="20"/>
                      </w:rPr>
                      <w:t>(2029 m.)</w:t>
                    </w:r>
                  </w:p>
                </w:tc>
                <w:tc>
                  <w:tcPr>
                    <w:tcW w:w="992" w:type="dxa"/>
                    <w:vMerge/>
                    <w:tcBorders>
                      <w:left w:val="single" w:sz="4" w:space="0" w:color="auto"/>
                      <w:right w:val="single" w:sz="4" w:space="0" w:color="auto"/>
                    </w:tcBorders>
                    <w:vAlign w:val="center"/>
                  </w:tcPr>
                  <w:p>
                    <w:pPr/>
                  </w:p>
                </w:tc>
                <w:tc>
                  <w:tcPr>
                    <w:tcW w:w="1279" w:type="dxa"/>
                    <w:vMerge/>
                    <w:tcBorders>
                      <w:left w:val="single" w:sz="4" w:space="0" w:color="auto"/>
                      <w:right w:val="single" w:sz="4" w:space="0" w:color="auto"/>
                    </w:tcBorders>
                    <w:vAlign w:val="cente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125"/>
                </w:trPr>
                <w:tc>
                  <w:tcPr>
                    <w:tcW w:w="2130" w:type="dxa"/>
                    <w:gridSpan w:val="2"/>
                    <w:vMerge/>
                    <w:tcBorders>
                      <w:top w:val="single" w:sz="4" w:space="0" w:color="auto"/>
                      <w:left w:val="single" w:sz="4" w:space="0" w:color="auto"/>
                      <w:bottom w:val="single" w:sz="4" w:space="0" w:color="auto"/>
                      <w:right w:val="single" w:sz="4" w:space="0" w:color="auto"/>
                    </w:tcBorders>
                    <w:tcMar>
                      <w:left w:w="108" w:type="dxa"/>
                      <w:right w:w="108" w:type="dxa"/>
                    </w:tcMar>
                  </w:tcPr>
                  <w:p>
                    <w:pPr/>
                  </w:p>
                </w:tc>
                <w:tc>
                  <w:tcPr>
                    <w:tcW w:w="699" w:type="dxa"/>
                    <w:vMerge/>
                    <w:tcBorders>
                      <w:left w:val="single" w:sz="4" w:space="0" w:color="auto"/>
                      <w:right w:val="single" w:sz="4" w:space="0" w:color="auto"/>
                    </w:tcBorders>
                    <w:tcMar>
                      <w:left w:w="108" w:type="dxa"/>
                      <w:right w:w="108" w:type="dxa"/>
                    </w:tcMar>
                  </w:tcPr>
                  <w:p>
                    <w:pPr/>
                  </w:p>
                </w:tc>
                <w:tc>
                  <w:tcPr>
                    <w:tcW w:w="1985" w:type="dxa"/>
                    <w:vMerge/>
                    <w:tcBorders>
                      <w:left w:val="single" w:sz="4" w:space="0" w:color="auto"/>
                      <w:right w:val="single" w:sz="4" w:space="0" w:color="auto"/>
                    </w:tcBorders>
                    <w:tcMar>
                      <w:left w:w="108" w:type="dxa"/>
                      <w:right w:w="108" w:type="dxa"/>
                    </w:tcMar>
                  </w:tcPr>
                  <w:p>
                    <w:pPr/>
                  </w:p>
                </w:tc>
                <w:tc>
                  <w:tcPr>
                    <w:tcW w:w="829" w:type="dxa"/>
                    <w:gridSpan w:val="3"/>
                    <w:vMerge/>
                    <w:tcBorders>
                      <w:left w:val="single" w:sz="4" w:space="0" w:color="auto"/>
                      <w:right w:val="single" w:sz="4" w:space="0" w:color="auto"/>
                    </w:tcBorders>
                    <w:tcMar>
                      <w:left w:w="108" w:type="dxa"/>
                      <w:right w:w="108" w:type="dxa"/>
                    </w:tcMar>
                  </w:tcPr>
                  <w:p>
                    <w:pPr/>
                  </w:p>
                </w:tc>
                <w:tc>
                  <w:tcPr>
                    <w:tcW w:w="1006" w:type="dxa"/>
                    <w:gridSpan w:val="2"/>
                    <w:vMerge/>
                    <w:tcBorders>
                      <w:left w:val="single" w:sz="4" w:space="0" w:color="auto"/>
                      <w:right w:val="single" w:sz="4" w:space="0" w:color="auto"/>
                    </w:tcBorders>
                    <w:tcMar>
                      <w:left w:w="108" w:type="dxa"/>
                      <w:right w:w="108" w:type="dxa"/>
                    </w:tcMar>
                  </w:tcPr>
                  <w:p>
                    <w:pPr/>
                  </w:p>
                </w:tc>
                <w:tc>
                  <w:tcPr>
                    <w:tcW w:w="689" w:type="dxa"/>
                    <w:gridSpan w:val="4"/>
                    <w:vMerge/>
                    <w:tcBorders>
                      <w:left w:val="single" w:sz="4" w:space="0" w:color="auto"/>
                      <w:right w:val="single" w:sz="4" w:space="0" w:color="auto"/>
                    </w:tcBorders>
                    <w:tcMar>
                      <w:left w:w="108" w:type="dxa"/>
                      <w:right w:w="108" w:type="dxa"/>
                    </w:tcMar>
                  </w:tcPr>
                  <w:p>
                    <w:pPr/>
                  </w:p>
                </w:tc>
                <w:tc>
                  <w:tcPr>
                    <w:tcW w:w="1167" w:type="dxa"/>
                    <w:gridSpan w:val="2"/>
                    <w:vMerge/>
                    <w:tcBorders>
                      <w:top w:val="single" w:sz="4" w:space="0" w:color="auto"/>
                      <w:left w:val="single" w:sz="4" w:space="0" w:color="auto"/>
                      <w:bottom w:val="single" w:sz="4" w:space="0" w:color="auto"/>
                      <w:right w:val="single" w:sz="4" w:space="0" w:color="auto"/>
                    </w:tcBorders>
                    <w:tcMar>
                      <w:left w:w="108" w:type="dxa"/>
                      <w:right w:w="108" w:type="dxa"/>
                    </w:tcMar>
                  </w:tcPr>
                  <w:p>
                    <w:pPr/>
                  </w:p>
                </w:tc>
                <w:tc>
                  <w:tcPr>
                    <w:tcW w:w="1118" w:type="dxa"/>
                    <w:vMerge/>
                    <w:tcBorders>
                      <w:top w:val="single" w:sz="4" w:space="0" w:color="auto"/>
                      <w:left w:val="single" w:sz="4" w:space="0" w:color="auto"/>
                      <w:bottom w:val="single" w:sz="4" w:space="0" w:color="auto"/>
                      <w:right w:val="single" w:sz="4" w:space="0" w:color="auto"/>
                    </w:tcBorders>
                    <w:tcMar>
                      <w:left w:w="108" w:type="dxa"/>
                      <w:right w:w="108" w:type="dxa"/>
                    </w:tcMar>
                  </w:tcPr>
                  <w:p>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Specialistai, dalyvavę kvalifikacijos tobulinimo ar perkvalifikavimo veiklose, asmenys</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490</w:t>
                    </w:r>
                  </w:p>
                  <w:p>
                    <w:pPr>
                      <w:ind w:left="-57" w:right="-57"/>
                      <w:jc w:val="center"/>
                    </w:pPr>
                    <w:r>
                      <w:rPr>
                        <w:sz w:val="20"/>
                      </w:rPr>
                      <w:t>(2029 m.)</w:t>
                    </w:r>
                  </w:p>
                  <w:p>
                    <w:pPr>
                      <w:ind w:left="-57" w:right="-57" w:firstLine="53"/>
                      <w:jc w:val="center"/>
                    </w:pPr>
                  </w:p>
                </w:tc>
                <w:tc>
                  <w:tcPr>
                    <w:tcW w:w="992" w:type="dxa"/>
                    <w:vMerge/>
                    <w:tcBorders>
                      <w:left w:val="single" w:sz="4" w:space="0" w:color="auto"/>
                      <w:right w:val="single" w:sz="4" w:space="0" w:color="auto"/>
                    </w:tcBorders>
                    <w:tcMar>
                      <w:left w:w="108" w:type="dxa"/>
                      <w:right w:w="108" w:type="dxa"/>
                    </w:tcMar>
                  </w:tcPr>
                  <w:p>
                    <w:pPr/>
                  </w:p>
                </w:tc>
                <w:tc>
                  <w:tcPr>
                    <w:tcW w:w="1279" w:type="dxa"/>
                    <w:vMerge/>
                    <w:tcBorders>
                      <w:left w:val="single" w:sz="4" w:space="0" w:color="auto"/>
                      <w:right w:val="single" w:sz="4" w:space="0" w:color="auto"/>
                    </w:tcBorders>
                    <w:tcMar>
                      <w:left w:w="108" w:type="dxa"/>
                      <w:right w:w="108" w:type="dxa"/>
                    </w:tcMa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08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left w:val="single" w:sz="4" w:space="0" w:color="auto"/>
                      <w:bottom w:val="single" w:sz="4" w:space="0" w:color="auto"/>
                      <w:right w:val="single" w:sz="4" w:space="0" w:color="auto"/>
                    </w:tcBorders>
                    <w:vAlign w:val="center"/>
                  </w:tcPr>
                  <w:p>
                    <w:pPr/>
                  </w:p>
                </w:tc>
                <w:tc>
                  <w:tcPr>
                    <w:tcW w:w="1985" w:type="dxa"/>
                    <w:vMerge/>
                    <w:tcBorders>
                      <w:left w:val="single" w:sz="4" w:space="0" w:color="auto"/>
                      <w:bottom w:val="single" w:sz="4" w:space="0" w:color="auto"/>
                      <w:right w:val="single" w:sz="4" w:space="0" w:color="auto"/>
                    </w:tcBorders>
                    <w:vAlign w:val="center"/>
                  </w:tcPr>
                  <w:p>
                    <w:pPr/>
                  </w:p>
                </w:tc>
                <w:tc>
                  <w:tcPr>
                    <w:tcW w:w="829" w:type="dxa"/>
                    <w:gridSpan w:val="3"/>
                    <w:vMerge/>
                    <w:tcBorders>
                      <w:left w:val="single" w:sz="4" w:space="0" w:color="auto"/>
                      <w:bottom w:val="single" w:sz="4" w:space="0" w:color="auto"/>
                      <w:right w:val="single" w:sz="4" w:space="0" w:color="auto"/>
                    </w:tcBorders>
                    <w:vAlign w:val="center"/>
                  </w:tcPr>
                  <w:p>
                    <w:pPr/>
                  </w:p>
                </w:tc>
                <w:tc>
                  <w:tcPr>
                    <w:tcW w:w="1006" w:type="dxa"/>
                    <w:gridSpan w:val="2"/>
                    <w:vMerge/>
                    <w:tcBorders>
                      <w:left w:val="single" w:sz="4" w:space="0" w:color="auto"/>
                      <w:bottom w:val="single" w:sz="4" w:space="0" w:color="auto"/>
                      <w:right w:val="single" w:sz="4" w:space="0" w:color="auto"/>
                    </w:tcBorders>
                    <w:vAlign w:val="center"/>
                  </w:tcPr>
                  <w:p>
                    <w:pPr/>
                  </w:p>
                </w:tc>
                <w:tc>
                  <w:tcPr>
                    <w:tcW w:w="689" w:type="dxa"/>
                    <w:gridSpan w:val="4"/>
                    <w:vMerge/>
                    <w:tcBorders>
                      <w:left w:val="single" w:sz="4" w:space="0" w:color="auto"/>
                      <w:bottom w:val="single" w:sz="4" w:space="0" w:color="auto"/>
                      <w:right w:val="single" w:sz="4" w:space="0" w:color="auto"/>
                    </w:tcBorders>
                    <w:vAlign w:val="center"/>
                  </w:tcPr>
                  <w:p>
                    <w:pPr/>
                  </w:p>
                </w:tc>
                <w:tc>
                  <w:tcPr>
                    <w:tcW w:w="1167" w:type="dxa"/>
                    <w:gridSpan w:val="2"/>
                    <w:vMerge/>
                    <w:tcBorders>
                      <w:top w:val="single" w:sz="4" w:space="0" w:color="auto"/>
                      <w:left w:val="single" w:sz="4" w:space="0" w:color="auto"/>
                      <w:bottom w:val="single" w:sz="4" w:space="0" w:color="auto"/>
                      <w:right w:val="single" w:sz="4" w:space="0" w:color="auto"/>
                    </w:tcBorders>
                    <w:vAlign w:val="center"/>
                  </w:tcPr>
                  <w:p>
                    <w:pPr/>
                  </w:p>
                </w:tc>
                <w:tc>
                  <w:tcPr>
                    <w:tcW w:w="1118" w:type="dxa"/>
                    <w:vMerge/>
                    <w:tcBorders>
                      <w:top w:val="single" w:sz="4" w:space="0" w:color="auto"/>
                      <w:left w:val="single" w:sz="4" w:space="0" w:color="auto"/>
                      <w:bottom w:val="single" w:sz="4" w:space="0" w:color="auto"/>
                      <w:right w:val="single" w:sz="4" w:space="0" w:color="auto"/>
                    </w:tcBorders>
                    <w:vAlign w:val="center"/>
                  </w:tcPr>
                  <w:p>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R – Specialistų, kurie po dalyvavimo veiklose įgijo ar patobulino kvalifikaciją,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90</w:t>
                    </w:r>
                  </w:p>
                  <w:p>
                    <w:pPr>
                      <w:ind w:left="-57" w:right="-57"/>
                      <w:jc w:val="center"/>
                    </w:pPr>
                    <w:r>
                      <w:rPr>
                        <w:sz w:val="20"/>
                      </w:rPr>
                      <w:t>(2029 m.)</w:t>
                    </w:r>
                  </w:p>
                </w:tc>
                <w:tc>
                  <w:tcPr>
                    <w:tcW w:w="992" w:type="dxa"/>
                    <w:vMerge/>
                    <w:tcBorders>
                      <w:left w:val="single" w:sz="4" w:space="0" w:color="auto"/>
                      <w:bottom w:val="single" w:sz="4" w:space="0" w:color="auto"/>
                      <w:right w:val="single" w:sz="4" w:space="0" w:color="auto"/>
                    </w:tcBorders>
                    <w:tcMar>
                      <w:left w:w="108" w:type="dxa"/>
                      <w:right w:w="108" w:type="dxa"/>
                    </w:tcMar>
                  </w:tcPr>
                  <w:p>
                    <w:pPr/>
                  </w:p>
                </w:tc>
                <w:tc>
                  <w:tcPr>
                    <w:tcW w:w="1279" w:type="dxa"/>
                    <w:vMerge/>
                    <w:tcBorders>
                      <w:left w:val="single" w:sz="4" w:space="0" w:color="auto"/>
                      <w:bottom w:val="single" w:sz="4" w:space="0" w:color="auto"/>
                      <w:right w:val="single" w:sz="4" w:space="0" w:color="auto"/>
                    </w:tcBorders>
                    <w:tcMar>
                      <w:left w:w="108" w:type="dxa"/>
                      <w:right w:w="108" w:type="dxa"/>
                    </w:tcMa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945"/>
                </w:trPr>
                <w:tc>
                  <w:tcPr>
                    <w:tcW w:w="213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10.3.</w:t>
                    </w:r>
                    <w:r>
                      <w:rPr>
                        <w:sz w:val="20"/>
                      </w:rPr>
                      <w:t xml:space="preserve"> . Sveikatos priežiūros specialistų rengimas, pritraukimas, Vidurio ir vakarų Lietuvos regionas</w:t>
                    </w:r>
                  </w:p>
                </w:tc>
                <w:tc>
                  <w:tcPr>
                    <w:tcW w:w="69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Savivaldybių administracijos</w:t>
                    </w:r>
                    <w:r>
                      <w:rPr>
                        <w:strike/>
                        <w:color w:val="000000"/>
                        <w:sz w:val="20"/>
                      </w:rPr>
                      <w:t xml:space="preserve"> </w:t>
                    </w:r>
                  </w:p>
                </w:tc>
                <w:tc>
                  <w:tcPr>
                    <w:tcW w:w="829"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P</w:t>
                    </w:r>
                  </w:p>
                </w:tc>
                <w:tc>
                  <w:tcPr>
                    <w:tcW w:w="1006"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Taip</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D</w:t>
                    </w:r>
                  </w:p>
                </w:tc>
                <w:tc>
                  <w:tcPr>
                    <w:tcW w:w="1167" w:type="dxa"/>
                    <w:gridSpan w:val="2"/>
                    <w:tcMar>
                      <w:left w:w="108" w:type="dxa"/>
                      <w:right w:w="108" w:type="dxa"/>
                    </w:tcMar>
                  </w:tcPr>
                  <w:p>
                    <w:pPr>
                      <w:jc w:val="center"/>
                      <w:rPr>
                        <w:sz w:val="20"/>
                      </w:rPr>
                    </w:pPr>
                    <w:r>
                      <w:rPr>
                        <w:sz w:val="20"/>
                      </w:rPr>
                      <w:t>14 807,119</w:t>
                    </w:r>
                  </w:p>
                  <w:p>
                    <w:pPr>
                      <w:ind w:firstLine="62"/>
                    </w:pPr>
                  </w:p>
                </w:tc>
                <w:tc>
                  <w:tcPr>
                    <w:tcW w:w="1118" w:type="dxa"/>
                    <w:tcMar>
                      <w:left w:w="108" w:type="dxa"/>
                      <w:right w:w="108" w:type="dxa"/>
                    </w:tcMar>
                  </w:tcPr>
                  <w:p>
                    <w:pPr>
                      <w:ind w:firstLine="53"/>
                    </w:pPr>
                    <w:r>
                      <w:rPr>
                        <w:sz w:val="20"/>
                      </w:rPr>
                      <w:t>2021–2027 m. IP (ESF+)</w:t>
                    </w:r>
                  </w:p>
                </w:tc>
                <w:tc>
                  <w:tcPr>
                    <w:tcW w:w="2001" w:type="dxa"/>
                    <w:gridSpan w:val="2"/>
                    <w:tcMar>
                      <w:left w:w="108" w:type="dxa"/>
                      <w:right w:w="108" w:type="dxa"/>
                    </w:tcMar>
                  </w:tcPr>
                  <w:p>
                    <w:pPr/>
                    <w:r>
                      <w:rPr>
                        <w:sz w:val="20"/>
                      </w:rPr>
                      <w:t xml:space="preserve">P – Asmenys, dalyvavę kvalifikacijos įgijimo veiklose, asmenys </w:t>
                    </w:r>
                  </w:p>
                </w:tc>
                <w:tc>
                  <w:tcPr>
                    <w:tcW w:w="1134" w:type="dxa"/>
                    <w:gridSpan w:val="2"/>
                    <w:tcMar>
                      <w:left w:w="108" w:type="dxa"/>
                      <w:right w:w="108" w:type="dxa"/>
                    </w:tcMar>
                  </w:tcPr>
                  <w:p>
                    <w:pPr>
                      <w:jc w:val="center"/>
                      <w:rPr>
                        <w:sz w:val="20"/>
                      </w:rPr>
                    </w:pPr>
                    <w:r>
                      <w:rPr>
                        <w:sz w:val="20"/>
                      </w:rPr>
                      <w:t>240</w:t>
                    </w:r>
                  </w:p>
                  <w:p>
                    <w:pPr>
                      <w:jc w:val="cente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SAM</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4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top w:val="single" w:sz="4" w:space="0" w:color="auto"/>
                      <w:left w:val="single" w:sz="4" w:space="0" w:color="auto"/>
                      <w:bottom w:val="single" w:sz="4" w:space="0" w:color="auto"/>
                      <w:right w:val="single" w:sz="4" w:space="0" w:color="auto"/>
                    </w:tcBorders>
                    <w:vAlign w:val="center"/>
                  </w:tcPr>
                  <w:p>
                    <w:pPr/>
                  </w:p>
                </w:tc>
                <w:tc>
                  <w:tcPr>
                    <w:tcW w:w="1985" w:type="dxa"/>
                    <w:vMerge/>
                    <w:tcBorders>
                      <w:top w:val="single" w:sz="4" w:space="0" w:color="auto"/>
                      <w:left w:val="single" w:sz="4" w:space="0" w:color="auto"/>
                      <w:bottom w:val="single" w:sz="4" w:space="0" w:color="auto"/>
                      <w:right w:val="single" w:sz="4" w:space="0" w:color="auto"/>
                    </w:tcBorders>
                    <w:vAlign w:val="center"/>
                  </w:tcPr>
                  <w:p>
                    <w:p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167" w:type="dxa"/>
                    <w:gridSpan w:val="2"/>
                    <w:vMerge w:val="restart"/>
                    <w:tcMar>
                      <w:left w:w="108" w:type="dxa"/>
                      <w:right w:w="108" w:type="dxa"/>
                    </w:tcMar>
                  </w:tcPr>
                  <w:p>
                    <w:pPr>
                      <w:ind w:firstLine="62"/>
                    </w:pPr>
                    <w:r>
                      <w:rPr>
                        <w:sz w:val="20"/>
                      </w:rPr>
                      <w:t>2 613,021</w:t>
                    </w:r>
                  </w:p>
                </w:tc>
                <w:tc>
                  <w:tcPr>
                    <w:tcW w:w="1118" w:type="dxa"/>
                    <w:vMerge w:val="restart"/>
                    <w:tcMar>
                      <w:left w:w="108" w:type="dxa"/>
                      <w:right w:w="108" w:type="dxa"/>
                    </w:tcMar>
                  </w:tcPr>
                  <w:p>
                    <w:pPr>
                      <w:rPr>
                        <w:sz w:val="20"/>
                      </w:rPr>
                    </w:pPr>
                    <w:r>
                      <w:rPr>
                        <w:sz w:val="20"/>
                      </w:rPr>
                      <w:t>2021–2027 m. IP (BF)</w:t>
                    </w:r>
                  </w:p>
                  <w:p>
                    <w:pPr>
                      <w:ind w:firstLine="53"/>
                    </w:pPr>
                  </w:p>
                </w:tc>
                <w:tc>
                  <w:tcPr>
                    <w:tcW w:w="2001" w:type="dxa"/>
                    <w:gridSpan w:val="2"/>
                    <w:tcMar>
                      <w:left w:w="108" w:type="dxa"/>
                      <w:right w:w="108" w:type="dxa"/>
                    </w:tcMar>
                  </w:tcPr>
                  <w:p>
                    <w:pPr/>
                    <w:r>
                      <w:rPr>
                        <w:sz w:val="20"/>
                      </w:rPr>
                      <w:t xml:space="preserve">R – Asmenų, kurie po dalyvavimo veiklose įgijo  kvalifikaciją, dalis, proc.</w:t>
                    </w:r>
                  </w:p>
                </w:tc>
                <w:tc>
                  <w:tcPr>
                    <w:tcW w:w="1134" w:type="dxa"/>
                    <w:gridSpan w:val="2"/>
                    <w:tcMar>
                      <w:left w:w="108" w:type="dxa"/>
                      <w:right w:w="108" w:type="dxa"/>
                    </w:tcMar>
                  </w:tcPr>
                  <w:p>
                    <w:pPr>
                      <w:jc w:val="center"/>
                      <w:rPr>
                        <w:sz w:val="20"/>
                      </w:rPr>
                    </w:pPr>
                    <w:r>
                      <w:rPr>
                        <w:sz w:val="20"/>
                      </w:rPr>
                      <w:t>80</w:t>
                    </w:r>
                  </w:p>
                  <w:p>
                    <w:pPr>
                      <w:jc w:val="center"/>
                      <w:rPr>
                        <w:sz w:val="20"/>
                      </w:rPr>
                    </w:pPr>
                    <w:r>
                      <w:rPr>
                        <w:sz w:val="20"/>
                      </w:rPr>
                      <w:t>(2029 m.)</w:t>
                    </w:r>
                  </w:p>
                  <w:p>
                    <w:pPr>
                      <w:ind w:firstLine="53"/>
                      <w:jc w:val="center"/>
                    </w:pP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4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top w:val="single" w:sz="4" w:space="0" w:color="auto"/>
                      <w:left w:val="single" w:sz="4" w:space="0" w:color="auto"/>
                      <w:bottom w:val="single" w:sz="4" w:space="0" w:color="auto"/>
                      <w:right w:val="single" w:sz="4" w:space="0" w:color="auto"/>
                    </w:tcBorders>
                    <w:vAlign w:val="center"/>
                  </w:tcPr>
                  <w:p>
                    <w:pPr/>
                  </w:p>
                </w:tc>
                <w:tc>
                  <w:tcPr>
                    <w:tcW w:w="1985" w:type="dxa"/>
                    <w:vMerge/>
                    <w:tcBorders>
                      <w:top w:val="single" w:sz="4" w:space="0" w:color="auto"/>
                      <w:left w:val="single" w:sz="4" w:space="0" w:color="auto"/>
                      <w:bottom w:val="single" w:sz="4" w:space="0" w:color="auto"/>
                      <w:right w:val="single" w:sz="4" w:space="0" w:color="auto"/>
                    </w:tcBorders>
                    <w:vAlign w:val="center"/>
                  </w:tcPr>
                  <w:p>
                    <w:p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167" w:type="dxa"/>
                    <w:gridSpan w:val="2"/>
                    <w:vMerge/>
                    <w:vAlign w:val="center"/>
                  </w:tcPr>
                  <w:p>
                    <w:pPr/>
                  </w:p>
                </w:tc>
                <w:tc>
                  <w:tcPr>
                    <w:tcW w:w="1118" w:type="dxa"/>
                    <w:vMerge/>
                    <w:vAlign w:val="center"/>
                  </w:tcPr>
                  <w:p>
                    <w:pPr/>
                  </w:p>
                </w:tc>
                <w:tc>
                  <w:tcPr>
                    <w:tcW w:w="2001" w:type="dxa"/>
                    <w:gridSpan w:val="2"/>
                    <w:tcMar>
                      <w:left w:w="108" w:type="dxa"/>
                      <w:right w:w="108" w:type="dxa"/>
                    </w:tcMar>
                  </w:tcPr>
                  <w:p>
                    <w:pPr/>
                    <w:r>
                      <w:rPr>
                        <w:sz w:val="20"/>
                      </w:rPr>
                      <w:t>P – Specialistai, dalyvavę kvalifikacijos tobulinimo ar perkvalifikavimo veiklose, asmenys</w:t>
                    </w:r>
                  </w:p>
                </w:tc>
                <w:tc>
                  <w:tcPr>
                    <w:tcW w:w="1134" w:type="dxa"/>
                    <w:gridSpan w:val="2"/>
                    <w:tcMar>
                      <w:left w:w="108" w:type="dxa"/>
                      <w:right w:w="108" w:type="dxa"/>
                    </w:tcMar>
                  </w:tcPr>
                  <w:p>
                    <w:pPr>
                      <w:jc w:val="center"/>
                      <w:rPr>
                        <w:sz w:val="20"/>
                      </w:rPr>
                    </w:pPr>
                    <w:r>
                      <w:rPr>
                        <w:sz w:val="20"/>
                      </w:rPr>
                      <w:t>10</w:t>
                    </w:r>
                  </w:p>
                  <w:p>
                    <w:pPr>
                      <w:jc w:val="center"/>
                      <w:rPr>
                        <w:sz w:val="20"/>
                      </w:rPr>
                    </w:pPr>
                    <w:r>
                      <w:rPr>
                        <w:sz w:val="20"/>
                      </w:rPr>
                      <w:t>(2029 m.)</w:t>
                    </w:r>
                  </w:p>
                  <w:p>
                    <w:pPr>
                      <w:ind w:firstLine="53"/>
                      <w:jc w:val="center"/>
                    </w:pP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4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top w:val="single" w:sz="4" w:space="0" w:color="auto"/>
                      <w:left w:val="single" w:sz="4" w:space="0" w:color="auto"/>
                      <w:bottom w:val="single" w:sz="4" w:space="0" w:color="auto"/>
                      <w:right w:val="single" w:sz="4" w:space="0" w:color="auto"/>
                    </w:tcBorders>
                    <w:vAlign w:val="center"/>
                  </w:tcPr>
                  <w:p>
                    <w:pPr/>
                  </w:p>
                </w:tc>
                <w:tc>
                  <w:tcPr>
                    <w:tcW w:w="1985" w:type="dxa"/>
                    <w:vMerge/>
                    <w:tcBorders>
                      <w:top w:val="single" w:sz="4" w:space="0" w:color="auto"/>
                      <w:left w:val="single" w:sz="4" w:space="0" w:color="auto"/>
                      <w:bottom w:val="single" w:sz="4" w:space="0" w:color="auto"/>
                      <w:right w:val="single" w:sz="4" w:space="0" w:color="auto"/>
                    </w:tcBorders>
                    <w:vAlign w:val="center"/>
                  </w:tcPr>
                  <w:p>
                    <w:p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167" w:type="dxa"/>
                    <w:gridSpan w:val="2"/>
                    <w:vMerge/>
                    <w:vAlign w:val="center"/>
                  </w:tcPr>
                  <w:p>
                    <w:pPr/>
                  </w:p>
                </w:tc>
                <w:tc>
                  <w:tcPr>
                    <w:tcW w:w="1118" w:type="dxa"/>
                    <w:vMerge/>
                    <w:vAlign w:val="center"/>
                  </w:tcPr>
                  <w:p>
                    <w:pPr/>
                  </w:p>
                </w:tc>
                <w:tc>
                  <w:tcPr>
                    <w:tcW w:w="2001" w:type="dxa"/>
                    <w:gridSpan w:val="2"/>
                    <w:tcMar>
                      <w:left w:w="108" w:type="dxa"/>
                      <w:right w:w="108" w:type="dxa"/>
                    </w:tcMar>
                  </w:tcPr>
                  <w:p>
                    <w:pPr/>
                    <w:r>
                      <w:rPr>
                        <w:sz w:val="20"/>
                      </w:rPr>
                      <w:t>R – Specialistų, kurie po dalyvavimo veiklose įgijo ar patobulino kvalifikaciją, dalis, proc.</w:t>
                    </w:r>
                  </w:p>
                </w:tc>
                <w:tc>
                  <w:tcPr>
                    <w:tcW w:w="1134" w:type="dxa"/>
                    <w:gridSpan w:val="2"/>
                    <w:tcMar>
                      <w:left w:w="108" w:type="dxa"/>
                      <w:right w:w="108" w:type="dxa"/>
                    </w:tcMar>
                  </w:tcPr>
                  <w:p>
                    <w:pPr>
                      <w:jc w:val="center"/>
                      <w:rPr>
                        <w:sz w:val="20"/>
                      </w:rPr>
                    </w:pPr>
                    <w:r>
                      <w:rPr>
                        <w:sz w:val="20"/>
                      </w:rPr>
                      <w:t>90</w:t>
                    </w:r>
                  </w:p>
                  <w:p>
                    <w:pPr>
                      <w:jc w:val="cente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top w:val="single" w:sz="4" w:space="0" w:color="auto"/>
                      <w:left w:val="single" w:sz="4" w:space="0" w:color="auto"/>
                      <w:bottom w:val="single" w:sz="4" w:space="0" w:color="auto"/>
                      <w:right w:val="single" w:sz="4" w:space="0" w:color="auto"/>
                    </w:tcBorders>
                    <w:vAlign w:val="center"/>
                  </w:tcPr>
                  <w:p>
                    <w:pPr/>
                  </w:p>
                </w:tc>
                <w:tc>
                  <w:tcPr>
                    <w:tcW w:w="1985" w:type="dxa"/>
                    <w:vMerge/>
                    <w:tcBorders>
                      <w:top w:val="single" w:sz="4" w:space="0" w:color="auto"/>
                      <w:left w:val="single" w:sz="4" w:space="0" w:color="auto"/>
                      <w:bottom w:val="single" w:sz="4" w:space="0" w:color="auto"/>
                      <w:right w:val="single" w:sz="4" w:space="0" w:color="auto"/>
                    </w:tcBorders>
                    <w:vAlign w:val="center"/>
                  </w:tcPr>
                  <w:p>
                    <w:p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167" w:type="dxa"/>
                    <w:gridSpan w:val="2"/>
                    <w:vMerge/>
                    <w:vAlign w:val="center"/>
                  </w:tcPr>
                  <w:p>
                    <w:pPr/>
                  </w:p>
                </w:tc>
                <w:tc>
                  <w:tcPr>
                    <w:tcW w:w="1118" w:type="dxa"/>
                    <w:vMerge/>
                    <w:vAlign w:val="center"/>
                  </w:tcPr>
                  <w:p>
                    <w:pPr/>
                  </w:p>
                </w:tc>
                <w:tc>
                  <w:tcPr>
                    <w:tcW w:w="2001" w:type="dxa"/>
                    <w:gridSpan w:val="2"/>
                    <w:tcMar>
                      <w:left w:w="108" w:type="dxa"/>
                      <w:right w:w="108" w:type="dxa"/>
                    </w:tcMar>
                  </w:tcPr>
                  <w:p>
                    <w:pPr/>
                    <w:r>
                      <w:rPr>
                        <w:sz w:val="20"/>
                      </w:rPr>
                      <w:t>P – Sveikatos priežiūros įstaigos, įgyvendinusios sveikatos priežiūros specialistų įgalinimo, pritraukimo ir išlaikymo projektus, skaičius</w:t>
                    </w:r>
                  </w:p>
                </w:tc>
                <w:tc>
                  <w:tcPr>
                    <w:tcW w:w="1134" w:type="dxa"/>
                    <w:gridSpan w:val="2"/>
                    <w:tcMar>
                      <w:left w:w="108" w:type="dxa"/>
                      <w:right w:w="108" w:type="dxa"/>
                    </w:tcMar>
                  </w:tcPr>
                  <w:p>
                    <w:pPr>
                      <w:jc w:val="center"/>
                      <w:rPr>
                        <w:sz w:val="20"/>
                      </w:rPr>
                    </w:pPr>
                    <w:r>
                      <w:rPr>
                        <w:sz w:val="20"/>
                      </w:rPr>
                      <w:t>98</w:t>
                    </w:r>
                  </w:p>
                  <w:p>
                    <w:pPr>
                      <w:jc w:val="cente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top w:val="single" w:sz="4" w:space="0" w:color="auto"/>
                      <w:left w:val="single" w:sz="4" w:space="0" w:color="auto"/>
                      <w:bottom w:val="single" w:sz="4" w:space="0" w:color="auto"/>
                      <w:right w:val="single" w:sz="4" w:space="0" w:color="auto"/>
                    </w:tcBorders>
                    <w:vAlign w:val="center"/>
                  </w:tcPr>
                  <w:p>
                    <w:pPr/>
                  </w:p>
                </w:tc>
                <w:tc>
                  <w:tcPr>
                    <w:tcW w:w="1985" w:type="dxa"/>
                    <w:vMerge/>
                    <w:tcBorders>
                      <w:top w:val="single" w:sz="4" w:space="0" w:color="auto"/>
                      <w:left w:val="single" w:sz="4" w:space="0" w:color="auto"/>
                      <w:bottom w:val="single" w:sz="4" w:space="0" w:color="auto"/>
                      <w:right w:val="single" w:sz="4" w:space="0" w:color="auto"/>
                    </w:tcBorders>
                    <w:vAlign w:val="center"/>
                  </w:tcPr>
                  <w:p>
                    <w:p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167" w:type="dxa"/>
                    <w:gridSpan w:val="2"/>
                    <w:vMerge/>
                    <w:vAlign w:val="center"/>
                  </w:tcPr>
                  <w:p>
                    <w:pPr/>
                  </w:p>
                </w:tc>
                <w:tc>
                  <w:tcPr>
                    <w:tcW w:w="1118" w:type="dxa"/>
                    <w:vMerge/>
                    <w:vAlign w:val="center"/>
                  </w:tcPr>
                  <w:p>
                    <w:pPr/>
                  </w:p>
                </w:tc>
                <w:tc>
                  <w:tcPr>
                    <w:tcW w:w="2001" w:type="dxa"/>
                    <w:gridSpan w:val="2"/>
                    <w:tcMar>
                      <w:left w:w="108" w:type="dxa"/>
                      <w:right w:w="108" w:type="dxa"/>
                    </w:tcMar>
                  </w:tcPr>
                  <w:p>
                    <w:pPr/>
                    <w:r>
                      <w:rPr>
                        <w:sz w:val="20"/>
                      </w:rPr>
                      <w:t>R – Sveikatos priežiūros specialistų, kurie po dalyvavimo veiklose mažiausiai 2 metus dirbo sveikatos priežiūros įstaigose, dalis, proc.</w:t>
                    </w:r>
                  </w:p>
                </w:tc>
                <w:tc>
                  <w:tcPr>
                    <w:tcW w:w="1134" w:type="dxa"/>
                    <w:gridSpan w:val="2"/>
                    <w:tcMar>
                      <w:left w:w="108" w:type="dxa"/>
                      <w:right w:w="108" w:type="dxa"/>
                    </w:tcMar>
                  </w:tcPr>
                  <w:p>
                    <w:pPr>
                      <w:jc w:val="center"/>
                      <w:rPr>
                        <w:sz w:val="20"/>
                      </w:rPr>
                    </w:pPr>
                    <w:r>
                      <w:rPr>
                        <w:sz w:val="20"/>
                      </w:rPr>
                      <w:t>80</w:t>
                    </w:r>
                  </w:p>
                  <w:p>
                    <w:pPr>
                      <w:jc w:val="cente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825"/>
                </w:trPr>
                <w:tc>
                  <w:tcPr>
                    <w:tcW w:w="213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10.4. Sveikatos priežiūros specialistų rengimas, pritraukimas, Vidurio ir vakarų Lietuvos regionas</w:t>
                    </w:r>
                  </w:p>
                </w:tc>
                <w:tc>
                  <w:tcPr>
                    <w:tcW w:w="69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I</w:t>
                    </w:r>
                  </w:p>
                </w:tc>
                <w:tc>
                  <w:tcPr>
                    <w:tcW w:w="1985"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SAM, VASPVT</w:t>
                    </w:r>
                  </w:p>
                </w:tc>
                <w:tc>
                  <w:tcPr>
                    <w:tcW w:w="829"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P</w:t>
                    </w:r>
                  </w:p>
                </w:tc>
                <w:tc>
                  <w:tcPr>
                    <w:tcW w:w="1006"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Taip</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D</w:t>
                    </w: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2 550,00</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2021–2027 m. IP (ESF+)</w:t>
                    </w:r>
                  </w:p>
                  <w:p>
                    <w:pPr>
                      <w:ind w:firstLine="53"/>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 xml:space="preserve">P – Specialistai, dalyvavę kvalifikacijos tobulinimo ar perkvalifikavimo veiklose, asmenys </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10</w:t>
                    </w:r>
                  </w:p>
                  <w:p>
                    <w:pPr>
                      <w:jc w:val="center"/>
                    </w:pPr>
                    <w:r>
                      <w:rPr>
                        <w:sz w:val="20"/>
                      </w:rPr>
                      <w:t>(2029 m.)</w:t>
                    </w:r>
                  </w:p>
                  <w:p>
                    <w:pPr>
                      <w:ind w:firstLine="53"/>
                      <w:jc w:val="center"/>
                    </w:pP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CPVA</w:t>
                    </w:r>
                  </w:p>
                </w:tc>
                <w:tc>
                  <w:tcPr>
                    <w:tcW w:w="127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SAM</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12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top w:val="single" w:sz="4" w:space="0" w:color="auto"/>
                      <w:left w:val="single" w:sz="4" w:space="0" w:color="auto"/>
                      <w:bottom w:val="single" w:sz="4" w:space="0" w:color="auto"/>
                      <w:right w:val="single" w:sz="4" w:space="0" w:color="auto"/>
                    </w:tcBorders>
                    <w:vAlign w:val="center"/>
                  </w:tcPr>
                  <w:p>
                    <w:pPr/>
                  </w:p>
                </w:tc>
                <w:tc>
                  <w:tcPr>
                    <w:tcW w:w="1985" w:type="dxa"/>
                    <w:vMerge/>
                    <w:tcBorders>
                      <w:top w:val="single" w:sz="4" w:space="0" w:color="auto"/>
                      <w:left w:val="single" w:sz="4" w:space="0" w:color="auto"/>
                      <w:bottom w:val="single" w:sz="4" w:space="0" w:color="auto"/>
                      <w:right w:val="single" w:sz="4" w:space="0" w:color="auto"/>
                    </w:tcBorders>
                    <w:vAlign w:val="center"/>
                  </w:tcPr>
                  <w:p>
                    <w:p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450,00</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2021–2027 m. IP (BF)</w:t>
                    </w:r>
                  </w:p>
                  <w:p>
                    <w:pPr>
                      <w:ind w:firstLine="53"/>
                    </w:pPr>
                  </w:p>
                  <w:p>
                    <w:pPr>
                      <w:ind w:firstLine="53"/>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R – Specialistų, kurie po dalyvavimo veiklose įgijo ar patobulino kvalifikaciją,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90</w:t>
                    </w:r>
                  </w:p>
                  <w:p>
                    <w:pPr>
                      <w:jc w:val="center"/>
                    </w:pPr>
                    <w:r>
                      <w:rPr>
                        <w:color w:val="000000"/>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125"/>
                </w:trPr>
                <w:tc>
                  <w:tcPr>
                    <w:tcW w:w="2130" w:type="dxa"/>
                    <w:gridSpan w:val="2"/>
                    <w:vMerge w:val="restart"/>
                    <w:tcBorders>
                      <w:top w:val="single" w:sz="4" w:space="0" w:color="auto"/>
                      <w:left w:val="single" w:sz="4" w:space="0" w:color="auto"/>
                      <w:right w:val="single" w:sz="4" w:space="0" w:color="auto"/>
                    </w:tcBorders>
                    <w:vAlign w:val="center"/>
                  </w:tcPr>
                  <w:p>
                    <w:pPr/>
                    <w:r>
                      <w:rPr>
                        <w:sz w:val="20"/>
                      </w:rPr>
                      <w:t>10.5. Sveikatos priežiūros specialistų rengimas, pritraukimas, Vidurio ir vakarų Lietuvos regionas</w:t>
                    </w:r>
                  </w:p>
                </w:tc>
                <w:tc>
                  <w:tcPr>
                    <w:tcW w:w="699" w:type="dxa"/>
                    <w:vMerge w:val="restart"/>
                    <w:tcBorders>
                      <w:top w:val="single" w:sz="4" w:space="0" w:color="auto"/>
                      <w:left w:val="single" w:sz="4" w:space="0" w:color="auto"/>
                      <w:right w:val="single" w:sz="4" w:space="0" w:color="auto"/>
                    </w:tcBorders>
                    <w:vAlign w:val="center"/>
                  </w:tcPr>
                  <w:p>
                    <w:pPr/>
                    <w:r>
                      <w:rPr>
                        <w:sz w:val="20"/>
                      </w:rPr>
                      <w:t>I</w:t>
                    </w:r>
                  </w:p>
                </w:tc>
                <w:tc>
                  <w:tcPr>
                    <w:tcW w:w="1985" w:type="dxa"/>
                    <w:vMerge w:val="restart"/>
                    <w:tcBorders>
                      <w:top w:val="single" w:sz="4" w:space="0" w:color="auto"/>
                      <w:left w:val="single" w:sz="4" w:space="0" w:color="auto"/>
                      <w:right w:val="single" w:sz="4" w:space="0" w:color="auto"/>
                    </w:tcBorders>
                    <w:vAlign w:val="center"/>
                  </w:tcPr>
                  <w:p>
                    <w:pPr/>
                    <w:r>
                      <w:rPr>
                        <w:sz w:val="20"/>
                      </w:rPr>
                      <w:t xml:space="preserve">GMP tarnyba </w:t>
                    </w:r>
                  </w:p>
                </w:tc>
                <w:tc>
                  <w:tcPr>
                    <w:tcW w:w="829" w:type="dxa"/>
                    <w:gridSpan w:val="3"/>
                    <w:vMerge w:val="restart"/>
                    <w:tcBorders>
                      <w:top w:val="single" w:sz="4" w:space="0" w:color="auto"/>
                      <w:left w:val="single" w:sz="4" w:space="0" w:color="auto"/>
                      <w:right w:val="single" w:sz="4" w:space="0" w:color="auto"/>
                    </w:tcBorders>
                    <w:vAlign w:val="center"/>
                  </w:tcPr>
                  <w:p>
                    <w:pPr/>
                    <w:r>
                      <w:rPr>
                        <w:sz w:val="20"/>
                      </w:rPr>
                      <w:t>P</w:t>
                    </w:r>
                  </w:p>
                </w:tc>
                <w:tc>
                  <w:tcPr>
                    <w:tcW w:w="1006" w:type="dxa"/>
                    <w:gridSpan w:val="2"/>
                    <w:vMerge w:val="restart"/>
                    <w:tcBorders>
                      <w:top w:val="single" w:sz="4" w:space="0" w:color="auto"/>
                      <w:left w:val="single" w:sz="4" w:space="0" w:color="auto"/>
                      <w:right w:val="single" w:sz="4" w:space="0" w:color="auto"/>
                    </w:tcBorders>
                    <w:vAlign w:val="center"/>
                  </w:tcPr>
                  <w:p>
                    <w:pPr/>
                    <w:r>
                      <w:rPr>
                        <w:sz w:val="20"/>
                      </w:rPr>
                      <w:t>Taip</w:t>
                    </w:r>
                  </w:p>
                </w:tc>
                <w:tc>
                  <w:tcPr>
                    <w:tcW w:w="689" w:type="dxa"/>
                    <w:gridSpan w:val="4"/>
                    <w:vMerge w:val="restart"/>
                    <w:tcBorders>
                      <w:top w:val="single" w:sz="4" w:space="0" w:color="auto"/>
                      <w:left w:val="single" w:sz="4" w:space="0" w:color="auto"/>
                      <w:right w:val="single" w:sz="4" w:space="0" w:color="auto"/>
                    </w:tcBorders>
                    <w:vAlign w:val="center"/>
                  </w:tcPr>
                  <w:p>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Pr>
                        <w:sz w:val="20"/>
                      </w:rPr>
                    </w:pPr>
                    <w:r>
                      <w:rPr>
                        <w:sz w:val="20"/>
                      </w:rPr>
                      <w:t>423,831</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Pr>
                        <w:color w:val="000000"/>
                        <w:sz w:val="20"/>
                      </w:rPr>
                    </w:pPr>
                    <w:r>
                      <w:rPr>
                        <w:sz w:val="20"/>
                      </w:rPr>
                      <w:t>2021–2027 m. IP (ESF+)</w:t>
                    </w: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Pr>
                        <w:color w:val="000000"/>
                        <w:sz w:val="20"/>
                      </w:rPr>
                    </w:pPr>
                    <w:r>
                      <w:rPr>
                        <w:sz w:val="20"/>
                      </w:rPr>
                      <w:t xml:space="preserve">P – Asmenys, dalyvavę kvalifikacijos įgijimo veiklose, asmenys </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rPr>
                        <w:sz w:val="20"/>
                      </w:rPr>
                    </w:pPr>
                    <w:r>
                      <w:rPr>
                        <w:sz w:val="20"/>
                      </w:rPr>
                      <w:t>84</w:t>
                    </w:r>
                  </w:p>
                  <w:p>
                    <w:pPr>
                      <w:jc w:val="center"/>
                      <w:rPr>
                        <w:color w:val="000000"/>
                        <w:sz w:val="20"/>
                      </w:rPr>
                    </w:pPr>
                    <w:r>
                      <w:rPr>
                        <w:sz w:val="20"/>
                      </w:rPr>
                      <w:t>(2029 m.)</w:t>
                    </w:r>
                  </w:p>
                </w:tc>
                <w:tc>
                  <w:tcPr>
                    <w:tcW w:w="992" w:type="dxa"/>
                    <w:vMerge w:val="restart"/>
                    <w:tcBorders>
                      <w:top w:val="single" w:sz="4" w:space="0" w:color="auto"/>
                      <w:left w:val="single" w:sz="4" w:space="0" w:color="auto"/>
                      <w:right w:val="single" w:sz="4" w:space="0" w:color="auto"/>
                    </w:tcBorders>
                    <w:vAlign w:val="center"/>
                  </w:tcPr>
                  <w:p>
                    <w:pPr/>
                    <w:r>
                      <w:rPr>
                        <w:sz w:val="20"/>
                      </w:rPr>
                      <w:t>CPVA</w:t>
                    </w:r>
                  </w:p>
                </w:tc>
                <w:tc>
                  <w:tcPr>
                    <w:tcW w:w="1279" w:type="dxa"/>
                    <w:vMerge w:val="restart"/>
                    <w:tcBorders>
                      <w:top w:val="single" w:sz="4" w:space="0" w:color="auto"/>
                      <w:left w:val="single" w:sz="4" w:space="0" w:color="auto"/>
                    </w:tcBorders>
                    <w:vAlign w:val="center"/>
                  </w:tcPr>
                  <w:p>
                    <w:pPr/>
                    <w:r>
                      <w:rPr>
                        <w:sz w:val="20"/>
                      </w:rPr>
                      <w:t>SAM</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125"/>
                </w:trPr>
                <w:tc>
                  <w:tcPr>
                    <w:tcW w:w="2130" w:type="dxa"/>
                    <w:gridSpan w:val="2"/>
                    <w:vMerge/>
                    <w:tcBorders>
                      <w:left w:val="single" w:sz="4" w:space="0" w:color="auto"/>
                      <w:right w:val="single" w:sz="4" w:space="0" w:color="auto"/>
                    </w:tcBorders>
                    <w:vAlign w:val="center"/>
                  </w:tcPr>
                  <w:p>
                    <w:pPr/>
                  </w:p>
                </w:tc>
                <w:tc>
                  <w:tcPr>
                    <w:tcW w:w="699" w:type="dxa"/>
                    <w:vMerge/>
                    <w:tcBorders>
                      <w:left w:val="single" w:sz="4" w:space="0" w:color="auto"/>
                      <w:right w:val="single" w:sz="4" w:space="0" w:color="auto"/>
                    </w:tcBorders>
                    <w:vAlign w:val="center"/>
                  </w:tcPr>
                  <w:p>
                    <w:pPr/>
                  </w:p>
                </w:tc>
                <w:tc>
                  <w:tcPr>
                    <w:tcW w:w="1985" w:type="dxa"/>
                    <w:vMerge/>
                    <w:tcBorders>
                      <w:left w:val="single" w:sz="4" w:space="0" w:color="auto"/>
                      <w:right w:val="single" w:sz="4" w:space="0" w:color="auto"/>
                    </w:tcBorders>
                    <w:vAlign w:val="center"/>
                  </w:tcPr>
                  <w:p>
                    <w:pPr/>
                  </w:p>
                </w:tc>
                <w:tc>
                  <w:tcPr>
                    <w:tcW w:w="829" w:type="dxa"/>
                    <w:gridSpan w:val="3"/>
                    <w:vMerge/>
                    <w:tcBorders>
                      <w:left w:val="single" w:sz="4" w:space="0" w:color="auto"/>
                      <w:right w:val="single" w:sz="4" w:space="0" w:color="auto"/>
                    </w:tcBorders>
                    <w:vAlign w:val="center"/>
                  </w:tcPr>
                  <w:p>
                    <w:pPr/>
                  </w:p>
                </w:tc>
                <w:tc>
                  <w:tcPr>
                    <w:tcW w:w="1006" w:type="dxa"/>
                    <w:gridSpan w:val="2"/>
                    <w:vMerge/>
                    <w:tcBorders>
                      <w:left w:val="single" w:sz="4" w:space="0" w:color="auto"/>
                      <w:right w:val="single" w:sz="4" w:space="0" w:color="auto"/>
                    </w:tcBorders>
                    <w:vAlign w:val="center"/>
                  </w:tcPr>
                  <w:p>
                    <w:pPr/>
                  </w:p>
                </w:tc>
                <w:tc>
                  <w:tcPr>
                    <w:tcW w:w="689" w:type="dxa"/>
                    <w:gridSpan w:val="4"/>
                    <w:vMerge/>
                    <w:tcBorders>
                      <w:left w:val="single" w:sz="4" w:space="0" w:color="auto"/>
                      <w:right w:val="single" w:sz="4" w:space="0" w:color="auto"/>
                    </w:tcBorders>
                    <w:vAlign w:val="center"/>
                  </w:tcPr>
                  <w:p>
                    <w:pPr/>
                  </w:p>
                </w:tc>
                <w:tc>
                  <w:tcPr>
                    <w:tcW w:w="1167" w:type="dxa"/>
                    <w:gridSpan w:val="2"/>
                    <w:vMerge w:val="restart"/>
                    <w:tcBorders>
                      <w:top w:val="single" w:sz="4" w:space="0" w:color="auto"/>
                      <w:left w:val="single" w:sz="4" w:space="0" w:color="auto"/>
                      <w:right w:val="single" w:sz="4" w:space="0" w:color="auto"/>
                    </w:tcBorders>
                    <w:tcMar>
                      <w:left w:w="108" w:type="dxa"/>
                      <w:right w:w="108" w:type="dxa"/>
                    </w:tcMar>
                  </w:tcPr>
                  <w:p>
                    <w:pPr>
                      <w:rPr>
                        <w:sz w:val="20"/>
                      </w:rPr>
                    </w:pPr>
                    <w:r>
                      <w:rPr>
                        <w:sz w:val="20"/>
                      </w:rPr>
                      <w:t>74,794</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Pr>
                        <w:color w:val="000000"/>
                        <w:sz w:val="20"/>
                      </w:rPr>
                    </w:pPr>
                    <w:r>
                      <w:rPr>
                        <w:sz w:val="20"/>
                      </w:rPr>
                      <w:t>2021–2027 m. IP (BF)</w:t>
                    </w: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Pr>
                        <w:color w:val="000000"/>
                        <w:sz w:val="20"/>
                      </w:rPr>
                    </w:pPr>
                    <w:r>
                      <w:rPr>
                        <w:sz w:val="20"/>
                      </w:rPr>
                      <w:t xml:space="preserve">R – Asmenų, kurie po dalyvavimo veiklose įgijo  kvalifikaciją,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rPr>
                        <w:sz w:val="20"/>
                      </w:rPr>
                    </w:pPr>
                    <w:r>
                      <w:rPr>
                        <w:sz w:val="20"/>
                      </w:rPr>
                      <w:t>80</w:t>
                    </w:r>
                  </w:p>
                  <w:p>
                    <w:pPr>
                      <w:jc w:val="center"/>
                      <w:rPr>
                        <w:color w:val="000000"/>
                        <w:sz w:val="20"/>
                      </w:rPr>
                    </w:pPr>
                    <w:r>
                      <w:rPr>
                        <w:sz w:val="20"/>
                      </w:rPr>
                      <w:t>(2029 m.)</w:t>
                    </w:r>
                  </w:p>
                </w:tc>
                <w:tc>
                  <w:tcPr>
                    <w:tcW w:w="992" w:type="dxa"/>
                    <w:vMerge/>
                    <w:tcBorders>
                      <w:left w:val="single" w:sz="4" w:space="0" w:color="auto"/>
                      <w:right w:val="single" w:sz="4" w:space="0" w:color="auto"/>
                    </w:tcBorders>
                    <w:vAlign w:val="center"/>
                  </w:tcPr>
                  <w:p>
                    <w:pPr/>
                  </w:p>
                </w:tc>
                <w:tc>
                  <w:tcPr>
                    <w:tcW w:w="1279" w:type="dxa"/>
                    <w:vMerge/>
                    <w:tcBorders>
                      <w:lef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125"/>
                </w:trPr>
                <w:tc>
                  <w:tcPr>
                    <w:tcW w:w="2130" w:type="dxa"/>
                    <w:gridSpan w:val="2"/>
                    <w:vMerge/>
                    <w:tcBorders>
                      <w:left w:val="single" w:sz="4" w:space="0" w:color="auto"/>
                      <w:right w:val="single" w:sz="4" w:space="0" w:color="auto"/>
                    </w:tcBorders>
                    <w:vAlign w:val="center"/>
                  </w:tcPr>
                  <w:p>
                    <w:pPr/>
                  </w:p>
                </w:tc>
                <w:tc>
                  <w:tcPr>
                    <w:tcW w:w="699" w:type="dxa"/>
                    <w:vMerge/>
                    <w:tcBorders>
                      <w:left w:val="single" w:sz="4" w:space="0" w:color="auto"/>
                      <w:right w:val="single" w:sz="4" w:space="0" w:color="auto"/>
                    </w:tcBorders>
                    <w:vAlign w:val="center"/>
                  </w:tcPr>
                  <w:p>
                    <w:pPr/>
                  </w:p>
                </w:tc>
                <w:tc>
                  <w:tcPr>
                    <w:tcW w:w="1985" w:type="dxa"/>
                    <w:vMerge/>
                    <w:tcBorders>
                      <w:left w:val="single" w:sz="4" w:space="0" w:color="auto"/>
                      <w:right w:val="single" w:sz="4" w:space="0" w:color="auto"/>
                    </w:tcBorders>
                    <w:vAlign w:val="center"/>
                  </w:tcPr>
                  <w:p>
                    <w:pPr/>
                  </w:p>
                </w:tc>
                <w:tc>
                  <w:tcPr>
                    <w:tcW w:w="829" w:type="dxa"/>
                    <w:gridSpan w:val="3"/>
                    <w:vMerge/>
                    <w:tcBorders>
                      <w:left w:val="single" w:sz="4" w:space="0" w:color="auto"/>
                      <w:right w:val="single" w:sz="4" w:space="0" w:color="auto"/>
                    </w:tcBorders>
                    <w:vAlign w:val="center"/>
                  </w:tcPr>
                  <w:p>
                    <w:pPr/>
                  </w:p>
                </w:tc>
                <w:tc>
                  <w:tcPr>
                    <w:tcW w:w="1006" w:type="dxa"/>
                    <w:gridSpan w:val="2"/>
                    <w:vMerge/>
                    <w:tcBorders>
                      <w:left w:val="single" w:sz="4" w:space="0" w:color="auto"/>
                      <w:right w:val="single" w:sz="4" w:space="0" w:color="auto"/>
                    </w:tcBorders>
                    <w:vAlign w:val="center"/>
                  </w:tcPr>
                  <w:p>
                    <w:pPr/>
                  </w:p>
                </w:tc>
                <w:tc>
                  <w:tcPr>
                    <w:tcW w:w="689" w:type="dxa"/>
                    <w:gridSpan w:val="4"/>
                    <w:vMerge/>
                    <w:tcBorders>
                      <w:left w:val="single" w:sz="4" w:space="0" w:color="auto"/>
                      <w:right w:val="single" w:sz="4" w:space="0" w:color="auto"/>
                    </w:tcBorders>
                    <w:vAlign w:val="center"/>
                  </w:tcPr>
                  <w:p>
                    <w:pPr/>
                  </w:p>
                </w:tc>
                <w:tc>
                  <w:tcPr>
                    <w:tcW w:w="1167" w:type="dxa"/>
                    <w:gridSpan w:val="2"/>
                    <w:vMerge/>
                    <w:tcBorders>
                      <w:left w:val="single" w:sz="4" w:space="0" w:color="auto"/>
                      <w:right w:val="single" w:sz="4" w:space="0" w:color="auto"/>
                    </w:tcBorders>
                    <w:tcMar>
                      <w:left w:w="108" w:type="dxa"/>
                      <w:right w:w="108" w:type="dxa"/>
                    </w:tcMar>
                  </w:tcPr>
                  <w:p>
                    <w:pPr>
                      <w:rPr>
                        <w:sz w:val="20"/>
                      </w:rPr>
                    </w:pP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Pr>
                        <w:color w:val="000000"/>
                        <w:sz w:val="20"/>
                      </w:rPr>
                    </w:pPr>
                    <w:r>
                      <w:rPr>
                        <w:sz w:val="20"/>
                      </w:rPr>
                      <w:t>P – Sveikatos priežiūros įstaigos, įgyvendinusios sveikatos priežiūros specialistų įgalinimo, pritraukimo ir išlaikymo projektus, skaičius</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rPr>
                        <w:sz w:val="20"/>
                      </w:rPr>
                    </w:pPr>
                    <w:r>
                      <w:rPr>
                        <w:sz w:val="20"/>
                      </w:rPr>
                      <w:t>1</w:t>
                    </w:r>
                  </w:p>
                  <w:p>
                    <w:pPr>
                      <w:jc w:val="center"/>
                      <w:rPr>
                        <w:color w:val="000000"/>
                        <w:sz w:val="20"/>
                      </w:rPr>
                    </w:pPr>
                    <w:r>
                      <w:rPr>
                        <w:sz w:val="20"/>
                      </w:rPr>
                      <w:t>(2029 m.)</w:t>
                    </w:r>
                  </w:p>
                </w:tc>
                <w:tc>
                  <w:tcPr>
                    <w:tcW w:w="992" w:type="dxa"/>
                    <w:vMerge/>
                    <w:tcBorders>
                      <w:left w:val="single" w:sz="4" w:space="0" w:color="auto"/>
                      <w:right w:val="single" w:sz="4" w:space="0" w:color="auto"/>
                    </w:tcBorders>
                    <w:vAlign w:val="center"/>
                  </w:tcPr>
                  <w:p>
                    <w:pPr/>
                  </w:p>
                </w:tc>
                <w:tc>
                  <w:tcPr>
                    <w:tcW w:w="1279" w:type="dxa"/>
                    <w:vMerge/>
                    <w:tcBorders>
                      <w:lef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125"/>
                </w:trPr>
                <w:tc>
                  <w:tcPr>
                    <w:tcW w:w="2130" w:type="dxa"/>
                    <w:gridSpan w:val="2"/>
                    <w:vMerge/>
                    <w:tcBorders>
                      <w:left w:val="single" w:sz="4" w:space="0" w:color="auto"/>
                      <w:bottom w:val="single" w:sz="4" w:space="0" w:color="auto"/>
                      <w:right w:val="single" w:sz="4" w:space="0" w:color="auto"/>
                    </w:tcBorders>
                    <w:vAlign w:val="center"/>
                  </w:tcPr>
                  <w:p>
                    <w:pPr/>
                  </w:p>
                </w:tc>
                <w:tc>
                  <w:tcPr>
                    <w:tcW w:w="699" w:type="dxa"/>
                    <w:vMerge/>
                    <w:tcBorders>
                      <w:left w:val="single" w:sz="4" w:space="0" w:color="auto"/>
                      <w:bottom w:val="single" w:sz="4" w:space="0" w:color="auto"/>
                      <w:right w:val="single" w:sz="4" w:space="0" w:color="auto"/>
                    </w:tcBorders>
                    <w:vAlign w:val="center"/>
                  </w:tcPr>
                  <w:p>
                    <w:pPr/>
                  </w:p>
                </w:tc>
                <w:tc>
                  <w:tcPr>
                    <w:tcW w:w="1985" w:type="dxa"/>
                    <w:vMerge/>
                    <w:tcBorders>
                      <w:left w:val="single" w:sz="4" w:space="0" w:color="auto"/>
                      <w:bottom w:val="single" w:sz="4" w:space="0" w:color="auto"/>
                      <w:right w:val="single" w:sz="4" w:space="0" w:color="auto"/>
                    </w:tcBorders>
                    <w:vAlign w:val="center"/>
                  </w:tcPr>
                  <w:p>
                    <w:pPr/>
                  </w:p>
                </w:tc>
                <w:tc>
                  <w:tcPr>
                    <w:tcW w:w="829" w:type="dxa"/>
                    <w:gridSpan w:val="3"/>
                    <w:vMerge/>
                    <w:tcBorders>
                      <w:left w:val="single" w:sz="4" w:space="0" w:color="auto"/>
                      <w:bottom w:val="single" w:sz="4" w:space="0" w:color="auto"/>
                      <w:right w:val="single" w:sz="4" w:space="0" w:color="auto"/>
                    </w:tcBorders>
                    <w:vAlign w:val="center"/>
                  </w:tcPr>
                  <w:p>
                    <w:pPr/>
                  </w:p>
                </w:tc>
                <w:tc>
                  <w:tcPr>
                    <w:tcW w:w="1006" w:type="dxa"/>
                    <w:gridSpan w:val="2"/>
                    <w:vMerge/>
                    <w:tcBorders>
                      <w:left w:val="single" w:sz="4" w:space="0" w:color="auto"/>
                      <w:bottom w:val="single" w:sz="4" w:space="0" w:color="auto"/>
                      <w:right w:val="single" w:sz="4" w:space="0" w:color="auto"/>
                    </w:tcBorders>
                    <w:vAlign w:val="center"/>
                  </w:tcPr>
                  <w:p>
                    <w:pPr/>
                  </w:p>
                </w:tc>
                <w:tc>
                  <w:tcPr>
                    <w:tcW w:w="689" w:type="dxa"/>
                    <w:gridSpan w:val="4"/>
                    <w:vMerge/>
                    <w:tcBorders>
                      <w:left w:val="single" w:sz="4" w:space="0" w:color="auto"/>
                      <w:bottom w:val="single" w:sz="4" w:space="0" w:color="auto"/>
                      <w:right w:val="single" w:sz="4" w:space="0" w:color="auto"/>
                    </w:tcBorders>
                    <w:vAlign w:val="center"/>
                  </w:tcPr>
                  <w:p>
                    <w:pPr/>
                  </w:p>
                </w:tc>
                <w:tc>
                  <w:tcPr>
                    <w:tcW w:w="1167" w:type="dxa"/>
                    <w:gridSpan w:val="2"/>
                    <w:vMerge/>
                    <w:tcBorders>
                      <w:left w:val="single" w:sz="4" w:space="0" w:color="auto"/>
                      <w:bottom w:val="single" w:sz="4" w:space="0" w:color="auto"/>
                      <w:right w:val="single" w:sz="4" w:space="0" w:color="auto"/>
                    </w:tcBorders>
                    <w:tcMar>
                      <w:left w:w="108" w:type="dxa"/>
                      <w:right w:w="108" w:type="dxa"/>
                    </w:tcMar>
                  </w:tcPr>
                  <w:p>
                    <w:pPr>
                      <w:rPr>
                        <w:sz w:val="20"/>
                      </w:rPr>
                    </w:pP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Pr>
                        <w:color w:val="000000"/>
                        <w:sz w:val="20"/>
                      </w:rPr>
                    </w:pPr>
                    <w:r>
                      <w:rPr>
                        <w:sz w:val="20"/>
                      </w:rPr>
                      <w:t>R – Sveikatos priežiūros specialistų, kurie po dalyvavimo veiklose mažiausiai 2 metus dirbo sveikatos priežiūros įstaigose,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rPr>
                        <w:sz w:val="20"/>
                      </w:rPr>
                    </w:pPr>
                    <w:r>
                      <w:rPr>
                        <w:sz w:val="20"/>
                      </w:rPr>
                      <w:t>80</w:t>
                    </w:r>
                  </w:p>
                  <w:p>
                    <w:pPr>
                      <w:jc w:val="center"/>
                      <w:rPr>
                        <w:color w:val="000000"/>
                        <w:sz w:val="20"/>
                      </w:rPr>
                    </w:pPr>
                    <w:r>
                      <w:rPr>
                        <w:sz w:val="20"/>
                      </w:rPr>
                      <w:t>(2029 m.)</w:t>
                    </w:r>
                  </w:p>
                </w:tc>
                <w:tc>
                  <w:tcPr>
                    <w:tcW w:w="992" w:type="dxa"/>
                    <w:vMerge/>
                    <w:tcBorders>
                      <w:left w:val="single" w:sz="4" w:space="0" w:color="auto"/>
                      <w:bottom w:val="single" w:sz="4" w:space="0" w:color="auto"/>
                      <w:right w:val="single" w:sz="4" w:space="0" w:color="auto"/>
                    </w:tcBorders>
                    <w:vAlign w:val="center"/>
                  </w:tcPr>
                  <w:p>
                    <w:pPr/>
                  </w:p>
                </w:tc>
                <w:tc>
                  <w:tcPr>
                    <w:tcW w:w="1279" w:type="dxa"/>
                    <w:vMerge/>
                    <w:tcBorders>
                      <w:left w:val="single" w:sz="4" w:space="0" w:color="auto"/>
                      <w:bottom w:val="single" w:sz="4" w:space="0" w:color="auto"/>
                    </w:tcBorders>
                    <w:vAlign w:val="center"/>
                  </w:tcPr>
                  <w:p>
                    <w:pPr/>
                  </w:p>
                </w:tc>
              </w:tr>
              <w:tr>
                <w:trPr>
                  <w:trHeight w:val="414"/>
                </w:trPr>
                <w:tc>
                  <w:tcPr>
                    <w:tcW w:w="2130"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b/>
                        <w:bCs/>
                        <w:sz w:val="20"/>
                      </w:rPr>
                    </w:pPr>
                    <w:r>
                      <w:rPr>
                        <w:b/>
                        <w:bCs/>
                        <w:sz w:val="20"/>
                      </w:rPr>
                      <w:t>11. Specialistų kvalifikacijos tobulinimas ir perkvalifikavimas:</w:t>
                    </w:r>
                  </w:p>
                </w:tc>
                <w:tc>
                  <w:tcPr>
                    <w:tcW w:w="69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85"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829"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014"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681"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lang w:val="en-US"/>
                      </w:rPr>
                    </w:pPr>
                    <w:r>
                      <w:rPr>
                        <w:sz w:val="20"/>
                        <w:lang w:val="en-US"/>
                      </w:rPr>
                      <w:t>17 690,542</w:t>
                    </w:r>
                  </w:p>
                  <w:p>
                    <w:pPr>
                      <w:rPr>
                        <w:sz w:val="20"/>
                        <w:lang w:val="en-US"/>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2001"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color w:val="FF0000"/>
                        <w:sz w:val="20"/>
                      </w:rPr>
                    </w:pPr>
                    <w:r>
                      <w:rPr>
                        <w:sz w:val="20"/>
                      </w:rPr>
                      <w:t xml:space="preserve">R </w:t>
                    </w:r>
                    <w:r>
                      <w:rPr>
                        <w:color w:val="000000"/>
                        <w:szCs w:val="24"/>
                      </w:rPr>
                      <w:t>–</w:t>
                    </w:r>
                    <w:r>
                      <w:rPr>
                        <w:sz w:val="20"/>
                      </w:rPr>
                      <w:t xml:space="preserve"> Slaugytojų, tenkančių vienam gydytojui, skaičius</w:t>
                    </w:r>
                  </w:p>
                </w:tc>
                <w:tc>
                  <w:tcPr>
                    <w:tcW w:w="1134"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2,5</w:t>
                    </w:r>
                  </w:p>
                  <w:p>
                    <w:pPr>
                      <w:ind w:left="-57" w:right="-57"/>
                      <w:jc w:val="center"/>
                      <w:rPr>
                        <w:color w:val="FF0000"/>
                        <w:sz w:val="20"/>
                      </w:rPr>
                    </w:pPr>
                    <w:r>
                      <w:rPr>
                        <w:sz w:val="20"/>
                      </w:rPr>
                      <w:t>(2030 m.)</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27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color w:val="000000"/>
                        <w:sz w:val="20"/>
                      </w:rPr>
                    </w:pPr>
                    <w:r>
                      <w:rPr>
                        <w:color w:val="000000"/>
                        <w:sz w:val="20"/>
                      </w:rPr>
                      <w:t>-</w:t>
                    </w: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lang w:val="en-US"/>
                      </w:rPr>
                    </w:pPr>
                    <w:r>
                      <w:rPr>
                        <w:sz w:val="20"/>
                        <w:lang w:val="en-US"/>
                      </w:rPr>
                      <w:t>8 627,961</w:t>
                    </w:r>
                  </w:p>
                  <w:p>
                    <w:pPr>
                      <w:rPr>
                        <w:sz w:val="20"/>
                        <w:lang w:val="en-US"/>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 xml:space="preserve">2021–2027 m. IP (ESF+, VVL regionas) </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lang w:val="en-US"/>
                      </w:rPr>
                    </w:pPr>
                    <w:r>
                      <w:rPr>
                        <w:sz w:val="20"/>
                        <w:lang w:val="en-US"/>
                      </w:rPr>
                      <w:t>1 522,581</w:t>
                    </w:r>
                  </w:p>
                  <w:p>
                    <w:pPr>
                      <w:rPr>
                        <w:sz w:val="20"/>
                        <w:lang w:val="en-US"/>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it-IT"/>
                      </w:rPr>
                    </w:pPr>
                    <w:r>
                      <w:rPr>
                        <w:sz w:val="20"/>
                      </w:rPr>
                      <w:t>2021–2027 m. IP (BF,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en-US"/>
                      </w:rPr>
                    </w:pPr>
                    <w:r>
                      <w:rPr>
                        <w:sz w:val="20"/>
                        <w:lang w:val="en-US"/>
                      </w:rPr>
                      <w:t>2 100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EGADP</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en-US"/>
                      </w:rPr>
                    </w:pPr>
                    <w:r>
                      <w:rPr>
                        <w:sz w:val="20"/>
                        <w:lang w:val="en-US"/>
                      </w:rPr>
                      <w:t>440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PVM iš 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en-US"/>
                      </w:rPr>
                    </w:pPr>
                    <w:r>
                      <w:rPr>
                        <w:sz w:val="20"/>
                        <w:lang w:val="en-US"/>
                      </w:rPr>
                      <w:t>5 000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1198"/>
                </w:trPr>
                <w:tc>
                  <w:tcPr>
                    <w:tcW w:w="2130" w:type="dxa"/>
                    <w:gridSpan w:val="2"/>
                  </w:tcPr>
                  <w:p>
                    <w:pPr>
                      <w:rPr>
                        <w:sz w:val="20"/>
                      </w:rPr>
                    </w:pPr>
                    <w:r>
                      <w:rPr>
                        <w:sz w:val="20"/>
                      </w:rPr>
                      <w:t xml:space="preserve">11.1. Sveikatos priežiūros  specialistų kvalifikaciją ir darbo sąlygas tobulinančių teisės aktų rengimas</w:t>
                    </w:r>
                  </w:p>
                </w:tc>
                <w:tc>
                  <w:tcPr>
                    <w:tcW w:w="699" w:type="dxa"/>
                  </w:tcPr>
                  <w:p>
                    <w:pPr>
                      <w:rPr>
                        <w:sz w:val="20"/>
                      </w:rPr>
                    </w:pPr>
                    <w:r>
                      <w:rPr>
                        <w:sz w:val="20"/>
                      </w:rPr>
                      <w:t>R</w:t>
                    </w:r>
                  </w:p>
                </w:tc>
                <w:tc>
                  <w:tcPr>
                    <w:tcW w:w="1985" w:type="dxa"/>
                  </w:tcPr>
                  <w:p>
                    <w:pPr>
                      <w:rPr>
                        <w:sz w:val="20"/>
                      </w:rPr>
                    </w:pPr>
                    <w:r>
                      <w:rPr>
                        <w:sz w:val="20"/>
                      </w:rPr>
                      <w:t>-</w:t>
                    </w:r>
                  </w:p>
                </w:tc>
                <w:tc>
                  <w:tcPr>
                    <w:tcW w:w="829" w:type="dxa"/>
                    <w:gridSpan w:val="3"/>
                  </w:tcPr>
                  <w:p>
                    <w:pPr>
                      <w:rPr>
                        <w:sz w:val="20"/>
                      </w:rPr>
                    </w:pPr>
                    <w:r>
                      <w:rPr>
                        <w:sz w:val="20"/>
                      </w:rPr>
                      <w:t>-</w:t>
                    </w:r>
                  </w:p>
                </w:tc>
                <w:tc>
                  <w:tcPr>
                    <w:tcW w:w="1014" w:type="dxa"/>
                    <w:gridSpan w:val="3"/>
                  </w:tcPr>
                  <w:p>
                    <w:pPr>
                      <w:rPr>
                        <w:sz w:val="20"/>
                      </w:rPr>
                    </w:pPr>
                    <w:r>
                      <w:rPr>
                        <w:sz w:val="20"/>
                      </w:rPr>
                      <w:t>Taip</w:t>
                    </w:r>
                  </w:p>
                </w:tc>
                <w:tc>
                  <w:tcPr>
                    <w:tcW w:w="681" w:type="dxa"/>
                    <w:gridSpan w:val="3"/>
                  </w:tcPr>
                  <w:p>
                    <w:pPr>
                      <w:rPr>
                        <w:sz w:val="20"/>
                      </w:rPr>
                    </w:pPr>
                    <w:r>
                      <w:rPr>
                        <w:sz w:val="20"/>
                      </w:rPr>
                      <w:t>-</w:t>
                    </w:r>
                  </w:p>
                </w:tc>
                <w:tc>
                  <w:tcPr>
                    <w:tcW w:w="1167" w:type="dxa"/>
                    <w:gridSpan w:val="2"/>
                  </w:tcPr>
                  <w:p>
                    <w:pPr>
                      <w:rPr>
                        <w:sz w:val="20"/>
                        <w:lang w:val="en-US"/>
                      </w:rPr>
                    </w:pPr>
                    <w:r>
                      <w:rPr>
                        <w:sz w:val="20"/>
                        <w:lang w:val="en-US"/>
                      </w:rPr>
                      <w:t>-</w:t>
                    </w:r>
                  </w:p>
                </w:tc>
                <w:tc>
                  <w:tcPr>
                    <w:tcW w:w="1118" w:type="dxa"/>
                  </w:tcPr>
                  <w:p>
                    <w:pPr>
                      <w:rPr>
                        <w:sz w:val="20"/>
                      </w:rPr>
                    </w:pPr>
                    <w:r>
                      <w:rPr>
                        <w:sz w:val="20"/>
                      </w:rPr>
                      <w:t>-</w:t>
                    </w:r>
                  </w:p>
                </w:tc>
                <w:tc>
                  <w:tcPr>
                    <w:tcW w:w="2001" w:type="dxa"/>
                    <w:gridSpan w:val="2"/>
                  </w:tcPr>
                  <w:p>
                    <w:pPr>
                      <w:ind w:right="-57"/>
                      <w:rPr>
                        <w:sz w:val="20"/>
                      </w:rPr>
                    </w:pPr>
                    <w:r>
                      <w:rPr>
                        <w:sz w:val="20"/>
                      </w:rPr>
                      <w:t>P – Įsigalioję teisės aktai dėl sveikatos priežiūros specialistų darbo sąlygų gerinimo ir profesinės kvalifikacijos tobulinimo, kompl.</w:t>
                    </w:r>
                  </w:p>
                </w:tc>
                <w:tc>
                  <w:tcPr>
                    <w:tcW w:w="1134" w:type="dxa"/>
                    <w:gridSpan w:val="2"/>
                  </w:tcPr>
                  <w:p>
                    <w:pPr>
                      <w:ind w:left="-57" w:right="-57"/>
                      <w:jc w:val="center"/>
                      <w:rPr>
                        <w:sz w:val="20"/>
                      </w:rPr>
                    </w:pPr>
                    <w:r>
                      <w:rPr>
                        <w:sz w:val="20"/>
                      </w:rPr>
                      <w:t>1</w:t>
                    </w:r>
                  </w:p>
                  <w:p>
                    <w:pPr>
                      <w:ind w:left="-57" w:right="-57"/>
                      <w:jc w:val="center"/>
                      <w:rPr>
                        <w:sz w:val="20"/>
                      </w:rPr>
                    </w:pPr>
                    <w:r>
                      <w:rPr>
                        <w:sz w:val="20"/>
                      </w:rPr>
                      <w:t>(2023 m. II ketv.)</w:t>
                    </w:r>
                  </w:p>
                </w:tc>
                <w:tc>
                  <w:tcPr>
                    <w:tcW w:w="992" w:type="dxa"/>
                  </w:tcPr>
                  <w:p>
                    <w:pPr>
                      <w:rPr>
                        <w:sz w:val="20"/>
                      </w:rPr>
                    </w:pPr>
                    <w:r>
                      <w:rPr>
                        <w:sz w:val="20"/>
                      </w:rPr>
                      <w:t>-</w:t>
                    </w:r>
                  </w:p>
                </w:tc>
                <w:tc>
                  <w:tcPr>
                    <w:tcW w:w="1279" w:type="dxa"/>
                    <w:tcBorders>
                      <w:left w:val="single" w:sz="4" w:space="0" w:color="auto"/>
                      <w:right w:val="single" w:sz="4" w:space="0" w:color="auto"/>
                    </w:tcBorders>
                  </w:tcPr>
                  <w:p>
                    <w:pPr>
                      <w:jc w:val="center"/>
                      <w:rPr>
                        <w:color w:val="000000"/>
                        <w:sz w:val="20"/>
                      </w:rPr>
                    </w:pPr>
                    <w:r>
                      <w:rPr>
                        <w:color w:val="000000"/>
                        <w:sz w:val="20"/>
                      </w:rPr>
                      <w:t>SAM</w:t>
                    </w:r>
                  </w:p>
                </w:tc>
              </w:tr>
              <w:tr>
                <w:trPr>
                  <w:trHeight w:val="943"/>
                </w:trPr>
                <w:tc>
                  <w:tcPr>
                    <w:tcW w:w="2130" w:type="dxa"/>
                    <w:gridSpan w:val="2"/>
                    <w:vMerge w:val="restart"/>
                    <w:hideMark/>
                  </w:tcPr>
                  <w:p>
                    <w:pPr>
                      <w:rPr>
                        <w:sz w:val="20"/>
                      </w:rPr>
                    </w:pPr>
                    <w:r>
                      <w:rPr>
                        <w:sz w:val="20"/>
                      </w:rPr>
                      <w:t>11.2. Sveikatos priežiūros  specialistų kvalifikacijos tobulinimas, Vidurio ir vakarų Lietuvos regionas</w:t>
                    </w:r>
                  </w:p>
                </w:tc>
                <w:tc>
                  <w:tcPr>
                    <w:tcW w:w="699" w:type="dxa"/>
                    <w:vMerge w:val="restart"/>
                    <w:hideMark/>
                  </w:tcPr>
                  <w:p>
                    <w:pPr>
                      <w:rPr>
                        <w:sz w:val="20"/>
                      </w:rPr>
                    </w:pPr>
                    <w:r>
                      <w:rPr>
                        <w:sz w:val="20"/>
                      </w:rPr>
                      <w:t>I</w:t>
                    </w:r>
                  </w:p>
                </w:tc>
                <w:tc>
                  <w:tcPr>
                    <w:tcW w:w="1985" w:type="dxa"/>
                    <w:vMerge w:val="restart"/>
                    <w:hideMark/>
                  </w:tcPr>
                  <w:p>
                    <w:pPr>
                      <w:rPr>
                        <w:sz w:val="20"/>
                      </w:rPr>
                    </w:pPr>
                    <w:r>
                      <w:rPr>
                        <w:sz w:val="20"/>
                      </w:rPr>
                      <w:t>SAM</w:t>
                    </w:r>
                  </w:p>
                </w:tc>
                <w:tc>
                  <w:tcPr>
                    <w:tcW w:w="829" w:type="dxa"/>
                    <w:gridSpan w:val="3"/>
                    <w:vMerge w:val="restart"/>
                    <w:hideMark/>
                  </w:tcPr>
                  <w:p>
                    <w:pPr>
                      <w:rPr>
                        <w:sz w:val="20"/>
                      </w:rPr>
                    </w:pPr>
                    <w:r>
                      <w:rPr>
                        <w:sz w:val="20"/>
                      </w:rPr>
                      <w:t>P</w:t>
                    </w:r>
                  </w:p>
                </w:tc>
                <w:tc>
                  <w:tcPr>
                    <w:tcW w:w="1014" w:type="dxa"/>
                    <w:gridSpan w:val="3"/>
                    <w:vMerge w:val="restart"/>
                    <w:hideMark/>
                  </w:tcPr>
                  <w:p>
                    <w:pPr>
                      <w:rPr>
                        <w:sz w:val="20"/>
                      </w:rPr>
                    </w:pPr>
                    <w:r>
                      <w:rPr>
                        <w:sz w:val="20"/>
                      </w:rPr>
                      <w:t>Taip</w:t>
                    </w:r>
                  </w:p>
                </w:tc>
                <w:tc>
                  <w:tcPr>
                    <w:tcW w:w="681" w:type="dxa"/>
                    <w:gridSpan w:val="3"/>
                    <w:vMerge w:val="restart"/>
                    <w:hideMark/>
                  </w:tcPr>
                  <w:p>
                    <w:pPr>
                      <w:rPr>
                        <w:sz w:val="20"/>
                      </w:rPr>
                    </w:pPr>
                    <w:r>
                      <w:rPr>
                        <w:sz w:val="20"/>
                      </w:rPr>
                      <w:t>D</w:t>
                    </w:r>
                  </w:p>
                </w:tc>
                <w:tc>
                  <w:tcPr>
                    <w:tcW w:w="1167" w:type="dxa"/>
                    <w:gridSpan w:val="2"/>
                  </w:tcPr>
                  <w:p>
                    <w:pPr>
                      <w:ind w:firstLine="62"/>
                      <w:rPr>
                        <w:sz w:val="20"/>
                      </w:rPr>
                    </w:pPr>
                  </w:p>
                  <w:p>
                    <w:pPr>
                      <w:rPr>
                        <w:sz w:val="20"/>
                      </w:rPr>
                    </w:pPr>
                    <w:r>
                      <w:rPr>
                        <w:sz w:val="20"/>
                      </w:rPr>
                      <w:t>716,118</w:t>
                    </w:r>
                  </w:p>
                  <w:p>
                    <w:pPr>
                      <w:rPr>
                        <w:sz w:val="20"/>
                      </w:rPr>
                    </w:pPr>
                  </w:p>
                </w:tc>
                <w:tc>
                  <w:tcPr>
                    <w:tcW w:w="1118" w:type="dxa"/>
                    <w:hideMark/>
                  </w:tcPr>
                  <w:p>
                    <w:pPr>
                      <w:rPr>
                        <w:sz w:val="20"/>
                      </w:rPr>
                    </w:pPr>
                    <w:r>
                      <w:rPr>
                        <w:sz w:val="20"/>
                      </w:rPr>
                      <w:t>2021–2027 m. IP (ESF+)</w:t>
                    </w:r>
                  </w:p>
                </w:tc>
                <w:tc>
                  <w:tcPr>
                    <w:tcW w:w="2001" w:type="dxa"/>
                    <w:gridSpan w:val="2"/>
                    <w:vMerge w:val="restart"/>
                    <w:hideMark/>
                  </w:tcPr>
                  <w:p>
                    <w:pPr>
                      <w:rPr>
                        <w:sz w:val="20"/>
                      </w:rPr>
                    </w:pPr>
                    <w:r>
                      <w:rPr>
                        <w:sz w:val="20"/>
                      </w:rPr>
                      <w:t>P – Specialistai, dalyvavę kvalifikacijos tobulinimo ar perkvalifikavimo veiklose, asmenys</w:t>
                    </w:r>
                  </w:p>
                </w:tc>
                <w:tc>
                  <w:tcPr>
                    <w:tcW w:w="1134" w:type="dxa"/>
                    <w:gridSpan w:val="2"/>
                    <w:vMerge w:val="restart"/>
                  </w:tcPr>
                  <w:p>
                    <w:pPr>
                      <w:rPr>
                        <w:sz w:val="20"/>
                      </w:rPr>
                    </w:pPr>
                  </w:p>
                  <w:p>
                    <w:pPr>
                      <w:rPr>
                        <w:sz w:val="20"/>
                      </w:rPr>
                    </w:pPr>
                    <w:r>
                      <w:rPr>
                        <w:sz w:val="20"/>
                      </w:rPr>
                      <w:t>3 200</w:t>
                    </w:r>
                  </w:p>
                  <w:p>
                    <w:pPr>
                      <w:rPr>
                        <w:sz w:val="20"/>
                      </w:rPr>
                    </w:pPr>
                    <w:r>
                      <w:rPr>
                        <w:sz w:val="20"/>
                      </w:rPr>
                      <w:t>(2029 m.)</w:t>
                    </w:r>
                  </w:p>
                  <w:p>
                    <w:pPr>
                      <w:ind w:firstLine="62"/>
                      <w:rPr>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SAM</w:t>
                    </w:r>
                  </w:p>
                </w:tc>
              </w:tr>
              <w:tr>
                <w:trPr>
                  <w:trHeight w:val="276"/>
                </w:trPr>
                <w:tc>
                  <w:tcPr>
                    <w:tcW w:w="2130" w:type="dxa"/>
                    <w:gridSpan w:val="2"/>
                    <w:vMerge/>
                    <w:vAlign w:val="center"/>
                    <w:hideMark/>
                  </w:tcPr>
                  <w:p>
                    <w:pPr>
                      <w:rPr>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vMerge w:val="restart"/>
                  </w:tcPr>
                  <w:p>
                    <w:pPr>
                      <w:ind w:firstLine="62"/>
                      <w:rPr>
                        <w:sz w:val="20"/>
                      </w:rPr>
                    </w:pPr>
                  </w:p>
                  <w:p>
                    <w:pPr>
                      <w:rPr>
                        <w:sz w:val="20"/>
                      </w:rPr>
                    </w:pPr>
                    <w:r>
                      <w:rPr>
                        <w:sz w:val="20"/>
                      </w:rPr>
                      <w:t>126,374</w:t>
                    </w:r>
                  </w:p>
                  <w:p>
                    <w:pPr>
                      <w:rPr>
                        <w:sz w:val="20"/>
                        <w:highlight w:val="green"/>
                      </w:rPr>
                    </w:pPr>
                  </w:p>
                </w:tc>
                <w:tc>
                  <w:tcPr>
                    <w:tcW w:w="1118" w:type="dxa"/>
                    <w:vMerge w:val="restart"/>
                  </w:tcPr>
                  <w:p>
                    <w:pPr>
                      <w:rPr>
                        <w:sz w:val="20"/>
                      </w:rPr>
                    </w:pPr>
                    <w:r>
                      <w:rPr>
                        <w:sz w:val="20"/>
                      </w:rPr>
                      <w:t>2021–2027 m. IP (BF)</w:t>
                    </w:r>
                  </w:p>
                  <w:p>
                    <w:pPr>
                      <w:rPr>
                        <w:sz w:val="20"/>
                      </w:rPr>
                    </w:pPr>
                  </w:p>
                </w:tc>
                <w:tc>
                  <w:tcPr>
                    <w:tcW w:w="2001" w:type="dxa"/>
                    <w:gridSpan w:val="2"/>
                    <w:vMerge/>
                    <w:vAlign w:val="center"/>
                    <w:hideMark/>
                  </w:tcPr>
                  <w:p>
                    <w:pPr>
                      <w:rPr>
                        <w:sz w:val="20"/>
                      </w:rPr>
                    </w:pPr>
                  </w:p>
                </w:tc>
                <w:tc>
                  <w:tcPr>
                    <w:tcW w:w="1134" w:type="dxa"/>
                    <w:gridSpan w:val="2"/>
                    <w:vMerge/>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33"/>
                </w:trPr>
                <w:tc>
                  <w:tcPr>
                    <w:tcW w:w="2130" w:type="dxa"/>
                    <w:gridSpan w:val="2"/>
                    <w:vMerge/>
                    <w:vAlign w:val="center"/>
                    <w:hideMark/>
                  </w:tcPr>
                  <w:p>
                    <w:pPr>
                      <w:rPr>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vMerge/>
                    <w:vAlign w:val="center"/>
                    <w:hideMark/>
                  </w:tcPr>
                  <w:p>
                    <w:pPr>
                      <w:rPr>
                        <w:sz w:val="20"/>
                        <w:highlight w:val="green"/>
                      </w:rPr>
                    </w:pPr>
                  </w:p>
                </w:tc>
                <w:tc>
                  <w:tcPr>
                    <w:tcW w:w="1118" w:type="dxa"/>
                    <w:vMerge/>
                    <w:vAlign w:val="center"/>
                    <w:hideMark/>
                  </w:tcPr>
                  <w:p>
                    <w:pPr>
                      <w:rPr>
                        <w:sz w:val="20"/>
                      </w:rPr>
                    </w:pPr>
                  </w:p>
                </w:tc>
                <w:tc>
                  <w:tcPr>
                    <w:tcW w:w="2001" w:type="dxa"/>
                    <w:gridSpan w:val="2"/>
                    <w:hideMark/>
                  </w:tcPr>
                  <w:p>
                    <w:pPr>
                      <w:ind w:left="-57" w:right="-57"/>
                      <w:rPr>
                        <w:sz w:val="20"/>
                      </w:rPr>
                    </w:pPr>
                    <w:r>
                      <w:rPr>
                        <w:sz w:val="20"/>
                      </w:rPr>
                      <w:t>R – Specialistų, kurie po dalyvavimo veiklose įgijo ar patobulino kvalifikaciją, dalis proc.</w:t>
                    </w:r>
                  </w:p>
                </w:tc>
                <w:tc>
                  <w:tcPr>
                    <w:tcW w:w="1134" w:type="dxa"/>
                    <w:gridSpan w:val="2"/>
                  </w:tcPr>
                  <w:p>
                    <w:pPr>
                      <w:rPr>
                        <w:sz w:val="20"/>
                      </w:rPr>
                    </w:pPr>
                    <w:r>
                      <w:rPr>
                        <w:sz w:val="20"/>
                      </w:rPr>
                      <w:t>90</w:t>
                    </w:r>
                  </w:p>
                  <w:p>
                    <w:pPr>
                      <w:rPr>
                        <w:sz w:val="20"/>
                      </w:rPr>
                    </w:pPr>
                    <w:r>
                      <w:rPr>
                        <w:sz w:val="20"/>
                      </w:rPr>
                      <w:t>(2029 m.)</w:t>
                    </w:r>
                  </w:p>
                  <w:p>
                    <w:pPr>
                      <w:jc w:val="center"/>
                      <w:rPr>
                        <w:b/>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tcPr>
                  <w:p>
                    <w:pPr>
                      <w:rPr>
                        <w:sz w:val="20"/>
                      </w:rPr>
                    </w:pPr>
                    <w:r>
                      <w:rPr>
                        <w:sz w:val="20"/>
                      </w:rPr>
                      <w:t>11.3. Sveikatos priežiūros specialistų kvalifikacijos tobulinimas</w:t>
                    </w:r>
                  </w:p>
                </w:tc>
                <w:tc>
                  <w:tcPr>
                    <w:tcW w:w="699" w:type="dxa"/>
                  </w:tcPr>
                  <w:p>
                    <w:pPr>
                      <w:rPr>
                        <w:sz w:val="20"/>
                      </w:rPr>
                    </w:pPr>
                    <w:r>
                      <w:rPr>
                        <w:sz w:val="20"/>
                      </w:rPr>
                      <w:t>I</w:t>
                    </w:r>
                  </w:p>
                </w:tc>
                <w:tc>
                  <w:tcPr>
                    <w:tcW w:w="1985" w:type="dxa"/>
                  </w:tcPr>
                  <w:p>
                    <w:pPr>
                      <w:rPr>
                        <w:sz w:val="20"/>
                      </w:rPr>
                    </w:pPr>
                    <w:r>
                      <w:rPr>
                        <w:sz w:val="20"/>
                      </w:rPr>
                      <w:t>SAM</w:t>
                    </w:r>
                  </w:p>
                </w:tc>
                <w:tc>
                  <w:tcPr>
                    <w:tcW w:w="829" w:type="dxa"/>
                    <w:gridSpan w:val="3"/>
                  </w:tcPr>
                  <w:p>
                    <w:pPr>
                      <w:rPr>
                        <w:sz w:val="20"/>
                      </w:rPr>
                    </w:pPr>
                    <w:r>
                      <w:rPr>
                        <w:sz w:val="20"/>
                      </w:rPr>
                      <w:t>P</w:t>
                    </w:r>
                  </w:p>
                </w:tc>
                <w:tc>
                  <w:tcPr>
                    <w:tcW w:w="1014" w:type="dxa"/>
                    <w:gridSpan w:val="3"/>
                  </w:tcPr>
                  <w:p>
                    <w:pPr>
                      <w:rPr>
                        <w:sz w:val="20"/>
                      </w:rPr>
                    </w:pPr>
                    <w:r>
                      <w:rPr>
                        <w:sz w:val="20"/>
                      </w:rPr>
                      <w:t>Taip</w:t>
                    </w:r>
                  </w:p>
                </w:tc>
                <w:tc>
                  <w:tcPr>
                    <w:tcW w:w="681" w:type="dxa"/>
                    <w:gridSpan w:val="3"/>
                  </w:tcPr>
                  <w:p>
                    <w:pPr>
                      <w:rPr>
                        <w:sz w:val="20"/>
                      </w:rPr>
                    </w:pPr>
                    <w:r>
                      <w:rPr>
                        <w:sz w:val="20"/>
                      </w:rPr>
                      <w:t>D</w:t>
                    </w:r>
                  </w:p>
                </w:tc>
                <w:tc>
                  <w:tcPr>
                    <w:tcW w:w="1167" w:type="dxa"/>
                    <w:gridSpan w:val="2"/>
                  </w:tcPr>
                  <w:p>
                    <w:pPr>
                      <w:rPr>
                        <w:sz w:val="20"/>
                        <w:lang w:val="en-US"/>
                      </w:rPr>
                    </w:pPr>
                    <w:r>
                      <w:rPr>
                        <w:sz w:val="20"/>
                        <w:lang w:val="en-US"/>
                      </w:rPr>
                      <w:t>5 000</w:t>
                    </w:r>
                  </w:p>
                  <w:p>
                    <w:pPr>
                      <w:rPr>
                        <w:sz w:val="20"/>
                        <w:lang w:val="en-US"/>
                      </w:rPr>
                    </w:pPr>
                  </w:p>
                </w:tc>
                <w:tc>
                  <w:tcPr>
                    <w:tcW w:w="1118" w:type="dxa"/>
                  </w:tcPr>
                  <w:p>
                    <w:pPr>
                      <w:ind w:left="-57" w:right="-57"/>
                      <w:rPr>
                        <w:sz w:val="20"/>
                      </w:rPr>
                    </w:pPr>
                    <w:r>
                      <w:rPr>
                        <w:sz w:val="20"/>
                      </w:rPr>
                      <w:t>VB</w:t>
                    </w:r>
                  </w:p>
                </w:tc>
                <w:tc>
                  <w:tcPr>
                    <w:tcW w:w="2001" w:type="dxa"/>
                    <w:gridSpan w:val="2"/>
                  </w:tcPr>
                  <w:p>
                    <w:pPr>
                      <w:ind w:left="-57" w:right="-57"/>
                      <w:rPr>
                        <w:sz w:val="20"/>
                      </w:rPr>
                    </w:pPr>
                    <w:r>
                      <w:rPr>
                        <w:sz w:val="20"/>
                      </w:rPr>
                      <w:t>P – Specialistai, dalyvavę kvalifikacijos tobulinimo veiklose, asmenys</w:t>
                    </w:r>
                  </w:p>
                </w:tc>
                <w:tc>
                  <w:tcPr>
                    <w:tcW w:w="1134" w:type="dxa"/>
                    <w:gridSpan w:val="2"/>
                  </w:tcPr>
                  <w:p>
                    <w:pPr>
                      <w:ind w:left="-57" w:right="-57"/>
                      <w:jc w:val="center"/>
                      <w:rPr>
                        <w:sz w:val="20"/>
                      </w:rPr>
                    </w:pPr>
                    <w:r>
                      <w:rPr>
                        <w:sz w:val="20"/>
                      </w:rPr>
                      <w:t>18 000</w:t>
                    </w:r>
                  </w:p>
                  <w:p>
                    <w:pPr>
                      <w:ind w:left="-57" w:right="-57"/>
                      <w:jc w:val="center"/>
                      <w:rPr>
                        <w:sz w:val="20"/>
                      </w:rPr>
                    </w:pPr>
                    <w:r>
                      <w:rPr>
                        <w:sz w:val="20"/>
                      </w:rPr>
                      <w:t>(2030 m.)</w:t>
                    </w:r>
                  </w:p>
                  <w:p>
                    <w:pPr>
                      <w:ind w:left="-57" w:right="-57"/>
                      <w:jc w:val="center"/>
                      <w:rPr>
                        <w:sz w:val="20"/>
                      </w:rPr>
                    </w:pPr>
                  </w:p>
                </w:tc>
                <w:tc>
                  <w:tcPr>
                    <w:tcW w:w="992" w:type="dxa"/>
                  </w:tcPr>
                  <w:p>
                    <w:pPr>
                      <w:rPr>
                        <w:sz w:val="20"/>
                      </w:rPr>
                    </w:pPr>
                    <w:r>
                      <w:rPr>
                        <w:sz w:val="20"/>
                      </w:rPr>
                      <w:t>SAM</w:t>
                    </w:r>
                  </w:p>
                </w:tc>
                <w:tc>
                  <w:tcPr>
                    <w:tcW w:w="1279" w:type="dxa"/>
                    <w:tcBorders>
                      <w:left w:val="single" w:sz="4" w:space="0" w:color="auto"/>
                      <w:right w:val="single" w:sz="4" w:space="0" w:color="auto"/>
                    </w:tcBorders>
                  </w:tcPr>
                  <w:p>
                    <w:pPr>
                      <w:jc w:val="center"/>
                      <w:rPr>
                        <w:color w:val="000000"/>
                        <w:sz w:val="20"/>
                      </w:rPr>
                    </w:pPr>
                    <w:r>
                      <w:rPr>
                        <w:color w:val="000000"/>
                        <w:sz w:val="20"/>
                      </w:rPr>
                      <w:t>SAM</w:t>
                    </w:r>
                  </w:p>
                </w:tc>
              </w:tr>
              <w:tr>
                <w:trPr>
                  <w:trHeight w:val="414"/>
                </w:trPr>
                <w:tc>
                  <w:tcPr>
                    <w:tcW w:w="2130" w:type="dxa"/>
                    <w:gridSpan w:val="2"/>
                    <w:vMerge w:val="restart"/>
                  </w:tcPr>
                  <w:p>
                    <w:pPr>
                      <w:rPr>
                        <w:sz w:val="20"/>
                      </w:rPr>
                    </w:pPr>
                    <w:r>
                      <w:rPr>
                        <w:sz w:val="20"/>
                      </w:rPr>
                      <w:t>11.4. Ilgalaikės priežiūros paslaugas teikiančių specialistų parengimas</w:t>
                    </w:r>
                  </w:p>
                </w:tc>
                <w:tc>
                  <w:tcPr>
                    <w:tcW w:w="699" w:type="dxa"/>
                    <w:vMerge w:val="restart"/>
                    <w:tcBorders>
                      <w:top w:val="single" w:sz="4" w:space="0" w:color="auto"/>
                      <w:left w:val="single" w:sz="4" w:space="0" w:color="auto"/>
                      <w:bottom w:val="single" w:sz="4" w:space="0" w:color="auto"/>
                      <w:right w:val="single" w:sz="4" w:space="0" w:color="auto"/>
                    </w:tcBorders>
                  </w:tcPr>
                  <w:p>
                    <w:pPr>
                      <w:rPr>
                        <w:sz w:val="20"/>
                      </w:rPr>
                    </w:pPr>
                    <w:r>
                      <w:rPr>
                        <w:kern w:val="2"/>
                        <w:sz w:val="20"/>
                        <w14:ligatures w14:val="standardContextual"/>
                      </w:rPr>
                      <w:t>I</w:t>
                    </w:r>
                  </w:p>
                </w:tc>
                <w:tc>
                  <w:tcPr>
                    <w:tcW w:w="1985" w:type="dxa"/>
                    <w:vMerge w:val="restart"/>
                    <w:tcBorders>
                      <w:top w:val="single" w:sz="4" w:space="0" w:color="auto"/>
                      <w:left w:val="single" w:sz="4" w:space="0" w:color="auto"/>
                      <w:bottom w:val="single" w:sz="4" w:space="0" w:color="auto"/>
                      <w:right w:val="single" w:sz="4" w:space="0" w:color="auto"/>
                    </w:tcBorders>
                  </w:tcPr>
                  <w:p>
                    <w:pPr>
                      <w:rPr>
                        <w:sz w:val="20"/>
                      </w:rPr>
                    </w:pPr>
                    <w:r>
                      <w:rPr>
                        <w:kern w:val="2"/>
                        <w:sz w:val="20"/>
                        <w14:ligatures w14:val="standardContextual"/>
                      </w:rPr>
                      <w:t>Higienos institutas</w:t>
                    </w:r>
                  </w:p>
                </w:tc>
                <w:tc>
                  <w:tcPr>
                    <w:tcW w:w="829" w:type="dxa"/>
                    <w:gridSpan w:val="3"/>
                    <w:vMerge w:val="restart"/>
                    <w:tcBorders>
                      <w:top w:val="single" w:sz="4" w:space="0" w:color="auto"/>
                      <w:left w:val="single" w:sz="4" w:space="0" w:color="auto"/>
                      <w:bottom w:val="single" w:sz="4" w:space="0" w:color="auto"/>
                      <w:right w:val="single" w:sz="4" w:space="0" w:color="auto"/>
                    </w:tcBorders>
                  </w:tcPr>
                  <w:p>
                    <w:pPr>
                      <w:rPr>
                        <w:sz w:val="20"/>
                      </w:rPr>
                    </w:pPr>
                    <w:r>
                      <w:rPr>
                        <w:kern w:val="2"/>
                        <w:sz w:val="20"/>
                        <w14:ligatures w14:val="standardContextual"/>
                      </w:rPr>
                      <w:t>P</w:t>
                    </w:r>
                  </w:p>
                </w:tc>
                <w:tc>
                  <w:tcPr>
                    <w:tcW w:w="1014" w:type="dxa"/>
                    <w:gridSpan w:val="3"/>
                    <w:vMerge w:val="restart"/>
                    <w:tcBorders>
                      <w:top w:val="single" w:sz="4" w:space="0" w:color="auto"/>
                      <w:left w:val="single" w:sz="4" w:space="0" w:color="auto"/>
                      <w:bottom w:val="single" w:sz="4" w:space="0" w:color="auto"/>
                      <w:right w:val="single" w:sz="4" w:space="0" w:color="auto"/>
                    </w:tcBorders>
                  </w:tcPr>
                  <w:p>
                    <w:pPr>
                      <w:rPr>
                        <w:sz w:val="20"/>
                      </w:rPr>
                    </w:pPr>
                    <w:r>
                      <w:rPr>
                        <w:kern w:val="2"/>
                        <w:sz w:val="20"/>
                        <w14:ligatures w14:val="standardContextual"/>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tcPr>
                  <w:p>
                    <w:pPr>
                      <w:rPr>
                        <w:sz w:val="20"/>
                      </w:rPr>
                    </w:pPr>
                    <w:r>
                      <w:rPr>
                        <w:kern w:val="2"/>
                        <w:sz w:val="20"/>
                        <w14:ligatures w14:val="standardContextual"/>
                      </w:rPr>
                      <w:t>D</w:t>
                    </w:r>
                  </w:p>
                </w:tc>
                <w:tc>
                  <w:tcPr>
                    <w:tcW w:w="1167" w:type="dxa"/>
                    <w:gridSpan w:val="2"/>
                    <w:tcBorders>
                      <w:top w:val="single" w:sz="4" w:space="0" w:color="auto"/>
                      <w:left w:val="single" w:sz="4" w:space="0" w:color="auto"/>
                      <w:bottom w:val="single" w:sz="4" w:space="0" w:color="auto"/>
                      <w:right w:val="single" w:sz="4" w:space="0" w:color="auto"/>
                    </w:tcBorders>
                  </w:tcPr>
                  <w:p>
                    <w:pPr>
                      <w:spacing w:line="276" w:lineRule="auto"/>
                      <w:jc w:val="center"/>
                      <w:rPr>
                        <w:kern w:val="2"/>
                        <w:sz w:val="20"/>
                        <w:lang w:val="en-US"/>
                        <w14:ligatures w14:val="standardContextual"/>
                      </w:rPr>
                    </w:pPr>
                    <w:r>
                      <w:rPr>
                        <w:kern w:val="2"/>
                        <w:sz w:val="20"/>
                        <w:lang w:val="en-US"/>
                        <w14:ligatures w14:val="standardContextual"/>
                      </w:rPr>
                      <w:t>2 100</w:t>
                    </w:r>
                  </w:p>
                  <w:p>
                    <w:pPr>
                      <w:rPr>
                        <w:sz w:val="20"/>
                        <w:lang w:val="en-US"/>
                      </w:rPr>
                    </w:pPr>
                  </w:p>
                </w:tc>
                <w:tc>
                  <w:tcPr>
                    <w:tcW w:w="1118" w:type="dxa"/>
                    <w:tcBorders>
                      <w:top w:val="single" w:sz="4" w:space="0" w:color="auto"/>
                      <w:left w:val="single" w:sz="4" w:space="0" w:color="auto"/>
                      <w:bottom w:val="single" w:sz="4" w:space="0" w:color="auto"/>
                      <w:right w:val="single" w:sz="4" w:space="0" w:color="auto"/>
                    </w:tcBorders>
                  </w:tcPr>
                  <w:p>
                    <w:pPr>
                      <w:spacing w:line="276" w:lineRule="auto"/>
                      <w:ind w:left="-57" w:right="-57"/>
                      <w:rPr>
                        <w:kern w:val="2"/>
                        <w:sz w:val="20"/>
                        <w14:ligatures w14:val="standardContextual"/>
                      </w:rPr>
                    </w:pPr>
                    <w:r>
                      <w:rPr>
                        <w:kern w:val="2"/>
                        <w:sz w:val="20"/>
                        <w14:ligatures w14:val="standardContextual"/>
                      </w:rPr>
                      <w:t>EGADP</w:t>
                    </w:r>
                  </w:p>
                  <w:p>
                    <w:pPr>
                      <w:ind w:left="-57" w:right="-57"/>
                      <w:rPr>
                        <w:sz w:val="20"/>
                      </w:rPr>
                    </w:pP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sz w:val="20"/>
                      </w:rPr>
                    </w:pPr>
                    <w:r>
                      <w:rPr>
                        <w:kern w:val="2"/>
                        <w:sz w:val="20"/>
                        <w14:ligatures w14:val="standardContextual"/>
                      </w:rPr>
                      <w:t xml:space="preserve">P – </w:t>
                    </w:r>
                    <w:r>
                      <w:rPr>
                        <w:kern w:val="2"/>
                        <w:sz w:val="20"/>
                        <w:lang w:eastAsia="lt-LT"/>
                        <w14:ligatures w14:val="standardContextual"/>
                      </w:rPr>
                      <w:t xml:space="preserve">Baigtas mažiausiai 1 000 ilgalaikės priežiūros specialistų mokymas, vnt. </w:t>
                    </w:r>
                  </w:p>
                </w:tc>
                <w:tc>
                  <w:tcPr>
                    <w:tcW w:w="1134" w:type="dxa"/>
                    <w:gridSpan w:val="2"/>
                    <w:tcBorders>
                      <w:top w:val="single" w:sz="4" w:space="0" w:color="auto"/>
                      <w:left w:val="single" w:sz="4" w:space="0" w:color="auto"/>
                      <w:bottom w:val="single" w:sz="4" w:space="0" w:color="auto"/>
                      <w:right w:val="single" w:sz="4" w:space="0" w:color="auto"/>
                    </w:tcBorders>
                  </w:tcPr>
                  <w:p>
                    <w:pPr>
                      <w:spacing w:line="276" w:lineRule="auto"/>
                      <w:ind w:left="-57" w:right="-57"/>
                      <w:jc w:val="center"/>
                      <w:rPr>
                        <w:kern w:val="2"/>
                        <w:sz w:val="20"/>
                        <w14:ligatures w14:val="standardContextual"/>
                      </w:rPr>
                    </w:pPr>
                    <w:r>
                      <w:rPr>
                        <w:kern w:val="2"/>
                        <w:sz w:val="20"/>
                        <w14:ligatures w14:val="standardContextual"/>
                      </w:rPr>
                      <w:t>1 000</w:t>
                    </w:r>
                  </w:p>
                  <w:p>
                    <w:pPr>
                      <w:ind w:left="-57" w:right="-57"/>
                      <w:jc w:val="center"/>
                      <w:rPr>
                        <w:sz w:val="20"/>
                      </w:rPr>
                    </w:pPr>
                    <w:r>
                      <w:rPr>
                        <w:kern w:val="2"/>
                        <w:sz w:val="20"/>
                        <w14:ligatures w14:val="standardContextual"/>
                      </w:rPr>
                      <w:t>(2024 m. IV ketv.)</w:t>
                    </w:r>
                  </w:p>
                </w:tc>
                <w:tc>
                  <w:tcPr>
                    <w:tcW w:w="992" w:type="dxa"/>
                    <w:vMerge w:val="restart"/>
                    <w:tcBorders>
                      <w:top w:val="single" w:sz="4" w:space="0" w:color="auto"/>
                      <w:left w:val="single" w:sz="4" w:space="0" w:color="auto"/>
                      <w:bottom w:val="single" w:sz="4" w:space="0" w:color="auto"/>
                      <w:right w:val="single" w:sz="4" w:space="0" w:color="auto"/>
                    </w:tcBorders>
                  </w:tcPr>
                  <w:p>
                    <w:pPr>
                      <w:rPr>
                        <w:sz w:val="20"/>
                      </w:rPr>
                    </w:pPr>
                    <w:r>
                      <w:rPr>
                        <w:kern w:val="2"/>
                        <w:sz w:val="20"/>
                        <w14:ligatures w14:val="standardContextual"/>
                      </w:rPr>
                      <w:t>CPVA</w:t>
                    </w:r>
                  </w:p>
                </w:tc>
                <w:tc>
                  <w:tcPr>
                    <w:tcW w:w="1279" w:type="dxa"/>
                    <w:vMerge w:val="restart"/>
                    <w:tcBorders>
                      <w:top w:val="single" w:sz="4" w:space="0" w:color="auto"/>
                      <w:left w:val="single" w:sz="4" w:space="0" w:color="auto"/>
                      <w:bottom w:val="single" w:sz="4" w:space="0" w:color="auto"/>
                      <w:right w:val="single" w:sz="4" w:space="0" w:color="auto"/>
                    </w:tcBorders>
                  </w:tcPr>
                  <w:p>
                    <w:pPr>
                      <w:spacing w:line="276" w:lineRule="auto"/>
                      <w:rPr>
                        <w:color w:val="000000"/>
                        <w:kern w:val="2"/>
                        <w:sz w:val="20"/>
                        <w14:ligatures w14:val="standardContextual"/>
                      </w:rPr>
                    </w:pPr>
                    <w:r>
                      <w:rPr>
                        <w:color w:val="000000"/>
                        <w:kern w:val="2"/>
                        <w:sz w:val="20"/>
                        <w14:ligatures w14:val="standardContextual"/>
                      </w:rPr>
                      <w:t>SAM,</w:t>
                    </w:r>
                  </w:p>
                  <w:p>
                    <w:pPr>
                      <w:spacing w:line="276" w:lineRule="auto"/>
                      <w:rPr>
                        <w:kern w:val="2"/>
                        <w:sz w:val="20"/>
                        <w14:ligatures w14:val="standardContextual"/>
                      </w:rPr>
                    </w:pPr>
                    <w:r>
                      <w:rPr>
                        <w:kern w:val="2"/>
                        <w:sz w:val="20"/>
                        <w14:ligatures w14:val="standardContextual"/>
                      </w:rPr>
                      <w:t>SADM,</w:t>
                    </w:r>
                  </w:p>
                  <w:p>
                    <w:pPr>
                      <w:rPr>
                        <w:sz w:val="20"/>
                      </w:rPr>
                    </w:pPr>
                    <w:r>
                      <w:rPr>
                        <w:kern w:val="2"/>
                        <w:sz w:val="20"/>
                        <w14:ligatures w14:val="standardContextual"/>
                      </w:rPr>
                      <w:t>Švietimo, mokslo ir sporto ministerija</w:t>
                    </w: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rPr>
                        <w:sz w:val="20"/>
                        <w:lang w:val="en-US"/>
                      </w:rPr>
                    </w:pPr>
                    <w:r>
                      <w:rPr>
                        <w:kern w:val="2"/>
                        <w:sz w:val="20"/>
                        <w:lang w:val="en-US"/>
                        <w14:ligatures w14:val="standardContextual"/>
                      </w:rPr>
                      <w:t>440</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kern w:val="2"/>
                        <w:sz w:val="20"/>
                        <w14:ligatures w14:val="standardContextual"/>
                      </w:rPr>
                      <w:t>PVM iš VB</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sz w:val="20"/>
                      </w:rPr>
                    </w:pPr>
                    <w:r>
                      <w:rPr>
                        <w:kern w:val="2"/>
                        <w:sz w:val="20"/>
                        <w14:ligatures w14:val="standardContextual"/>
                      </w:rPr>
                      <w:t>P – Žmogiškųjų išteklių ir infrastruktūros pajėgumų didinimas</w:t>
                    </w:r>
                  </w:p>
                </w:tc>
                <w:tc>
                  <w:tcPr>
                    <w:tcW w:w="1134" w:type="dxa"/>
                    <w:gridSpan w:val="2"/>
                    <w:tcBorders>
                      <w:top w:val="single" w:sz="4" w:space="0" w:color="auto"/>
                      <w:left w:val="single" w:sz="4" w:space="0" w:color="auto"/>
                      <w:bottom w:val="single" w:sz="4" w:space="0" w:color="auto"/>
                      <w:right w:val="single" w:sz="4" w:space="0" w:color="auto"/>
                    </w:tcBorders>
                  </w:tcPr>
                  <w:p>
                    <w:pPr>
                      <w:spacing w:line="276" w:lineRule="auto"/>
                      <w:jc w:val="center"/>
                      <w:rPr>
                        <w:kern w:val="2"/>
                        <w:sz w:val="20"/>
                        <w14:ligatures w14:val="standardContextual"/>
                      </w:rPr>
                    </w:pPr>
                    <w:r>
                      <w:rPr>
                        <w:kern w:val="2"/>
                        <w:sz w:val="20"/>
                        <w14:ligatures w14:val="standardContextual"/>
                      </w:rPr>
                      <w:t xml:space="preserve">1000 </w:t>
                    </w:r>
                  </w:p>
                  <w:p>
                    <w:pPr>
                      <w:ind w:left="-57" w:right="-57"/>
                      <w:jc w:val="center"/>
                      <w:rPr>
                        <w:sz w:val="20"/>
                      </w:rPr>
                    </w:pPr>
                    <w:r>
                      <w:rPr>
                        <w:kern w:val="2"/>
                        <w:sz w:val="20"/>
                        <w14:ligatures w14:val="standardContextual"/>
                      </w:rPr>
                      <w:t>(202</w:t>
                    </w:r>
                    <w:r>
                      <w:rPr>
                        <w:kern w:val="2"/>
                        <w:sz w:val="20"/>
                        <w:lang w:val="en-US"/>
                        <w14:ligatures w14:val="standardContextual"/>
                      </w:rPr>
                      <w:t>5</w:t>
                    </w:r>
                    <w:r>
                      <w:rPr>
                        <w:kern w:val="2"/>
                        <w:sz w:val="20"/>
                        <w14:ligatures w14:val="standardContextual"/>
                      </w:rPr>
                      <w:t xml:space="preserve"> m. II ketv.)</w:t>
                    </w:r>
                  </w:p>
                </w:tc>
                <w:tc>
                  <w:tcPr>
                    <w:tcW w:w="992" w:type="dxa"/>
                    <w:vMerge/>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130" w:type="dxa"/>
                    <w:gridSpan w:val="2"/>
                    <w:vMerge w:val="restart"/>
                  </w:tcPr>
                  <w:p>
                    <w:pPr>
                      <w:rPr>
                        <w:sz w:val="20"/>
                      </w:rPr>
                    </w:pPr>
                    <w:r>
                      <w:rPr>
                        <w:iCs/>
                        <w:sz w:val="20"/>
                      </w:rPr>
                      <w:t>11.5. Sveikatos priežiūros srityje dirbančių specialistų kvalifikacijos tobulinimas (pirminė sveikatos priežiūra), Vidurio ir vakarų Lietuvos regionas</w:t>
                    </w:r>
                  </w:p>
                </w:tc>
                <w:tc>
                  <w:tcPr>
                    <w:tcW w:w="699" w:type="dxa"/>
                    <w:vMerge w:val="restart"/>
                  </w:tcPr>
                  <w:p>
                    <w:pPr>
                      <w:jc w:val="center"/>
                      <w:rPr>
                        <w:sz w:val="20"/>
                      </w:rPr>
                    </w:pPr>
                    <w:r>
                      <w:rPr>
                        <w:sz w:val="20"/>
                      </w:rPr>
                      <w:t>I</w:t>
                    </w:r>
                  </w:p>
                </w:tc>
                <w:tc>
                  <w:tcPr>
                    <w:tcW w:w="1985" w:type="dxa"/>
                    <w:vMerge w:val="restart"/>
                  </w:tcPr>
                  <w:p>
                    <w:pPr>
                      <w:rPr>
                        <w:sz w:val="20"/>
                      </w:rPr>
                    </w:pPr>
                    <w:r>
                      <w:rPr>
                        <w:sz w:val="20"/>
                      </w:rPr>
                      <w:t>SAM, VU, LSMU, GMP tarnyba</w:t>
                    </w:r>
                  </w:p>
                </w:tc>
                <w:tc>
                  <w:tcPr>
                    <w:tcW w:w="829" w:type="dxa"/>
                    <w:gridSpan w:val="3"/>
                    <w:vMerge w:val="restart"/>
                  </w:tcPr>
                  <w:p>
                    <w:pPr>
                      <w:jc w:val="center"/>
                      <w:rPr>
                        <w:sz w:val="20"/>
                      </w:rPr>
                    </w:pPr>
                    <w:r>
                      <w:rPr>
                        <w:sz w:val="20"/>
                      </w:rPr>
                      <w:t>P</w:t>
                    </w:r>
                  </w:p>
                </w:tc>
                <w:tc>
                  <w:tcPr>
                    <w:tcW w:w="1014" w:type="dxa"/>
                    <w:gridSpan w:val="3"/>
                    <w:vMerge w:val="restart"/>
                  </w:tcPr>
                  <w:p>
                    <w:pPr>
                      <w:jc w:val="center"/>
                      <w:rPr>
                        <w:sz w:val="20"/>
                      </w:rPr>
                    </w:pPr>
                    <w:r>
                      <w:rPr>
                        <w:sz w:val="20"/>
                      </w:rPr>
                      <w:t>Taip</w:t>
                    </w:r>
                  </w:p>
                </w:tc>
                <w:tc>
                  <w:tcPr>
                    <w:tcW w:w="681" w:type="dxa"/>
                    <w:gridSpan w:val="3"/>
                    <w:vMerge w:val="restart"/>
                  </w:tcPr>
                  <w:p>
                    <w:pPr>
                      <w:jc w:val="center"/>
                      <w:rPr>
                        <w:sz w:val="20"/>
                      </w:rPr>
                    </w:pPr>
                    <w:r>
                      <w:rPr>
                        <w:sz w:val="20"/>
                      </w:rPr>
                      <w:t>D</w:t>
                    </w:r>
                  </w:p>
                </w:tc>
                <w:tc>
                  <w:tcPr>
                    <w:tcW w:w="1167" w:type="dxa"/>
                    <w:gridSpan w:val="2"/>
                  </w:tcPr>
                  <w:p>
                    <w:pPr>
                      <w:jc w:val="center"/>
                      <w:rPr>
                        <w:sz w:val="20"/>
                      </w:rPr>
                    </w:pPr>
                  </w:p>
                  <w:p>
                    <w:pPr>
                      <w:jc w:val="center"/>
                      <w:rPr>
                        <w:sz w:val="20"/>
                      </w:rPr>
                    </w:pPr>
                  </w:p>
                  <w:p>
                    <w:pPr>
                      <w:jc w:val="center"/>
                      <w:rPr>
                        <w:sz w:val="20"/>
                      </w:rPr>
                    </w:pPr>
                    <w:r>
                      <w:rPr>
                        <w:sz w:val="20"/>
                      </w:rPr>
                      <w:t>3 589,903</w:t>
                    </w:r>
                  </w:p>
                  <w:p>
                    <w:pPr>
                      <w:jc w:val="center"/>
                      <w:rPr>
                        <w:sz w:val="20"/>
                      </w:rPr>
                    </w:pPr>
                  </w:p>
                </w:tc>
                <w:tc>
                  <w:tcPr>
                    <w:tcW w:w="1118" w:type="dxa"/>
                  </w:tcPr>
                  <w:p>
                    <w:pPr>
                      <w:jc w:val="center"/>
                      <w:rPr>
                        <w:sz w:val="20"/>
                      </w:rPr>
                    </w:pPr>
                    <w:r>
                      <w:rPr>
                        <w:sz w:val="20"/>
                      </w:rPr>
                      <w:t>2021–2027 m. IP (ESF+)</w:t>
                    </w:r>
                  </w:p>
                </w:tc>
                <w:tc>
                  <w:tcPr>
                    <w:tcW w:w="2001" w:type="dxa"/>
                    <w:gridSpan w:val="2"/>
                  </w:tcPr>
                  <w:p>
                    <w:pPr>
                      <w:rPr>
                        <w:sz w:val="20"/>
                      </w:rPr>
                    </w:pPr>
                    <w:r>
                      <w:rPr>
                        <w:sz w:val="20"/>
                      </w:rPr>
                      <w:t>P – Specialistai, dalyvavę kvalifikacijos tobulinimo ar perkvalifikavimo veiklose, asmenys</w:t>
                    </w:r>
                  </w:p>
                </w:tc>
                <w:tc>
                  <w:tcPr>
                    <w:tcW w:w="1134" w:type="dxa"/>
                    <w:gridSpan w:val="2"/>
                  </w:tcPr>
                  <w:p>
                    <w:pPr>
                      <w:jc w:val="center"/>
                      <w:rPr>
                        <w:sz w:val="20"/>
                      </w:rPr>
                    </w:pPr>
                    <w:r>
                      <w:rPr>
                        <w:sz w:val="20"/>
                        <w:lang w:val="en-US"/>
                      </w:rPr>
                      <w:t>8 623</w:t>
                    </w:r>
                  </w:p>
                  <w:p>
                    <w:pPr>
                      <w:jc w:val="center"/>
                      <w:rPr>
                        <w:sz w:val="20"/>
                      </w:rPr>
                    </w:pPr>
                    <w:r>
                      <w:rPr>
                        <w:sz w:val="20"/>
                      </w:rPr>
                      <w:t>(2029 m.)</w:t>
                    </w:r>
                  </w:p>
                  <w:p>
                    <w:pPr>
                      <w:jc w:val="center"/>
                      <w:rPr>
                        <w:sz w:val="20"/>
                      </w:rPr>
                    </w:pP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414"/>
                </w:trPr>
                <w:tc>
                  <w:tcPr>
                    <w:tcW w:w="2130" w:type="dxa"/>
                    <w:gridSpan w:val="2"/>
                    <w:vMerge/>
                    <w:vAlign w:val="center"/>
                  </w:tcPr>
                  <w:p>
                    <w:pPr>
                      <w:rPr>
                        <w:sz w:val="20"/>
                      </w:rPr>
                    </w:pPr>
                  </w:p>
                </w:tc>
                <w:tc>
                  <w:tcPr>
                    <w:tcW w:w="699" w:type="dxa"/>
                    <w:vMerge/>
                    <w:vAlign w:val="center"/>
                  </w:tcPr>
                  <w:p>
                    <w:pPr>
                      <w:rPr>
                        <w:sz w:val="20"/>
                      </w:rPr>
                    </w:pPr>
                  </w:p>
                </w:tc>
                <w:tc>
                  <w:tcPr>
                    <w:tcW w:w="1985" w:type="dxa"/>
                    <w:vMerge/>
                    <w:vAlign w:val="center"/>
                  </w:tcPr>
                  <w:p>
                    <w:pPr>
                      <w:rPr>
                        <w:sz w:val="20"/>
                      </w:rPr>
                    </w:pPr>
                  </w:p>
                </w:tc>
                <w:tc>
                  <w:tcPr>
                    <w:tcW w:w="829" w:type="dxa"/>
                    <w:gridSpan w:val="3"/>
                    <w:vMerge/>
                    <w:vAlign w:val="center"/>
                  </w:tcPr>
                  <w:p>
                    <w:pPr>
                      <w:jc w:val="center"/>
                      <w:rPr>
                        <w:sz w:val="20"/>
                      </w:rPr>
                    </w:pPr>
                  </w:p>
                </w:tc>
                <w:tc>
                  <w:tcPr>
                    <w:tcW w:w="1014" w:type="dxa"/>
                    <w:gridSpan w:val="3"/>
                    <w:vMerge/>
                    <w:vAlign w:val="center"/>
                  </w:tcPr>
                  <w:p>
                    <w:pPr>
                      <w:jc w:val="center"/>
                      <w:rPr>
                        <w:sz w:val="20"/>
                      </w:rPr>
                    </w:pPr>
                  </w:p>
                </w:tc>
                <w:tc>
                  <w:tcPr>
                    <w:tcW w:w="681" w:type="dxa"/>
                    <w:gridSpan w:val="3"/>
                    <w:vMerge/>
                    <w:vAlign w:val="center"/>
                  </w:tcPr>
                  <w:p>
                    <w:pPr>
                      <w:jc w:val="center"/>
                      <w:rPr>
                        <w:sz w:val="20"/>
                      </w:rPr>
                    </w:pPr>
                  </w:p>
                </w:tc>
                <w:tc>
                  <w:tcPr>
                    <w:tcW w:w="1167" w:type="dxa"/>
                    <w:gridSpan w:val="2"/>
                  </w:tcPr>
                  <w:p>
                    <w:pPr>
                      <w:jc w:val="center"/>
                      <w:rPr>
                        <w:sz w:val="20"/>
                      </w:rPr>
                    </w:pPr>
                  </w:p>
                  <w:p>
                    <w:pPr>
                      <w:jc w:val="center"/>
                      <w:rPr>
                        <w:sz w:val="20"/>
                      </w:rPr>
                    </w:pPr>
                  </w:p>
                  <w:p>
                    <w:pPr>
                      <w:jc w:val="center"/>
                      <w:rPr>
                        <w:sz w:val="20"/>
                      </w:rPr>
                    </w:pPr>
                    <w:r>
                      <w:rPr>
                        <w:sz w:val="20"/>
                      </w:rPr>
                      <w:t>633,512</w:t>
                    </w:r>
                  </w:p>
                  <w:p>
                    <w:pPr>
                      <w:jc w:val="center"/>
                      <w:rPr>
                        <w:sz w:val="20"/>
                      </w:rPr>
                    </w:pPr>
                  </w:p>
                </w:tc>
                <w:tc>
                  <w:tcPr>
                    <w:tcW w:w="1118" w:type="dxa"/>
                  </w:tcPr>
                  <w:p>
                    <w:pPr>
                      <w:jc w:val="center"/>
                      <w:rPr>
                        <w:sz w:val="20"/>
                      </w:rPr>
                    </w:pPr>
                    <w:r>
                      <w:rPr>
                        <w:sz w:val="20"/>
                      </w:rPr>
                      <w:t>2021–2027 m. IP (BF)</w:t>
                    </w:r>
                  </w:p>
                  <w:p>
                    <w:pPr>
                      <w:jc w:val="center"/>
                      <w:rPr>
                        <w:sz w:val="20"/>
                      </w:rPr>
                    </w:pPr>
                  </w:p>
                </w:tc>
                <w:tc>
                  <w:tcPr>
                    <w:tcW w:w="2001" w:type="dxa"/>
                    <w:gridSpan w:val="2"/>
                    <w:vAlign w:val="center"/>
                  </w:tcPr>
                  <w:p>
                    <w:pPr>
                      <w:rPr>
                        <w:sz w:val="20"/>
                      </w:rPr>
                    </w:pPr>
                    <w:r>
                      <w:rPr>
                        <w:sz w:val="20"/>
                      </w:rPr>
                      <w:t>R – Specialistų, kurie po dalyvavimo veiklose įgijo ar patobulino kvalifikaciją, dalis proc</w:t>
                    </w:r>
                  </w:p>
                </w:tc>
                <w:tc>
                  <w:tcPr>
                    <w:tcW w:w="1134" w:type="dxa"/>
                    <w:gridSpan w:val="2"/>
                  </w:tcPr>
                  <w:p>
                    <w:pPr>
                      <w:jc w:val="center"/>
                      <w:rPr>
                        <w:sz w:val="20"/>
                      </w:rPr>
                    </w:pPr>
                    <w:r>
                      <w:rPr>
                        <w:sz w:val="20"/>
                      </w:rPr>
                      <w:t>90</w:t>
                    </w:r>
                  </w:p>
                  <w:p>
                    <w:pPr>
                      <w:jc w:val="center"/>
                      <w:rPr>
                        <w:sz w:val="20"/>
                      </w:rPr>
                    </w:pPr>
                    <w:r>
                      <w:rPr>
                        <w:sz w:val="20"/>
                      </w:rPr>
                      <w:t>(2029 m.)</w:t>
                    </w:r>
                  </w:p>
                  <w:p>
                    <w:pPr>
                      <w:jc w:val="center"/>
                      <w:rPr>
                        <w:sz w:val="20"/>
                      </w:rPr>
                    </w:pPr>
                  </w:p>
                </w:tc>
                <w:tc>
                  <w:tcPr>
                    <w:tcW w:w="992" w:type="dxa"/>
                    <w:vMerge/>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130" w:type="dxa"/>
                    <w:gridSpan w:val="2"/>
                    <w:vMerge w:val="restart"/>
                  </w:tcPr>
                  <w:p>
                    <w:pPr>
                      <w:ind w:left="113" w:right="113"/>
                      <w:rPr>
                        <w:sz w:val="20"/>
                      </w:rPr>
                    </w:pPr>
                    <w:r>
                      <w:rPr>
                        <w:iCs/>
                        <w:sz w:val="20"/>
                      </w:rPr>
                      <w:t>11.6. Sveikatos priežiūros srityje dirbančių specialistų kvalifikacijos tobulinimas (specializuota sveikatos priežiūra), Vidurio ir vakarų Lietuvos regionas</w:t>
                    </w:r>
                  </w:p>
                </w:tc>
                <w:tc>
                  <w:tcPr>
                    <w:tcW w:w="699" w:type="dxa"/>
                    <w:vMerge w:val="restart"/>
                  </w:tcPr>
                  <w:p>
                    <w:pPr>
                      <w:jc w:val="center"/>
                      <w:rPr>
                        <w:sz w:val="20"/>
                      </w:rPr>
                    </w:pPr>
                    <w:r>
                      <w:rPr>
                        <w:sz w:val="20"/>
                      </w:rPr>
                      <w:t>I</w:t>
                    </w:r>
                  </w:p>
                </w:tc>
                <w:tc>
                  <w:tcPr>
                    <w:tcW w:w="1985" w:type="dxa"/>
                    <w:vMerge w:val="restart"/>
                  </w:tcPr>
                  <w:p>
                    <w:pPr>
                      <w:ind w:firstLine="124"/>
                      <w:rPr>
                        <w:sz w:val="20"/>
                      </w:rPr>
                    </w:pPr>
                    <w:r>
                      <w:rPr>
                        <w:sz w:val="20"/>
                      </w:rPr>
                      <w:t xml:space="preserve">SAM, VU, </w:t>
                    </w:r>
                  </w:p>
                  <w:p>
                    <w:pPr>
                      <w:ind w:firstLine="124"/>
                      <w:rPr>
                        <w:sz w:val="20"/>
                      </w:rPr>
                    </w:pPr>
                    <w:r>
                      <w:rPr>
                        <w:sz w:val="20"/>
                      </w:rPr>
                      <w:t xml:space="preserve">LSMU, </w:t>
                    </w:r>
                  </w:p>
                  <w:p>
                    <w:pPr>
                      <w:ind w:firstLine="124"/>
                      <w:rPr>
                        <w:sz w:val="20"/>
                      </w:rPr>
                    </w:pPr>
                    <w:r>
                      <w:rPr>
                        <w:sz w:val="20"/>
                      </w:rPr>
                      <w:t xml:space="preserve">GMP </w:t>
                    </w:r>
                  </w:p>
                  <w:p>
                    <w:pPr>
                      <w:ind w:firstLine="124"/>
                      <w:rPr>
                        <w:sz w:val="20"/>
                      </w:rPr>
                    </w:pPr>
                    <w:r>
                      <w:rPr>
                        <w:sz w:val="20"/>
                      </w:rPr>
                      <w:t>tarnyba</w:t>
                    </w:r>
                  </w:p>
                </w:tc>
                <w:tc>
                  <w:tcPr>
                    <w:tcW w:w="829" w:type="dxa"/>
                    <w:gridSpan w:val="3"/>
                    <w:vMerge w:val="restart"/>
                  </w:tcPr>
                  <w:p>
                    <w:pPr>
                      <w:jc w:val="center"/>
                      <w:rPr>
                        <w:sz w:val="20"/>
                      </w:rPr>
                    </w:pPr>
                    <w:r>
                      <w:rPr>
                        <w:sz w:val="20"/>
                      </w:rPr>
                      <w:t>P</w:t>
                    </w:r>
                  </w:p>
                </w:tc>
                <w:tc>
                  <w:tcPr>
                    <w:tcW w:w="1014" w:type="dxa"/>
                    <w:gridSpan w:val="3"/>
                    <w:vMerge w:val="restart"/>
                  </w:tcPr>
                  <w:p>
                    <w:pPr>
                      <w:jc w:val="center"/>
                      <w:rPr>
                        <w:sz w:val="20"/>
                      </w:rPr>
                    </w:pPr>
                    <w:r>
                      <w:rPr>
                        <w:sz w:val="20"/>
                      </w:rPr>
                      <w:t>Taip</w:t>
                    </w:r>
                  </w:p>
                </w:tc>
                <w:tc>
                  <w:tcPr>
                    <w:tcW w:w="681" w:type="dxa"/>
                    <w:gridSpan w:val="3"/>
                    <w:vMerge w:val="restart"/>
                  </w:tcPr>
                  <w:p>
                    <w:pPr>
                      <w:jc w:val="center"/>
                      <w:rPr>
                        <w:sz w:val="20"/>
                      </w:rPr>
                    </w:pPr>
                    <w:r>
                      <w:rPr>
                        <w:sz w:val="20"/>
                      </w:rPr>
                      <w:t>D</w:t>
                    </w:r>
                  </w:p>
                </w:tc>
                <w:tc>
                  <w:tcPr>
                    <w:tcW w:w="1167" w:type="dxa"/>
                    <w:gridSpan w:val="2"/>
                  </w:tcPr>
                  <w:p>
                    <w:pPr>
                      <w:jc w:val="center"/>
                      <w:rPr>
                        <w:sz w:val="20"/>
                      </w:rPr>
                    </w:pPr>
                  </w:p>
                  <w:p>
                    <w:pPr>
                      <w:jc w:val="center"/>
                      <w:rPr>
                        <w:sz w:val="20"/>
                      </w:rPr>
                    </w:pPr>
                  </w:p>
                  <w:p>
                    <w:pPr>
                      <w:jc w:val="center"/>
                      <w:rPr>
                        <w:sz w:val="20"/>
                      </w:rPr>
                    </w:pPr>
                    <w:r>
                      <w:rPr>
                        <w:sz w:val="20"/>
                      </w:rPr>
                      <w:t>4 321,940</w:t>
                    </w:r>
                  </w:p>
                </w:tc>
                <w:tc>
                  <w:tcPr>
                    <w:tcW w:w="1118" w:type="dxa"/>
                  </w:tcPr>
                  <w:p>
                    <w:pPr>
                      <w:jc w:val="center"/>
                      <w:rPr>
                        <w:sz w:val="20"/>
                      </w:rPr>
                    </w:pPr>
                    <w:r>
                      <w:rPr>
                        <w:sz w:val="20"/>
                      </w:rPr>
                      <w:t>2021–2027 m.</w:t>
                    </w:r>
                  </w:p>
                  <w:p>
                    <w:pPr>
                      <w:jc w:val="center"/>
                      <w:rPr>
                        <w:sz w:val="20"/>
                      </w:rPr>
                    </w:pPr>
                    <w:r>
                      <w:rPr>
                        <w:sz w:val="20"/>
                      </w:rPr>
                      <w:t>IP (ESF+)</w:t>
                    </w:r>
                  </w:p>
                </w:tc>
                <w:tc>
                  <w:tcPr>
                    <w:tcW w:w="2001" w:type="dxa"/>
                    <w:gridSpan w:val="2"/>
                  </w:tcPr>
                  <w:p>
                    <w:pPr>
                      <w:rPr>
                        <w:sz w:val="20"/>
                      </w:rPr>
                    </w:pPr>
                    <w:r>
                      <w:rPr>
                        <w:sz w:val="20"/>
                      </w:rPr>
                      <w:t>P – Specialistai, dalyvavę kvalifikacijos tobulinimo ar perkvalifikavimo veiklose, asmenys</w:t>
                    </w:r>
                  </w:p>
                </w:tc>
                <w:tc>
                  <w:tcPr>
                    <w:tcW w:w="1134" w:type="dxa"/>
                    <w:gridSpan w:val="2"/>
                  </w:tcPr>
                  <w:p>
                    <w:pPr>
                      <w:ind w:firstLine="62"/>
                      <w:jc w:val="center"/>
                      <w:rPr>
                        <w:sz w:val="20"/>
                      </w:rPr>
                    </w:pPr>
                  </w:p>
                  <w:p>
                    <w:pPr>
                      <w:jc w:val="center"/>
                      <w:rPr>
                        <w:sz w:val="20"/>
                      </w:rPr>
                    </w:pPr>
                    <w:r>
                      <w:rPr>
                        <w:sz w:val="20"/>
                      </w:rPr>
                      <w:t>10 307</w:t>
                    </w:r>
                  </w:p>
                  <w:p>
                    <w:pPr>
                      <w:jc w:val="center"/>
                      <w:rPr>
                        <w:sz w:val="20"/>
                      </w:rPr>
                    </w:pPr>
                    <w:r>
                      <w:rPr>
                        <w:sz w:val="20"/>
                      </w:rPr>
                      <w:t>(2029 m.)</w:t>
                    </w:r>
                  </w:p>
                  <w:p>
                    <w:pPr>
                      <w:jc w:val="center"/>
                      <w:rPr>
                        <w:sz w:val="20"/>
                      </w:rPr>
                    </w:pP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414"/>
                </w:trPr>
                <w:tc>
                  <w:tcPr>
                    <w:tcW w:w="2130" w:type="dxa"/>
                    <w:gridSpan w:val="2"/>
                    <w:vMerge/>
                    <w:vAlign w:val="center"/>
                  </w:tcPr>
                  <w:p>
                    <w:pPr>
                      <w:rPr>
                        <w:szCs w:val="24"/>
                      </w:rPr>
                    </w:pPr>
                  </w:p>
                </w:tc>
                <w:tc>
                  <w:tcPr>
                    <w:tcW w:w="699" w:type="dxa"/>
                    <w:vMerge/>
                    <w:vAlign w:val="center"/>
                  </w:tcPr>
                  <w:p>
                    <w:pPr>
                      <w:rPr>
                        <w:szCs w:val="24"/>
                      </w:rPr>
                    </w:pPr>
                  </w:p>
                </w:tc>
                <w:tc>
                  <w:tcPr>
                    <w:tcW w:w="1985" w:type="dxa"/>
                    <w:vMerge/>
                    <w:vAlign w:val="center"/>
                  </w:tcPr>
                  <w:p>
                    <w:pPr>
                      <w:rPr>
                        <w:szCs w:val="24"/>
                      </w:rPr>
                    </w:pPr>
                  </w:p>
                </w:tc>
                <w:tc>
                  <w:tcPr>
                    <w:tcW w:w="829" w:type="dxa"/>
                    <w:gridSpan w:val="3"/>
                    <w:vMerge/>
                    <w:vAlign w:val="center"/>
                  </w:tcPr>
                  <w:p>
                    <w:pPr>
                      <w:rPr>
                        <w:szCs w:val="24"/>
                      </w:rPr>
                    </w:pPr>
                  </w:p>
                </w:tc>
                <w:tc>
                  <w:tcPr>
                    <w:tcW w:w="1014" w:type="dxa"/>
                    <w:gridSpan w:val="3"/>
                    <w:vMerge/>
                    <w:vAlign w:val="center"/>
                  </w:tcPr>
                  <w:p>
                    <w:pPr>
                      <w:rPr>
                        <w:szCs w:val="24"/>
                      </w:rPr>
                    </w:pPr>
                  </w:p>
                </w:tc>
                <w:tc>
                  <w:tcPr>
                    <w:tcW w:w="681" w:type="dxa"/>
                    <w:gridSpan w:val="3"/>
                    <w:vMerge/>
                    <w:vAlign w:val="center"/>
                  </w:tcPr>
                  <w:p>
                    <w:pPr>
                      <w:rPr>
                        <w:szCs w:val="24"/>
                      </w:rPr>
                    </w:pPr>
                  </w:p>
                </w:tc>
                <w:tc>
                  <w:tcPr>
                    <w:tcW w:w="1167" w:type="dxa"/>
                    <w:gridSpan w:val="2"/>
                  </w:tcPr>
                  <w:p>
                    <w:pPr>
                      <w:jc w:val="center"/>
                      <w:rPr>
                        <w:sz w:val="20"/>
                      </w:rPr>
                    </w:pPr>
                  </w:p>
                  <w:p>
                    <w:pPr>
                      <w:jc w:val="center"/>
                      <w:rPr>
                        <w:sz w:val="20"/>
                      </w:rPr>
                    </w:pPr>
                  </w:p>
                  <w:p>
                    <w:pPr>
                      <w:jc w:val="center"/>
                      <w:rPr>
                        <w:sz w:val="20"/>
                      </w:rPr>
                    </w:pPr>
                    <w:r>
                      <w:rPr>
                        <w:sz w:val="20"/>
                      </w:rPr>
                      <w:t>762,695</w:t>
                    </w:r>
                  </w:p>
                </w:tc>
                <w:tc>
                  <w:tcPr>
                    <w:tcW w:w="1118" w:type="dxa"/>
                  </w:tcPr>
                  <w:p>
                    <w:pPr>
                      <w:jc w:val="center"/>
                      <w:rPr>
                        <w:sz w:val="20"/>
                      </w:rPr>
                    </w:pPr>
                    <w:r>
                      <w:rPr>
                        <w:sz w:val="20"/>
                      </w:rPr>
                      <w:t>2021–2027 m.</w:t>
                    </w:r>
                  </w:p>
                  <w:p>
                    <w:pPr>
                      <w:jc w:val="center"/>
                      <w:rPr>
                        <w:sz w:val="20"/>
                      </w:rPr>
                    </w:pPr>
                    <w:r>
                      <w:rPr>
                        <w:sz w:val="20"/>
                      </w:rPr>
                      <w:t>IP (BF)</w:t>
                    </w:r>
                  </w:p>
                  <w:p>
                    <w:pPr>
                      <w:jc w:val="center"/>
                      <w:rPr>
                        <w:sz w:val="20"/>
                      </w:rPr>
                    </w:pPr>
                  </w:p>
                </w:tc>
                <w:tc>
                  <w:tcPr>
                    <w:tcW w:w="2001" w:type="dxa"/>
                    <w:gridSpan w:val="2"/>
                  </w:tcPr>
                  <w:p>
                    <w:pPr>
                      <w:rPr>
                        <w:sz w:val="20"/>
                      </w:rPr>
                    </w:pPr>
                    <w:r>
                      <w:rPr>
                        <w:sz w:val="20"/>
                      </w:rPr>
                      <w:t>R – Specialistų, kurie po dalyvavimo veiklose įgijo ar patobulino kvalifikaciją, dalis proc.</w:t>
                    </w:r>
                  </w:p>
                </w:tc>
                <w:tc>
                  <w:tcPr>
                    <w:tcW w:w="1134" w:type="dxa"/>
                    <w:gridSpan w:val="2"/>
                  </w:tcPr>
                  <w:p>
                    <w:pPr>
                      <w:jc w:val="center"/>
                      <w:rPr>
                        <w:sz w:val="20"/>
                      </w:rPr>
                    </w:pPr>
                    <w:r>
                      <w:rPr>
                        <w:sz w:val="20"/>
                      </w:rPr>
                      <w:t>90</w:t>
                    </w:r>
                  </w:p>
                  <w:p>
                    <w:pPr>
                      <w:jc w:val="center"/>
                      <w:rPr>
                        <w:sz w:val="20"/>
                      </w:rPr>
                    </w:pPr>
                    <w:r>
                      <w:rPr>
                        <w:sz w:val="20"/>
                      </w:rPr>
                      <w:t>(2029 m.)</w:t>
                    </w:r>
                  </w:p>
                  <w:p>
                    <w:pPr>
                      <w:jc w:val="center"/>
                      <w:rPr>
                        <w:sz w:val="20"/>
                      </w:rPr>
                    </w:pPr>
                  </w:p>
                </w:tc>
                <w:tc>
                  <w:tcPr>
                    <w:tcW w:w="992" w:type="dxa"/>
                    <w:vMerge/>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130" w:type="dxa"/>
                    <w:gridSpan w:val="2"/>
                    <w:vMerge w:val="restart"/>
                    <w:shd w:val="clear" w:color="auto" w:fill="F2F2F2" w:themeFill="background1" w:themeFillShade="F2"/>
                  </w:tcPr>
                  <w:p>
                    <w:pPr>
                      <w:rPr>
                        <w:b/>
                        <w:bCs/>
                        <w:sz w:val="20"/>
                      </w:rPr>
                    </w:pPr>
                    <w:r>
                      <w:rPr>
                        <w:b/>
                        <w:bCs/>
                        <w:sz w:val="20"/>
                      </w:rPr>
                      <w:t>12. ASPĮ tinklo optimizavimo reformos valdymas ir komunikacija</w:t>
                    </w:r>
                  </w:p>
                </w:tc>
                <w:tc>
                  <w:tcPr>
                    <w:tcW w:w="699" w:type="dxa"/>
                    <w:vMerge w:val="restart"/>
                    <w:shd w:val="clear" w:color="auto" w:fill="F2F2F2" w:themeFill="background1" w:themeFillShade="F2"/>
                  </w:tcPr>
                  <w:p>
                    <w:pPr>
                      <w:rPr>
                        <w:sz w:val="20"/>
                      </w:rPr>
                    </w:pPr>
                    <w:r>
                      <w:rPr>
                        <w:sz w:val="20"/>
                      </w:rPr>
                      <w:t>M</w:t>
                    </w:r>
                  </w:p>
                </w:tc>
                <w:tc>
                  <w:tcPr>
                    <w:tcW w:w="1985" w:type="dxa"/>
                    <w:vMerge w:val="restart"/>
                    <w:shd w:val="clear" w:color="auto" w:fill="F2F2F2" w:themeFill="background1" w:themeFillShade="F2"/>
                  </w:tcPr>
                  <w:p>
                    <w:pPr>
                      <w:rPr>
                        <w:sz w:val="20"/>
                      </w:rPr>
                    </w:pPr>
                    <w:r>
                      <w:rPr>
                        <w:sz w:val="20"/>
                      </w:rPr>
                      <w:t>SAM</w:t>
                    </w:r>
                  </w:p>
                </w:tc>
                <w:tc>
                  <w:tcPr>
                    <w:tcW w:w="829" w:type="dxa"/>
                    <w:gridSpan w:val="3"/>
                    <w:vMerge w:val="restart"/>
                    <w:shd w:val="clear" w:color="auto" w:fill="F2F2F2" w:themeFill="background1" w:themeFillShade="F2"/>
                  </w:tcPr>
                  <w:p>
                    <w:pPr>
                      <w:rPr>
                        <w:sz w:val="20"/>
                      </w:rPr>
                    </w:pPr>
                    <w:r>
                      <w:rPr>
                        <w:sz w:val="20"/>
                      </w:rPr>
                      <w:t>P</w:t>
                    </w:r>
                  </w:p>
                </w:tc>
                <w:tc>
                  <w:tcPr>
                    <w:tcW w:w="1014" w:type="dxa"/>
                    <w:gridSpan w:val="3"/>
                    <w:vMerge w:val="restart"/>
                    <w:shd w:val="clear" w:color="auto" w:fill="F2F2F2" w:themeFill="background1" w:themeFillShade="F2"/>
                  </w:tcPr>
                  <w:p>
                    <w:pPr>
                      <w:rPr>
                        <w:sz w:val="20"/>
                      </w:rPr>
                    </w:pPr>
                    <w:r>
                      <w:rPr>
                        <w:sz w:val="20"/>
                      </w:rPr>
                      <w:t>Taip</w:t>
                    </w:r>
                  </w:p>
                </w:tc>
                <w:tc>
                  <w:tcPr>
                    <w:tcW w:w="681" w:type="dxa"/>
                    <w:gridSpan w:val="3"/>
                    <w:vMerge w:val="restart"/>
                    <w:shd w:val="clear" w:color="auto" w:fill="F2F2F2" w:themeFill="background1" w:themeFillShade="F2"/>
                  </w:tcPr>
                  <w:p>
                    <w:pPr>
                      <w:rPr>
                        <w:sz w:val="20"/>
                      </w:rPr>
                    </w:pPr>
                    <w:r>
                      <w:rPr>
                        <w:sz w:val="20"/>
                      </w:rPr>
                      <w:t>D</w:t>
                    </w:r>
                  </w:p>
                </w:tc>
                <w:tc>
                  <w:tcPr>
                    <w:tcW w:w="1167" w:type="dxa"/>
                    <w:gridSpan w:val="2"/>
                    <w:vMerge w:val="restart"/>
                    <w:shd w:val="clear" w:color="auto" w:fill="F2F2F2" w:themeFill="background1" w:themeFillShade="F2"/>
                  </w:tcPr>
                  <w:p>
                    <w:pPr>
                      <w:rPr>
                        <w:b/>
                        <w:bCs/>
                        <w:sz w:val="20"/>
                        <w:lang w:val="en-US"/>
                      </w:rPr>
                    </w:pPr>
                    <w:r>
                      <w:rPr>
                        <w:b/>
                        <w:bCs/>
                        <w:sz w:val="20"/>
                        <w:lang w:val="en-US"/>
                      </w:rPr>
                      <w:t>1750</w:t>
                    </w:r>
                  </w:p>
                </w:tc>
                <w:tc>
                  <w:tcPr>
                    <w:tcW w:w="1118" w:type="dxa"/>
                    <w:vMerge w:val="restart"/>
                    <w:shd w:val="clear" w:color="auto" w:fill="F2F2F2" w:themeFill="background1" w:themeFillShade="F2"/>
                  </w:tcPr>
                  <w:p>
                    <w:pPr>
                      <w:rPr>
                        <w:sz w:val="20"/>
                      </w:rPr>
                    </w:pPr>
                    <w:r>
                      <w:rPr>
                        <w:sz w:val="20"/>
                      </w:rPr>
                      <w:t>VB</w:t>
                    </w:r>
                  </w:p>
                </w:tc>
                <w:tc>
                  <w:tcPr>
                    <w:tcW w:w="2001" w:type="dxa"/>
                    <w:gridSpan w:val="2"/>
                    <w:shd w:val="clear" w:color="auto" w:fill="F2F2F2" w:themeFill="background1" w:themeFillShade="F2"/>
                  </w:tcPr>
                  <w:p>
                    <w:pPr>
                      <w:ind w:left="-57" w:right="-57"/>
                      <w:rPr>
                        <w:sz w:val="20"/>
                      </w:rPr>
                    </w:pPr>
                    <w:r>
                      <w:rPr>
                        <w:sz w:val="20"/>
                      </w:rPr>
                      <w:t xml:space="preserve">P </w:t>
                    </w:r>
                    <w:r>
                      <w:rPr>
                        <w:color w:val="000000"/>
                        <w:szCs w:val="24"/>
                      </w:rPr>
                      <w:t xml:space="preserve">– </w:t>
                    </w:r>
                    <w:r>
                      <w:rPr>
                        <w:sz w:val="20"/>
                      </w:rPr>
                      <w:t>Parengta reformos komunikacijos strategija, vnt.</w:t>
                    </w:r>
                  </w:p>
                </w:tc>
                <w:tc>
                  <w:tcPr>
                    <w:tcW w:w="1134" w:type="dxa"/>
                    <w:gridSpan w:val="2"/>
                    <w:shd w:val="clear" w:color="auto" w:fill="F2F2F2" w:themeFill="background1" w:themeFillShade="F2"/>
                  </w:tcPr>
                  <w:p>
                    <w:pPr>
                      <w:ind w:left="-57" w:right="-57"/>
                      <w:jc w:val="center"/>
                      <w:rPr>
                        <w:sz w:val="20"/>
                      </w:rPr>
                    </w:pPr>
                    <w:r>
                      <w:rPr>
                        <w:sz w:val="20"/>
                      </w:rPr>
                      <w:t>1</w:t>
                    </w:r>
                  </w:p>
                  <w:p>
                    <w:pPr>
                      <w:ind w:left="-57" w:right="-57"/>
                      <w:jc w:val="center"/>
                      <w:rPr>
                        <w:sz w:val="20"/>
                      </w:rPr>
                    </w:pPr>
                    <w:r>
                      <w:rPr>
                        <w:sz w:val="20"/>
                      </w:rPr>
                      <w:t>(2023 m.)</w:t>
                    </w:r>
                  </w:p>
                </w:tc>
                <w:tc>
                  <w:tcPr>
                    <w:tcW w:w="992" w:type="dxa"/>
                    <w:shd w:val="clear" w:color="auto" w:fill="F2F2F2" w:themeFill="background1" w:themeFillShade="F2"/>
                  </w:tcPr>
                  <w:p>
                    <w:pPr>
                      <w:rPr>
                        <w:sz w:val="20"/>
                      </w:rPr>
                    </w:pPr>
                    <w:r>
                      <w:rPr>
                        <w:sz w:val="20"/>
                      </w:rPr>
                      <w:t>SAM</w:t>
                    </w:r>
                  </w:p>
                </w:tc>
                <w:tc>
                  <w:tcPr>
                    <w:tcW w:w="1279"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w:t>
                    </w: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vMerge/>
                    <w:shd w:val="clear" w:color="auto" w:fill="F2F2F2" w:themeFill="background1" w:themeFillShade="F2"/>
                  </w:tcPr>
                  <w:p>
                    <w:pPr>
                      <w:rPr>
                        <w:b/>
                        <w:bCs/>
                        <w:sz w:val="20"/>
                        <w:lang w:val="en-US"/>
                      </w:rPr>
                    </w:pPr>
                  </w:p>
                </w:tc>
                <w:tc>
                  <w:tcPr>
                    <w:tcW w:w="1118" w:type="dxa"/>
                    <w:vMerge/>
                    <w:shd w:val="clear" w:color="auto" w:fill="F2F2F2" w:themeFill="background1" w:themeFillShade="F2"/>
                  </w:tcPr>
                  <w:p>
                    <w:pPr>
                      <w:rPr>
                        <w:sz w:val="20"/>
                      </w:rPr>
                    </w:pPr>
                  </w:p>
                </w:tc>
                <w:tc>
                  <w:tcPr>
                    <w:tcW w:w="2001" w:type="dxa"/>
                    <w:gridSpan w:val="2"/>
                    <w:shd w:val="clear" w:color="auto" w:fill="F2F2F2" w:themeFill="background1" w:themeFillShade="F2"/>
                  </w:tcPr>
                  <w:p>
                    <w:pPr>
                      <w:ind w:left="-57" w:right="-57"/>
                      <w:rPr>
                        <w:sz w:val="20"/>
                      </w:rPr>
                    </w:pPr>
                    <w:r>
                      <w:rPr>
                        <w:sz w:val="20"/>
                        <w:lang w:eastAsia="lt-LT"/>
                      </w:rPr>
                      <w:t xml:space="preserve">P </w:t>
                    </w:r>
                    <w:r>
                      <w:rPr>
                        <w:sz w:val="20"/>
                      </w:rPr>
                      <w:t>–</w:t>
                    </w:r>
                    <w:r>
                      <w:rPr>
                        <w:sz w:val="20"/>
                        <w:lang w:eastAsia="lt-LT"/>
                      </w:rPr>
                      <w:t xml:space="preserve"> Sveikatos įstaigų ir agentūrų viešųjų pirkimų centralizavimo plano priėmimas</w:t>
                    </w:r>
                  </w:p>
                </w:tc>
                <w:tc>
                  <w:tcPr>
                    <w:tcW w:w="1134" w:type="dxa"/>
                    <w:gridSpan w:val="2"/>
                    <w:shd w:val="clear" w:color="auto" w:fill="F2F2F2" w:themeFill="background1" w:themeFillShade="F2"/>
                  </w:tcPr>
                  <w:p>
                    <w:pPr>
                      <w:jc w:val="center"/>
                      <w:rPr>
                        <w:sz w:val="20"/>
                      </w:rPr>
                    </w:pPr>
                    <w:r>
                      <w:rPr>
                        <w:sz w:val="20"/>
                      </w:rPr>
                      <w:t>1</w:t>
                    </w:r>
                  </w:p>
                  <w:p>
                    <w:pPr>
                      <w:ind w:left="-57" w:right="-57"/>
                      <w:jc w:val="center"/>
                      <w:rPr>
                        <w:sz w:val="20"/>
                      </w:rPr>
                    </w:pPr>
                    <w:r>
                      <w:rPr>
                        <w:sz w:val="20"/>
                      </w:rPr>
                      <w:t>(202</w:t>
                    </w:r>
                    <w:r>
                      <w:rPr>
                        <w:sz w:val="20"/>
                        <w:lang w:val="en-US"/>
                      </w:rPr>
                      <w:t>3</w:t>
                    </w:r>
                    <w:r>
                      <w:rPr>
                        <w:sz w:val="20"/>
                      </w:rPr>
                      <w:t xml:space="preserve"> m. II ketv.)</w:t>
                    </w:r>
                  </w:p>
                </w:tc>
                <w:tc>
                  <w:tcPr>
                    <w:tcW w:w="992" w:type="dxa"/>
                    <w:shd w:val="clear" w:color="auto" w:fill="F2F2F2" w:themeFill="background1" w:themeFillShade="F2"/>
                  </w:tcPr>
                  <w:p>
                    <w:pPr>
                      <w:rPr>
                        <w:sz w:val="20"/>
                      </w:rPr>
                    </w:pPr>
                  </w:p>
                </w:tc>
                <w:tc>
                  <w:tcPr>
                    <w:tcW w:w="1279"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SAM</w:t>
                    </w:r>
                  </w:p>
                </w:tc>
              </w:tr>
              <w:tr>
                <w:trPr>
                  <w:trHeight w:val="697"/>
                </w:trPr>
                <w:tc>
                  <w:tcPr>
                    <w:tcW w:w="2130" w:type="dxa"/>
                    <w:gridSpan w:val="2"/>
                    <w:vMerge w:val="restart"/>
                  </w:tcPr>
                  <w:p>
                    <w:pPr>
                      <w:rPr>
                        <w:sz w:val="20"/>
                      </w:rPr>
                    </w:pPr>
                    <w:r>
                      <w:rPr>
                        <w:b/>
                        <w:bCs/>
                        <w:sz w:val="20"/>
                      </w:rPr>
                      <w:t>13. Programos „Motinos ir vaiko sveikata bei gerovė“ įgyvendinimas</w:t>
                    </w:r>
                  </w:p>
                </w:tc>
                <w:tc>
                  <w:tcPr>
                    <w:tcW w:w="699" w:type="dxa"/>
                    <w:vMerge w:val="restart"/>
                  </w:tcPr>
                  <w:p>
                    <w:pPr>
                      <w:rPr>
                        <w:sz w:val="20"/>
                      </w:rPr>
                    </w:pPr>
                    <w:r>
                      <w:rPr>
                        <w:sz w:val="20"/>
                      </w:rPr>
                      <w:t>I</w:t>
                    </w:r>
                  </w:p>
                </w:tc>
                <w:tc>
                  <w:tcPr>
                    <w:tcW w:w="1985" w:type="dxa"/>
                    <w:vMerge w:val="restart"/>
                  </w:tcPr>
                  <w:p>
                    <w:pPr>
                      <w:rPr>
                        <w:sz w:val="20"/>
                      </w:rPr>
                    </w:pPr>
                    <w:r>
                      <w:rPr>
                        <w:sz w:val="20"/>
                      </w:rPr>
                      <w:t>Lietuvos sveikatos mokslų universiteto ligoninė Kauno klinikos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Ne</w:t>
                    </w:r>
                  </w:p>
                </w:tc>
                <w:tc>
                  <w:tcPr>
                    <w:tcW w:w="681" w:type="dxa"/>
                    <w:gridSpan w:val="3"/>
                    <w:vMerge w:val="restart"/>
                  </w:tcPr>
                  <w:p>
                    <w:pPr>
                      <w:jc w:val="center"/>
                      <w:rPr>
                        <w:sz w:val="20"/>
                      </w:rPr>
                    </w:pPr>
                    <w:r>
                      <w:rPr>
                        <w:sz w:val="20"/>
                      </w:rPr>
                      <w:t>D</w:t>
                    </w:r>
                  </w:p>
                </w:tc>
                <w:tc>
                  <w:tcPr>
                    <w:tcW w:w="1167" w:type="dxa"/>
                    <w:gridSpan w:val="2"/>
                    <w:tcBorders>
                      <w:bottom w:val="single" w:sz="4" w:space="0" w:color="auto"/>
                    </w:tcBorders>
                  </w:tcPr>
                  <w:p>
                    <w:pPr>
                      <w:rPr>
                        <w:b/>
                        <w:bCs/>
                        <w:sz w:val="20"/>
                      </w:rPr>
                    </w:pPr>
                    <w:r>
                      <w:rPr>
                        <w:b/>
                        <w:bCs/>
                        <w:sz w:val="20"/>
                      </w:rPr>
                      <w:t>34 219,646</w:t>
                    </w:r>
                  </w:p>
                </w:tc>
                <w:tc>
                  <w:tcPr>
                    <w:tcW w:w="1118" w:type="dxa"/>
                    <w:tcBorders>
                      <w:bottom w:val="single" w:sz="4" w:space="0" w:color="auto"/>
                    </w:tcBorders>
                  </w:tcPr>
                  <w:p>
                    <w:pPr>
                      <w:rPr>
                        <w:sz w:val="20"/>
                      </w:rPr>
                    </w:pPr>
                    <w:r>
                      <w:rPr>
                        <w:sz w:val="20"/>
                      </w:rPr>
                      <w:t>-</w:t>
                    </w:r>
                  </w:p>
                </w:tc>
                <w:tc>
                  <w:tcPr>
                    <w:tcW w:w="2001" w:type="dxa"/>
                    <w:gridSpan w:val="2"/>
                  </w:tcPr>
                  <w:p>
                    <w:pPr>
                      <w:ind w:left="-57" w:right="-57"/>
                      <w:rPr>
                        <w:sz w:val="20"/>
                      </w:rPr>
                    </w:pPr>
                    <w:r>
                      <w:rPr>
                        <w:sz w:val="20"/>
                      </w:rPr>
                      <w:t xml:space="preserve">R </w:t>
                    </w:r>
                    <w:r>
                      <w:rPr>
                        <w:bCs/>
                        <w:sz w:val="20"/>
                      </w:rPr>
                      <w:t>–</w:t>
                    </w:r>
                    <w:r>
                      <w:rPr>
                        <w:sz w:val="20"/>
                      </w:rPr>
                      <w:t xml:space="preserve"> Specialistų, kurie po dalyvavimo veiklose įgijo ar patobulino kvalifikaciją, dalis, proc.</w:t>
                    </w:r>
                  </w:p>
                  <w:p>
                    <w:pPr>
                      <w:ind w:left="-57" w:right="-57"/>
                      <w:rPr>
                        <w:sz w:val="20"/>
                      </w:rPr>
                    </w:pPr>
                  </w:p>
                </w:tc>
                <w:tc>
                  <w:tcPr>
                    <w:tcW w:w="1134" w:type="dxa"/>
                    <w:gridSpan w:val="2"/>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tcBorders>
                      <w:bottom w:val="single" w:sz="4" w:space="0" w:color="auto"/>
                    </w:tcBorders>
                  </w:tcPr>
                  <w:p>
                    <w:pPr>
                      <w:ind w:left="-57" w:right="-57"/>
                      <w:jc w:val="center"/>
                      <w:rPr>
                        <w:sz w:val="20"/>
                      </w:rPr>
                    </w:pPr>
                    <w:r>
                      <w:rPr>
                        <w:sz w:val="20"/>
                      </w:rPr>
                      <w:t>CPVA</w:t>
                    </w:r>
                  </w:p>
                  <w:p>
                    <w:pPr>
                      <w:ind w:left="-57" w:right="-57"/>
                      <w:jc w:val="center"/>
                      <w:rPr>
                        <w:sz w:val="20"/>
                      </w:rPr>
                    </w:pPr>
                  </w:p>
                </w:tc>
                <w:tc>
                  <w:tcPr>
                    <w:tcW w:w="1279" w:type="dxa"/>
                    <w:tcBorders>
                      <w:bottom w:val="single" w:sz="4" w:space="0" w:color="auto"/>
                    </w:tcBorders>
                  </w:tcPr>
                  <w:p>
                    <w:pPr>
                      <w:rPr>
                        <w:color w:val="000000"/>
                        <w:sz w:val="20"/>
                      </w:rPr>
                    </w:pPr>
                    <w:r>
                      <w:rPr>
                        <w:color w:val="000000"/>
                        <w:sz w:val="20"/>
                      </w:rPr>
                      <w:t>SAM</w:t>
                    </w:r>
                  </w:p>
                  <w:p>
                    <w:pPr>
                      <w:rPr>
                        <w:color w:val="000000"/>
                        <w:sz w:val="20"/>
                      </w:rPr>
                    </w:pPr>
                  </w:p>
                  <w:p>
                    <w:pPr>
                      <w:ind w:right="-57"/>
                      <w:rPr>
                        <w:sz w:val="20"/>
                      </w:rPr>
                    </w:pPr>
                  </w:p>
                </w:tc>
              </w:tr>
              <w:tr>
                <w:trPr>
                  <w:trHeight w:val="551"/>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jc w:val="center"/>
                      <w:rPr>
                        <w:sz w:val="20"/>
                      </w:rPr>
                    </w:pPr>
                  </w:p>
                </w:tc>
                <w:tc>
                  <w:tcPr>
                    <w:tcW w:w="1167" w:type="dxa"/>
                    <w:gridSpan w:val="2"/>
                  </w:tcPr>
                  <w:p>
                    <w:pPr>
                      <w:rPr>
                        <w:sz w:val="20"/>
                      </w:rPr>
                    </w:pPr>
                    <w:r>
                      <w:rPr>
                        <w:sz w:val="20"/>
                      </w:rPr>
                      <w:t>29 086,699</w:t>
                    </w:r>
                  </w:p>
                </w:tc>
                <w:tc>
                  <w:tcPr>
                    <w:tcW w:w="1118" w:type="dxa"/>
                  </w:tcPr>
                  <w:p>
                    <w:pPr>
                      <w:rPr>
                        <w:sz w:val="20"/>
                      </w:rPr>
                    </w:pPr>
                    <w:r>
                      <w:rPr>
                        <w:sz w:val="20"/>
                      </w:rPr>
                      <w:t>AŠĮFP</w:t>
                    </w:r>
                  </w:p>
                </w:tc>
                <w:tc>
                  <w:tcPr>
                    <w:tcW w:w="2001" w:type="dxa"/>
                    <w:gridSpan w:val="2"/>
                  </w:tcPr>
                  <w:p>
                    <w:pPr>
                      <w:ind w:left="-57" w:right="-57"/>
                      <w:rPr>
                        <w:sz w:val="20"/>
                      </w:rPr>
                    </w:pPr>
                    <w:r>
                      <w:rPr>
                        <w:sz w:val="20"/>
                      </w:rPr>
                      <w:t xml:space="preserve">R </w:t>
                    </w:r>
                    <w:r>
                      <w:rPr>
                        <w:bCs/>
                        <w:sz w:val="20"/>
                      </w:rPr>
                      <w:t>–</w:t>
                    </w:r>
                    <w:r>
                      <w:rPr>
                        <w:sz w:val="20"/>
                      </w:rPr>
                      <w:t xml:space="preserve"> Asmenys, gavę pagerintas akušerijos bei vaikų sveikatos priežiūros paslaugas, asmenys</w:t>
                    </w:r>
                  </w:p>
                </w:tc>
                <w:tc>
                  <w:tcPr>
                    <w:tcW w:w="1134" w:type="dxa"/>
                    <w:gridSpan w:val="2"/>
                  </w:tcPr>
                  <w:p>
                    <w:pPr>
                      <w:jc w:val="center"/>
                      <w:rPr>
                        <w:sz w:val="20"/>
                      </w:rPr>
                    </w:pPr>
                    <w:r>
                      <w:rPr>
                        <w:sz w:val="20"/>
                      </w:rPr>
                      <w:t>257 220 (2029 m.)</w:t>
                    </w:r>
                  </w:p>
                </w:tc>
                <w:tc>
                  <w:tcPr>
                    <w:tcW w:w="992" w:type="dxa"/>
                  </w:tcPr>
                  <w:p>
                    <w:pPr>
                      <w:jc w:val="center"/>
                      <w:rPr>
                        <w:sz w:val="20"/>
                      </w:rPr>
                    </w:pPr>
                    <w:r>
                      <w:rPr>
                        <w:sz w:val="20"/>
                      </w:rPr>
                      <w:t>CPVA</w:t>
                    </w:r>
                  </w:p>
                </w:tc>
                <w:tc>
                  <w:tcPr>
                    <w:tcW w:w="1279" w:type="dxa"/>
                  </w:tcPr>
                  <w:p>
                    <w:pPr>
                      <w:jc w:val="center"/>
                      <w:rPr>
                        <w:sz w:val="20"/>
                      </w:rPr>
                    </w:pPr>
                    <w:r>
                      <w:rPr>
                        <w:sz w:val="20"/>
                      </w:rPr>
                      <w:t>SAM</w:t>
                    </w:r>
                  </w:p>
                </w:tc>
              </w:tr>
              <w:tr>
                <w:trPr>
                  <w:trHeight w:val="558"/>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jc w:val="center"/>
                      <w:rPr>
                        <w:sz w:val="20"/>
                      </w:rPr>
                    </w:pPr>
                  </w:p>
                </w:tc>
                <w:tc>
                  <w:tcPr>
                    <w:tcW w:w="1167" w:type="dxa"/>
                    <w:gridSpan w:val="2"/>
                    <w:vMerge w:val="restart"/>
                  </w:tcPr>
                  <w:p>
                    <w:pPr>
                      <w:rPr>
                        <w:sz w:val="20"/>
                      </w:rPr>
                    </w:pPr>
                    <w:r>
                      <w:rPr>
                        <w:sz w:val="20"/>
                      </w:rPr>
                      <w:t>5 132,947</w:t>
                    </w:r>
                  </w:p>
                </w:tc>
                <w:tc>
                  <w:tcPr>
                    <w:tcW w:w="1118" w:type="dxa"/>
                    <w:vMerge w:val="restart"/>
                  </w:tcPr>
                  <w:p>
                    <w:pPr>
                      <w:rPr>
                        <w:sz w:val="20"/>
                      </w:rPr>
                    </w:pPr>
                    <w:r>
                      <w:rPr>
                        <w:sz w:val="20"/>
                      </w:rPr>
                      <w:t>AŠĮFP</w:t>
                    </w:r>
                  </w:p>
                  <w:p>
                    <w:pPr>
                      <w:rPr>
                        <w:sz w:val="20"/>
                      </w:rPr>
                    </w:pPr>
                    <w:r>
                      <w:rPr>
                        <w:sz w:val="20"/>
                      </w:rPr>
                      <w:t>(BF)</w:t>
                    </w:r>
                  </w:p>
                </w:tc>
                <w:tc>
                  <w:tcPr>
                    <w:tcW w:w="2001" w:type="dxa"/>
                    <w:gridSpan w:val="2"/>
                  </w:tcPr>
                  <w:p>
                    <w:pPr>
                      <w:ind w:left="-57" w:right="-57" w:firstLine="53"/>
                      <w:rPr>
                        <w:sz w:val="20"/>
                      </w:rPr>
                    </w:pPr>
                    <w:r>
                      <w:rPr>
                        <w:sz w:val="20"/>
                      </w:rPr>
                      <w:t xml:space="preserve">R </w:t>
                    </w:r>
                    <w:r>
                      <w:rPr>
                        <w:bCs/>
                        <w:sz w:val="20"/>
                      </w:rPr>
                      <w:t>–</w:t>
                    </w:r>
                    <w:r>
                      <w:rPr>
                        <w:sz w:val="20"/>
                      </w:rPr>
                      <w:t xml:space="preserve"> Pasitenkinimas pagerintomis akušerijos ir vaikų sveikatos priežiūros paslaugomis, proc.</w:t>
                    </w:r>
                  </w:p>
                </w:tc>
                <w:tc>
                  <w:tcPr>
                    <w:tcW w:w="1134" w:type="dxa"/>
                    <w:gridSpan w:val="2"/>
                  </w:tcPr>
                  <w:p>
                    <w:pPr>
                      <w:jc w:val="center"/>
                      <w:rPr>
                        <w:sz w:val="20"/>
                      </w:rPr>
                    </w:pPr>
                    <w:r>
                      <w:rPr>
                        <w:sz w:val="20"/>
                      </w:rPr>
                      <w:t>Pacientų:</w:t>
                    </w:r>
                  </w:p>
                  <w:p>
                    <w:pPr>
                      <w:jc w:val="center"/>
                      <w:rPr>
                        <w:sz w:val="20"/>
                      </w:rPr>
                    </w:pPr>
                    <w:r>
                      <w:rPr>
                        <w:sz w:val="20"/>
                      </w:rPr>
                      <w:t>76</w:t>
                    </w:r>
                  </w:p>
                  <w:p>
                    <w:pPr>
                      <w:jc w:val="center"/>
                      <w:rPr>
                        <w:sz w:val="20"/>
                      </w:rPr>
                    </w:pPr>
                    <w:r>
                      <w:rPr>
                        <w:sz w:val="20"/>
                      </w:rPr>
                      <w:t>(2029 m.)</w:t>
                    </w:r>
                  </w:p>
                  <w:p>
                    <w:pPr>
                      <w:jc w:val="center"/>
                      <w:rPr>
                        <w:sz w:val="20"/>
                      </w:rPr>
                    </w:pPr>
                    <w:r>
                      <w:rPr>
                        <w:sz w:val="20"/>
                      </w:rPr>
                      <w:t xml:space="preserve">Specialistų: 84 </w:t>
                    </w:r>
                  </w:p>
                  <w:p>
                    <w:pPr>
                      <w:jc w:val="center"/>
                      <w:rPr>
                        <w:sz w:val="20"/>
                      </w:rPr>
                    </w:pPr>
                    <w:r>
                      <w:rPr>
                        <w:sz w:val="20"/>
                      </w:rPr>
                      <w:t>(2029 m.)</w:t>
                    </w:r>
                  </w:p>
                </w:tc>
                <w:tc>
                  <w:tcPr>
                    <w:tcW w:w="992" w:type="dxa"/>
                  </w:tcPr>
                  <w:p>
                    <w:pPr>
                      <w:jc w:val="center"/>
                      <w:rPr>
                        <w:sz w:val="20"/>
                      </w:rPr>
                    </w:pPr>
                    <w:r>
                      <w:rPr>
                        <w:sz w:val="20"/>
                      </w:rPr>
                      <w:t>CPVA</w:t>
                    </w:r>
                  </w:p>
                </w:tc>
                <w:tc>
                  <w:tcPr>
                    <w:tcW w:w="1279" w:type="dxa"/>
                  </w:tcPr>
                  <w:p>
                    <w:pPr>
                      <w:jc w:val="center"/>
                      <w:rPr>
                        <w:sz w:val="20"/>
                      </w:rPr>
                    </w:pPr>
                    <w:r>
                      <w:rPr>
                        <w:sz w:val="20"/>
                      </w:rPr>
                      <w:t>SAM</w:t>
                    </w:r>
                  </w:p>
                </w:tc>
              </w:tr>
              <w:tr>
                <w:trPr>
                  <w:trHeight w:val="558"/>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jc w:val="cente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rPr>
                        <w:sz w:val="20"/>
                      </w:rPr>
                    </w:pPr>
                    <w:r>
                      <w:rPr>
                        <w:sz w:val="20"/>
                      </w:rPr>
                      <w:t xml:space="preserve">R </w:t>
                    </w:r>
                    <w:r>
                      <w:rPr>
                        <w:bCs/>
                        <w:sz w:val="20"/>
                      </w:rPr>
                      <w:t>–</w:t>
                    </w:r>
                    <w:r>
                      <w:rPr>
                        <w:sz w:val="20"/>
                      </w:rPr>
                      <w:t xml:space="preserve"> Vaikų, kuriems atliktas psichomotorinės raidos vertinimas šeimos gydytojo institucijoje, dalis, proc.</w:t>
                    </w:r>
                  </w:p>
                </w:tc>
                <w:tc>
                  <w:tcPr>
                    <w:tcW w:w="1134" w:type="dxa"/>
                    <w:gridSpan w:val="2"/>
                  </w:tcPr>
                  <w:p>
                    <w:pPr>
                      <w:jc w:val="center"/>
                      <w:rPr>
                        <w:sz w:val="20"/>
                      </w:rPr>
                    </w:pPr>
                    <w:r>
                      <w:rPr>
                        <w:sz w:val="20"/>
                      </w:rPr>
                      <w:t xml:space="preserve">80 </w:t>
                    </w:r>
                  </w:p>
                  <w:p>
                    <w:pPr>
                      <w:jc w:val="center"/>
                      <w:rPr>
                        <w:sz w:val="20"/>
                      </w:rPr>
                    </w:pPr>
                    <w:r>
                      <w:rPr>
                        <w:sz w:val="20"/>
                      </w:rPr>
                      <w:t>(2029 m.)</w:t>
                    </w:r>
                  </w:p>
                </w:tc>
                <w:tc>
                  <w:tcPr>
                    <w:tcW w:w="992" w:type="dxa"/>
                  </w:tcPr>
                  <w:p>
                    <w:pPr>
                      <w:jc w:val="center"/>
                      <w:rPr>
                        <w:sz w:val="20"/>
                      </w:rPr>
                    </w:pPr>
                    <w:r>
                      <w:rPr>
                        <w:sz w:val="20"/>
                      </w:rPr>
                      <w:t>CPVA</w:t>
                    </w:r>
                  </w:p>
                </w:tc>
                <w:tc>
                  <w:tcPr>
                    <w:tcW w:w="1279" w:type="dxa"/>
                  </w:tcPr>
                  <w:p>
                    <w:pPr>
                      <w:jc w:val="center"/>
                      <w:rPr>
                        <w:sz w:val="20"/>
                      </w:rPr>
                    </w:pPr>
                    <w:r>
                      <w:rPr>
                        <w:sz w:val="20"/>
                      </w:rPr>
                      <w:t>SAM</w:t>
                    </w:r>
                  </w:p>
                </w:tc>
              </w:tr>
              <w:tr>
                <w:trPr>
                  <w:trHeight w:val="558"/>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jc w:val="cente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rPr>
                        <w:sz w:val="20"/>
                      </w:rPr>
                    </w:pPr>
                    <w:r>
                      <w:rPr>
                        <w:sz w:val="20"/>
                      </w:rPr>
                      <w:t xml:space="preserve">R </w:t>
                    </w:r>
                    <w:r>
                      <w:rPr>
                        <w:bCs/>
                        <w:sz w:val="20"/>
                      </w:rPr>
                      <w:t>–</w:t>
                    </w:r>
                    <w:r>
                      <w:rPr>
                        <w:sz w:val="20"/>
                      </w:rPr>
                      <w:t>Vaikai (0</w:t>
                    </w:r>
                    <w:r>
                      <w:rPr>
                        <w:bCs/>
                        <w:sz w:val="20"/>
                      </w:rPr>
                      <w:t>–</w:t>
                    </w:r>
                    <w:r>
                      <w:rPr>
                        <w:sz w:val="20"/>
                      </w:rPr>
                      <w:t>10 m.), kuriems nustatyti įvairiapusiai raidos sutrikimai, atvejų skaičius 100 tūkst. vaikų</w:t>
                    </w:r>
                  </w:p>
                </w:tc>
                <w:tc>
                  <w:tcPr>
                    <w:tcW w:w="1134" w:type="dxa"/>
                    <w:gridSpan w:val="2"/>
                  </w:tcPr>
                  <w:p>
                    <w:pPr>
                      <w:jc w:val="center"/>
                      <w:rPr>
                        <w:sz w:val="20"/>
                      </w:rPr>
                    </w:pPr>
                    <w:r>
                      <w:rPr>
                        <w:sz w:val="20"/>
                      </w:rPr>
                      <w:t xml:space="preserve">2 500 </w:t>
                    </w:r>
                  </w:p>
                  <w:p>
                    <w:pPr>
                      <w:jc w:val="center"/>
                      <w:rPr>
                        <w:sz w:val="20"/>
                      </w:rPr>
                    </w:pPr>
                    <w:r>
                      <w:rPr>
                        <w:sz w:val="20"/>
                      </w:rPr>
                      <w:t>(2029 m.)</w:t>
                    </w:r>
                  </w:p>
                </w:tc>
                <w:tc>
                  <w:tcPr>
                    <w:tcW w:w="992" w:type="dxa"/>
                  </w:tcPr>
                  <w:p>
                    <w:pPr>
                      <w:jc w:val="center"/>
                      <w:rPr>
                        <w:sz w:val="20"/>
                      </w:rPr>
                    </w:pPr>
                    <w:r>
                      <w:rPr>
                        <w:sz w:val="20"/>
                      </w:rPr>
                      <w:t>CPVA</w:t>
                    </w:r>
                  </w:p>
                </w:tc>
                <w:tc>
                  <w:tcPr>
                    <w:tcW w:w="1279" w:type="dxa"/>
                  </w:tcPr>
                  <w:p>
                    <w:pPr>
                      <w:jc w:val="center"/>
                      <w:rPr>
                        <w:sz w:val="20"/>
                      </w:rPr>
                    </w:pPr>
                    <w:r>
                      <w:rPr>
                        <w:sz w:val="20"/>
                      </w:rPr>
                      <w:t>SAM</w:t>
                    </w:r>
                  </w:p>
                </w:tc>
              </w:tr>
              <w:tr>
                <w:trPr>
                  <w:trHeight w:val="552"/>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jc w:val="cente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rPr>
                        <w:sz w:val="20"/>
                      </w:rPr>
                    </w:pPr>
                    <w:r>
                      <w:rPr>
                        <w:sz w:val="20"/>
                      </w:rPr>
                      <w:t>P – Sukurti paslaugų teikimo metodikos ir organizacinių procesų aprašai, vnt.</w:t>
                    </w:r>
                  </w:p>
                </w:tc>
                <w:tc>
                  <w:tcPr>
                    <w:tcW w:w="1134" w:type="dxa"/>
                    <w:gridSpan w:val="2"/>
                  </w:tcPr>
                  <w:p>
                    <w:pPr>
                      <w:jc w:val="center"/>
                      <w:rPr>
                        <w:sz w:val="20"/>
                      </w:rPr>
                    </w:pPr>
                    <w:r>
                      <w:rPr>
                        <w:sz w:val="20"/>
                      </w:rPr>
                      <w:t xml:space="preserve">93 </w:t>
                    </w:r>
                  </w:p>
                  <w:p>
                    <w:pPr>
                      <w:jc w:val="center"/>
                      <w:rPr>
                        <w:sz w:val="20"/>
                      </w:rPr>
                    </w:pPr>
                    <w:r>
                      <w:rPr>
                        <w:sz w:val="20"/>
                      </w:rPr>
                      <w:t>(2029 m.)</w:t>
                    </w:r>
                  </w:p>
                </w:tc>
                <w:tc>
                  <w:tcPr>
                    <w:tcW w:w="992" w:type="dxa"/>
                  </w:tcPr>
                  <w:p>
                    <w:pPr>
                      <w:jc w:val="center"/>
                      <w:rPr>
                        <w:sz w:val="20"/>
                      </w:rPr>
                    </w:pPr>
                    <w:r>
                      <w:rPr>
                        <w:sz w:val="20"/>
                      </w:rPr>
                      <w:t>CPVA</w:t>
                    </w:r>
                  </w:p>
                </w:tc>
                <w:tc>
                  <w:tcPr>
                    <w:tcW w:w="1279" w:type="dxa"/>
                  </w:tcPr>
                  <w:p>
                    <w:pPr>
                      <w:rPr>
                        <w:color w:val="000000"/>
                        <w:sz w:val="20"/>
                      </w:rPr>
                    </w:pPr>
                    <w:r>
                      <w:rPr>
                        <w:color w:val="000000"/>
                        <w:sz w:val="20"/>
                      </w:rPr>
                      <w:t>SAM</w:t>
                    </w:r>
                  </w:p>
                  <w:p>
                    <w:pPr>
                      <w:rPr>
                        <w:color w:val="000000"/>
                        <w:sz w:val="20"/>
                      </w:rPr>
                    </w:pPr>
                  </w:p>
                  <w:p>
                    <w:pPr>
                      <w:jc w:val="center"/>
                      <w:rPr>
                        <w:sz w:val="20"/>
                      </w:rPr>
                    </w:pPr>
                  </w:p>
                </w:tc>
              </w:tr>
              <w:tr>
                <w:trPr>
                  <w:trHeight w:val="1001"/>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jc w:val="cente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rPr>
                        <w:sz w:val="20"/>
                      </w:rPr>
                    </w:pPr>
                    <w:r>
                      <w:rPr>
                        <w:sz w:val="20"/>
                      </w:rPr>
                      <w:t>P – Sveikatos priežiūros specialistai, dalyvavę programos „Motinos ir vaiko sveikata ir gerovė“ kvalifikacijos tobulinimo veiklose, asmenys</w:t>
                    </w:r>
                  </w:p>
                </w:tc>
                <w:tc>
                  <w:tcPr>
                    <w:tcW w:w="1134" w:type="dxa"/>
                    <w:gridSpan w:val="2"/>
                  </w:tcPr>
                  <w:p>
                    <w:pPr>
                      <w:jc w:val="center"/>
                      <w:rPr>
                        <w:sz w:val="20"/>
                      </w:rPr>
                    </w:pPr>
                    <w:r>
                      <w:rPr>
                        <w:sz w:val="20"/>
                      </w:rPr>
                      <w:t>10 990 (2029 m.)</w:t>
                    </w:r>
                  </w:p>
                </w:tc>
                <w:tc>
                  <w:tcPr>
                    <w:tcW w:w="992" w:type="dxa"/>
                  </w:tcPr>
                  <w:p>
                    <w:pPr>
                      <w:jc w:val="center"/>
                      <w:rPr>
                        <w:sz w:val="20"/>
                      </w:rPr>
                    </w:pPr>
                    <w:r>
                      <w:rPr>
                        <w:sz w:val="20"/>
                      </w:rPr>
                      <w:t>CPVA</w:t>
                    </w:r>
                  </w:p>
                </w:tc>
                <w:tc>
                  <w:tcPr>
                    <w:tcW w:w="1279" w:type="dxa"/>
                  </w:tcPr>
                  <w:p>
                    <w:pPr>
                      <w:rPr>
                        <w:color w:val="000000"/>
                        <w:sz w:val="20"/>
                      </w:rPr>
                    </w:pPr>
                    <w:r>
                      <w:rPr>
                        <w:color w:val="000000"/>
                        <w:sz w:val="20"/>
                      </w:rPr>
                      <w:t>SAM</w:t>
                    </w:r>
                  </w:p>
                </w:tc>
              </w:tr>
              <w:tr>
                <w:trPr>
                  <w:trHeight w:val="552"/>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jc w:val="cente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rPr>
                        <w:sz w:val="20"/>
                      </w:rPr>
                    </w:pPr>
                    <w:r>
                      <w:rPr>
                        <w:sz w:val="20"/>
                      </w:rPr>
                      <w:t xml:space="preserve">P </w:t>
                    </w:r>
                    <w:r>
                      <w:rPr>
                        <w:bCs/>
                        <w:sz w:val="20"/>
                      </w:rPr>
                      <w:t>–</w:t>
                    </w:r>
                    <w:r>
                      <w:rPr>
                        <w:sz w:val="20"/>
                      </w:rPr>
                      <w:t xml:space="preserve">  Savivaldybės, aprūpintos kokybiškų sveikatos priežiūros paslaugų teikimui būtina modernia medicinine įranga, vnt.</w:t>
                    </w:r>
                  </w:p>
                </w:tc>
                <w:tc>
                  <w:tcPr>
                    <w:tcW w:w="1134" w:type="dxa"/>
                    <w:gridSpan w:val="2"/>
                  </w:tcPr>
                  <w:p>
                    <w:pPr>
                      <w:jc w:val="center"/>
                      <w:rPr>
                        <w:sz w:val="20"/>
                      </w:rPr>
                    </w:pPr>
                    <w:r>
                      <w:rPr>
                        <w:sz w:val="20"/>
                      </w:rPr>
                      <w:t xml:space="preserve">60 </w:t>
                    </w:r>
                  </w:p>
                  <w:p>
                    <w:pPr>
                      <w:jc w:val="center"/>
                      <w:rPr>
                        <w:sz w:val="20"/>
                      </w:rPr>
                    </w:pPr>
                    <w:r>
                      <w:rPr>
                        <w:sz w:val="20"/>
                      </w:rPr>
                      <w:t>(2029 m.)</w:t>
                    </w:r>
                  </w:p>
                </w:tc>
                <w:tc>
                  <w:tcPr>
                    <w:tcW w:w="992" w:type="dxa"/>
                  </w:tcPr>
                  <w:p>
                    <w:pPr>
                      <w:jc w:val="center"/>
                      <w:rPr>
                        <w:sz w:val="20"/>
                      </w:rPr>
                    </w:pPr>
                    <w:r>
                      <w:rPr>
                        <w:sz w:val="20"/>
                      </w:rPr>
                      <w:t>CPVA</w:t>
                    </w:r>
                  </w:p>
                </w:tc>
                <w:tc>
                  <w:tcPr>
                    <w:tcW w:w="1279" w:type="dxa"/>
                  </w:tcPr>
                  <w:p>
                    <w:pPr>
                      <w:rPr>
                        <w:color w:val="000000"/>
                        <w:sz w:val="20"/>
                      </w:rPr>
                    </w:pPr>
                    <w:r>
                      <w:rPr>
                        <w:color w:val="000000"/>
                        <w:sz w:val="20"/>
                      </w:rPr>
                      <w:t>SAM</w:t>
                    </w:r>
                  </w:p>
                </w:tc>
              </w:tr>
              <w:tr>
                <w:trPr>
                  <w:trHeight w:val="552"/>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jc w:val="cente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rPr>
                        <w:sz w:val="20"/>
                      </w:rPr>
                    </w:pPr>
                    <w:r>
                      <w:rPr>
                        <w:sz w:val="20"/>
                      </w:rPr>
                      <w:t xml:space="preserve">P </w:t>
                    </w:r>
                    <w:r>
                      <w:rPr>
                        <w:bCs/>
                        <w:sz w:val="20"/>
                      </w:rPr>
                      <w:t>–</w:t>
                    </w:r>
                    <w:r>
                      <w:rPr>
                        <w:sz w:val="20"/>
                      </w:rPr>
                      <w:t xml:space="preserve"> ASPĮ, aprūpintos kokybiškų sveikatos priežiūros paslaugų teikimui būtina modernia medicinine įranga, vnt.</w:t>
                    </w:r>
                  </w:p>
                </w:tc>
                <w:tc>
                  <w:tcPr>
                    <w:tcW w:w="1134" w:type="dxa"/>
                    <w:gridSpan w:val="2"/>
                  </w:tcPr>
                  <w:p>
                    <w:pPr>
                      <w:jc w:val="center"/>
                      <w:rPr>
                        <w:sz w:val="20"/>
                      </w:rPr>
                    </w:pPr>
                    <w:r>
                      <w:rPr>
                        <w:sz w:val="20"/>
                      </w:rPr>
                      <w:t xml:space="preserve">46 </w:t>
                    </w:r>
                  </w:p>
                  <w:p>
                    <w:pPr>
                      <w:jc w:val="center"/>
                      <w:rPr>
                        <w:sz w:val="20"/>
                      </w:rPr>
                    </w:pPr>
                    <w:r>
                      <w:rPr>
                        <w:sz w:val="20"/>
                      </w:rPr>
                      <w:t>(2029 m.)</w:t>
                    </w:r>
                  </w:p>
                </w:tc>
                <w:tc>
                  <w:tcPr>
                    <w:tcW w:w="992" w:type="dxa"/>
                  </w:tcPr>
                  <w:p>
                    <w:pPr>
                      <w:jc w:val="center"/>
                      <w:rPr>
                        <w:sz w:val="20"/>
                      </w:rPr>
                    </w:pPr>
                    <w:r>
                      <w:rPr>
                        <w:sz w:val="20"/>
                      </w:rPr>
                      <w:t>CPVA</w:t>
                    </w:r>
                  </w:p>
                </w:tc>
                <w:tc>
                  <w:tcPr>
                    <w:tcW w:w="1279" w:type="dxa"/>
                  </w:tcPr>
                  <w:p>
                    <w:pPr>
                      <w:rPr>
                        <w:color w:val="000000"/>
                        <w:sz w:val="20"/>
                      </w:rPr>
                    </w:pPr>
                    <w:r>
                      <w:rPr>
                        <w:color w:val="000000"/>
                        <w:sz w:val="20"/>
                      </w:rPr>
                      <w:t>SAM</w:t>
                    </w:r>
                  </w:p>
                </w:tc>
              </w:tr>
            </w:tbl>
            <w:p>
              <w:pPr>
                <w:ind w:left="142" w:hanging="142"/>
                <w:jc w:val="both"/>
                <w:rPr>
                  <w:bCs/>
                  <w:sz w:val="22"/>
                  <w:szCs w:val="22"/>
                </w:rPr>
              </w:pPr>
              <w:r>
                <w:rPr>
                  <w:bCs/>
                  <w:sz w:val="22"/>
                  <w:szCs w:val="22"/>
                </w:rPr>
                <w:t xml:space="preserve">Sutrumpinimai: </w:t>
              </w:r>
            </w:p>
            <w:p>
              <w:pPr>
                <w:jc w:val="both"/>
                <w:rPr>
                  <w:sz w:val="22"/>
                  <w:szCs w:val="22"/>
                </w:rPr>
              </w:pPr>
              <w:r>
                <w:rPr>
                  <w:sz w:val="22"/>
                  <w:szCs w:val="22"/>
                </w:rPr>
                <w:t>2 skiltyje: R – reguliacinė (-is), I – investicinė (-is), K – komunikacinė (-is), A – analitinė (-is), M – mišri (-us);</w:t>
              </w:r>
            </w:p>
            <w:p>
              <w:pPr>
                <w:jc w:val="both"/>
                <w:rPr>
                  <w:sz w:val="22"/>
                  <w:szCs w:val="22"/>
                </w:rPr>
              </w:pPr>
              <w:r>
                <w:rPr>
                  <w:sz w:val="22"/>
                  <w:szCs w:val="22"/>
                </w:rPr>
                <w:t xml:space="preserve">4 skiltyje: P – planavimas, vykdomas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w:t>
              </w:r>
              <w:r>
                <w:rPr>
                  <w:bCs/>
                  <w:sz w:val="22"/>
                  <w:szCs w:val="22"/>
                </w:rPr>
                <w:t xml:space="preserve">projektų finansavimo sąlygų aprašus (2022–2030 metų </w:t>
              </w:r>
              <w:r>
                <w:rPr>
                  <w:sz w:val="22"/>
                  <w:szCs w:val="22"/>
                </w:rPr>
                <w:t>plėtros programos valdytojos Lietuvos Respublikos sveikatos apsaugos ministerijos sveikatos priežiūros kokybės ir efektyvumo didinimo plėtros programos pažangos priemonės Nr. 11-002-02-11-01 „Gerinti sveikatos priežiūros paslaugų kokybę ir prieinamumą“</w:t>
              </w:r>
              <w:r>
                <w:rPr>
                  <w:bCs/>
                  <w:i/>
                  <w:sz w:val="22"/>
                  <w:szCs w:val="22"/>
                  <w:lang w:eastAsia="lt-LT"/>
                </w:rPr>
                <w:t xml:space="preserve"> </w:t>
              </w:r>
              <w:r>
                <w:rPr>
                  <w:bCs/>
                  <w:sz w:val="22"/>
                  <w:szCs w:val="22"/>
                  <w:lang w:eastAsia="lt-LT"/>
                </w:rPr>
                <w:t xml:space="preserve">aprašo priedai), </w:t>
              </w:r>
              <w:r>
                <w:rPr>
                  <w:sz w:val="22"/>
                  <w:szCs w:val="22"/>
                </w:rPr>
                <w:t>K – konkursas, T – tęstinė atranka, Pj – planavimas, kai ketinama įgyvendinti jungtinį projektą;</w:t>
              </w:r>
            </w:p>
            <w:p>
              <w:pPr>
                <w:ind w:firstLine="57"/>
                <w:jc w:val="both"/>
                <w:rPr>
                  <w:sz w:val="22"/>
                  <w:szCs w:val="22"/>
                </w:rPr>
              </w:pPr>
            </w:p>
            <w:p>
              <w:pPr>
                <w:ind w:left="142" w:hanging="142"/>
                <w:jc w:val="both"/>
                <w:rPr>
                  <w:sz w:val="22"/>
                  <w:szCs w:val="22"/>
                </w:rPr>
              </w:pPr>
              <w:r>
                <w:rPr>
                  <w:sz w:val="22"/>
                  <w:szCs w:val="22"/>
                </w:rPr>
                <w:t>6 skiltyje: DS – dotacija taikant sąlygas, D – dotacija, FP – finansinė priemonė, A – apdovanojimai;</w:t>
              </w:r>
            </w:p>
            <w:p>
              <w:pPr>
                <w:jc w:val="both"/>
                <w:rPr>
                  <w:sz w:val="22"/>
                  <w:szCs w:val="22"/>
                </w:rPr>
              </w:pPr>
              <w:r>
                <w:rPr>
                  <w:iCs/>
                  <w:sz w:val="22"/>
                  <w:szCs w:val="22"/>
                </w:rPr>
                <w:t xml:space="preserve">9 skiltyje:  R </w:t>
              </w:r>
              <w:r>
                <w:rPr>
                  <w:sz w:val="22"/>
                  <w:szCs w:val="22"/>
                </w:rPr>
                <w:t>–</w:t>
              </w:r>
              <w:r>
                <w:rPr>
                  <w:iCs/>
                  <w:sz w:val="22"/>
                  <w:szCs w:val="22"/>
                </w:rPr>
                <w:t xml:space="preserve"> </w:t>
              </w:r>
              <w:r>
                <w:rPr>
                  <w:sz w:val="22"/>
                  <w:szCs w:val="22"/>
                </w:rPr>
                <w:t>rezultato rodiklis, P – produkto rodiklis.</w:t>
              </w:r>
            </w:p>
            <w:p>
              <w:pPr>
                <w:jc w:val="both"/>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cb9676fc1411f09a18eb2f15b49eee">
                <w:r w:rsidRPr="00532B9F">
                  <w:rPr>
                    <w:rFonts w:ascii="Times New Roman" w:eastAsia="MS Mincho" w:hAnsi="Times New Roman"/>
                    <w:sz w:val="20"/>
                    <w:i/>
                    <w:iCs/>
                    <w:color w:val="0000FF" w:themeColor="hyperlink"/>
                    <w:u w:val="single"/>
                  </w:rPr>
                  <w:t>V-68</w:t>
                </w:r>
              </w:fldSimple>
              <w:r>
                <w:rPr>
                  <w:rFonts w:ascii="Times New Roman" w:eastAsia="MS Mincho" w:hAnsi="Times New Roman"/>
                  <w:sz w:val="20"/>
                  <w:i/>
                  <w:iCs/>
                </w:rPr>
                <w:t>,
2026-01-28,
paskelbta TAR 2026-01-28, i. k. 2026-01141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fd475118c611f1a552c76556910e9c">
                <w:r w:rsidRPr="00532B9F">
                  <w:rPr>
                    <w:rFonts w:ascii="Times New Roman" w:eastAsia="MS Mincho" w:hAnsi="Times New Roman"/>
                    <w:sz w:val="20"/>
                    <w:i/>
                    <w:iCs/>
                    <w:color w:val="0000FF" w:themeColor="hyperlink"/>
                    <w:u w:val="single"/>
                  </w:rPr>
                  <w:t>V-197</w:t>
                </w:r>
              </w:fldSimple>
              <w:r>
                <w:rPr>
                  <w:rFonts w:ascii="Times New Roman" w:eastAsia="MS Mincho" w:hAnsi="Times New Roman"/>
                  <w:sz w:val="20"/>
                  <w:i/>
                  <w:iCs/>
                </w:rPr>
                <w:t>,
2026-03-05,
paskelbta TAR 2026-03-05, i. k. 2026-03631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f9ae418c711f1a552c76556910e9c">
                <w:r w:rsidRPr="00532B9F">
                  <w:rPr>
                    <w:rFonts w:ascii="Times New Roman" w:eastAsia="MS Mincho" w:hAnsi="Times New Roman"/>
                    <w:sz w:val="20"/>
                    <w:i/>
                    <w:iCs/>
                    <w:color w:val="0000FF" w:themeColor="hyperlink"/>
                    <w:u w:val="single"/>
                  </w:rPr>
                  <w:t>V-208</w:t>
                </w:r>
              </w:fldSimple>
              <w:r>
                <w:rPr>
                  <w:rFonts w:ascii="Times New Roman" w:eastAsia="MS Mincho" w:hAnsi="Times New Roman"/>
                  <w:sz w:val="20"/>
                  <w:i/>
                  <w:iCs/>
                </w:rPr>
                <w:t>,
2026-03-05,
paskelbta TAR 2026-03-05, i. k. 2026-03635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225131242a11f1a552c76556910e9c">
                <w:r w:rsidRPr="00532B9F">
                  <w:rPr>
                    <w:rFonts w:ascii="Times New Roman" w:eastAsia="MS Mincho" w:hAnsi="Times New Roman"/>
                    <w:sz w:val="20"/>
                    <w:i/>
                    <w:iCs/>
                    <w:color w:val="0000FF" w:themeColor="hyperlink"/>
                    <w:u w:val="single"/>
                  </w:rPr>
                  <w:t>V-246</w:t>
                </w:r>
              </w:fldSimple>
              <w:r>
                <w:rPr>
                  <w:rFonts w:ascii="Times New Roman" w:eastAsia="MS Mincho" w:hAnsi="Times New Roman"/>
                  <w:sz w:val="20"/>
                  <w:i/>
                  <w:iCs/>
                </w:rPr>
                <w:t>,
2026-03-20,
paskelbta TAR 2026-03-20, i. k. 2026-04384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ca296643fc11f180c9c618618421ed">
                <w:r w:rsidRPr="00532B9F">
                  <w:rPr>
                    <w:rFonts w:ascii="Times New Roman" w:eastAsia="MS Mincho" w:hAnsi="Times New Roman"/>
                    <w:sz w:val="20"/>
                    <w:i/>
                    <w:iCs/>
                    <w:color w:val="0000FF" w:themeColor="hyperlink"/>
                    <w:u w:val="single"/>
                  </w:rPr>
                  <w:t>V-442</w:t>
                </w:r>
              </w:fldSimple>
              <w:r>
                <w:rPr>
                  <w:rFonts w:ascii="Times New Roman" w:eastAsia="MS Mincho" w:hAnsi="Times New Roman"/>
                  <w:sz w:val="20"/>
                  <w:i/>
                  <w:iCs/>
                </w:rPr>
                <w:t>,
2026-04-29,
paskelbta TAR 2026-04-30, i. k. 2026-07116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701316453d11f180c9c618618421ed">
                <w:r w:rsidRPr="00532B9F">
                  <w:rPr>
                    <w:rFonts w:ascii="Times New Roman" w:eastAsia="MS Mincho" w:hAnsi="Times New Roman"/>
                    <w:sz w:val="20"/>
                    <w:i/>
                    <w:iCs/>
                    <w:color w:val="0000FF" w:themeColor="hyperlink"/>
                    <w:u w:val="single"/>
                  </w:rPr>
                  <w:t>V-452</w:t>
                </w:r>
              </w:fldSimple>
              <w:r>
                <w:rPr>
                  <w:rFonts w:ascii="Times New Roman" w:eastAsia="MS Mincho" w:hAnsi="Times New Roman"/>
                  <w:sz w:val="20"/>
                  <w:i/>
                  <w:iCs/>
                </w:rPr>
                <w:t>,
2026-04-30,
paskelbta TAR 2026-05-03, i. k. 2026-07248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170770550d11f180c9c618618421ed">
                <w:r w:rsidRPr="00532B9F">
                  <w:rPr>
                    <w:rFonts w:ascii="Times New Roman" w:eastAsia="MS Mincho" w:hAnsi="Times New Roman"/>
                    <w:sz w:val="20"/>
                    <w:i/>
                    <w:iCs/>
                    <w:color w:val="0000FF" w:themeColor="hyperlink"/>
                    <w:u w:val="single"/>
                  </w:rPr>
                  <w:t>V-513</w:t>
                </w:r>
              </w:fldSimple>
              <w:r>
                <w:rPr>
                  <w:rFonts w:ascii="Times New Roman" w:eastAsia="MS Mincho" w:hAnsi="Times New Roman"/>
                  <w:sz w:val="20"/>
                  <w:i/>
                  <w:iCs/>
                </w:rPr>
                <w:t>,
2026-05-21,
paskelbta TAR 2026-05-21, i. k. 2026-08567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2996866ec911f1b53dfa020e517810">
                <w:r w:rsidRPr="00532B9F">
                  <w:rPr>
                    <w:rFonts w:ascii="Times New Roman" w:eastAsia="MS Mincho" w:hAnsi="Times New Roman"/>
                    <w:sz w:val="20"/>
                    <w:i/>
                    <w:iCs/>
                    <w:color w:val="0000FF" w:themeColor="hyperlink"/>
                    <w:u w:val="single"/>
                  </w:rPr>
                  <w:t>V-598</w:t>
                </w:r>
              </w:fldSimple>
              <w:r>
                <w:rPr>
                  <w:rFonts w:ascii="Times New Roman" w:eastAsia="MS Mincho" w:hAnsi="Times New Roman"/>
                  <w:sz w:val="20"/>
                  <w:i/>
                  <w:iCs/>
                </w:rPr>
                <w:t>,
2026-06-23,
paskelbta TAR 2026-06-23, i. k. 2026-10783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958ae66ed211f1b53dfa020e517810">
                <w:r w:rsidRPr="00532B9F">
                  <w:rPr>
                    <w:rFonts w:ascii="Times New Roman" w:eastAsia="MS Mincho" w:hAnsi="Times New Roman"/>
                    <w:sz w:val="20"/>
                    <w:i/>
                    <w:iCs/>
                    <w:color w:val="0000FF" w:themeColor="hyperlink"/>
                    <w:u w:val="single"/>
                  </w:rPr>
                  <w:t>V-607</w:t>
                </w:r>
              </w:fldSimple>
              <w:r>
                <w:rPr>
                  <w:rFonts w:ascii="Times New Roman" w:eastAsia="MS Mincho" w:hAnsi="Times New Roman"/>
                  <w:sz w:val="20"/>
                  <w:i/>
                  <w:iCs/>
                </w:rPr>
                <w:t>,
2026-06-23,
paskelbta TAR 2026-06-23, i. k. 2026-10792            </w:t>
              </w:r>
            </w:p>
            <w:p/>
          </w:sdtContent>
        </w:sdt>
        <w:sdt>
          <w:sdtPr>
            <w:alias w:val="pabaiga"/>
            <w:tag w:val="part_0a803e9b38de41efa81b2f43b2912e53"/>
            <w:lock w:val="sdtLocked"/>
            <w:richText/>
          </w:sdtPr>
          <w:sdtContent>
            <w:p>
              <w:pPr>
                <w:shd w:val="clear" w:color="000000" w:fill="auto"/>
                <w:jc w:val="center"/>
              </w:pPr>
              <w:r>
                <w:rPr>
                  <w:sz w:val="22"/>
                  <w:szCs w:val="22"/>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PžP aprašo 1 priedas. 4.2 poveiklės Sveikatos priežiūros specialistų kompetencijų platformos sukūrimas PFSA (V-572)</w:t>
          </w:r>
        </w:p>
        <w:p/>
        <w:p>
          <w:pPr>
            <w:pStyle w:val="PlainText"/>
            <w:rPr>
              <w:rFonts w:ascii="Times New Roman" w:eastAsia="MS Mincho" w:hAnsi="Times New Roman"/>
              <w:sz w:val="20"/>
              <w:iCs/>
            </w:rPr>
          </w:pPr>
          <w:r>
            <w:rPr>
              <w:rFonts w:ascii="Times New Roman" w:eastAsia="MS Mincho" w:hAnsi="Times New Roman"/>
              <w:sz w:val="20"/>
              <w:iCs/>
            </w:rPr>
            <w:t>PžP aprašo 2 priedas. 2.2 poveiklės Infekcinių ligų klasterių centrų įrengimas PFSA (V-513)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225131242a11f1a552c76556910e9c">
            <w:r w:rsidRPr="00532B9F">
              <w:rPr>
                <w:rFonts w:ascii="Times New Roman" w:eastAsia="MS Mincho" w:hAnsi="Times New Roman"/>
                <w:sz w:val="20"/>
                <w:i/>
                <w:iCs/>
                <w:color w:val="0000FF" w:themeColor="hyperlink"/>
                <w:u w:val="single"/>
              </w:rPr>
              <w:t>V-246</w:t>
            </w:r>
          </w:fldSimple>
          <w:r>
            <w:rPr>
              <w:rFonts w:ascii="Times New Roman" w:eastAsia="MS Mincho" w:hAnsi="Times New Roman"/>
              <w:sz w:val="20"/>
              <w:i/>
              <w:iCs/>
            </w:rPr>
            <w:t>,
2026-03-20,
paskelbta TAR 2026-03-20, i. k. 2026-04384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170770550d11f180c9c618618421ed">
            <w:r w:rsidRPr="00532B9F">
              <w:rPr>
                <w:rFonts w:ascii="Times New Roman" w:eastAsia="MS Mincho" w:hAnsi="Times New Roman"/>
                <w:sz w:val="20"/>
                <w:i/>
                <w:iCs/>
                <w:color w:val="0000FF" w:themeColor="hyperlink"/>
                <w:u w:val="single"/>
              </w:rPr>
              <w:t>V-513</w:t>
            </w:r>
          </w:fldSimple>
          <w:r>
            <w:rPr>
              <w:rFonts w:ascii="Times New Roman" w:eastAsia="MS Mincho" w:hAnsi="Times New Roman"/>
              <w:sz w:val="20"/>
              <w:i/>
              <w:iCs/>
            </w:rPr>
            <w:t>,
2026-05-21,
paskelbta TAR 2026-05-21, i. k. 2026-08567        </w:t>
          </w:r>
        </w:p>
        <w:p/>
        <w:p>
          <w:pPr>
            <w:pStyle w:val="PlainText"/>
            <w:rPr>
              <w:rFonts w:ascii="Times New Roman" w:eastAsia="MS Mincho" w:hAnsi="Times New Roman"/>
              <w:sz w:val="20"/>
              <w:iCs/>
            </w:rPr>
          </w:pPr>
          <w:r>
            <w:rPr>
              <w:rFonts w:ascii="Times New Roman" w:eastAsia="MS Mincho" w:hAnsi="Times New Roman"/>
              <w:sz w:val="20"/>
              <w:iCs/>
            </w:rPr>
            <w:t>PžP aprašo 3 priedas. 3.2 poveiklės Genomo tyrimams atlikti reikalingos įrangos įsigijimas ir tyrimų atlikimas PFSA (V-513)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fb3803e1f311ef84c3a3cb4f439b27">
            <w:r w:rsidRPr="00532B9F">
              <w:rPr>
                <w:rFonts w:ascii="Times New Roman" w:eastAsia="MS Mincho" w:hAnsi="Times New Roman"/>
                <w:sz w:val="20"/>
                <w:i/>
                <w:iCs/>
                <w:color w:val="0000FF" w:themeColor="hyperlink"/>
                <w:u w:val="single"/>
              </w:rPr>
              <w:t>V-65</w:t>
            </w:r>
          </w:fldSimple>
          <w:r>
            <w:rPr>
              <w:rFonts w:ascii="Times New Roman" w:eastAsia="MS Mincho" w:hAnsi="Times New Roman"/>
              <w:sz w:val="20"/>
              <w:i/>
              <w:iCs/>
            </w:rPr>
            <w:t>,
2025-02-03,
paskelbta TAR 2025-02-03, i. k. 2025-01587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170770550d11f180c9c618618421ed">
            <w:r w:rsidRPr="00532B9F">
              <w:rPr>
                <w:rFonts w:ascii="Times New Roman" w:eastAsia="MS Mincho" w:hAnsi="Times New Roman"/>
                <w:sz w:val="20"/>
                <w:i/>
                <w:iCs/>
                <w:color w:val="0000FF" w:themeColor="hyperlink"/>
                <w:u w:val="single"/>
              </w:rPr>
              <w:t>V-513</w:t>
            </w:r>
          </w:fldSimple>
          <w:r>
            <w:rPr>
              <w:rFonts w:ascii="Times New Roman" w:eastAsia="MS Mincho" w:hAnsi="Times New Roman"/>
              <w:sz w:val="20"/>
              <w:i/>
              <w:iCs/>
            </w:rPr>
            <w:t>,
2026-05-21,
paskelbta TAR 2026-05-21, i. k. 2026-08567        </w:t>
          </w:r>
        </w:p>
        <w:p/>
        <w:p>
          <w:pPr>
            <w:pStyle w:val="PlainText"/>
            <w:rPr>
              <w:rFonts w:ascii="Times New Roman" w:eastAsia="MS Mincho" w:hAnsi="Times New Roman"/>
              <w:sz w:val="20"/>
              <w:iCs/>
            </w:rPr>
          </w:pPr>
          <w:r>
            <w:rPr>
              <w:rFonts w:ascii="Times New Roman" w:eastAsia="MS Mincho" w:hAnsi="Times New Roman"/>
              <w:sz w:val="20"/>
              <w:iCs/>
            </w:rPr>
            <w:t>PžP aprašo 4 priedas. 4.4 poveiklės Sveikatos sektoriaus skaitmeninimo projektai_VVKT_ PFSA (V-513)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170770550d11f180c9c618618421ed">
            <w:r w:rsidRPr="00532B9F">
              <w:rPr>
                <w:rFonts w:ascii="Times New Roman" w:eastAsia="MS Mincho" w:hAnsi="Times New Roman"/>
                <w:sz w:val="20"/>
                <w:i/>
                <w:iCs/>
                <w:color w:val="0000FF" w:themeColor="hyperlink"/>
                <w:u w:val="single"/>
              </w:rPr>
              <w:t>V-513</w:t>
            </w:r>
          </w:fldSimple>
          <w:r>
            <w:rPr>
              <w:rFonts w:ascii="Times New Roman" w:eastAsia="MS Mincho" w:hAnsi="Times New Roman"/>
              <w:sz w:val="20"/>
              <w:i/>
              <w:iCs/>
            </w:rPr>
            <w:t>,
2026-05-21,
paskelbta TAR 2026-05-21, i. k. 2026-08567        </w:t>
          </w:r>
        </w:p>
        <w:p/>
        <w:p>
          <w:pPr>
            <w:pStyle w:val="PlainText"/>
            <w:rPr>
              <w:rFonts w:ascii="Times New Roman" w:eastAsia="MS Mincho" w:hAnsi="Times New Roman"/>
              <w:sz w:val="20"/>
              <w:iCs/>
            </w:rPr>
          </w:pPr>
          <w:r>
            <w:rPr>
              <w:rFonts w:ascii="Times New Roman" w:eastAsia="MS Mincho" w:hAnsi="Times New Roman"/>
              <w:sz w:val="20"/>
              <w:iCs/>
            </w:rPr>
            <w:t>PžP aprašo 5 priedas. 4.4 poveiklės Sveikatos sektoriaus skaitmeninimo projektai_ESVIS_ PFSA (V-149)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1d7416f41d11efa87aadb1fba2acc3">
            <w:r w:rsidRPr="00532B9F">
              <w:rPr>
                <w:rFonts w:ascii="Times New Roman" w:eastAsia="MS Mincho" w:hAnsi="Times New Roman"/>
                <w:sz w:val="20"/>
                <w:i/>
                <w:iCs/>
                <w:color w:val="0000FF" w:themeColor="hyperlink"/>
                <w:u w:val="single"/>
              </w:rPr>
              <w:t>V-149</w:t>
            </w:r>
          </w:fldSimple>
          <w:r>
            <w:rPr>
              <w:rFonts w:ascii="Times New Roman" w:eastAsia="MS Mincho" w:hAnsi="Times New Roman"/>
              <w:sz w:val="20"/>
              <w:i/>
              <w:iCs/>
            </w:rPr>
            <w:t>,
2025-02-25,
paskelbta TAR 2025-02-26, i. k. 2025-03157        </w:t>
          </w:r>
        </w:p>
        <w:p/>
        <w:p>
          <w:pPr>
            <w:pStyle w:val="PlainText"/>
            <w:rPr>
              <w:rFonts w:ascii="Times New Roman" w:eastAsia="MS Mincho" w:hAnsi="Times New Roman"/>
              <w:sz w:val="20"/>
              <w:iCs/>
            </w:rPr>
          </w:pPr>
          <w:r>
            <w:rPr>
              <w:rFonts w:ascii="Times New Roman" w:eastAsia="MS Mincho" w:hAnsi="Times New Roman"/>
              <w:sz w:val="20"/>
              <w:iCs/>
            </w:rPr>
            <w:t>PžP aprašo 6 priedas. 2.3 poveiklės Regioninių sveikatos priežiūros įstaigų infrastruktūros modernizavimas PFSA (V-598)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54b481663b11f0a8bbd1e98310677d">
            <w:r w:rsidRPr="00532B9F">
              <w:rPr>
                <w:rFonts w:ascii="Times New Roman" w:eastAsia="MS Mincho" w:hAnsi="Times New Roman"/>
                <w:sz w:val="20"/>
                <w:i/>
                <w:iCs/>
                <w:color w:val="0000FF" w:themeColor="hyperlink"/>
                <w:u w:val="single"/>
              </w:rPr>
              <w:t>V-681</w:t>
            </w:r>
          </w:fldSimple>
          <w:r>
            <w:rPr>
              <w:rFonts w:ascii="Times New Roman" w:eastAsia="MS Mincho" w:hAnsi="Times New Roman"/>
              <w:sz w:val="20"/>
              <w:i/>
              <w:iCs/>
            </w:rPr>
            <w:t>,
2025-07-21,
paskelbta TAR 2025-07-21, i. k. 2025-13101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225131242a11f1a552c76556910e9c">
            <w:r w:rsidRPr="00532B9F">
              <w:rPr>
                <w:rFonts w:ascii="Times New Roman" w:eastAsia="MS Mincho" w:hAnsi="Times New Roman"/>
                <w:sz w:val="20"/>
                <w:i/>
                <w:iCs/>
                <w:color w:val="0000FF" w:themeColor="hyperlink"/>
                <w:u w:val="single"/>
              </w:rPr>
              <w:t>V-246</w:t>
            </w:r>
          </w:fldSimple>
          <w:r>
            <w:rPr>
              <w:rFonts w:ascii="Times New Roman" w:eastAsia="MS Mincho" w:hAnsi="Times New Roman"/>
              <w:sz w:val="20"/>
              <w:i/>
              <w:iCs/>
            </w:rPr>
            <w:t>,
2026-03-20,
paskelbta TAR 2026-03-20, i. k. 2026-04384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170770550d11f180c9c618618421ed">
            <w:r w:rsidRPr="00532B9F">
              <w:rPr>
                <w:rFonts w:ascii="Times New Roman" w:eastAsia="MS Mincho" w:hAnsi="Times New Roman"/>
                <w:sz w:val="20"/>
                <w:i/>
                <w:iCs/>
                <w:color w:val="0000FF" w:themeColor="hyperlink"/>
                <w:u w:val="single"/>
              </w:rPr>
              <w:t>V-513</w:t>
            </w:r>
          </w:fldSimple>
          <w:r>
            <w:rPr>
              <w:rFonts w:ascii="Times New Roman" w:eastAsia="MS Mincho" w:hAnsi="Times New Roman"/>
              <w:sz w:val="20"/>
              <w:i/>
              <w:iCs/>
            </w:rPr>
            <w:t>,
2026-05-21,
paskelbta TAR 2026-05-21, i. k. 2026-08567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2996866ec911f1b53dfa020e517810">
            <w:r w:rsidRPr="00532B9F">
              <w:rPr>
                <w:rFonts w:ascii="Times New Roman" w:eastAsia="MS Mincho" w:hAnsi="Times New Roman"/>
                <w:sz w:val="20"/>
                <w:i/>
                <w:iCs/>
                <w:color w:val="0000FF" w:themeColor="hyperlink"/>
                <w:u w:val="single"/>
              </w:rPr>
              <w:t>V-598</w:t>
            </w:r>
          </w:fldSimple>
          <w:r>
            <w:rPr>
              <w:rFonts w:ascii="Times New Roman" w:eastAsia="MS Mincho" w:hAnsi="Times New Roman"/>
              <w:sz w:val="20"/>
              <w:i/>
              <w:iCs/>
            </w:rPr>
            <w:t>,
2026-06-23,
paskelbta TAR 2026-06-23, i. k. 2026-10783        </w:t>
          </w:r>
        </w:p>
        <w:p/>
        <w:p>
          <w:pPr>
            <w:pStyle w:val="PlainText"/>
            <w:rPr>
              <w:rFonts w:ascii="Times New Roman" w:eastAsia="MS Mincho" w:hAnsi="Times New Roman"/>
              <w:sz w:val="20"/>
              <w:iCs/>
            </w:rPr>
          </w:pPr>
          <w:r>
            <w:rPr>
              <w:rFonts w:ascii="Times New Roman" w:eastAsia="MS Mincho" w:hAnsi="Times New Roman"/>
              <w:sz w:val="20"/>
              <w:iCs/>
            </w:rPr>
            <w:t>PžP aprašo 7 priedas 3.1 poveiklės Pažangios terapijos centro statyba PFSA (V-598)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225131242a11f1a552c76556910e9c">
            <w:r w:rsidRPr="00532B9F">
              <w:rPr>
                <w:rFonts w:ascii="Times New Roman" w:eastAsia="MS Mincho" w:hAnsi="Times New Roman"/>
                <w:sz w:val="20"/>
                <w:i/>
                <w:iCs/>
                <w:color w:val="0000FF" w:themeColor="hyperlink"/>
                <w:u w:val="single"/>
              </w:rPr>
              <w:t>V-246</w:t>
            </w:r>
          </w:fldSimple>
          <w:r>
            <w:rPr>
              <w:rFonts w:ascii="Times New Roman" w:eastAsia="MS Mincho" w:hAnsi="Times New Roman"/>
              <w:sz w:val="20"/>
              <w:i/>
              <w:iCs/>
            </w:rPr>
            <w:t>,
2026-03-20,
paskelbta TAR 2026-03-20, i. k. 2026-04384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170770550d11f180c9c618618421ed">
            <w:r w:rsidRPr="00532B9F">
              <w:rPr>
                <w:rFonts w:ascii="Times New Roman" w:eastAsia="MS Mincho" w:hAnsi="Times New Roman"/>
                <w:sz w:val="20"/>
                <w:i/>
                <w:iCs/>
                <w:color w:val="0000FF" w:themeColor="hyperlink"/>
                <w:u w:val="single"/>
              </w:rPr>
              <w:t>V-513</w:t>
            </w:r>
          </w:fldSimple>
          <w:r>
            <w:rPr>
              <w:rFonts w:ascii="Times New Roman" w:eastAsia="MS Mincho" w:hAnsi="Times New Roman"/>
              <w:sz w:val="20"/>
              <w:i/>
              <w:iCs/>
            </w:rPr>
            <w:t>,
2026-05-21,
paskelbta TAR 2026-05-21, i. k. 2026-08567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2996866ec911f1b53dfa020e517810">
            <w:r w:rsidRPr="00532B9F">
              <w:rPr>
                <w:rFonts w:ascii="Times New Roman" w:eastAsia="MS Mincho" w:hAnsi="Times New Roman"/>
                <w:sz w:val="20"/>
                <w:i/>
                <w:iCs/>
                <w:color w:val="0000FF" w:themeColor="hyperlink"/>
                <w:u w:val="single"/>
              </w:rPr>
              <w:t>V-598</w:t>
            </w:r>
          </w:fldSimple>
          <w:r>
            <w:rPr>
              <w:rFonts w:ascii="Times New Roman" w:eastAsia="MS Mincho" w:hAnsi="Times New Roman"/>
              <w:sz w:val="20"/>
              <w:i/>
              <w:iCs/>
            </w:rPr>
            <w:t>,
2026-06-23,
paskelbta TAR 2026-06-23, i. k. 2026-10783        </w:t>
          </w:r>
        </w:p>
        <w:p/>
        <w:p>
          <w:pPr>
            <w:pStyle w:val="PlainText"/>
            <w:rPr>
              <w:rFonts w:ascii="Times New Roman" w:eastAsia="MS Mincho" w:hAnsi="Times New Roman"/>
              <w:sz w:val="20"/>
              <w:iCs/>
            </w:rPr>
          </w:pPr>
          <w:r>
            <w:rPr>
              <w:rFonts w:ascii="Times New Roman" w:eastAsia="MS Mincho" w:hAnsi="Times New Roman"/>
              <w:sz w:val="20"/>
              <w:iCs/>
            </w:rPr>
            <w:t>PžP aprašo 8 priedas. 8.2 poveiklės Bandomojo pavėžėjimo paslaugų teikimo projekto įgyvendinimasPFSA (V-572)</w:t>
          </w:r>
        </w:p>
        <w:p/>
        <w:p>
          <w:pPr>
            <w:pStyle w:val="PlainText"/>
            <w:rPr>
              <w:rFonts w:ascii="Times New Roman" w:eastAsia="MS Mincho" w:hAnsi="Times New Roman"/>
              <w:sz w:val="20"/>
              <w:iCs/>
            </w:rPr>
          </w:pPr>
          <w:r>
            <w:rPr>
              <w:rFonts w:ascii="Times New Roman" w:eastAsia="MS Mincho" w:hAnsi="Times New Roman"/>
              <w:sz w:val="20"/>
              <w:iCs/>
            </w:rPr>
            <w:t>PžP aprašo 9 priedas. 4.3 poveiklės Sveikatos priežiūros paslaugų kokybės vertinimo modelio (rodiklių švieslentės)1 (V-513)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170770550d11f180c9c618618421ed">
            <w:r w:rsidRPr="00532B9F">
              <w:rPr>
                <w:rFonts w:ascii="Times New Roman" w:eastAsia="MS Mincho" w:hAnsi="Times New Roman"/>
                <w:sz w:val="20"/>
                <w:i/>
                <w:iCs/>
                <w:color w:val="0000FF" w:themeColor="hyperlink"/>
                <w:u w:val="single"/>
              </w:rPr>
              <w:t>V-513</w:t>
            </w:r>
          </w:fldSimple>
          <w:r>
            <w:rPr>
              <w:rFonts w:ascii="Times New Roman" w:eastAsia="MS Mincho" w:hAnsi="Times New Roman"/>
              <w:sz w:val="20"/>
              <w:i/>
              <w:iCs/>
            </w:rPr>
            <w:t>,
2026-05-21,
paskelbta TAR 2026-05-21, i. k. 2026-08567        </w:t>
          </w:r>
        </w:p>
        <w:p/>
        <w:p>
          <w:pPr>
            <w:pStyle w:val="PlainText"/>
            <w:rPr>
              <w:rFonts w:ascii="Times New Roman" w:eastAsia="MS Mincho" w:hAnsi="Times New Roman"/>
              <w:sz w:val="20"/>
              <w:iCs/>
            </w:rPr>
          </w:pPr>
          <w:r>
            <w:rPr>
              <w:rFonts w:ascii="Times New Roman" w:eastAsia="MS Mincho" w:hAnsi="Times New Roman"/>
              <w:sz w:val="20"/>
              <w:iCs/>
            </w:rPr>
            <w:t>PžP aprašo 10 priedas. 9.2 ir 9.3 poveiklių GMP automobilių įrangos įsigijimas ir greitosios medicinos pagalbos st2 (V-19)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9f2e4c76311efa5ddd96c482819f5">
            <w:r w:rsidRPr="00532B9F">
              <w:rPr>
                <w:rFonts w:ascii="Times New Roman" w:eastAsia="MS Mincho" w:hAnsi="Times New Roman"/>
                <w:sz w:val="20"/>
                <w:i/>
                <w:iCs/>
                <w:color w:val="0000FF" w:themeColor="hyperlink"/>
                <w:u w:val="single"/>
              </w:rPr>
              <w:t>V-1392</w:t>
            </w:r>
          </w:fldSimple>
          <w:r>
            <w:rPr>
              <w:rFonts w:ascii="Times New Roman" w:eastAsia="MS Mincho" w:hAnsi="Times New Roman"/>
              <w:sz w:val="20"/>
              <w:i/>
              <w:iCs/>
            </w:rPr>
            <w:t>,
2024-12-31,
paskelbta TAR 2024-12-31, i. k. 2024-23625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0e9484ecc011f09cfce49e7aeb76fe">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2026-01-08,
paskelbta TAR 2026-01-08, i. k. 2026-00269        </w:t>
          </w:r>
        </w:p>
        <w:p/>
        <w:p>
          <w:pPr>
            <w:pStyle w:val="PlainText"/>
            <w:rPr>
              <w:rFonts w:ascii="Times New Roman" w:eastAsia="MS Mincho" w:hAnsi="Times New Roman"/>
              <w:sz w:val="20"/>
              <w:iCs/>
            </w:rPr>
          </w:pPr>
          <w:r>
            <w:rPr>
              <w:rFonts w:ascii="Times New Roman" w:eastAsia="MS Mincho" w:hAnsi="Times New Roman"/>
              <w:sz w:val="20"/>
              <w:iCs/>
            </w:rPr>
            <w:t>PžP aprašo 11 priedas. 7.4 poveiklės Integruotų psichikos sveikatos paslaugų bei modelių išbandymas ir diegimas  PF3 (V-469)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5d7600350d11efbdaea558de59136c">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2024-06-28,
paskelbta TAR 2024-06-28, i. k. 2024-11942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0410c02ef111f08fdabd4950271e2c">
            <w:r w:rsidRPr="00532B9F">
              <w:rPr>
                <w:rFonts w:ascii="Times New Roman" w:eastAsia="MS Mincho" w:hAnsi="Times New Roman"/>
                <w:sz w:val="20"/>
                <w:i/>
                <w:iCs/>
                <w:color w:val="0000FF" w:themeColor="hyperlink"/>
                <w:u w:val="single"/>
              </w:rPr>
              <w:t>V-447</w:t>
            </w:r>
          </w:fldSimple>
          <w:r>
            <w:rPr>
              <w:rFonts w:ascii="Times New Roman" w:eastAsia="MS Mincho" w:hAnsi="Times New Roman"/>
              <w:sz w:val="20"/>
              <w:i/>
              <w:iCs/>
            </w:rPr>
            <w:t>,
2025-05-09,
paskelbta TAR 2025-05-12, i. k. 2025-08387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7fb514d6a11f180c9c618618421ed">
            <w:r w:rsidRPr="00532B9F">
              <w:rPr>
                <w:rFonts w:ascii="Times New Roman" w:eastAsia="MS Mincho" w:hAnsi="Times New Roman"/>
                <w:sz w:val="20"/>
                <w:i/>
                <w:iCs/>
                <w:color w:val="0000FF" w:themeColor="hyperlink"/>
                <w:u w:val="single"/>
              </w:rPr>
              <w:t>V-469</w:t>
            </w:r>
          </w:fldSimple>
          <w:r>
            <w:rPr>
              <w:rFonts w:ascii="Times New Roman" w:eastAsia="MS Mincho" w:hAnsi="Times New Roman"/>
              <w:sz w:val="20"/>
              <w:i/>
              <w:iCs/>
            </w:rPr>
            <w:t>,
2026-05-11,
paskelbta TAR 2026-05-12, i. k. 2026-07927        </w:t>
          </w:r>
        </w:p>
        <w:p/>
        <w:p>
          <w:pPr>
            <w:pStyle w:val="PlainText"/>
            <w:rPr>
              <w:rFonts w:ascii="Times New Roman" w:eastAsia="MS Mincho" w:hAnsi="Times New Roman"/>
              <w:sz w:val="20"/>
              <w:iCs/>
            </w:rPr>
          </w:pPr>
          <w:r>
            <w:rPr>
              <w:rFonts w:ascii="Times New Roman" w:eastAsia="MS Mincho" w:hAnsi="Times New Roman"/>
              <w:sz w:val="20"/>
              <w:iCs/>
            </w:rPr>
            <w:t>PžP aprašo 12 priedas. 4.4 poveiklės Sveikatos sektoriaus skaitmeninimo projektai_dekomponavimas_ PFSA (V-80)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c6c07446ce11f0b070ee7f1ceefc75">
            <w:r w:rsidRPr="00532B9F">
              <w:rPr>
                <w:rFonts w:ascii="Times New Roman" w:eastAsia="MS Mincho" w:hAnsi="Times New Roman"/>
                <w:sz w:val="20"/>
                <w:i/>
                <w:iCs/>
                <w:color w:val="0000FF" w:themeColor="hyperlink"/>
                <w:u w:val="single"/>
              </w:rPr>
              <w:t>V-527</w:t>
            </w:r>
          </w:fldSimple>
          <w:r>
            <w:rPr>
              <w:rFonts w:ascii="Times New Roman" w:eastAsia="MS Mincho" w:hAnsi="Times New Roman"/>
              <w:sz w:val="20"/>
              <w:i/>
              <w:iCs/>
            </w:rPr>
            <w:t>,
2025-06-11,
paskelbta TAR 2025-06-11, i. k. 2025-10626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
          <w:pPr>
            <w:pStyle w:val="PlainText"/>
            <w:rPr>
              <w:rFonts w:ascii="Times New Roman" w:eastAsia="MS Mincho" w:hAnsi="Times New Roman"/>
              <w:sz w:val="20"/>
              <w:iCs/>
            </w:rPr>
          </w:pPr>
          <w:r>
            <w:rPr>
              <w:rFonts w:ascii="Times New Roman" w:eastAsia="MS Mincho" w:hAnsi="Times New Roman"/>
              <w:sz w:val="20"/>
              <w:iCs/>
            </w:rPr>
            <w:t>PžP aprašo 13 priedas. 7.1_7.2 poveiklių Ambulator. psich. sveikatos paslaugų ir psichosocialinės reabilitacijos (V-80)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
          <w:pPr>
            <w:pStyle w:val="PlainText"/>
            <w:rPr>
              <w:rFonts w:ascii="Times New Roman" w:eastAsia="MS Mincho" w:hAnsi="Times New Roman"/>
              <w:sz w:val="20"/>
              <w:iCs/>
            </w:rPr>
          </w:pPr>
          <w:r>
            <w:rPr>
              <w:rFonts w:ascii="Times New Roman" w:eastAsia="MS Mincho" w:hAnsi="Times New Roman"/>
              <w:sz w:val="20"/>
              <w:iCs/>
            </w:rPr>
            <w:t>PžP aprašo 14 priedas. 4.4 poveiklės Sveikatos sektoriaus skaitmeninimo projektai_GMP_ PFSA (V-80)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
          <w:pPr>
            <w:pStyle w:val="PlainText"/>
            <w:rPr>
              <w:rFonts w:ascii="Times New Roman" w:eastAsia="MS Mincho" w:hAnsi="Times New Roman"/>
              <w:sz w:val="20"/>
              <w:iCs/>
            </w:rPr>
          </w:pPr>
          <w:r>
            <w:rPr>
              <w:rFonts w:ascii="Times New Roman" w:eastAsia="MS Mincho" w:hAnsi="Times New Roman"/>
              <w:sz w:val="20"/>
              <w:iCs/>
            </w:rPr>
            <w:t>PžP aprašo 15 priedas. 11.4 poveiklės Ilgalaikės priežiūros paslaugas teikiančių specialistų parengimas PFSA (V-572)</w:t>
          </w:r>
        </w:p>
        <w:p/>
        <w:p>
          <w:pPr>
            <w:pStyle w:val="PlainText"/>
            <w:rPr>
              <w:rFonts w:ascii="Times New Roman" w:eastAsia="MS Mincho" w:hAnsi="Times New Roman"/>
              <w:sz w:val="20"/>
              <w:iCs/>
            </w:rPr>
          </w:pPr>
          <w:r>
            <w:rPr>
              <w:rFonts w:ascii="Times New Roman" w:eastAsia="MS Mincho" w:hAnsi="Times New Roman"/>
              <w:sz w:val="20"/>
              <w:iCs/>
            </w:rPr>
            <w:t>PžP aprašo 16 priedas. 4.4 poveiklės Sveikatos sektoriaus skaitmeninimo projektai_ULSVIS_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17 priedas. 4.4 poveiklės Sveikatos sektoriaus skaitmeninimo projektai_VLK_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18 priedas. 1.2 Ilgalaikės priežiūros DS įrengimas_1.4 Mobiliųjų komandų aprūpinimas įranga ir transport (V-513)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66d130643411efafbb8694c098bac5">
            <w:r w:rsidRPr="00532B9F">
              <w:rPr>
                <w:rFonts w:ascii="Times New Roman" w:eastAsia="MS Mincho" w:hAnsi="Times New Roman"/>
                <w:sz w:val="20"/>
                <w:i/>
                <w:iCs/>
                <w:color w:val="0000FF" w:themeColor="hyperlink"/>
                <w:u w:val="single"/>
              </w:rPr>
              <w:t>V-843</w:t>
            </w:r>
          </w:fldSimple>
          <w:r>
            <w:rPr>
              <w:rFonts w:ascii="Times New Roman" w:eastAsia="MS Mincho" w:hAnsi="Times New Roman"/>
              <w:sz w:val="20"/>
              <w:i/>
              <w:iCs/>
            </w:rPr>
            <w:t>,
2024-08-27,
paskelbta TAR 2024-08-27, i. k. 2024-14871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5c5616b2d311ef88c08519262548c4">
            <w:r w:rsidRPr="00532B9F">
              <w:rPr>
                <w:rFonts w:ascii="Times New Roman" w:eastAsia="MS Mincho" w:hAnsi="Times New Roman"/>
                <w:sz w:val="20"/>
                <w:i/>
                <w:iCs/>
                <w:color w:val="0000FF" w:themeColor="hyperlink"/>
                <w:u w:val="single"/>
              </w:rPr>
              <w:t>V-1226</w:t>
            </w:r>
          </w:fldSimple>
          <w:r>
            <w:rPr>
              <w:rFonts w:ascii="Times New Roman" w:eastAsia="MS Mincho" w:hAnsi="Times New Roman"/>
              <w:sz w:val="20"/>
              <w:i/>
              <w:iCs/>
            </w:rPr>
            <w:t>,
2024-12-05,
paskelbta TAR 2024-12-05, i. k. 2024-21518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96b534f37511ef8bf78f8ccc0e0474">
            <w:r w:rsidRPr="00532B9F">
              <w:rPr>
                <w:rFonts w:ascii="Times New Roman" w:eastAsia="MS Mincho" w:hAnsi="Times New Roman"/>
                <w:sz w:val="20"/>
                <w:i/>
                <w:iCs/>
                <w:color w:val="0000FF" w:themeColor="hyperlink"/>
                <w:u w:val="single"/>
              </w:rPr>
              <w:t>V-151</w:t>
            </w:r>
          </w:fldSimple>
          <w:r>
            <w:rPr>
              <w:rFonts w:ascii="Times New Roman" w:eastAsia="MS Mincho" w:hAnsi="Times New Roman"/>
              <w:sz w:val="20"/>
              <w:i/>
              <w:iCs/>
            </w:rPr>
            <w:t>,
2025-02-25,
paskelbta TAR 2025-02-25, i. k. 2025-03068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5e8c24663c11f0a8bbd1e98310677d">
            <w:r w:rsidRPr="00532B9F">
              <w:rPr>
                <w:rFonts w:ascii="Times New Roman" w:eastAsia="MS Mincho" w:hAnsi="Times New Roman"/>
                <w:sz w:val="20"/>
                <w:i/>
                <w:iCs/>
                <w:color w:val="0000FF" w:themeColor="hyperlink"/>
                <w:u w:val="single"/>
              </w:rPr>
              <w:t>V-683</w:t>
            </w:r>
          </w:fldSimple>
          <w:r>
            <w:rPr>
              <w:rFonts w:ascii="Times New Roman" w:eastAsia="MS Mincho" w:hAnsi="Times New Roman"/>
              <w:sz w:val="20"/>
              <w:i/>
              <w:iCs/>
            </w:rPr>
            <w:t>,
2025-07-21,
paskelbta TAR 2025-07-21, i. k. 2025-13104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7a8074066911f1b465ab875bcad79f">
            <w:r w:rsidRPr="00532B9F">
              <w:rPr>
                <w:rFonts w:ascii="Times New Roman" w:eastAsia="MS Mincho" w:hAnsi="Times New Roman"/>
                <w:sz w:val="20"/>
                <w:i/>
                <w:iCs/>
                <w:color w:val="0000FF" w:themeColor="hyperlink"/>
                <w:u w:val="single"/>
              </w:rPr>
              <w:t>V-115</w:t>
            </w:r>
          </w:fldSimple>
          <w:r>
            <w:rPr>
              <w:rFonts w:ascii="Times New Roman" w:eastAsia="MS Mincho" w:hAnsi="Times New Roman"/>
              <w:sz w:val="20"/>
              <w:i/>
              <w:iCs/>
            </w:rPr>
            <w:t>,
2026-02-10,
paskelbta TAR 2026-02-10, i. k. 2026-02056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170770550d11f180c9c618618421ed">
            <w:r w:rsidRPr="00532B9F">
              <w:rPr>
                <w:rFonts w:ascii="Times New Roman" w:eastAsia="MS Mincho" w:hAnsi="Times New Roman"/>
                <w:sz w:val="20"/>
                <w:i/>
                <w:iCs/>
                <w:color w:val="0000FF" w:themeColor="hyperlink"/>
                <w:u w:val="single"/>
              </w:rPr>
              <w:t>V-513</w:t>
            </w:r>
          </w:fldSimple>
          <w:r>
            <w:rPr>
              <w:rFonts w:ascii="Times New Roman" w:eastAsia="MS Mincho" w:hAnsi="Times New Roman"/>
              <w:sz w:val="20"/>
              <w:i/>
              <w:iCs/>
            </w:rPr>
            <w:t>,
2026-05-21,
paskelbta TAR 2026-05-21, i. k. 2026-08567        </w:t>
          </w:r>
        </w:p>
        <w:p/>
        <w:p>
          <w:pPr>
            <w:pStyle w:val="PlainText"/>
            <w:rPr>
              <w:rFonts w:ascii="Times New Roman" w:eastAsia="MS Mincho" w:hAnsi="Times New Roman"/>
              <w:sz w:val="20"/>
              <w:iCs/>
            </w:rPr>
          </w:pPr>
          <w:r>
            <w:rPr>
              <w:rFonts w:ascii="Times New Roman" w:eastAsia="MS Mincho" w:hAnsi="Times New Roman"/>
              <w:sz w:val="20"/>
              <w:iCs/>
            </w:rPr>
            <w:t>PžP aprašo 19 priedas. 6.2-6.5 poveiklių Sveikatos centro sudėtyje teikiamų sveikatos priežiūros paslaugų infrastr6 (V-232)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1bf1d4211411f1a552c76556910e9c">
            <w:r w:rsidRPr="00532B9F">
              <w:rPr>
                <w:rFonts w:ascii="Times New Roman" w:eastAsia="MS Mincho" w:hAnsi="Times New Roman"/>
                <w:sz w:val="20"/>
                <w:i/>
                <w:iCs/>
                <w:color w:val="0000FF" w:themeColor="hyperlink"/>
                <w:u w:val="single"/>
              </w:rPr>
              <w:t>V-232</w:t>
            </w:r>
          </w:fldSimple>
          <w:r>
            <w:rPr>
              <w:rFonts w:ascii="Times New Roman" w:eastAsia="MS Mincho" w:hAnsi="Times New Roman"/>
              <w:sz w:val="20"/>
              <w:i/>
              <w:iCs/>
            </w:rPr>
            <w:t>,
2026-03-16,
paskelbta TAR 2026-03-16, i. k. 2026-04073        </w:t>
          </w:r>
        </w:p>
        <w:p/>
        <w:p>
          <w:pPr>
            <w:pStyle w:val="PlainText"/>
            <w:rPr>
              <w:rFonts w:ascii="Times New Roman" w:eastAsia="MS Mincho" w:hAnsi="Times New Roman"/>
              <w:sz w:val="20"/>
              <w:iCs/>
            </w:rPr>
          </w:pPr>
          <w:r>
            <w:rPr>
              <w:rFonts w:ascii="Times New Roman" w:eastAsia="MS Mincho" w:hAnsi="Times New Roman"/>
              <w:sz w:val="20"/>
              <w:iCs/>
            </w:rPr>
            <w:t>PžP aprašo 20 priedas. 4.4 poveiklės Sveikatos sektoriaus skaitmeninimo projektai_EuroHeart_ PFSA (V-540)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0683219b7d11efa605b9842742bf37">
            <w:r w:rsidRPr="00532B9F">
              <w:rPr>
                <w:rFonts w:ascii="Times New Roman" w:eastAsia="MS Mincho" w:hAnsi="Times New Roman"/>
                <w:sz w:val="20"/>
                <w:i/>
                <w:iCs/>
                <w:color w:val="0000FF" w:themeColor="hyperlink"/>
                <w:u w:val="single"/>
              </w:rPr>
              <w:t>V-1081</w:t>
            </w:r>
          </w:fldSimple>
          <w:r>
            <w:rPr>
              <w:rFonts w:ascii="Times New Roman" w:eastAsia="MS Mincho" w:hAnsi="Times New Roman"/>
              <w:sz w:val="20"/>
              <w:i/>
              <w:iCs/>
            </w:rPr>
            <w:t>,
2024-11-05,
paskelbta TAR 2024-11-05, i. k. 2024-19243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d2f2646e311f0b070ee7f1ceefc7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2025-06-11,
paskelbta TAR 2025-06-11, i. k. 2025-10635        </w:t>
          </w:r>
        </w:p>
        <w:p/>
        <w:p>
          <w:pPr>
            <w:pStyle w:val="PlainText"/>
            <w:rPr>
              <w:rFonts w:ascii="Times New Roman" w:eastAsia="MS Mincho" w:hAnsi="Times New Roman"/>
              <w:sz w:val="20"/>
              <w:iCs/>
            </w:rPr>
          </w:pPr>
          <w:r>
            <w:rPr>
              <w:rFonts w:ascii="Times New Roman" w:eastAsia="MS Mincho" w:hAnsi="Times New Roman"/>
              <w:sz w:val="20"/>
              <w:iCs/>
            </w:rPr>
            <w:t>PžP aprašo 21 priedas. 2.4-2.5 poveiklių Regionų ir savivaldybių sveikatos priežiūros įstaigų infrastruktūros mod7 (V-565)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3554035fc11f08fdabd4950271e2c">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2025-05-21,
paskelbta TAR 2025-05-21, i. k. 2025-08952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225131242a11f1a552c76556910e9c">
            <w:r w:rsidRPr="00532B9F">
              <w:rPr>
                <w:rFonts w:ascii="Times New Roman" w:eastAsia="MS Mincho" w:hAnsi="Times New Roman"/>
                <w:sz w:val="20"/>
                <w:i/>
                <w:iCs/>
                <w:color w:val="0000FF" w:themeColor="hyperlink"/>
                <w:u w:val="single"/>
              </w:rPr>
              <w:t>V-246</w:t>
            </w:r>
          </w:fldSimple>
          <w:r>
            <w:rPr>
              <w:rFonts w:ascii="Times New Roman" w:eastAsia="MS Mincho" w:hAnsi="Times New Roman"/>
              <w:sz w:val="20"/>
              <w:i/>
              <w:iCs/>
            </w:rPr>
            <w:t>,
2026-03-20,
paskelbta TAR 2026-03-20, i. k. 2026-04384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e432d160f311f1b53dfa020e517810">
            <w:r w:rsidRPr="00532B9F">
              <w:rPr>
                <w:rFonts w:ascii="Times New Roman" w:eastAsia="MS Mincho" w:hAnsi="Times New Roman"/>
                <w:sz w:val="20"/>
                <w:i/>
                <w:iCs/>
                <w:color w:val="0000FF" w:themeColor="hyperlink"/>
                <w:u w:val="single"/>
              </w:rPr>
              <w:t>V-565</w:t>
            </w:r>
          </w:fldSimple>
          <w:r>
            <w:rPr>
              <w:rFonts w:ascii="Times New Roman" w:eastAsia="MS Mincho" w:hAnsi="Times New Roman"/>
              <w:sz w:val="20"/>
              <w:i/>
              <w:iCs/>
            </w:rPr>
            <w:t>,
2026-06-05,
paskelbta TAR 2026-06-08, i. k. 2026-10076        </w:t>
          </w:r>
        </w:p>
        <w:p/>
        <w:p>
          <w:pPr>
            <w:pStyle w:val="PlainText"/>
            <w:rPr>
              <w:rFonts w:ascii="Times New Roman" w:eastAsia="MS Mincho" w:hAnsi="Times New Roman"/>
              <w:sz w:val="20"/>
              <w:iCs/>
            </w:rPr>
          </w:pPr>
          <w:r>
            <w:rPr>
              <w:rFonts w:ascii="Times New Roman" w:eastAsia="MS Mincho" w:hAnsi="Times New Roman"/>
              <w:sz w:val="20"/>
              <w:iCs/>
            </w:rPr>
            <w:t>PžP aprašo 22 priedas. 4.4 poveiklės Sveikatos sektoriaus skaitmeninimo projektai_PFSA (V-246)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225131242a11f1a552c76556910e9c">
            <w:r w:rsidRPr="00532B9F">
              <w:rPr>
                <w:rFonts w:ascii="Times New Roman" w:eastAsia="MS Mincho" w:hAnsi="Times New Roman"/>
                <w:sz w:val="20"/>
                <w:i/>
                <w:iCs/>
                <w:color w:val="0000FF" w:themeColor="hyperlink"/>
                <w:u w:val="single"/>
              </w:rPr>
              <w:t>V-246</w:t>
            </w:r>
          </w:fldSimple>
          <w:r>
            <w:rPr>
              <w:rFonts w:ascii="Times New Roman" w:eastAsia="MS Mincho" w:hAnsi="Times New Roman"/>
              <w:sz w:val="20"/>
              <w:i/>
              <w:iCs/>
            </w:rPr>
            <w:t>,
2026-03-20,
paskelbta TAR 2026-03-20, i. k. 2026-04384        </w:t>
          </w:r>
        </w:p>
        <w:p/>
        <w:p>
          <w:pPr>
            <w:pStyle w:val="PlainText"/>
            <w:rPr>
              <w:rFonts w:ascii="Times New Roman" w:eastAsia="MS Mincho" w:hAnsi="Times New Roman"/>
              <w:sz w:val="20"/>
              <w:iCs/>
            </w:rPr>
          </w:pPr>
          <w:r>
            <w:rPr>
              <w:rFonts w:ascii="Times New Roman" w:eastAsia="MS Mincho" w:hAnsi="Times New Roman"/>
              <w:sz w:val="20"/>
              <w:iCs/>
            </w:rPr>
            <w:t>PžP aprašo 23 priedas 3.3 poveiklės Inovatyvių specializuotų sveikatos priežiūros paslaugų teikimo ir organizavimo modelių kūrimas ir išbandymas_onkologija_PFSA (V-469)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7fb514d6a11f180c9c618618421ed">
            <w:r w:rsidRPr="00532B9F">
              <w:rPr>
                <w:rFonts w:ascii="Times New Roman" w:eastAsia="MS Mincho" w:hAnsi="Times New Roman"/>
                <w:sz w:val="20"/>
                <w:i/>
                <w:iCs/>
                <w:color w:val="0000FF" w:themeColor="hyperlink"/>
                <w:u w:val="single"/>
              </w:rPr>
              <w:t>V-469</w:t>
            </w:r>
          </w:fldSimple>
          <w:r>
            <w:rPr>
              <w:rFonts w:ascii="Times New Roman" w:eastAsia="MS Mincho" w:hAnsi="Times New Roman"/>
              <w:sz w:val="20"/>
              <w:i/>
              <w:iCs/>
            </w:rPr>
            <w:t>,
2026-05-11,
paskelbta TAR 2026-05-12, i. k. 2026-07927        </w:t>
          </w:r>
        </w:p>
        <w:p/>
        <w:p>
          <w:pPr>
            <w:pStyle w:val="PlainText"/>
            <w:rPr>
              <w:rFonts w:ascii="Times New Roman" w:eastAsia="MS Mincho" w:hAnsi="Times New Roman"/>
              <w:sz w:val="20"/>
              <w:iCs/>
            </w:rPr>
          </w:pPr>
          <w:r>
            <w:rPr>
              <w:rFonts w:ascii="Times New Roman" w:eastAsia="MS Mincho" w:hAnsi="Times New Roman"/>
              <w:sz w:val="20"/>
              <w:iCs/>
            </w:rPr>
            <w:t>PžP aprašo 24 priedas. 4.4 poveiklės Sveikatos sektoriaus skaitmeninimo projektai_RC_ PFSA (V-246)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225131242a11f1a552c76556910e9c">
            <w:r w:rsidRPr="00532B9F">
              <w:rPr>
                <w:rFonts w:ascii="Times New Roman" w:eastAsia="MS Mincho" w:hAnsi="Times New Roman"/>
                <w:sz w:val="20"/>
                <w:i/>
                <w:iCs/>
                <w:color w:val="0000FF" w:themeColor="hyperlink"/>
                <w:u w:val="single"/>
              </w:rPr>
              <w:t>V-246</w:t>
            </w:r>
          </w:fldSimple>
          <w:r>
            <w:rPr>
              <w:rFonts w:ascii="Times New Roman" w:eastAsia="MS Mincho" w:hAnsi="Times New Roman"/>
              <w:sz w:val="20"/>
              <w:i/>
              <w:iCs/>
            </w:rPr>
            <w:t>,
2026-03-20,
paskelbta TAR 2026-03-20, i. k. 2026-04384        </w:t>
          </w:r>
        </w:p>
        <w:p/>
        <w:p>
          <w:pPr>
            <w:pStyle w:val="PlainText"/>
            <w:rPr>
              <w:rFonts w:ascii="Times New Roman" w:eastAsia="MS Mincho" w:hAnsi="Times New Roman"/>
              <w:sz w:val="20"/>
              <w:iCs/>
            </w:rPr>
          </w:pPr>
          <w:r>
            <w:rPr>
              <w:rFonts w:ascii="Times New Roman" w:eastAsia="MS Mincho" w:hAnsi="Times New Roman"/>
              <w:sz w:val="20"/>
              <w:iCs/>
            </w:rPr>
            <w:t>PžP aprašo 25 priedas. 10.3 poveiklės Sveikatos priežiūros specialistų rengimas pritraukimas PFSA (V-469)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b79274ee8511ef8bf78f8ccc0e0474">
            <w:r w:rsidRPr="00532B9F">
              <w:rPr>
                <w:rFonts w:ascii="Times New Roman" w:eastAsia="MS Mincho" w:hAnsi="Times New Roman"/>
                <w:sz w:val="20"/>
                <w:i/>
                <w:iCs/>
                <w:color w:val="0000FF" w:themeColor="hyperlink"/>
                <w:u w:val="single"/>
              </w:rPr>
              <w:t>V-132</w:t>
            </w:r>
          </w:fldSimple>
          <w:r>
            <w:rPr>
              <w:rFonts w:ascii="Times New Roman" w:eastAsia="MS Mincho" w:hAnsi="Times New Roman"/>
              <w:sz w:val="20"/>
              <w:i/>
              <w:iCs/>
            </w:rPr>
            <w:t>,
2025-02-19,
paskelbta TAR 2025-02-19, i. k. 2025-02556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446a45c7c11f0a3d380837a821750">
            <w:r w:rsidRPr="00532B9F">
              <w:rPr>
                <w:rFonts w:ascii="Times New Roman" w:eastAsia="MS Mincho" w:hAnsi="Times New Roman"/>
                <w:sz w:val="20"/>
                <w:i/>
                <w:iCs/>
                <w:color w:val="0000FF" w:themeColor="hyperlink"/>
                <w:u w:val="single"/>
              </w:rPr>
              <w:t>V-623</w:t>
            </w:r>
          </w:fldSimple>
          <w:r>
            <w:rPr>
              <w:rFonts w:ascii="Times New Roman" w:eastAsia="MS Mincho" w:hAnsi="Times New Roman"/>
              <w:sz w:val="20"/>
              <w:i/>
              <w:iCs/>
            </w:rPr>
            <w:t>,
2025-07-09,
paskelbta TAR 2025-07-09, i. k. 2025-12503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9cee0a98311f0a34db2fbd35a03b2">
            <w:r w:rsidRPr="00532B9F">
              <w:rPr>
                <w:rFonts w:ascii="Times New Roman" w:eastAsia="MS Mincho" w:hAnsi="Times New Roman"/>
                <w:sz w:val="20"/>
                <w:i/>
                <w:iCs/>
                <w:color w:val="0000FF" w:themeColor="hyperlink"/>
                <w:u w:val="single"/>
              </w:rPr>
              <w:t>V-904</w:t>
            </w:r>
          </w:fldSimple>
          <w:r>
            <w:rPr>
              <w:rFonts w:ascii="Times New Roman" w:eastAsia="MS Mincho" w:hAnsi="Times New Roman"/>
              <w:sz w:val="20"/>
              <w:i/>
              <w:iCs/>
            </w:rPr>
            <w:t>,
2025-10-15,
paskelbta TAR 2025-10-15, i. k. 2025-17160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7fb514d6a11f180c9c618618421ed">
            <w:r w:rsidRPr="00532B9F">
              <w:rPr>
                <w:rFonts w:ascii="Times New Roman" w:eastAsia="MS Mincho" w:hAnsi="Times New Roman"/>
                <w:sz w:val="20"/>
                <w:i/>
                <w:iCs/>
                <w:color w:val="0000FF" w:themeColor="hyperlink"/>
                <w:u w:val="single"/>
              </w:rPr>
              <w:t>V-469</w:t>
            </w:r>
          </w:fldSimple>
          <w:r>
            <w:rPr>
              <w:rFonts w:ascii="Times New Roman" w:eastAsia="MS Mincho" w:hAnsi="Times New Roman"/>
              <w:sz w:val="20"/>
              <w:i/>
              <w:iCs/>
            </w:rPr>
            <w:t>,
2026-05-11,
paskelbta TAR 2026-05-12, i. k. 2026-07927        </w:t>
          </w:r>
        </w:p>
        <w:p/>
        <w:p>
          <w:pPr>
            <w:pStyle w:val="PlainText"/>
            <w:rPr>
              <w:rFonts w:ascii="Times New Roman" w:eastAsia="MS Mincho" w:hAnsi="Times New Roman"/>
              <w:sz w:val="20"/>
              <w:iCs/>
            </w:rPr>
          </w:pPr>
          <w:r>
            <w:rPr>
              <w:rFonts w:ascii="Times New Roman" w:eastAsia="MS Mincho" w:hAnsi="Times New Roman"/>
              <w:sz w:val="20"/>
              <w:iCs/>
            </w:rPr>
            <w:t>PžP aprašo 26 priedas. 7.1 poveiklė Ambulatorinių psichik. sveikatos pasl. ir psichosocialinės reabilitac. plėtrai8 (V-572)</w:t>
          </w:r>
        </w:p>
        <w:p/>
        <w:p>
          <w:pPr>
            <w:pStyle w:val="PlainText"/>
            <w:rPr>
              <w:rFonts w:ascii="Times New Roman" w:eastAsia="MS Mincho" w:hAnsi="Times New Roman"/>
              <w:sz w:val="20"/>
              <w:iCs/>
            </w:rPr>
          </w:pPr>
          <w:r>
            <w:rPr>
              <w:rFonts w:ascii="Times New Roman" w:eastAsia="MS Mincho" w:hAnsi="Times New Roman"/>
              <w:sz w:val="20"/>
              <w:iCs/>
            </w:rPr>
            <w:t>PžP aprašo 27 priedas. 6.8 poveiklės Inovatyvių PSPP teikimo ir organizavimo modelių kūrimas ir išbandymas VVL (V-469)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9621c01cb911ef8b14c5bcce136045">
            <w:r w:rsidRPr="00532B9F">
              <w:rPr>
                <w:rFonts w:ascii="Times New Roman" w:eastAsia="MS Mincho" w:hAnsi="Times New Roman"/>
                <w:sz w:val="20"/>
                <w:i/>
                <w:iCs/>
                <w:color w:val="0000FF" w:themeColor="hyperlink"/>
                <w:u w:val="single"/>
              </w:rPr>
              <w:t>V-594</w:t>
            </w:r>
          </w:fldSimple>
          <w:r>
            <w:rPr>
              <w:rFonts w:ascii="Times New Roman" w:eastAsia="MS Mincho" w:hAnsi="Times New Roman"/>
              <w:sz w:val="20"/>
              <w:i/>
              <w:iCs/>
            </w:rPr>
            <w:t>,
2024-05-28,
paskelbta TAR 2024-05-28, i. k. 2024-09518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7fb514d6a11f180c9c618618421ed">
            <w:r w:rsidRPr="00532B9F">
              <w:rPr>
                <w:rFonts w:ascii="Times New Roman" w:eastAsia="MS Mincho" w:hAnsi="Times New Roman"/>
                <w:sz w:val="20"/>
                <w:i/>
                <w:iCs/>
                <w:color w:val="0000FF" w:themeColor="hyperlink"/>
                <w:u w:val="single"/>
              </w:rPr>
              <w:t>V-469</w:t>
            </w:r>
          </w:fldSimple>
          <w:r>
            <w:rPr>
              <w:rFonts w:ascii="Times New Roman" w:eastAsia="MS Mincho" w:hAnsi="Times New Roman"/>
              <w:sz w:val="20"/>
              <w:i/>
              <w:iCs/>
            </w:rPr>
            <w:t>,
2026-05-11,
paskelbta TAR 2026-05-12, i. k. 2026-07927        </w:t>
          </w:r>
        </w:p>
        <w:p/>
        <w:p>
          <w:pPr>
            <w:pStyle w:val="PlainText"/>
            <w:rPr>
              <w:rFonts w:ascii="Times New Roman" w:eastAsia="MS Mincho" w:hAnsi="Times New Roman"/>
              <w:sz w:val="20"/>
              <w:iCs/>
            </w:rPr>
          </w:pPr>
          <w:r>
            <w:rPr>
              <w:rFonts w:ascii="Times New Roman" w:eastAsia="MS Mincho" w:hAnsi="Times New Roman"/>
              <w:sz w:val="20"/>
              <w:iCs/>
            </w:rPr>
            <w:t>PžP aprašo 28 priedas. 10.1-10.3 poveiklių Sveikatos priežiūros specialistų pasiūlos užtikrinimas PFSA (V-469)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7fb514d6a11f180c9c618618421ed">
            <w:r w:rsidRPr="00532B9F">
              <w:rPr>
                <w:rFonts w:ascii="Times New Roman" w:eastAsia="MS Mincho" w:hAnsi="Times New Roman"/>
                <w:sz w:val="20"/>
                <w:i/>
                <w:iCs/>
                <w:color w:val="0000FF" w:themeColor="hyperlink"/>
                <w:u w:val="single"/>
              </w:rPr>
              <w:t>V-469</w:t>
            </w:r>
          </w:fldSimple>
          <w:r>
            <w:rPr>
              <w:rFonts w:ascii="Times New Roman" w:eastAsia="MS Mincho" w:hAnsi="Times New Roman"/>
              <w:sz w:val="20"/>
              <w:i/>
              <w:iCs/>
            </w:rPr>
            <w:t>,
2026-05-11,
paskelbta TAR 2026-05-12, i. k. 2026-07927        </w:t>
          </w:r>
        </w:p>
        <w:p/>
        <w:p>
          <w:pPr>
            <w:pStyle w:val="PlainText"/>
            <w:rPr>
              <w:rFonts w:ascii="Times New Roman" w:eastAsia="MS Mincho" w:hAnsi="Times New Roman"/>
              <w:sz w:val="20"/>
              <w:iCs/>
            </w:rPr>
          </w:pPr>
          <w:r>
            <w:rPr>
              <w:rFonts w:ascii="Times New Roman" w:eastAsia="MS Mincho" w:hAnsi="Times New Roman"/>
              <w:sz w:val="20"/>
              <w:iCs/>
            </w:rPr>
            <w:t>PžP aprašo 29 priedas 7.4. veikla Projektų finansavimo sąlygų aprašas (V-608)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817906e7d11efa9a4c2046a78b308">
            <w:r w:rsidRPr="00532B9F">
              <w:rPr>
                <w:rFonts w:ascii="Times New Roman" w:eastAsia="MS Mincho" w:hAnsi="Times New Roman"/>
                <w:sz w:val="20"/>
                <w:i/>
                <w:iCs/>
                <w:color w:val="0000FF" w:themeColor="hyperlink"/>
                <w:u w:val="single"/>
              </w:rPr>
              <w:t>V-884</w:t>
            </w:r>
          </w:fldSimple>
          <w:r>
            <w:rPr>
              <w:rFonts w:ascii="Times New Roman" w:eastAsia="MS Mincho" w:hAnsi="Times New Roman"/>
              <w:sz w:val="20"/>
              <w:i/>
              <w:iCs/>
            </w:rPr>
            <w:t>,
2024-09-09,
paskelbta TAR 2024-09-09, i. k. 2024-15861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4cacb4559a11f0b070ee7f1ceefc75">
            <w:r w:rsidRPr="00532B9F">
              <w:rPr>
                <w:rFonts w:ascii="Times New Roman" w:eastAsia="MS Mincho" w:hAnsi="Times New Roman"/>
                <w:sz w:val="20"/>
                <w:i/>
                <w:iCs/>
                <w:color w:val="0000FF" w:themeColor="hyperlink"/>
                <w:u w:val="single"/>
              </w:rPr>
              <w:t>V-608</w:t>
            </w:r>
          </w:fldSimple>
          <w:r>
            <w:rPr>
              <w:rFonts w:ascii="Times New Roman" w:eastAsia="MS Mincho" w:hAnsi="Times New Roman"/>
              <w:sz w:val="20"/>
              <w:i/>
              <w:iCs/>
            </w:rPr>
            <w:t>,
2025-06-30,
paskelbta TAR 2025-06-30, i. k. 2025-11899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7fb514d6a11f180c9c618618421ed">
            <w:r w:rsidRPr="00532B9F">
              <w:rPr>
                <w:rFonts w:ascii="Times New Roman" w:eastAsia="MS Mincho" w:hAnsi="Times New Roman"/>
                <w:sz w:val="20"/>
                <w:i/>
                <w:iCs/>
                <w:color w:val="0000FF" w:themeColor="hyperlink"/>
                <w:u w:val="single"/>
              </w:rPr>
              <w:t>V-469</w:t>
            </w:r>
          </w:fldSimple>
          <w:r>
            <w:rPr>
              <w:rFonts w:ascii="Times New Roman" w:eastAsia="MS Mincho" w:hAnsi="Times New Roman"/>
              <w:sz w:val="20"/>
              <w:i/>
              <w:iCs/>
            </w:rPr>
            <w:t>,
2026-05-11,
paskelbta TAR 2026-05-12, i. k. 2026-07927        </w:t>
          </w:r>
        </w:p>
        <w:p/>
        <w:p>
          <w:pPr>
            <w:pStyle w:val="PlainText"/>
            <w:rPr>
              <w:rFonts w:ascii="Times New Roman" w:eastAsia="MS Mincho" w:hAnsi="Times New Roman"/>
              <w:sz w:val="20"/>
              <w:iCs/>
            </w:rPr>
          </w:pPr>
          <w:r>
            <w:rPr>
              <w:rFonts w:ascii="Times New Roman" w:eastAsia="MS Mincho" w:hAnsi="Times New Roman"/>
              <w:sz w:val="20"/>
              <w:iCs/>
            </w:rPr>
            <w:t>Priedas Nr. 30 (V-469)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183424264f11f08fdabd4950271e2c">
            <w:r w:rsidRPr="00532B9F">
              <w:rPr>
                <w:rFonts w:ascii="Times New Roman" w:eastAsia="MS Mincho" w:hAnsi="Times New Roman"/>
                <w:sz w:val="20"/>
                <w:i/>
                <w:iCs/>
                <w:color w:val="0000FF" w:themeColor="hyperlink"/>
                <w:u w:val="single"/>
              </w:rPr>
              <w:t>V-410</w:t>
            </w:r>
          </w:fldSimple>
          <w:r>
            <w:rPr>
              <w:rFonts w:ascii="Times New Roman" w:eastAsia="MS Mincho" w:hAnsi="Times New Roman"/>
              <w:sz w:val="20"/>
              <w:i/>
              <w:iCs/>
            </w:rPr>
            <w:t>,
2025-04-30,
paskelbta TAR 2025-05-02, i. k. 2025-07891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7fb514d6a11f180c9c618618421ed">
            <w:r w:rsidRPr="00532B9F">
              <w:rPr>
                <w:rFonts w:ascii="Times New Roman" w:eastAsia="MS Mincho" w:hAnsi="Times New Roman"/>
                <w:sz w:val="20"/>
                <w:i/>
                <w:iCs/>
                <w:color w:val="0000FF" w:themeColor="hyperlink"/>
                <w:u w:val="single"/>
              </w:rPr>
              <w:t>V-469</w:t>
            </w:r>
          </w:fldSimple>
          <w:r>
            <w:rPr>
              <w:rFonts w:ascii="Times New Roman" w:eastAsia="MS Mincho" w:hAnsi="Times New Roman"/>
              <w:sz w:val="20"/>
              <w:i/>
              <w:iCs/>
            </w:rPr>
            <w:t>,
2026-05-11,
paskelbta TAR 2026-05-12, i. k. 2026-07927        </w:t>
          </w:r>
        </w:p>
        <w:p/>
        <w:p>
          <w:pPr>
            <w:pStyle w:val="PlainText"/>
            <w:rPr>
              <w:rFonts w:ascii="Times New Roman" w:eastAsia="MS Mincho" w:hAnsi="Times New Roman"/>
              <w:sz w:val="20"/>
              <w:iCs/>
            </w:rPr>
          </w:pPr>
          <w:r>
            <w:rPr>
              <w:rFonts w:ascii="Times New Roman" w:eastAsia="MS Mincho" w:hAnsi="Times New Roman"/>
              <w:sz w:val="20"/>
              <w:iCs/>
            </w:rPr>
            <w:t>Priedas Nr. 31 (V-1183)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74a61ad4811ef90b5ee8931e5ce5e">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2024-11-28,
paskelbta TAR 2024-11-28, i. k. 2024-20709        </w:t>
          </w:r>
        </w:p>
        <w:p/>
        <w:p>
          <w:pPr>
            <w:pStyle w:val="PlainText"/>
            <w:rPr>
              <w:rFonts w:ascii="Times New Roman" w:eastAsia="MS Mincho" w:hAnsi="Times New Roman"/>
              <w:sz w:val="20"/>
              <w:iCs/>
            </w:rPr>
          </w:pPr>
          <w:r>
            <w:rPr>
              <w:rFonts w:ascii="Times New Roman" w:eastAsia="MS Mincho" w:hAnsi="Times New Roman"/>
              <w:sz w:val="20"/>
              <w:iCs/>
            </w:rPr>
            <w:t>32 priedas (V-469)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7dbe74f27011ef8bf78f8ccc0e0474">
            <w:r w:rsidRPr="00532B9F">
              <w:rPr>
                <w:rFonts w:ascii="Times New Roman" w:eastAsia="MS Mincho" w:hAnsi="Times New Roman"/>
                <w:sz w:val="20"/>
                <w:i/>
                <w:iCs/>
                <w:color w:val="0000FF" w:themeColor="hyperlink"/>
                <w:u w:val="single"/>
              </w:rPr>
              <w:t>V-142</w:t>
            </w:r>
          </w:fldSimple>
          <w:r>
            <w:rPr>
              <w:rFonts w:ascii="Times New Roman" w:eastAsia="MS Mincho" w:hAnsi="Times New Roman"/>
              <w:sz w:val="20"/>
              <w:i/>
              <w:iCs/>
            </w:rPr>
            <w:t>,
2025-02-24,
paskelbta TAR 2025-02-24, i. k. 2025-02872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aeb191066911f1b465ab875bcad79f">
            <w:r w:rsidRPr="00532B9F">
              <w:rPr>
                <w:rFonts w:ascii="Times New Roman" w:eastAsia="MS Mincho" w:hAnsi="Times New Roman"/>
                <w:sz w:val="20"/>
                <w:i/>
                <w:iCs/>
                <w:color w:val="0000FF" w:themeColor="hyperlink"/>
                <w:u w:val="single"/>
              </w:rPr>
              <w:t>V-114</w:t>
            </w:r>
          </w:fldSimple>
          <w:r>
            <w:rPr>
              <w:rFonts w:ascii="Times New Roman" w:eastAsia="MS Mincho" w:hAnsi="Times New Roman"/>
              <w:sz w:val="20"/>
              <w:i/>
              <w:iCs/>
            </w:rPr>
            <w:t>,
2026-02-10,
paskelbta TAR 2026-02-10, i. k. 2026-02057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7fb514d6a11f180c9c618618421ed">
            <w:r w:rsidRPr="00532B9F">
              <w:rPr>
                <w:rFonts w:ascii="Times New Roman" w:eastAsia="MS Mincho" w:hAnsi="Times New Roman"/>
                <w:sz w:val="20"/>
                <w:i/>
                <w:iCs/>
                <w:color w:val="0000FF" w:themeColor="hyperlink"/>
                <w:u w:val="single"/>
              </w:rPr>
              <w:t>V-469</w:t>
            </w:r>
          </w:fldSimple>
          <w:r>
            <w:rPr>
              <w:rFonts w:ascii="Times New Roman" w:eastAsia="MS Mincho" w:hAnsi="Times New Roman"/>
              <w:sz w:val="20"/>
              <w:i/>
              <w:iCs/>
            </w:rPr>
            <w:t>,
2026-05-11,
paskelbta TAR 2026-05-12, i. k. 2026-07927        </w:t>
          </w:r>
        </w:p>
        <w:p/>
        <w:p>
          <w:pPr>
            <w:pStyle w:val="PlainText"/>
            <w:rPr>
              <w:rFonts w:ascii="Times New Roman" w:eastAsia="MS Mincho" w:hAnsi="Times New Roman"/>
              <w:sz w:val="20"/>
              <w:iCs/>
            </w:rPr>
          </w:pPr>
          <w:r>
            <w:rPr>
              <w:rFonts w:ascii="Times New Roman" w:eastAsia="MS Mincho" w:hAnsi="Times New Roman"/>
              <w:sz w:val="20"/>
              <w:iCs/>
            </w:rPr>
            <w:t>33 priedas (V-37)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4da1b0415c11f0b070ee7f1ceefc75">
            <w:r w:rsidRPr="00532B9F">
              <w:rPr>
                <w:rFonts w:ascii="Times New Roman" w:eastAsia="MS Mincho" w:hAnsi="Times New Roman"/>
                <w:sz w:val="20"/>
                <w:i/>
                <w:iCs/>
                <w:color w:val="0000FF" w:themeColor="hyperlink"/>
                <w:u w:val="single"/>
              </w:rPr>
              <w:t>V-517</w:t>
            </w:r>
          </w:fldSimple>
          <w:r>
            <w:rPr>
              <w:rFonts w:ascii="Times New Roman" w:eastAsia="MS Mincho" w:hAnsi="Times New Roman"/>
              <w:sz w:val="20"/>
              <w:i/>
              <w:iCs/>
            </w:rPr>
            <w:t>,
2025-06-04,
paskelbta TAR 2025-06-04, i. k. 2025-10188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1f9e1f29011f09cfce49e7aeb76fe">
            <w:r w:rsidRPr="00532B9F">
              <w:rPr>
                <w:rFonts w:ascii="Times New Roman" w:eastAsia="MS Mincho" w:hAnsi="Times New Roman"/>
                <w:sz w:val="20"/>
                <w:i/>
                <w:iCs/>
                <w:color w:val="0000FF" w:themeColor="hyperlink"/>
                <w:u w:val="single"/>
              </w:rPr>
              <w:t>V-37</w:t>
            </w:r>
          </w:fldSimple>
          <w:r>
            <w:rPr>
              <w:rFonts w:ascii="Times New Roman" w:eastAsia="MS Mincho" w:hAnsi="Times New Roman"/>
              <w:sz w:val="20"/>
              <w:i/>
              <w:iCs/>
            </w:rPr>
            <w:t>,
2026-01-16,
paskelbta TAR 2026-01-16, i. k. 2026-00540        </w:t>
          </w:r>
        </w:p>
        <w:p/>
        <w:p>
          <w:pPr>
            <w:pStyle w:val="PlainText"/>
            <w:rPr>
              <w:rFonts w:ascii="Times New Roman" w:eastAsia="MS Mincho" w:hAnsi="Times New Roman"/>
              <w:sz w:val="20"/>
              <w:iCs/>
            </w:rPr>
          </w:pPr>
          <w:r>
            <w:rPr>
              <w:rFonts w:ascii="Times New Roman" w:eastAsia="MS Mincho" w:hAnsi="Times New Roman"/>
              <w:sz w:val="20"/>
              <w:iCs/>
            </w:rPr>
            <w:t>34 priedas (V-469)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504276557811f0b070ee7f1ceefc75">
            <w:r w:rsidRPr="00532B9F">
              <w:rPr>
                <w:rFonts w:ascii="Times New Roman" w:eastAsia="MS Mincho" w:hAnsi="Times New Roman"/>
                <w:sz w:val="20"/>
                <w:i/>
                <w:iCs/>
                <w:color w:val="0000FF" w:themeColor="hyperlink"/>
                <w:u w:val="single"/>
              </w:rPr>
              <w:t>V-605</w:t>
            </w:r>
          </w:fldSimple>
          <w:r>
            <w:rPr>
              <w:rFonts w:ascii="Times New Roman" w:eastAsia="MS Mincho" w:hAnsi="Times New Roman"/>
              <w:sz w:val="20"/>
              <w:i/>
              <w:iCs/>
            </w:rPr>
            <w:t>,
2025-06-30,
paskelbta TAR 2025-06-30, i. k. 2025-11856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4a840c50711f0bf10920ce8b0026c">
            <w:r w:rsidRPr="00532B9F">
              <w:rPr>
                <w:rFonts w:ascii="Times New Roman" w:eastAsia="MS Mincho" w:hAnsi="Times New Roman"/>
                <w:sz w:val="20"/>
                <w:i/>
                <w:iCs/>
                <w:color w:val="0000FF" w:themeColor="hyperlink"/>
                <w:u w:val="single"/>
              </w:rPr>
              <w:t>V-1030</w:t>
            </w:r>
          </w:fldSimple>
          <w:r>
            <w:rPr>
              <w:rFonts w:ascii="Times New Roman" w:eastAsia="MS Mincho" w:hAnsi="Times New Roman"/>
              <w:sz w:val="20"/>
              <w:i/>
              <w:iCs/>
            </w:rPr>
            <w:t>,
2025-11-19,
paskelbta TAR 2025-11-19, i. k. 2025-19267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7fb514d6a11f180c9c618618421ed">
            <w:r w:rsidRPr="00532B9F">
              <w:rPr>
                <w:rFonts w:ascii="Times New Roman" w:eastAsia="MS Mincho" w:hAnsi="Times New Roman"/>
                <w:sz w:val="20"/>
                <w:i/>
                <w:iCs/>
                <w:color w:val="0000FF" w:themeColor="hyperlink"/>
                <w:u w:val="single"/>
              </w:rPr>
              <w:t>V-469</w:t>
            </w:r>
          </w:fldSimple>
          <w:r>
            <w:rPr>
              <w:rFonts w:ascii="Times New Roman" w:eastAsia="MS Mincho" w:hAnsi="Times New Roman"/>
              <w:sz w:val="20"/>
              <w:i/>
              <w:iCs/>
            </w:rPr>
            <w:t>,
2026-05-11,
paskelbta TAR 2026-05-12, i. k. 2026-07927        </w:t>
          </w:r>
        </w:p>
        <w:p/>
        <w:p>
          <w:pPr>
            <w:pStyle w:val="PlainText"/>
            <w:rPr>
              <w:rFonts w:ascii="Times New Roman" w:eastAsia="MS Mincho" w:hAnsi="Times New Roman"/>
              <w:sz w:val="20"/>
              <w:iCs/>
            </w:rPr>
          </w:pPr>
          <w:r>
            <w:rPr>
              <w:rFonts w:ascii="Times New Roman" w:eastAsia="MS Mincho" w:hAnsi="Times New Roman"/>
              <w:sz w:val="20"/>
              <w:iCs/>
            </w:rPr>
            <w:t>35 priedas (V-197)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fd475118c611f1a552c76556910e9c">
            <w:r w:rsidRPr="00532B9F">
              <w:rPr>
                <w:rFonts w:ascii="Times New Roman" w:eastAsia="MS Mincho" w:hAnsi="Times New Roman"/>
                <w:sz w:val="20"/>
                <w:i/>
                <w:iCs/>
                <w:color w:val="0000FF" w:themeColor="hyperlink"/>
                <w:u w:val="single"/>
              </w:rPr>
              <w:t>V-197</w:t>
            </w:r>
          </w:fldSimple>
          <w:r>
            <w:rPr>
              <w:rFonts w:ascii="Times New Roman" w:eastAsia="MS Mincho" w:hAnsi="Times New Roman"/>
              <w:sz w:val="20"/>
              <w:i/>
              <w:iCs/>
            </w:rPr>
            <w:t>,
2026-03-05,
paskelbta TAR 2026-03-05, i. k. 2026-03631        </w:t>
          </w:r>
        </w:p>
        <w:p/>
        <w:p>
          <w:pPr>
            <w:pStyle w:val="PlainText"/>
            <w:rPr>
              <w:rFonts w:ascii="Times New Roman" w:eastAsia="MS Mincho" w:hAnsi="Times New Roman"/>
              <w:sz w:val="20"/>
              <w:iCs/>
            </w:rPr>
          </w:pPr>
          <w:r>
            <w:rPr>
              <w:rFonts w:ascii="Times New Roman" w:eastAsia="MS Mincho" w:hAnsi="Times New Roman"/>
              <w:sz w:val="20"/>
              <w:iCs/>
            </w:rPr>
            <w:t>36 priedas  (V-430)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55e056421f11f180c9c618618421ed">
            <w:r w:rsidRPr="00532B9F">
              <w:rPr>
                <w:rFonts w:ascii="Times New Roman" w:eastAsia="MS Mincho" w:hAnsi="Times New Roman"/>
                <w:sz w:val="20"/>
                <w:i/>
                <w:iCs/>
                <w:color w:val="0000FF" w:themeColor="hyperlink"/>
                <w:u w:val="single"/>
              </w:rPr>
              <w:t>V-430</w:t>
            </w:r>
          </w:fldSimple>
          <w:r>
            <w:rPr>
              <w:rFonts w:ascii="Times New Roman" w:eastAsia="MS Mincho" w:hAnsi="Times New Roman"/>
              <w:sz w:val="20"/>
              <w:i/>
              <w:iCs/>
            </w:rPr>
            <w:t>,
2026-04-27,
paskelbta TAR 2026-04-27, i. k. 2026-06854        </w:t>
          </w:r>
        </w:p>
        <w:p/>
        <w:p>
          <w:pPr>
            <w:pStyle w:val="PlainText"/>
            <w:rPr>
              <w:rFonts w:ascii="Times New Roman" w:eastAsia="MS Mincho" w:hAnsi="Times New Roman"/>
              <w:sz w:val="20"/>
              <w:iCs/>
            </w:rPr>
          </w:pPr>
          <w:r>
            <w:rPr>
              <w:rFonts w:ascii="Times New Roman" w:eastAsia="MS Mincho" w:hAnsi="Times New Roman"/>
              <w:sz w:val="20"/>
              <w:iCs/>
            </w:rPr>
            <w:t>37 priedas (V-442)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ca296643fc11f180c9c618618421ed">
            <w:r w:rsidRPr="00532B9F">
              <w:rPr>
                <w:rFonts w:ascii="Times New Roman" w:eastAsia="MS Mincho" w:hAnsi="Times New Roman"/>
                <w:sz w:val="20"/>
                <w:i/>
                <w:iCs/>
                <w:color w:val="0000FF" w:themeColor="hyperlink"/>
                <w:u w:val="single"/>
              </w:rPr>
              <w:t>V-442</w:t>
            </w:r>
          </w:fldSimple>
          <w:r>
            <w:rPr>
              <w:rFonts w:ascii="Times New Roman" w:eastAsia="MS Mincho" w:hAnsi="Times New Roman"/>
              <w:sz w:val="20"/>
              <w:i/>
              <w:iCs/>
            </w:rPr>
            <w:t>,
2026-04-29,
paskelbta TAR 2026-04-30, i. k. 2026-07116        </w:t>
          </w:r>
        </w:p>
        <w:p/>
        <w:p>
          <w:pPr>
            <w:pStyle w:val="PlainText"/>
            <w:rPr>
              <w:rFonts w:ascii="Times New Roman" w:eastAsia="MS Mincho" w:hAnsi="Times New Roman"/>
              <w:sz w:val="20"/>
              <w:iCs/>
            </w:rPr>
          </w:pPr>
          <w:r>
            <w:rPr>
              <w:rFonts w:ascii="Times New Roman" w:eastAsia="MS Mincho" w:hAnsi="Times New Roman"/>
              <w:sz w:val="20"/>
              <w:iCs/>
            </w:rPr>
            <w:t>38 priedas (V-452)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701316453d11f180c9c618618421ed">
            <w:r w:rsidRPr="00532B9F">
              <w:rPr>
                <w:rFonts w:ascii="Times New Roman" w:eastAsia="MS Mincho" w:hAnsi="Times New Roman"/>
                <w:sz w:val="20"/>
                <w:i/>
                <w:iCs/>
                <w:color w:val="0000FF" w:themeColor="hyperlink"/>
                <w:u w:val="single"/>
              </w:rPr>
              <w:t>V-452</w:t>
            </w:r>
          </w:fldSimple>
          <w:r>
            <w:rPr>
              <w:rFonts w:ascii="Times New Roman" w:eastAsia="MS Mincho" w:hAnsi="Times New Roman"/>
              <w:sz w:val="20"/>
              <w:i/>
              <w:iCs/>
            </w:rPr>
            <w:t>,
2026-04-30,
paskelbta TAR 2026-05-03, i. k. 2026-07248        </w:t>
          </w:r>
        </w:p>
        <w:p/>
        <w:p>
          <w:pPr>
            <w:pStyle w:val="PlainText"/>
            <w:rPr>
              <w:rFonts w:ascii="Times New Roman" w:eastAsia="MS Mincho" w:hAnsi="Times New Roman"/>
              <w:sz w:val="20"/>
              <w:iCs/>
            </w:rPr>
          </w:pPr>
          <w:r>
            <w:rPr>
              <w:rFonts w:ascii="Times New Roman" w:eastAsia="MS Mincho" w:hAnsi="Times New Roman"/>
              <w:sz w:val="20"/>
              <w:iCs/>
            </w:rPr>
            <w:t>39 priedas (V-452)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701316453d11f180c9c618618421ed">
            <w:r w:rsidRPr="00532B9F">
              <w:rPr>
                <w:rFonts w:ascii="Times New Roman" w:eastAsia="MS Mincho" w:hAnsi="Times New Roman"/>
                <w:sz w:val="20"/>
                <w:i/>
                <w:iCs/>
                <w:color w:val="0000FF" w:themeColor="hyperlink"/>
                <w:u w:val="single"/>
              </w:rPr>
              <w:t>V-452</w:t>
            </w:r>
          </w:fldSimple>
          <w:r>
            <w:rPr>
              <w:rFonts w:ascii="Times New Roman" w:eastAsia="MS Mincho" w:hAnsi="Times New Roman"/>
              <w:sz w:val="20"/>
              <w:i/>
              <w:iCs/>
            </w:rPr>
            <w:t>,
2026-04-30,
paskelbta TAR 2026-05-03, i. k. 2026-07248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7fb514d6a11f180c9c618618421ed">
            <w:r w:rsidRPr="00532B9F">
              <w:rPr>
                <w:rFonts w:ascii="Times New Roman" w:eastAsia="MS Mincho" w:hAnsi="Times New Roman"/>
                <w:sz w:val="20"/>
                <w:i/>
                <w:iCs/>
                <w:color w:val="0000FF" w:themeColor="hyperlink"/>
                <w:u w:val="single"/>
              </w:rPr>
              <w:t>V-469</w:t>
            </w:r>
          </w:fldSimple>
          <w:r>
            <w:rPr>
              <w:rFonts w:ascii="Times New Roman" w:eastAsia="MS Mincho" w:hAnsi="Times New Roman"/>
              <w:sz w:val="20"/>
              <w:i/>
              <w:iCs/>
            </w:rPr>
            <w:t>,
2026-05-11,
paskelbta TAR 2026-05-12, i. k. 2026-07927        </w:t>
          </w:r>
        </w:p>
        <w:p/>
        <w:p>
          <w:pPr>
            <w:pStyle w:val="PlainText"/>
            <w:rPr>
              <w:rFonts w:ascii="Times New Roman" w:eastAsia="MS Mincho" w:hAnsi="Times New Roman"/>
              <w:sz w:val="20"/>
              <w:iCs/>
            </w:rPr>
          </w:pPr>
          <w:r>
            <w:rPr>
              <w:rFonts w:ascii="Times New Roman" w:eastAsia="MS Mincho" w:hAnsi="Times New Roman"/>
              <w:sz w:val="20"/>
              <w:iCs/>
            </w:rPr>
            <w:t>40 priedas (V-607)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958ae66ed211f1b53dfa020e517810">
            <w:r w:rsidRPr="00532B9F">
              <w:rPr>
                <w:rFonts w:ascii="Times New Roman" w:eastAsia="MS Mincho" w:hAnsi="Times New Roman"/>
                <w:sz w:val="20"/>
                <w:i/>
                <w:iCs/>
                <w:color w:val="0000FF" w:themeColor="hyperlink"/>
                <w:u w:val="single"/>
              </w:rPr>
              <w:t>V-607</w:t>
            </w:r>
          </w:fldSimple>
          <w:r>
            <w:rPr>
              <w:rFonts w:ascii="Times New Roman" w:eastAsia="MS Mincho" w:hAnsi="Times New Roman"/>
              <w:sz w:val="20"/>
              <w:i/>
              <w:iCs/>
            </w:rPr>
            <w:t>,
2026-06-23,
paskelbta TAR 2026-06-23, i. k. 2026-10792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80390b98d11ed8df094f359a60216">
            <w:r w:rsidRPr="00532B9F">
              <w:rPr>
                <w:rFonts w:ascii="Times New Roman" w:eastAsia="MS Mincho" w:hAnsi="Times New Roman"/>
                <w:sz w:val="20"/>
                <w:iCs/>
                <w:color w:val="0000FF" w:themeColor="hyperlink"/>
                <w:u w:val="single"/>
              </w:rPr>
              <w:t>V-294</w:t>
            </w:r>
          </w:fldSimple>
          <w:r>
            <w:rPr>
              <w:rFonts w:ascii="Times New Roman" w:eastAsia="MS Mincho" w:hAnsi="Times New Roman"/>
              <w:sz w:val="20"/>
              <w:iCs/>
            </w:rPr>
            <w:t>,
2023-03-03,
paskelbta TAR 2023-03-03, i. k. 2023-03954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8f6f0d43611ed9978886e85107ab2">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2023-04-06,
paskelbta TAR 2023-04-06, i. k. 2023-06655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cacd0d49611ed9978886e85107ab2">
            <w:r w:rsidRPr="00532B9F">
              <w:rPr>
                <w:rFonts w:ascii="Times New Roman" w:eastAsia="MS Mincho" w:hAnsi="Times New Roman"/>
                <w:sz w:val="20"/>
                <w:iCs/>
                <w:color w:val="0000FF" w:themeColor="hyperlink"/>
                <w:u w:val="single"/>
              </w:rPr>
              <w:t>V-420</w:t>
            </w:r>
          </w:fldSimple>
          <w:r>
            <w:rPr>
              <w:rFonts w:ascii="Times New Roman" w:eastAsia="MS Mincho" w:hAnsi="Times New Roman"/>
              <w:sz w:val="20"/>
              <w:iCs/>
            </w:rPr>
            <w:t>,
2023-04-06,
paskelbta TAR 2023-04-06, i. k. 2023-06762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1f2100f61311ed9978886e85107ab2">
            <w:r w:rsidRPr="00532B9F">
              <w:rPr>
                <w:rFonts w:ascii="Times New Roman" w:eastAsia="MS Mincho" w:hAnsi="Times New Roman"/>
                <w:sz w:val="20"/>
                <w:iCs/>
                <w:color w:val="0000FF" w:themeColor="hyperlink"/>
                <w:u w:val="single"/>
              </w:rPr>
              <w:t>V-565</w:t>
            </w:r>
          </w:fldSimple>
          <w:r>
            <w:rPr>
              <w:rFonts w:ascii="Times New Roman" w:eastAsia="MS Mincho" w:hAnsi="Times New Roman"/>
              <w:sz w:val="20"/>
              <w:iCs/>
            </w:rPr>
            <w:t>,
2023-05-19,
paskelbta TAR 2023-05-19, i. k. 2023-09467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acc6c0fb7b11ed9978886e85107ab2">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2023-05-26,
paskelbta TAR 2023-05-26, i. k. 2023-10022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633f2009da11ee9978886e85107ab2">
            <w:r w:rsidRPr="00532B9F">
              <w:rPr>
                <w:rFonts w:ascii="Times New Roman" w:eastAsia="MS Mincho" w:hAnsi="Times New Roman"/>
                <w:sz w:val="20"/>
                <w:iCs/>
                <w:color w:val="0000FF" w:themeColor="hyperlink"/>
                <w:u w:val="single"/>
              </w:rPr>
              <w:t>V-668</w:t>
            </w:r>
          </w:fldSimple>
          <w:r>
            <w:rPr>
              <w:rFonts w:ascii="Times New Roman" w:eastAsia="MS Mincho" w:hAnsi="Times New Roman"/>
              <w:sz w:val="20"/>
              <w:iCs/>
            </w:rPr>
            <w:t>,
2023-06-12,
paskelbta TAR 2023-06-13, i. k. 2023-11741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2a51d0168811ee9f7ec2ffce8b47bc">
            <w:r w:rsidRPr="00532B9F">
              <w:rPr>
                <w:rFonts w:ascii="Times New Roman" w:eastAsia="MS Mincho" w:hAnsi="Times New Roman"/>
                <w:sz w:val="20"/>
                <w:iCs/>
                <w:color w:val="0000FF" w:themeColor="hyperlink"/>
                <w:u w:val="single"/>
              </w:rPr>
              <w:t>V-745</w:t>
            </w:r>
          </w:fldSimple>
          <w:r>
            <w:rPr>
              <w:rFonts w:ascii="Times New Roman" w:eastAsia="MS Mincho" w:hAnsi="Times New Roman"/>
              <w:sz w:val="20"/>
              <w:iCs/>
            </w:rPr>
            <w:t>,
2023-06-29,
paskelbta TAR 2023-06-29, i. k. 2023-13199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21ab70218411ee9de9e7e0fd363afc">
            <w:r w:rsidRPr="00532B9F">
              <w:rPr>
                <w:rFonts w:ascii="Times New Roman" w:eastAsia="MS Mincho" w:hAnsi="Times New Roman"/>
                <w:sz w:val="20"/>
                <w:iCs/>
                <w:color w:val="0000FF" w:themeColor="hyperlink"/>
                <w:u w:val="single"/>
              </w:rPr>
              <w:t>V-806</w:t>
            </w:r>
          </w:fldSimple>
          <w:r>
            <w:rPr>
              <w:rFonts w:ascii="Times New Roman" w:eastAsia="MS Mincho" w:hAnsi="Times New Roman"/>
              <w:sz w:val="20"/>
              <w:iCs/>
            </w:rPr>
            <w:t>,
2023-07-13,
paskelbta TAR 2023-07-13, i. k. 2023-14577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8e0a50263f11ee9de9e7e0fd363afc">
            <w:r w:rsidRPr="00532B9F">
              <w:rPr>
                <w:rFonts w:ascii="Times New Roman" w:eastAsia="MS Mincho" w:hAnsi="Times New Roman"/>
                <w:sz w:val="20"/>
                <w:iCs/>
                <w:color w:val="0000FF" w:themeColor="hyperlink"/>
                <w:u w:val="single"/>
              </w:rPr>
              <w:t>V-822</w:t>
            </w:r>
          </w:fldSimple>
          <w:r>
            <w:rPr>
              <w:rFonts w:ascii="Times New Roman" w:eastAsia="MS Mincho" w:hAnsi="Times New Roman"/>
              <w:sz w:val="20"/>
              <w:iCs/>
            </w:rPr>
            <w:t>,
2023-07-19,
paskelbta TAR 2023-07-19, i. k. 2023-14870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2dc1c0311f11ee9de9e7e0fd363afc">
            <w:r w:rsidRPr="00532B9F">
              <w:rPr>
                <w:rFonts w:ascii="Times New Roman" w:eastAsia="MS Mincho" w:hAnsi="Times New Roman"/>
                <w:sz w:val="20"/>
                <w:iCs/>
                <w:color w:val="0000FF" w:themeColor="hyperlink"/>
                <w:u w:val="single"/>
              </w:rPr>
              <w:t>V-890</w:t>
            </w:r>
          </w:fldSimple>
          <w:r>
            <w:rPr>
              <w:rFonts w:ascii="Times New Roman" w:eastAsia="MS Mincho" w:hAnsi="Times New Roman"/>
              <w:sz w:val="20"/>
              <w:iCs/>
            </w:rPr>
            <w:t>,
2023-08-02,
paskelbta TAR 2023-08-02, i. k. 2023-15650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3e025047fe11ee9de9e7e0fd363afc">
            <w:r w:rsidRPr="00532B9F">
              <w:rPr>
                <w:rFonts w:ascii="Times New Roman" w:eastAsia="MS Mincho" w:hAnsi="Times New Roman"/>
                <w:sz w:val="20"/>
                <w:iCs/>
                <w:color w:val="0000FF" w:themeColor="hyperlink"/>
                <w:u w:val="single"/>
              </w:rPr>
              <w:t>V-948</w:t>
            </w:r>
          </w:fldSimple>
          <w:r>
            <w:rPr>
              <w:rFonts w:ascii="Times New Roman" w:eastAsia="MS Mincho" w:hAnsi="Times New Roman"/>
              <w:sz w:val="20"/>
              <w:iCs/>
            </w:rPr>
            <w:t>,
2023-08-31,
paskelbta TAR 2023-08-31, i. k. 2023-17204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692ae053a011ee81b8b446907f594f">
            <w:r w:rsidRPr="00532B9F">
              <w:rPr>
                <w:rFonts w:ascii="Times New Roman" w:eastAsia="MS Mincho" w:hAnsi="Times New Roman"/>
                <w:sz w:val="20"/>
                <w:iCs/>
                <w:color w:val="0000FF" w:themeColor="hyperlink"/>
                <w:u w:val="single"/>
              </w:rPr>
              <w:t>V-1005</w:t>
            </w:r>
          </w:fldSimple>
          <w:r>
            <w:rPr>
              <w:rFonts w:ascii="Times New Roman" w:eastAsia="MS Mincho" w:hAnsi="Times New Roman"/>
              <w:sz w:val="20"/>
              <w:iCs/>
            </w:rPr>
            <w:t>,
2023-09-15,
paskelbta TAR 2023-09-15, i. k. 2023-18231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db8f705e1011ee81b8b446907f594f">
            <w:r w:rsidRPr="00532B9F">
              <w:rPr>
                <w:rFonts w:ascii="Times New Roman" w:eastAsia="MS Mincho" w:hAnsi="Times New Roman"/>
                <w:sz w:val="20"/>
                <w:iCs/>
                <w:color w:val="0000FF" w:themeColor="hyperlink"/>
                <w:u w:val="single"/>
              </w:rPr>
              <w:t>V-1043</w:t>
            </w:r>
          </w:fldSimple>
          <w:r>
            <w:rPr>
              <w:rFonts w:ascii="Times New Roman" w:eastAsia="MS Mincho" w:hAnsi="Times New Roman"/>
              <w:sz w:val="20"/>
              <w:iCs/>
            </w:rPr>
            <w:t>,
2023-09-28,
paskelbta TAR 2023-09-28, i. k. 2023-18954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ae5ed0629411eebc77e58877a83c4e">
            <w:r w:rsidRPr="00532B9F">
              <w:rPr>
                <w:rFonts w:ascii="Times New Roman" w:eastAsia="MS Mincho" w:hAnsi="Times New Roman"/>
                <w:sz w:val="20"/>
                <w:iCs/>
                <w:color w:val="0000FF" w:themeColor="hyperlink"/>
                <w:u w:val="single"/>
              </w:rPr>
              <w:t>V-1052</w:t>
            </w:r>
          </w:fldSimple>
          <w:r>
            <w:rPr>
              <w:rFonts w:ascii="Times New Roman" w:eastAsia="MS Mincho" w:hAnsi="Times New Roman"/>
              <w:sz w:val="20"/>
              <w:iCs/>
            </w:rPr>
            <w:t>,
2023-10-04,
paskelbta TAR 2023-10-04, i. k. 2023-19515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5756d0636511ee9fc7ee37cec6fc59">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2023-10-05,
paskelbta TAR 2023-10-05, i. k. 2023-19677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168000674111ee9fc7ee37cec6fc59">
            <w:r w:rsidRPr="00532B9F">
              <w:rPr>
                <w:rFonts w:ascii="Times New Roman" w:eastAsia="MS Mincho" w:hAnsi="Times New Roman"/>
                <w:sz w:val="20"/>
                <w:iCs/>
                <w:color w:val="0000FF" w:themeColor="hyperlink"/>
                <w:u w:val="single"/>
              </w:rPr>
              <w:t>V-1076</w:t>
            </w:r>
          </w:fldSimple>
          <w:r>
            <w:rPr>
              <w:rFonts w:ascii="Times New Roman" w:eastAsia="MS Mincho" w:hAnsi="Times New Roman"/>
              <w:sz w:val="20"/>
              <w:iCs/>
            </w:rPr>
            <w:t>,
2023-10-10,
paskelbta TAR 2023-10-10, i. k. 2023-19971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f00a106e4111ee8f3cbca2fb16d96d">
            <w:r w:rsidRPr="00532B9F">
              <w:rPr>
                <w:rFonts w:ascii="Times New Roman" w:eastAsia="MS Mincho" w:hAnsi="Times New Roman"/>
                <w:sz w:val="20"/>
                <w:iCs/>
                <w:color w:val="0000FF" w:themeColor="hyperlink"/>
                <w:u w:val="single"/>
              </w:rPr>
              <w:t>V-1098</w:t>
            </w:r>
          </w:fldSimple>
          <w:r>
            <w:rPr>
              <w:rFonts w:ascii="Times New Roman" w:eastAsia="MS Mincho" w:hAnsi="Times New Roman"/>
              <w:sz w:val="20"/>
              <w:iCs/>
            </w:rPr>
            <w:t>,
2023-10-19,
paskelbta TAR 2023-10-19, i. k. 2023-20433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d597a07c0811eea5a28c81c82193a8">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2023-11-03,
paskelbta TAR 2023-11-06, i. k. 2023-21542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dd4a60895311eea5a28c81c82193a8">
            <w:r w:rsidRPr="00532B9F">
              <w:rPr>
                <w:rFonts w:ascii="Times New Roman" w:eastAsia="MS Mincho" w:hAnsi="Times New Roman"/>
                <w:sz w:val="20"/>
                <w:iCs/>
                <w:color w:val="0000FF" w:themeColor="hyperlink"/>
                <w:u w:val="single"/>
              </w:rPr>
              <w:t>V-1212</w:t>
            </w:r>
          </w:fldSimple>
          <w:r>
            <w:rPr>
              <w:rFonts w:ascii="Times New Roman" w:eastAsia="MS Mincho" w:hAnsi="Times New Roman"/>
              <w:sz w:val="20"/>
              <w:iCs/>
            </w:rPr>
            <w:t>,
2023-11-22,
paskelbta TAR 2023-11-22, i. k. 2023-22499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ec3f40a0f111eea5a28c81c82193a8">
            <w:r w:rsidRPr="00532B9F">
              <w:rPr>
                <w:rFonts w:ascii="Times New Roman" w:eastAsia="MS Mincho" w:hAnsi="Times New Roman"/>
                <w:sz w:val="20"/>
                <w:iCs/>
                <w:color w:val="0000FF" w:themeColor="hyperlink"/>
                <w:u w:val="single"/>
              </w:rPr>
              <w:t>V-1375</w:t>
            </w:r>
          </w:fldSimple>
          <w:r>
            <w:rPr>
              <w:rFonts w:ascii="Times New Roman" w:eastAsia="MS Mincho" w:hAnsi="Times New Roman"/>
              <w:sz w:val="20"/>
              <w:iCs/>
            </w:rPr>
            <w:t>,
2023-12-22,
paskelbta TAR 2023-12-22, i. k. 2023-25268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bec530ae3111eea5a28c81c82193a8">
            <w:r w:rsidRPr="00532B9F">
              <w:rPr>
                <w:rFonts w:ascii="Times New Roman" w:eastAsia="MS Mincho" w:hAnsi="Times New Roman"/>
                <w:sz w:val="20"/>
                <w:iCs/>
                <w:color w:val="0000FF" w:themeColor="hyperlink"/>
                <w:u w:val="single"/>
              </w:rPr>
              <w:t>V-24</w:t>
            </w:r>
          </w:fldSimple>
          <w:r>
            <w:rPr>
              <w:rFonts w:ascii="Times New Roman" w:eastAsia="MS Mincho" w:hAnsi="Times New Roman"/>
              <w:sz w:val="20"/>
              <w:iCs/>
            </w:rPr>
            <w:t>,
2024-01-08,
paskelbta TAR 2024-01-08, i. k. 2024-00270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31ecd0b60511eea5a28c81c82193a8">
            <w:r w:rsidRPr="00532B9F">
              <w:rPr>
                <w:rFonts w:ascii="Times New Roman" w:eastAsia="MS Mincho" w:hAnsi="Times New Roman"/>
                <w:sz w:val="20"/>
                <w:iCs/>
                <w:color w:val="0000FF" w:themeColor="hyperlink"/>
                <w:u w:val="single"/>
              </w:rPr>
              <w:t>V-61</w:t>
            </w:r>
          </w:fldSimple>
          <w:r>
            <w:rPr>
              <w:rFonts w:ascii="Times New Roman" w:eastAsia="MS Mincho" w:hAnsi="Times New Roman"/>
              <w:sz w:val="20"/>
              <w:iCs/>
            </w:rPr>
            <w:t>,
2024-01-18,
paskelbta TAR 2024-01-18, i. k. 2024-00784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a94f60bb4211eea5a28c81c82193a8">
            <w:r w:rsidRPr="00532B9F">
              <w:rPr>
                <w:rFonts w:ascii="Times New Roman" w:eastAsia="MS Mincho" w:hAnsi="Times New Roman"/>
                <w:sz w:val="20"/>
                <w:iCs/>
                <w:color w:val="0000FF" w:themeColor="hyperlink"/>
                <w:u w:val="single"/>
              </w:rPr>
              <w:t>V-99</w:t>
            </w:r>
          </w:fldSimple>
          <w:r>
            <w:rPr>
              <w:rFonts w:ascii="Times New Roman" w:eastAsia="MS Mincho" w:hAnsi="Times New Roman"/>
              <w:sz w:val="20"/>
              <w:iCs/>
            </w:rPr>
            <w:t>,
2024-01-25,
paskelbta TAR 2024-01-25, i. k. 2024-01177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ddac90bf2f11eea5a28c81c82193a8">
            <w:r w:rsidRPr="00532B9F">
              <w:rPr>
                <w:rFonts w:ascii="Times New Roman" w:eastAsia="MS Mincho" w:hAnsi="Times New Roman"/>
                <w:sz w:val="20"/>
                <w:iCs/>
                <w:color w:val="0000FF" w:themeColor="hyperlink"/>
                <w:u w:val="single"/>
              </w:rPr>
              <w:t>V-125</w:t>
            </w:r>
          </w:fldSimple>
          <w:r>
            <w:rPr>
              <w:rFonts w:ascii="Times New Roman" w:eastAsia="MS Mincho" w:hAnsi="Times New Roman"/>
              <w:sz w:val="20"/>
              <w:iCs/>
            </w:rPr>
            <w:t>,
2024-01-30,
paskelbta TAR 2024-01-30, i. k. 2024-01629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488ef0c72f11eea5a28c81c82193a8">
            <w:r w:rsidRPr="00532B9F">
              <w:rPr>
                <w:rFonts w:ascii="Times New Roman" w:eastAsia="MS Mincho" w:hAnsi="Times New Roman"/>
                <w:sz w:val="20"/>
                <w:iCs/>
                <w:color w:val="0000FF" w:themeColor="hyperlink"/>
                <w:u w:val="single"/>
              </w:rPr>
              <w:t>V-176</w:t>
            </w:r>
          </w:fldSimple>
          <w:r>
            <w:rPr>
              <w:rFonts w:ascii="Times New Roman" w:eastAsia="MS Mincho" w:hAnsi="Times New Roman"/>
              <w:sz w:val="20"/>
              <w:iCs/>
            </w:rPr>
            <w:t>,
2024-02-09,
paskelbta TAR 2024-02-09, i. k. 2024-02495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a4c3b0c97511eea5a28c81c82193a8">
            <w:r w:rsidRPr="00532B9F">
              <w:rPr>
                <w:rFonts w:ascii="Times New Roman" w:eastAsia="MS Mincho" w:hAnsi="Times New Roman"/>
                <w:sz w:val="20"/>
                <w:iCs/>
                <w:color w:val="0000FF" w:themeColor="hyperlink"/>
                <w:u w:val="single"/>
              </w:rPr>
              <w:t>V-188</w:t>
            </w:r>
          </w:fldSimple>
          <w:r>
            <w:rPr>
              <w:rFonts w:ascii="Times New Roman" w:eastAsia="MS Mincho" w:hAnsi="Times New Roman"/>
              <w:sz w:val="20"/>
              <w:iCs/>
            </w:rPr>
            <w:t>,
2024-02-12,
paskelbta TAR 2024-02-12, i. k. 2024-02559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2933cc0cef711eea5a28c81c82193a8">
            <w:r w:rsidRPr="00532B9F">
              <w:rPr>
                <w:rFonts w:ascii="Times New Roman" w:eastAsia="MS Mincho" w:hAnsi="Times New Roman"/>
                <w:sz w:val="20"/>
                <w:iCs/>
                <w:color w:val="0000FF" w:themeColor="hyperlink"/>
                <w:u w:val="single"/>
              </w:rPr>
              <w:t>V-212</w:t>
            </w:r>
          </w:fldSimple>
          <w:r>
            <w:rPr>
              <w:rFonts w:ascii="Times New Roman" w:eastAsia="MS Mincho" w:hAnsi="Times New Roman"/>
              <w:sz w:val="20"/>
              <w:iCs/>
            </w:rPr>
            <w:t>,
2024-02-19,
paskelbta TAR 2024-02-19, i. k. 2024-03020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680cd0d08911eead77e967e3995264">
            <w:r w:rsidRPr="00532B9F">
              <w:rPr>
                <w:rFonts w:ascii="Times New Roman" w:eastAsia="MS Mincho" w:hAnsi="Times New Roman"/>
                <w:sz w:val="20"/>
                <w:iCs/>
                <w:color w:val="0000FF" w:themeColor="hyperlink"/>
                <w:u w:val="single"/>
              </w:rPr>
              <w:t>V-225</w:t>
            </w:r>
          </w:fldSimple>
          <w:r>
            <w:rPr>
              <w:rFonts w:ascii="Times New Roman" w:eastAsia="MS Mincho" w:hAnsi="Times New Roman"/>
              <w:sz w:val="20"/>
              <w:iCs/>
            </w:rPr>
            <w:t>,
2024-02-21,
paskelbta TAR 2024-02-21, i. k. 2024-03264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51319b0db1a11eead77e967e3995264">
            <w:r w:rsidRPr="00532B9F">
              <w:rPr>
                <w:rFonts w:ascii="Times New Roman" w:eastAsia="MS Mincho" w:hAnsi="Times New Roman"/>
                <w:sz w:val="20"/>
                <w:iCs/>
                <w:color w:val="0000FF" w:themeColor="hyperlink"/>
                <w:u w:val="single"/>
              </w:rPr>
              <w:t>V-289</w:t>
            </w:r>
          </w:fldSimple>
          <w:r>
            <w:rPr>
              <w:rFonts w:ascii="Times New Roman" w:eastAsia="MS Mincho" w:hAnsi="Times New Roman"/>
              <w:sz w:val="20"/>
              <w:iCs/>
            </w:rPr>
            <w:t>,
2024-03-05,
paskelbta TAR 2024-03-05, i. k. 2024-04103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b5fe10166611efbcbfb318996800a8">
            <w:r w:rsidRPr="00532B9F">
              <w:rPr>
                <w:rFonts w:ascii="Times New Roman" w:eastAsia="MS Mincho" w:hAnsi="Times New Roman"/>
                <w:sz w:val="20"/>
                <w:iCs/>
                <w:color w:val="0000FF" w:themeColor="hyperlink"/>
                <w:u w:val="single"/>
              </w:rPr>
              <w:t>V-572</w:t>
            </w:r>
          </w:fldSimple>
          <w:r>
            <w:rPr>
              <w:rFonts w:ascii="Times New Roman" w:eastAsia="MS Mincho" w:hAnsi="Times New Roman"/>
              <w:sz w:val="20"/>
              <w:iCs/>
            </w:rPr>
            <w:t>,
2024-05-20,
paskelbta TAR 2024-05-20, i. k. 2024-09067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9621c01cb911ef8b14c5bcce136045">
            <w:r w:rsidRPr="00532B9F">
              <w:rPr>
                <w:rFonts w:ascii="Times New Roman" w:eastAsia="MS Mincho" w:hAnsi="Times New Roman"/>
                <w:sz w:val="20"/>
                <w:iCs/>
                <w:color w:val="0000FF" w:themeColor="hyperlink"/>
                <w:u w:val="single"/>
              </w:rPr>
              <w:t>V-594</w:t>
            </w:r>
          </w:fldSimple>
          <w:r>
            <w:rPr>
              <w:rFonts w:ascii="Times New Roman" w:eastAsia="MS Mincho" w:hAnsi="Times New Roman"/>
              <w:sz w:val="20"/>
              <w:iCs/>
            </w:rPr>
            <w:t>,
2024-05-28,
paskelbta TAR 2024-05-28, i. k. 2024-09518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75d7600350d11efbdaea558de59136c">
            <w:r w:rsidRPr="00532B9F">
              <w:rPr>
                <w:rFonts w:ascii="Times New Roman" w:eastAsia="MS Mincho" w:hAnsi="Times New Roman"/>
                <w:sz w:val="20"/>
                <w:iCs/>
                <w:color w:val="0000FF" w:themeColor="hyperlink"/>
                <w:u w:val="single"/>
              </w:rPr>
              <w:t>V-678</w:t>
            </w:r>
          </w:fldSimple>
          <w:r>
            <w:rPr>
              <w:rFonts w:ascii="Times New Roman" w:eastAsia="MS Mincho" w:hAnsi="Times New Roman"/>
              <w:sz w:val="20"/>
              <w:iCs/>
            </w:rPr>
            <w:t>,
2024-06-28,
paskelbta TAR 2024-06-28, i. k. 2024-11942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d80ca04ffd11efbdaea558de59136c">
            <w:r w:rsidRPr="00532B9F">
              <w:rPr>
                <w:rFonts w:ascii="Times New Roman" w:eastAsia="MS Mincho" w:hAnsi="Times New Roman"/>
                <w:sz w:val="20"/>
                <w:iCs/>
                <w:color w:val="0000FF" w:themeColor="hyperlink"/>
                <w:u w:val="single"/>
              </w:rPr>
              <w:t>V-793</w:t>
            </w:r>
          </w:fldSimple>
          <w:r>
            <w:rPr>
              <w:rFonts w:ascii="Times New Roman" w:eastAsia="MS Mincho" w:hAnsi="Times New Roman"/>
              <w:sz w:val="20"/>
              <w:iCs/>
            </w:rPr>
            <w:t>,
2024-08-01,
paskelbta TAR 2024-08-01, i. k. 2024-14036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66d130643411efafbb8694c098bac5">
            <w:r w:rsidRPr="00532B9F">
              <w:rPr>
                <w:rFonts w:ascii="Times New Roman" w:eastAsia="MS Mincho" w:hAnsi="Times New Roman"/>
                <w:sz w:val="20"/>
                <w:iCs/>
                <w:color w:val="0000FF" w:themeColor="hyperlink"/>
                <w:u w:val="single"/>
              </w:rPr>
              <w:t>V-843</w:t>
            </w:r>
          </w:fldSimple>
          <w:r>
            <w:rPr>
              <w:rFonts w:ascii="Times New Roman" w:eastAsia="MS Mincho" w:hAnsi="Times New Roman"/>
              <w:sz w:val="20"/>
              <w:iCs/>
            </w:rPr>
            <w:t>,
2024-08-27,
paskelbta TAR 2024-08-27, i. k. 2024-14871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7817906e7d11efa9a4c2046a78b308">
            <w:r w:rsidRPr="00532B9F">
              <w:rPr>
                <w:rFonts w:ascii="Times New Roman" w:eastAsia="MS Mincho" w:hAnsi="Times New Roman"/>
                <w:sz w:val="20"/>
                <w:iCs/>
                <w:color w:val="0000FF" w:themeColor="hyperlink"/>
                <w:u w:val="single"/>
              </w:rPr>
              <w:t>V-884</w:t>
            </w:r>
          </w:fldSimple>
          <w:r>
            <w:rPr>
              <w:rFonts w:ascii="Times New Roman" w:eastAsia="MS Mincho" w:hAnsi="Times New Roman"/>
              <w:sz w:val="20"/>
              <w:iCs/>
            </w:rPr>
            <w:t>,
2024-09-09,
paskelbta TAR 2024-09-09, i. k. 2024-15861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0de74d06f3d11efa9a4c2046a78b308">
            <w:r w:rsidRPr="00532B9F">
              <w:rPr>
                <w:rFonts w:ascii="Times New Roman" w:eastAsia="MS Mincho" w:hAnsi="Times New Roman"/>
                <w:sz w:val="20"/>
                <w:iCs/>
                <w:color w:val="0000FF" w:themeColor="hyperlink"/>
                <w:u w:val="single"/>
              </w:rPr>
              <w:t>V-888</w:t>
            </w:r>
          </w:fldSimple>
          <w:r>
            <w:rPr>
              <w:rFonts w:ascii="Times New Roman" w:eastAsia="MS Mincho" w:hAnsi="Times New Roman"/>
              <w:sz w:val="20"/>
              <w:iCs/>
            </w:rPr>
            <w:t>,
2024-09-10,
paskelbta TAR 2024-09-10, i. k. 2024-15910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87bdd47a9811efabdbb4a1fc8b0b63">
            <w:r w:rsidRPr="00532B9F">
              <w:rPr>
                <w:rFonts w:ascii="Times New Roman" w:eastAsia="MS Mincho" w:hAnsi="Times New Roman"/>
                <w:sz w:val="20"/>
                <w:iCs/>
                <w:color w:val="0000FF" w:themeColor="hyperlink"/>
                <w:u w:val="single"/>
              </w:rPr>
              <w:t>V-931</w:t>
            </w:r>
          </w:fldSimple>
          <w:r>
            <w:rPr>
              <w:rFonts w:ascii="Times New Roman" w:eastAsia="MS Mincho" w:hAnsi="Times New Roman"/>
              <w:sz w:val="20"/>
              <w:iCs/>
            </w:rPr>
            <w:t>,
2024-09-24,
paskelbta TAR 2024-09-24, i. k. 2024-16616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0683219b7d11efa605b9842742bf37">
            <w:r w:rsidRPr="00532B9F">
              <w:rPr>
                <w:rFonts w:ascii="Times New Roman" w:eastAsia="MS Mincho" w:hAnsi="Times New Roman"/>
                <w:sz w:val="20"/>
                <w:iCs/>
                <w:color w:val="0000FF" w:themeColor="hyperlink"/>
                <w:u w:val="single"/>
              </w:rPr>
              <w:t>V-1081</w:t>
            </w:r>
          </w:fldSimple>
          <w:r>
            <w:rPr>
              <w:rFonts w:ascii="Times New Roman" w:eastAsia="MS Mincho" w:hAnsi="Times New Roman"/>
              <w:sz w:val="20"/>
              <w:iCs/>
            </w:rPr>
            <w:t>,
2024-11-05,
paskelbta TAR 2024-11-05, i. k. 2024-19243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a81d119d9b11efa605b9842742bf37">
            <w:r w:rsidRPr="00532B9F">
              <w:rPr>
                <w:rFonts w:ascii="Times New Roman" w:eastAsia="MS Mincho" w:hAnsi="Times New Roman"/>
                <w:sz w:val="20"/>
                <w:iCs/>
                <w:color w:val="0000FF" w:themeColor="hyperlink"/>
                <w:u w:val="single"/>
              </w:rPr>
              <w:t>V-1085</w:t>
            </w:r>
          </w:fldSimple>
          <w:r>
            <w:rPr>
              <w:rFonts w:ascii="Times New Roman" w:eastAsia="MS Mincho" w:hAnsi="Times New Roman"/>
              <w:sz w:val="20"/>
              <w:iCs/>
            </w:rPr>
            <w:t>,
2024-11-08,
paskelbta TAR 2024-11-08, i. k. 2024-19485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194a734a72a11ef90b5ee8931e5ce5e">
            <w:r w:rsidRPr="00532B9F">
              <w:rPr>
                <w:rFonts w:ascii="Times New Roman" w:eastAsia="MS Mincho" w:hAnsi="Times New Roman"/>
                <w:sz w:val="20"/>
                <w:iCs/>
                <w:color w:val="0000FF" w:themeColor="hyperlink"/>
                <w:u w:val="single"/>
              </w:rPr>
              <w:t>V-1131</w:t>
            </w:r>
          </w:fldSimple>
          <w:r>
            <w:rPr>
              <w:rFonts w:ascii="Times New Roman" w:eastAsia="MS Mincho" w:hAnsi="Times New Roman"/>
              <w:sz w:val="20"/>
              <w:iCs/>
            </w:rPr>
            <w:t>,
2024-11-20,
paskelbta TAR 2024-11-20, i. k. 2024-20190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374a61ad4811ef90b5ee8931e5ce5e">
            <w:r w:rsidRPr="00532B9F">
              <w:rPr>
                <w:rFonts w:ascii="Times New Roman" w:eastAsia="MS Mincho" w:hAnsi="Times New Roman"/>
                <w:sz w:val="20"/>
                <w:iCs/>
                <w:color w:val="0000FF" w:themeColor="hyperlink"/>
                <w:u w:val="single"/>
              </w:rPr>
              <w:t>V-1183</w:t>
            </w:r>
          </w:fldSimple>
          <w:r>
            <w:rPr>
              <w:rFonts w:ascii="Times New Roman" w:eastAsia="MS Mincho" w:hAnsi="Times New Roman"/>
              <w:sz w:val="20"/>
              <w:iCs/>
            </w:rPr>
            <w:t>,
2024-11-28,
paskelbta TAR 2024-11-28, i. k. 2024-20709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5c5616b2d311ef88c08519262548c4">
            <w:r w:rsidRPr="00532B9F">
              <w:rPr>
                <w:rFonts w:ascii="Times New Roman" w:eastAsia="MS Mincho" w:hAnsi="Times New Roman"/>
                <w:sz w:val="20"/>
                <w:iCs/>
                <w:color w:val="0000FF" w:themeColor="hyperlink"/>
                <w:u w:val="single"/>
              </w:rPr>
              <w:t>V-1226</w:t>
            </w:r>
          </w:fldSimple>
          <w:r>
            <w:rPr>
              <w:rFonts w:ascii="Times New Roman" w:eastAsia="MS Mincho" w:hAnsi="Times New Roman"/>
              <w:sz w:val="20"/>
              <w:iCs/>
            </w:rPr>
            <w:t>,
2024-12-05,
paskelbta TAR 2024-12-05, i. k. 2024-21518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a9f2e4c76311efa5ddd96c482819f5">
            <w:r w:rsidRPr="00532B9F">
              <w:rPr>
                <w:rFonts w:ascii="Times New Roman" w:eastAsia="MS Mincho" w:hAnsi="Times New Roman"/>
                <w:sz w:val="20"/>
                <w:iCs/>
                <w:color w:val="0000FF" w:themeColor="hyperlink"/>
                <w:u w:val="single"/>
              </w:rPr>
              <w:t>V-1392</w:t>
            </w:r>
          </w:fldSimple>
          <w:r>
            <w:rPr>
              <w:rFonts w:ascii="Times New Roman" w:eastAsia="MS Mincho" w:hAnsi="Times New Roman"/>
              <w:sz w:val="20"/>
              <w:iCs/>
            </w:rPr>
            <w:t>,
2024-12-31,
paskelbta TAR 2024-12-31, i. k. 2024-23625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fb3803e1f311ef84c3a3cb4f439b27">
            <w:r w:rsidRPr="00532B9F">
              <w:rPr>
                <w:rFonts w:ascii="Times New Roman" w:eastAsia="MS Mincho" w:hAnsi="Times New Roman"/>
                <w:sz w:val="20"/>
                <w:iCs/>
                <w:color w:val="0000FF" w:themeColor="hyperlink"/>
                <w:u w:val="single"/>
              </w:rPr>
              <w:t>V-65</w:t>
            </w:r>
          </w:fldSimple>
          <w:r>
            <w:rPr>
              <w:rFonts w:ascii="Times New Roman" w:eastAsia="MS Mincho" w:hAnsi="Times New Roman"/>
              <w:sz w:val="20"/>
              <w:iCs/>
            </w:rPr>
            <w:t>,
2025-02-03,
paskelbta TAR 2025-02-03, i. k. 2025-01587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b79274ee8511ef8bf78f8ccc0e0474">
            <w:r w:rsidRPr="00532B9F">
              <w:rPr>
                <w:rFonts w:ascii="Times New Roman" w:eastAsia="MS Mincho" w:hAnsi="Times New Roman"/>
                <w:sz w:val="20"/>
                <w:iCs/>
                <w:color w:val="0000FF" w:themeColor="hyperlink"/>
                <w:u w:val="single"/>
              </w:rPr>
              <w:t>V-132</w:t>
            </w:r>
          </w:fldSimple>
          <w:r>
            <w:rPr>
              <w:rFonts w:ascii="Times New Roman" w:eastAsia="MS Mincho" w:hAnsi="Times New Roman"/>
              <w:sz w:val="20"/>
              <w:iCs/>
            </w:rPr>
            <w:t>,
2025-02-19,
paskelbta TAR 2025-02-19, i. k. 2025-02556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e7dbe74f27011ef8bf78f8ccc0e0474">
            <w:r w:rsidRPr="00532B9F">
              <w:rPr>
                <w:rFonts w:ascii="Times New Roman" w:eastAsia="MS Mincho" w:hAnsi="Times New Roman"/>
                <w:sz w:val="20"/>
                <w:iCs/>
                <w:color w:val="0000FF" w:themeColor="hyperlink"/>
                <w:u w:val="single"/>
              </w:rPr>
              <w:t>V-142</w:t>
            </w:r>
          </w:fldSimple>
          <w:r>
            <w:rPr>
              <w:rFonts w:ascii="Times New Roman" w:eastAsia="MS Mincho" w:hAnsi="Times New Roman"/>
              <w:sz w:val="20"/>
              <w:iCs/>
            </w:rPr>
            <w:t>,
2025-02-24,
paskelbta TAR 2025-02-24, i. k. 2025-02872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96b534f37511ef8bf78f8ccc0e0474">
            <w:r w:rsidRPr="00532B9F">
              <w:rPr>
                <w:rFonts w:ascii="Times New Roman" w:eastAsia="MS Mincho" w:hAnsi="Times New Roman"/>
                <w:sz w:val="20"/>
                <w:iCs/>
                <w:color w:val="0000FF" w:themeColor="hyperlink"/>
                <w:u w:val="single"/>
              </w:rPr>
              <w:t>V-151</w:t>
            </w:r>
          </w:fldSimple>
          <w:r>
            <w:rPr>
              <w:rFonts w:ascii="Times New Roman" w:eastAsia="MS Mincho" w:hAnsi="Times New Roman"/>
              <w:sz w:val="20"/>
              <w:iCs/>
            </w:rPr>
            <w:t>,
2025-02-25,
paskelbta TAR 2025-02-25, i. k. 2025-03068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51d7416f41d11efa87aadb1fba2acc3">
            <w:r w:rsidRPr="00532B9F">
              <w:rPr>
                <w:rFonts w:ascii="Times New Roman" w:eastAsia="MS Mincho" w:hAnsi="Times New Roman"/>
                <w:sz w:val="20"/>
                <w:iCs/>
                <w:color w:val="0000FF" w:themeColor="hyperlink"/>
                <w:u w:val="single"/>
              </w:rPr>
              <w:t>V-149</w:t>
            </w:r>
          </w:fldSimple>
          <w:r>
            <w:rPr>
              <w:rFonts w:ascii="Times New Roman" w:eastAsia="MS Mincho" w:hAnsi="Times New Roman"/>
              <w:sz w:val="20"/>
              <w:iCs/>
            </w:rPr>
            <w:t>,
2025-02-25,
paskelbta TAR 2025-02-26, i. k. 2025-03157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183424264f11f08fdabd4950271e2c">
            <w:r w:rsidRPr="00532B9F">
              <w:rPr>
                <w:rFonts w:ascii="Times New Roman" w:eastAsia="MS Mincho" w:hAnsi="Times New Roman"/>
                <w:sz w:val="20"/>
                <w:iCs/>
                <w:color w:val="0000FF" w:themeColor="hyperlink"/>
                <w:u w:val="single"/>
              </w:rPr>
              <w:t>V-410</w:t>
            </w:r>
          </w:fldSimple>
          <w:r>
            <w:rPr>
              <w:rFonts w:ascii="Times New Roman" w:eastAsia="MS Mincho" w:hAnsi="Times New Roman"/>
              <w:sz w:val="20"/>
              <w:iCs/>
            </w:rPr>
            <w:t>,
2025-04-30,
paskelbta TAR 2025-05-02, i. k. 2025-07891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0410c02ef111f08fdabd4950271e2c">
            <w:r w:rsidRPr="00532B9F">
              <w:rPr>
                <w:rFonts w:ascii="Times New Roman" w:eastAsia="MS Mincho" w:hAnsi="Times New Roman"/>
                <w:sz w:val="20"/>
                <w:iCs/>
                <w:color w:val="0000FF" w:themeColor="hyperlink"/>
                <w:u w:val="single"/>
              </w:rPr>
              <w:t>V-447</w:t>
            </w:r>
          </w:fldSimple>
          <w:r>
            <w:rPr>
              <w:rFonts w:ascii="Times New Roman" w:eastAsia="MS Mincho" w:hAnsi="Times New Roman"/>
              <w:sz w:val="20"/>
              <w:iCs/>
            </w:rPr>
            <w:t>,
2025-05-09,
paskelbta TAR 2025-05-12, i. k. 2025-08387                </w:t>
          </w:r>
        </w:p>
        <w:p>
          <w:pPr>
            <w:jc w:val="both"/>
            <w:rPr>
              <w:rFonts w:ascii="Times New Roman" w:hAnsi="Times New Roman"/>
            </w:rPr>
          </w:pPr>
          <w:r>
            <w:rPr>
              <w:rFonts w:ascii="Times New Roman" w:hAnsi="Times New Roman"/>
              <w:sz w:val="20"/>
            </w:rPr>
            <w:t>Dėl Lietuvos Respublikos svVikatos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3554035fc11f08fdabd4950271e2c">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2025-05-21,
paskelbta TAR 2025-05-21, i. k. 2025-08952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4da1b0415c11f0b070ee7f1ceefc75">
            <w:r w:rsidRPr="00532B9F">
              <w:rPr>
                <w:rFonts w:ascii="Times New Roman" w:eastAsia="MS Mincho" w:hAnsi="Times New Roman"/>
                <w:sz w:val="20"/>
                <w:iCs/>
                <w:color w:val="0000FF" w:themeColor="hyperlink"/>
                <w:u w:val="single"/>
              </w:rPr>
              <w:t>V-517</w:t>
            </w:r>
          </w:fldSimple>
          <w:r>
            <w:rPr>
              <w:rFonts w:ascii="Times New Roman" w:eastAsia="MS Mincho" w:hAnsi="Times New Roman"/>
              <w:sz w:val="20"/>
              <w:iCs/>
            </w:rPr>
            <w:t>,
2025-06-04,
paskelbta TAR 2025-06-04, i. k. 2025-10188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c6c07446ce11f0b070ee7f1ceefc75">
            <w:r w:rsidRPr="00532B9F">
              <w:rPr>
                <w:rFonts w:ascii="Times New Roman" w:eastAsia="MS Mincho" w:hAnsi="Times New Roman"/>
                <w:sz w:val="20"/>
                <w:iCs/>
                <w:color w:val="0000FF" w:themeColor="hyperlink"/>
                <w:u w:val="single"/>
              </w:rPr>
              <w:t>V-527</w:t>
            </w:r>
          </w:fldSimple>
          <w:r>
            <w:rPr>
              <w:rFonts w:ascii="Times New Roman" w:eastAsia="MS Mincho" w:hAnsi="Times New Roman"/>
              <w:sz w:val="20"/>
              <w:iCs/>
            </w:rPr>
            <w:t>,
2025-06-11,
paskelbta TAR 2025-06-11, i. k. 2025-10626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f0d2f2646e311f0b070ee7f1ceefc7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2025-06-11,
paskelbta TAR 2025-06-11, i. k. 2025-10635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f504276557811f0b070ee7f1ceefc75">
            <w:r w:rsidRPr="00532B9F">
              <w:rPr>
                <w:rFonts w:ascii="Times New Roman" w:eastAsia="MS Mincho" w:hAnsi="Times New Roman"/>
                <w:sz w:val="20"/>
                <w:iCs/>
                <w:color w:val="0000FF" w:themeColor="hyperlink"/>
                <w:u w:val="single"/>
              </w:rPr>
              <w:t>V-605</w:t>
            </w:r>
          </w:fldSimple>
          <w:r>
            <w:rPr>
              <w:rFonts w:ascii="Times New Roman" w:eastAsia="MS Mincho" w:hAnsi="Times New Roman"/>
              <w:sz w:val="20"/>
              <w:iCs/>
            </w:rPr>
            <w:t>,
2025-06-30,
paskelbta TAR 2025-06-30, i. k. 2025-11856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64cacb4559a11f0b070ee7f1ceefc75">
            <w:r w:rsidRPr="00532B9F">
              <w:rPr>
                <w:rFonts w:ascii="Times New Roman" w:eastAsia="MS Mincho" w:hAnsi="Times New Roman"/>
                <w:sz w:val="20"/>
                <w:iCs/>
                <w:color w:val="0000FF" w:themeColor="hyperlink"/>
                <w:u w:val="single"/>
              </w:rPr>
              <w:t>V-608</w:t>
            </w:r>
          </w:fldSimple>
          <w:r>
            <w:rPr>
              <w:rFonts w:ascii="Times New Roman" w:eastAsia="MS Mincho" w:hAnsi="Times New Roman"/>
              <w:sz w:val="20"/>
              <w:iCs/>
            </w:rPr>
            <w:t>,
2025-06-30,
paskelbta TAR 2025-06-30, i. k. 2025-11899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04446a45c7c11f0a3d380837a821750">
            <w:r w:rsidRPr="00532B9F">
              <w:rPr>
                <w:rFonts w:ascii="Times New Roman" w:eastAsia="MS Mincho" w:hAnsi="Times New Roman"/>
                <w:sz w:val="20"/>
                <w:iCs/>
                <w:color w:val="0000FF" w:themeColor="hyperlink"/>
                <w:u w:val="single"/>
              </w:rPr>
              <w:t>V-623</w:t>
            </w:r>
          </w:fldSimple>
          <w:r>
            <w:rPr>
              <w:rFonts w:ascii="Times New Roman" w:eastAsia="MS Mincho" w:hAnsi="Times New Roman"/>
              <w:sz w:val="20"/>
              <w:iCs/>
            </w:rPr>
            <w:t>,
2025-07-09,
paskelbta TAR 2025-07-09, i. k. 2025-12503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af1dc265c7c11f0a3d380837a821750">
            <w:r w:rsidRPr="00532B9F">
              <w:rPr>
                <w:rFonts w:ascii="Times New Roman" w:eastAsia="MS Mincho" w:hAnsi="Times New Roman"/>
                <w:sz w:val="20"/>
                <w:iCs/>
                <w:color w:val="0000FF" w:themeColor="hyperlink"/>
                <w:u w:val="single"/>
              </w:rPr>
              <w:t>V-629</w:t>
            </w:r>
          </w:fldSimple>
          <w:r>
            <w:rPr>
              <w:rFonts w:ascii="Times New Roman" w:eastAsia="MS Mincho" w:hAnsi="Times New Roman"/>
              <w:sz w:val="20"/>
              <w:iCs/>
            </w:rPr>
            <w:t>,
2025-07-09,
paskelbta TAR 2025-07-09, i. k. 2025-12505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454b481663b11f0a8bbd1e98310677d">
            <w:r w:rsidRPr="00532B9F">
              <w:rPr>
                <w:rFonts w:ascii="Times New Roman" w:eastAsia="MS Mincho" w:hAnsi="Times New Roman"/>
                <w:sz w:val="20"/>
                <w:iCs/>
                <w:color w:val="0000FF" w:themeColor="hyperlink"/>
                <w:u w:val="single"/>
              </w:rPr>
              <w:t>V-681</w:t>
            </w:r>
          </w:fldSimple>
          <w:r>
            <w:rPr>
              <w:rFonts w:ascii="Times New Roman" w:eastAsia="MS Mincho" w:hAnsi="Times New Roman"/>
              <w:sz w:val="20"/>
              <w:iCs/>
            </w:rPr>
            <w:t>,
2025-07-21,
paskelbta TAR 2025-07-21, i. k. 2025-13101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5e8c24663c11f0a8bbd1e98310677d">
            <w:r w:rsidRPr="00532B9F">
              <w:rPr>
                <w:rFonts w:ascii="Times New Roman" w:eastAsia="MS Mincho" w:hAnsi="Times New Roman"/>
                <w:sz w:val="20"/>
                <w:iCs/>
                <w:color w:val="0000FF" w:themeColor="hyperlink"/>
                <w:u w:val="single"/>
              </w:rPr>
              <w:t>V-683</w:t>
            </w:r>
          </w:fldSimple>
          <w:r>
            <w:rPr>
              <w:rFonts w:ascii="Times New Roman" w:eastAsia="MS Mincho" w:hAnsi="Times New Roman"/>
              <w:sz w:val="20"/>
              <w:iCs/>
            </w:rPr>
            <w:t>,
2025-07-21,
paskelbta TAR 2025-07-21, i. k. 2025-13104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02cfa0a01011f0a34db2fbd35a03b2">
            <w:r w:rsidRPr="00532B9F">
              <w:rPr>
                <w:rFonts w:ascii="Times New Roman" w:eastAsia="MS Mincho" w:hAnsi="Times New Roman"/>
                <w:sz w:val="20"/>
                <w:iCs/>
                <w:color w:val="0000FF" w:themeColor="hyperlink"/>
                <w:u w:val="single"/>
              </w:rPr>
              <w:t>V-871</w:t>
            </w:r>
          </w:fldSimple>
          <w:r>
            <w:rPr>
              <w:rFonts w:ascii="Times New Roman" w:eastAsia="MS Mincho" w:hAnsi="Times New Roman"/>
              <w:sz w:val="20"/>
              <w:iCs/>
            </w:rPr>
            <w:t>,
2025-10-03,
paskelbta TAR 2025-10-03, i. k. 2025-16749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59cee0a98311f0a34db2fbd35a03b2">
            <w:r w:rsidRPr="00532B9F">
              <w:rPr>
                <w:rFonts w:ascii="Times New Roman" w:eastAsia="MS Mincho" w:hAnsi="Times New Roman"/>
                <w:sz w:val="20"/>
                <w:iCs/>
                <w:color w:val="0000FF" w:themeColor="hyperlink"/>
                <w:u w:val="single"/>
              </w:rPr>
              <w:t>V-904</w:t>
            </w:r>
          </w:fldSimple>
          <w:r>
            <w:rPr>
              <w:rFonts w:ascii="Times New Roman" w:eastAsia="MS Mincho" w:hAnsi="Times New Roman"/>
              <w:sz w:val="20"/>
              <w:iCs/>
            </w:rPr>
            <w:t>,
2025-10-15,
paskelbta TAR 2025-10-15, i. k. 2025-17160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4a840c50711f0bf10920ce8b0026c">
            <w:r w:rsidRPr="00532B9F">
              <w:rPr>
                <w:rFonts w:ascii="Times New Roman" w:eastAsia="MS Mincho" w:hAnsi="Times New Roman"/>
                <w:sz w:val="20"/>
                <w:iCs/>
                <w:color w:val="0000FF" w:themeColor="hyperlink"/>
                <w:u w:val="single"/>
              </w:rPr>
              <w:t>V-1030</w:t>
            </w:r>
          </w:fldSimple>
          <w:r>
            <w:rPr>
              <w:rFonts w:ascii="Times New Roman" w:eastAsia="MS Mincho" w:hAnsi="Times New Roman"/>
              <w:sz w:val="20"/>
              <w:iCs/>
            </w:rPr>
            <w:t>,
2025-11-19,
paskelbta TAR 2025-11-19, i. k. 2025-19267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0e9484ecc011f09cfce49e7aeb76fe">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2026-01-08,
paskelbta TAR 2026-01-08, i. k. 2026-00269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c1f9e1f29011f09cfce49e7aeb76fe">
            <w:r w:rsidRPr="00532B9F">
              <w:rPr>
                <w:rFonts w:ascii="Times New Roman" w:eastAsia="MS Mincho" w:hAnsi="Times New Roman"/>
                <w:sz w:val="20"/>
                <w:iCs/>
                <w:color w:val="0000FF" w:themeColor="hyperlink"/>
                <w:u w:val="single"/>
              </w:rPr>
              <w:t>V-37</w:t>
            </w:r>
          </w:fldSimple>
          <w:r>
            <w:rPr>
              <w:rFonts w:ascii="Times New Roman" w:eastAsia="MS Mincho" w:hAnsi="Times New Roman"/>
              <w:sz w:val="20"/>
              <w:iCs/>
            </w:rPr>
            <w:t>,
2026-01-16,
paskelbta TAR 2026-01-16, i. k. 2026-00540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cb9676fc1411f09a18eb2f15b49eee">
            <w:r w:rsidRPr="00532B9F">
              <w:rPr>
                <w:rFonts w:ascii="Times New Roman" w:eastAsia="MS Mincho" w:hAnsi="Times New Roman"/>
                <w:sz w:val="20"/>
                <w:iCs/>
                <w:color w:val="0000FF" w:themeColor="hyperlink"/>
                <w:u w:val="single"/>
              </w:rPr>
              <w:t>V-68</w:t>
            </w:r>
          </w:fldSimple>
          <w:r>
            <w:rPr>
              <w:rFonts w:ascii="Times New Roman" w:eastAsia="MS Mincho" w:hAnsi="Times New Roman"/>
              <w:sz w:val="20"/>
              <w:iCs/>
            </w:rPr>
            <w:t>,
2026-01-28,
paskelbta TAR 2026-01-28, i. k. 2026-01141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fe5c86013111f1b96ed27de6271e6a">
            <w:r w:rsidRPr="00532B9F">
              <w:rPr>
                <w:rFonts w:ascii="Times New Roman" w:eastAsia="MS Mincho" w:hAnsi="Times New Roman"/>
                <w:sz w:val="20"/>
                <w:iCs/>
                <w:color w:val="0000FF" w:themeColor="hyperlink"/>
                <w:u w:val="single"/>
              </w:rPr>
              <w:t>V-80</w:t>
            </w:r>
          </w:fldSimple>
          <w:r>
            <w:rPr>
              <w:rFonts w:ascii="Times New Roman" w:eastAsia="MS Mincho" w:hAnsi="Times New Roman"/>
              <w:sz w:val="20"/>
              <w:iCs/>
            </w:rPr>
            <w:t>,
2026-02-03,
paskelbta TAR 2026-02-03, i. k. 2026-01663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4aeb191066911f1b465ab875bcad79f">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2026-02-10,
paskelbta TAR 2026-02-10, i. k. 2026-02057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7a8074066911f1b465ab875bcad79f">
            <w:r w:rsidRPr="00532B9F">
              <w:rPr>
                <w:rFonts w:ascii="Times New Roman" w:eastAsia="MS Mincho" w:hAnsi="Times New Roman"/>
                <w:sz w:val="20"/>
                <w:iCs/>
                <w:color w:val="0000FF" w:themeColor="hyperlink"/>
                <w:u w:val="single"/>
              </w:rPr>
              <w:t>V-115</w:t>
            </w:r>
          </w:fldSimple>
          <w:r>
            <w:rPr>
              <w:rFonts w:ascii="Times New Roman" w:eastAsia="MS Mincho" w:hAnsi="Times New Roman"/>
              <w:sz w:val="20"/>
              <w:iCs/>
            </w:rPr>
            <w:t>,
2026-02-10,
paskelbta TAR 2026-02-10, i. k. 2026-02056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fd475118c611f1a552c76556910e9c">
            <w:r w:rsidRPr="00532B9F">
              <w:rPr>
                <w:rFonts w:ascii="Times New Roman" w:eastAsia="MS Mincho" w:hAnsi="Times New Roman"/>
                <w:sz w:val="20"/>
                <w:iCs/>
                <w:color w:val="0000FF" w:themeColor="hyperlink"/>
                <w:u w:val="single"/>
              </w:rPr>
              <w:t>V-197</w:t>
            </w:r>
          </w:fldSimple>
          <w:r>
            <w:rPr>
              <w:rFonts w:ascii="Times New Roman" w:eastAsia="MS Mincho" w:hAnsi="Times New Roman"/>
              <w:sz w:val="20"/>
              <w:iCs/>
            </w:rPr>
            <w:t>,
2026-03-05,
paskelbta TAR 2026-03-05, i. k. 2026-03631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ef9ae418c711f1a552c76556910e9c">
            <w:r w:rsidRPr="00532B9F">
              <w:rPr>
                <w:rFonts w:ascii="Times New Roman" w:eastAsia="MS Mincho" w:hAnsi="Times New Roman"/>
                <w:sz w:val="20"/>
                <w:iCs/>
                <w:color w:val="0000FF" w:themeColor="hyperlink"/>
                <w:u w:val="single"/>
              </w:rPr>
              <w:t>V-208</w:t>
            </w:r>
          </w:fldSimple>
          <w:r>
            <w:rPr>
              <w:rFonts w:ascii="Times New Roman" w:eastAsia="MS Mincho" w:hAnsi="Times New Roman"/>
              <w:sz w:val="20"/>
              <w:iCs/>
            </w:rPr>
            <w:t>,
2026-03-05,
paskelbta TAR 2026-03-05, i. k. 2026-03635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1bf1d4211411f1a552c76556910e9c">
            <w:r w:rsidRPr="00532B9F">
              <w:rPr>
                <w:rFonts w:ascii="Times New Roman" w:eastAsia="MS Mincho" w:hAnsi="Times New Roman"/>
                <w:sz w:val="20"/>
                <w:iCs/>
                <w:color w:val="0000FF" w:themeColor="hyperlink"/>
                <w:u w:val="single"/>
              </w:rPr>
              <w:t>V-232</w:t>
            </w:r>
          </w:fldSimple>
          <w:r>
            <w:rPr>
              <w:rFonts w:ascii="Times New Roman" w:eastAsia="MS Mincho" w:hAnsi="Times New Roman"/>
              <w:sz w:val="20"/>
              <w:iCs/>
            </w:rPr>
            <w:t>,
2026-03-16,
paskelbta TAR 2026-03-16, i. k. 2026-04073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9225131242a11f1a552c76556910e9c">
            <w:r w:rsidRPr="00532B9F">
              <w:rPr>
                <w:rFonts w:ascii="Times New Roman" w:eastAsia="MS Mincho" w:hAnsi="Times New Roman"/>
                <w:sz w:val="20"/>
                <w:iCs/>
                <w:color w:val="0000FF" w:themeColor="hyperlink"/>
                <w:u w:val="single"/>
              </w:rPr>
              <w:t>V-246</w:t>
            </w:r>
          </w:fldSimple>
          <w:r>
            <w:rPr>
              <w:rFonts w:ascii="Times New Roman" w:eastAsia="MS Mincho" w:hAnsi="Times New Roman"/>
              <w:sz w:val="20"/>
              <w:iCs/>
            </w:rPr>
            <w:t>,
2026-03-20,
paskelbta TAR 2026-03-20, i. k. 2026-04384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55e056421f11f180c9c618618421ed">
            <w:r w:rsidRPr="00532B9F">
              <w:rPr>
                <w:rFonts w:ascii="Times New Roman" w:eastAsia="MS Mincho" w:hAnsi="Times New Roman"/>
                <w:sz w:val="20"/>
                <w:iCs/>
                <w:color w:val="0000FF" w:themeColor="hyperlink"/>
                <w:u w:val="single"/>
              </w:rPr>
              <w:t>V-430</w:t>
            </w:r>
          </w:fldSimple>
          <w:r>
            <w:rPr>
              <w:rFonts w:ascii="Times New Roman" w:eastAsia="MS Mincho" w:hAnsi="Times New Roman"/>
              <w:sz w:val="20"/>
              <w:iCs/>
            </w:rPr>
            <w:t>,
2026-04-27,
paskelbta TAR 2026-04-27, i. k. 2026-06854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ca296643fc11f180c9c618618421ed">
            <w:r w:rsidRPr="00532B9F">
              <w:rPr>
                <w:rFonts w:ascii="Times New Roman" w:eastAsia="MS Mincho" w:hAnsi="Times New Roman"/>
                <w:sz w:val="20"/>
                <w:iCs/>
                <w:color w:val="0000FF" w:themeColor="hyperlink"/>
                <w:u w:val="single"/>
              </w:rPr>
              <w:t>V-442</w:t>
            </w:r>
          </w:fldSimple>
          <w:r>
            <w:rPr>
              <w:rFonts w:ascii="Times New Roman" w:eastAsia="MS Mincho" w:hAnsi="Times New Roman"/>
              <w:sz w:val="20"/>
              <w:iCs/>
            </w:rPr>
            <w:t>,
2026-04-29,
paskelbta TAR 2026-04-30, i. k. 2026-07116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701316453d11f180c9c618618421ed">
            <w:r w:rsidRPr="00532B9F">
              <w:rPr>
                <w:rFonts w:ascii="Times New Roman" w:eastAsia="MS Mincho" w:hAnsi="Times New Roman"/>
                <w:sz w:val="20"/>
                <w:iCs/>
                <w:color w:val="0000FF" w:themeColor="hyperlink"/>
                <w:u w:val="single"/>
              </w:rPr>
              <w:t>V-452</w:t>
            </w:r>
          </w:fldSimple>
          <w:r>
            <w:rPr>
              <w:rFonts w:ascii="Times New Roman" w:eastAsia="MS Mincho" w:hAnsi="Times New Roman"/>
              <w:sz w:val="20"/>
              <w:iCs/>
            </w:rPr>
            <w:t>,
2026-04-30,
paskelbta TAR 2026-05-03, i. k. 2026-07248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17fb514d6a11f180c9c618618421ed">
            <w:r w:rsidRPr="00532B9F">
              <w:rPr>
                <w:rFonts w:ascii="Times New Roman" w:eastAsia="MS Mincho" w:hAnsi="Times New Roman"/>
                <w:sz w:val="20"/>
                <w:iCs/>
                <w:color w:val="0000FF" w:themeColor="hyperlink"/>
                <w:u w:val="single"/>
              </w:rPr>
              <w:t>V-469</w:t>
            </w:r>
          </w:fldSimple>
          <w:r>
            <w:rPr>
              <w:rFonts w:ascii="Times New Roman" w:eastAsia="MS Mincho" w:hAnsi="Times New Roman"/>
              <w:sz w:val="20"/>
              <w:iCs/>
            </w:rPr>
            <w:t>,
2026-05-11,
paskelbta TAR 2026-05-12, i. k. 2026-07927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70770550d11f180c9c618618421ed">
            <w:r w:rsidRPr="00532B9F">
              <w:rPr>
                <w:rFonts w:ascii="Times New Roman" w:eastAsia="MS Mincho" w:hAnsi="Times New Roman"/>
                <w:sz w:val="20"/>
                <w:iCs/>
                <w:color w:val="0000FF" w:themeColor="hyperlink"/>
                <w:u w:val="single"/>
              </w:rPr>
              <w:t>V-513</w:t>
            </w:r>
          </w:fldSimple>
          <w:r>
            <w:rPr>
              <w:rFonts w:ascii="Times New Roman" w:eastAsia="MS Mincho" w:hAnsi="Times New Roman"/>
              <w:sz w:val="20"/>
              <w:iCs/>
            </w:rPr>
            <w:t>,
2026-05-21,
paskelbta TAR 2026-05-21, i. k. 2026-08567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ce432d160f311f1b53dfa020e517810">
            <w:r w:rsidRPr="00532B9F">
              <w:rPr>
                <w:rFonts w:ascii="Times New Roman" w:eastAsia="MS Mincho" w:hAnsi="Times New Roman"/>
                <w:sz w:val="20"/>
                <w:iCs/>
                <w:color w:val="0000FF" w:themeColor="hyperlink"/>
                <w:u w:val="single"/>
              </w:rPr>
              <w:t>V-565</w:t>
            </w:r>
          </w:fldSimple>
          <w:r>
            <w:rPr>
              <w:rFonts w:ascii="Times New Roman" w:eastAsia="MS Mincho" w:hAnsi="Times New Roman"/>
              <w:sz w:val="20"/>
              <w:iCs/>
            </w:rPr>
            <w:t>,
2026-06-05,
paskelbta TAR 2026-06-08, i. k. 2026-10076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c2996866ec911f1b53dfa020e517810">
            <w:r w:rsidRPr="00532B9F">
              <w:rPr>
                <w:rFonts w:ascii="Times New Roman" w:eastAsia="MS Mincho" w:hAnsi="Times New Roman"/>
                <w:sz w:val="20"/>
                <w:iCs/>
                <w:color w:val="0000FF" w:themeColor="hyperlink"/>
                <w:u w:val="single"/>
              </w:rPr>
              <w:t>V-598</w:t>
            </w:r>
          </w:fldSimple>
          <w:r>
            <w:rPr>
              <w:rFonts w:ascii="Times New Roman" w:eastAsia="MS Mincho" w:hAnsi="Times New Roman"/>
              <w:sz w:val="20"/>
              <w:iCs/>
            </w:rPr>
            <w:t>,
2026-06-23,
paskelbta TAR 2026-06-23, i. k. 2026-10783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6958ae66ed211f1b53dfa020e517810">
            <w:r w:rsidRPr="00532B9F">
              <w:rPr>
                <w:rFonts w:ascii="Times New Roman" w:eastAsia="MS Mincho" w:hAnsi="Times New Roman"/>
                <w:sz w:val="20"/>
                <w:iCs/>
                <w:color w:val="0000FF" w:themeColor="hyperlink"/>
                <w:u w:val="single"/>
              </w:rPr>
              <w:t>V-607</w:t>
            </w:r>
          </w:fldSimple>
          <w:r>
            <w:rPr>
              <w:rFonts w:ascii="Times New Roman" w:eastAsia="MS Mincho" w:hAnsi="Times New Roman"/>
              <w:sz w:val="20"/>
              <w:iCs/>
            </w:rPr>
            <w:t>,
2026-06-23,
paskelbta TAR 2026-06-23, i. k. 2026-10792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38" w:h="11906" w:orient="landscape" w:code="9"/>
      <w:pgMar w:top="1701" w:right="1701" w:bottom="567" w:left="1134"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 w:val="22"/>
        <w:szCs w:val="22"/>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 w:val="22"/>
        <w:szCs w:val="22"/>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 w:val="22"/>
        <w:szCs w:val="22"/>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 w:val="22"/>
        <w:szCs w:val="22"/>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 w:val="22"/>
        <w:szCs w:val="22"/>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 w:val="22"/>
        <w:szCs w:val="22"/>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 w:val="22"/>
        <w:szCs w:val="22"/>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 w:val="22"/>
        <w:szCs w:val="22"/>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 w:val="22"/>
        <w:szCs w:val="22"/>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 w:val="22"/>
        <w:szCs w:val="22"/>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 w:val="22"/>
        <w:szCs w:val="22"/>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35</w:t>
    </w:r>
    <w:r>
      <w:rPr>
        <w:szCs w:val="24"/>
      </w:rPr>
      <w:fldChar w:fldCharType="end"/>
    </w:r>
  </w:p>
  <w:p>
    <w:pPr>
      <w:tabs>
        <w:tab w:val="center" w:pos="4153"/>
        <w:tab w:val="right" w:pos="8306"/>
      </w:tabs>
      <w:rPr>
        <w:szCs w:val="24"/>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35</w:t>
    </w:r>
    <w:r>
      <w:rPr>
        <w:szCs w:val="24"/>
      </w:rPr>
      <w:fldChar w:fldCharType="end"/>
    </w:r>
  </w:p>
  <w:p>
    <w:pPr>
      <w:tabs>
        <w:tab w:val="center" w:pos="4153"/>
        <w:tab w:val="right" w:pos="8306"/>
      </w:tabs>
      <w:rPr>
        <w:szCs w:val="24"/>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35</w:t>
    </w:r>
    <w:r>
      <w:rPr>
        <w:szCs w:val="24"/>
      </w:rPr>
      <w:fldChar w:fldCharType="end"/>
    </w:r>
  </w:p>
  <w:p>
    <w:pPr>
      <w:tabs>
        <w:tab w:val="center" w:pos="4153"/>
        <w:tab w:val="right" w:pos="8306"/>
      </w:tabs>
      <w:rPr>
        <w:szCs w:val="24"/>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35</w:t>
    </w:r>
    <w:r>
      <w:rPr>
        <w:szCs w:val="24"/>
      </w:rPr>
      <w:fldChar w:fldCharType="end"/>
    </w:r>
  </w:p>
  <w:p>
    <w:pPr>
      <w:tabs>
        <w:tab w:val="center" w:pos="4153"/>
        <w:tab w:val="right" w:pos="8306"/>
      </w:tabs>
      <w:rPr>
        <w:szCs w:val="24"/>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680"/>
        <w:tab w:val="right" w:pos="9360"/>
      </w:tabs>
      <w:rPr>
        <w:sz w:val="22"/>
        <w:szCs w:val="22"/>
        <w:lang w:eastAsia="lt-LT"/>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16</w:t>
    </w:r>
    <w:r>
      <w:rPr>
        <w:sz w:val="22"/>
        <w:szCs w:val="22"/>
        <w:lang w:eastAsia="lt-LT"/>
      </w:rPr>
      <w:fldChar w:fldCharType="end"/>
    </w:r>
  </w:p>
  <w:p>
    <w:pPr>
      <w:tabs>
        <w:tab w:val="center" w:pos="4680"/>
        <w:tab w:val="right" w:pos="9360"/>
      </w:tabs>
      <w:rPr>
        <w:sz w:val="22"/>
        <w:szCs w:val="22"/>
        <w:lang w:eastAsia="lt-LT"/>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16</w:t>
    </w:r>
    <w:r>
      <w:rPr>
        <w:sz w:val="22"/>
        <w:szCs w:val="22"/>
        <w:lang w:eastAsia="lt-LT"/>
      </w:rPr>
      <w:fldChar w:fldCharType="end"/>
    </w:r>
  </w:p>
  <w:p>
    <w:pPr>
      <w:tabs>
        <w:tab w:val="center" w:pos="4680"/>
        <w:tab w:val="right" w:pos="9360"/>
      </w:tabs>
      <w:rPr>
        <w:sz w:val="22"/>
        <w:szCs w:val="22"/>
        <w:lang w:eastAsia="lt-LT"/>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rPr>
        <w:sz w:val="22"/>
        <w:szCs w:val="22"/>
      </w:rPr>
    </w:pPr>
    <w:r>
      <w:rPr>
        <w:sz w:val="22"/>
        <w:szCs w:val="22"/>
      </w:rPr>
      <w:t>5</w:t>
    </w: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16</w:t>
    </w:r>
    <w:r>
      <w:rPr>
        <w:sz w:val="22"/>
        <w:szCs w:val="22"/>
        <w:lang w:eastAsia="lt-LT"/>
      </w:rPr>
      <w:fldChar w:fldCharType="end"/>
    </w:r>
  </w:p>
  <w:p>
    <w:pPr>
      <w:tabs>
        <w:tab w:val="center" w:pos="4680"/>
        <w:tab w:val="right" w:pos="9360"/>
      </w:tabs>
      <w:rPr>
        <w:sz w:val="22"/>
        <w:szCs w:val="22"/>
        <w:lang w:eastAsia="lt-LT"/>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17</w:t>
    </w:r>
    <w:r>
      <w:rPr>
        <w:szCs w:val="24"/>
      </w:rPr>
      <w:fldChar w:fldCharType="end"/>
    </w:r>
  </w:p>
  <w:p>
    <w:pPr>
      <w:tabs>
        <w:tab w:val="center" w:pos="4153"/>
        <w:tab w:val="right" w:pos="8306"/>
      </w:tabs>
      <w:rPr>
        <w:szCs w:val="24"/>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45</w:t>
    </w:r>
    <w:r>
      <w:rPr>
        <w:szCs w:val="24"/>
      </w:rPr>
      <w:fldChar w:fldCharType="end"/>
    </w:r>
  </w:p>
  <w:p>
    <w:pPr>
      <w:tabs>
        <w:tab w:val="center" w:pos="4153"/>
        <w:tab w:val="right" w:pos="8306"/>
      </w:tabs>
      <w:rPr>
        <w:szCs w:val="24"/>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34</w:t>
    </w:r>
    <w:r>
      <w:rPr>
        <w:szCs w:val="24"/>
      </w:rPr>
      <w:fldChar w:fldCharType="end"/>
    </w:r>
  </w:p>
  <w:p>
    <w:pPr>
      <w:tabs>
        <w:tab w:val="center" w:pos="4153"/>
        <w:tab w:val="right" w:pos="8306"/>
      </w:tabs>
      <w:rPr>
        <w:szCs w:val="24"/>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34</w:t>
    </w:r>
    <w:r>
      <w:rPr>
        <w:szCs w:val="24"/>
      </w:rPr>
      <w:fldChar w:fldCharType="end"/>
    </w:r>
  </w:p>
  <w:p>
    <w:pPr>
      <w:tabs>
        <w:tab w:val="center" w:pos="4153"/>
        <w:tab w:val="right" w:pos="8306"/>
      </w:tabs>
      <w:rPr>
        <w:szCs w:val="24"/>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27</w:t>
    </w:r>
    <w:r>
      <w:rPr>
        <w:szCs w:val="24"/>
      </w:rPr>
      <w:fldChar w:fldCharType="end"/>
    </w:r>
  </w:p>
  <w:p>
    <w:pPr>
      <w:tabs>
        <w:tab w:val="center" w:pos="4153"/>
        <w:tab w:val="right" w:pos="8306"/>
      </w:tabs>
      <w:rPr>
        <w:szCs w:val="24"/>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37</w:t>
    </w:r>
    <w:r>
      <w:rPr>
        <w:szCs w:val="24"/>
      </w:rPr>
      <w:fldChar w:fldCharType="end"/>
    </w:r>
  </w:p>
  <w:p>
    <w:pPr>
      <w:tabs>
        <w:tab w:val="center" w:pos="4153"/>
        <w:tab w:val="right" w:pos="8306"/>
      </w:tabs>
      <w:rPr>
        <w:szCs w:val="24"/>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38</w:t>
    </w:r>
    <w:r>
      <w:rPr>
        <w:szCs w:val="24"/>
      </w:rPr>
      <w:fldChar w:fldCharType="end"/>
    </w:r>
  </w:p>
  <w:p>
    <w:pPr>
      <w:tabs>
        <w:tab w:val="center" w:pos="4153"/>
        <w:tab w:val="right" w:pos="8306"/>
      </w:tabs>
      <w:rPr>
        <w:szCs w:val="24"/>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44</w:t>
    </w:r>
    <w:r>
      <w:rPr>
        <w:szCs w:val="24"/>
      </w:rPr>
      <w:fldChar w:fldCharType="end"/>
    </w:r>
  </w:p>
  <w:p>
    <w:pPr>
      <w:tabs>
        <w:tab w:val="center" w:pos="4153"/>
        <w:tab w:val="right" w:pos="8306"/>
      </w:tabs>
      <w:rPr>
        <w:szCs w:val="24"/>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42</w:t>
    </w:r>
    <w:r>
      <w:rPr>
        <w:szCs w:val="24"/>
      </w:rPr>
      <w:fldChar w:fldCharType="end"/>
    </w:r>
  </w:p>
  <w:p>
    <w:pPr>
      <w:tabs>
        <w:tab w:val="center" w:pos="4153"/>
        <w:tab w:val="right" w:pos="8306"/>
      </w:tabs>
      <w:rPr>
        <w:szCs w:val="24"/>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44</w:t>
    </w:r>
    <w:r>
      <w:rPr>
        <w:szCs w:val="24"/>
      </w:rPr>
      <w:fldChar w:fldCharType="end"/>
    </w:r>
  </w:p>
  <w:p>
    <w:pPr>
      <w:tabs>
        <w:tab w:val="center" w:pos="4153"/>
        <w:tab w:val="right" w:pos="8306"/>
      </w:tabs>
      <w:rPr>
        <w:szCs w:val="24"/>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40</w:t>
    </w:r>
    <w:r>
      <w:rPr>
        <w:szCs w:val="24"/>
      </w:rPr>
      <w:fldChar w:fldCharType="end"/>
    </w:r>
  </w:p>
  <w:p>
    <w:pPr>
      <w:tabs>
        <w:tab w:val="center" w:pos="4153"/>
        <w:tab w:val="right" w:pos="8306"/>
      </w:tabs>
      <w:rPr>
        <w:szCs w:val="24"/>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11</w:t>
    </w:r>
    <w:r>
      <w:rPr>
        <w:szCs w:val="24"/>
      </w:rPr>
      <w:fldChar w:fldCharType="end"/>
    </w:r>
  </w:p>
  <w:p>
    <w:pPr>
      <w:tabs>
        <w:tab w:val="center" w:pos="4153"/>
        <w:tab w:val="right" w:pos="8306"/>
      </w:tabs>
      <w:rPr>
        <w:szCs w:val="24"/>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29</w:t>
    </w:r>
    <w:r>
      <w:rPr>
        <w:szCs w:val="24"/>
      </w:rPr>
      <w:fldChar w:fldCharType="end"/>
    </w:r>
  </w:p>
  <w:p>
    <w:pPr>
      <w:tabs>
        <w:tab w:val="center" w:pos="4153"/>
        <w:tab w:val="right" w:pos="8306"/>
      </w:tabs>
      <w:rPr>
        <w:szCs w:val="24"/>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11</w:t>
    </w:r>
    <w:r>
      <w:rPr>
        <w:szCs w:val="24"/>
      </w:rPr>
      <w:fldChar w:fldCharType="end"/>
    </w:r>
  </w:p>
  <w:p>
    <w:pPr>
      <w:tabs>
        <w:tab w:val="center" w:pos="4153"/>
        <w:tab w:val="right" w:pos="8306"/>
      </w:tabs>
      <w:rPr>
        <w:szCs w:val="24"/>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31</w:t>
    </w:r>
    <w:r>
      <w:rPr>
        <w:szCs w:val="24"/>
      </w:rPr>
      <w:fldChar w:fldCharType="end"/>
    </w:r>
  </w:p>
  <w:p>
    <w:pPr>
      <w:tabs>
        <w:tab w:val="center" w:pos="4153"/>
        <w:tab w:val="right" w:pos="8306"/>
      </w:tabs>
      <w:rPr>
        <w:szCs w:val="24"/>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23</w:t>
    </w:r>
    <w:r>
      <w:rPr>
        <w:szCs w:val="24"/>
      </w:rPr>
      <w:fldChar w:fldCharType="end"/>
    </w:r>
  </w:p>
  <w:p>
    <w:pPr>
      <w:tabs>
        <w:tab w:val="center" w:pos="4153"/>
        <w:tab w:val="right" w:pos="8306"/>
      </w:tabs>
      <w:rPr>
        <w:szCs w:val="24"/>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66</w:t>
    </w:r>
    <w:r>
      <w:rPr>
        <w:szCs w:val="24"/>
      </w:rPr>
      <w:fldChar w:fldCharType="end"/>
    </w:r>
  </w:p>
  <w:p>
    <w:pPr>
      <w:tabs>
        <w:tab w:val="center" w:pos="4153"/>
        <w:tab w:val="right" w:pos="8306"/>
      </w:tabs>
      <w:rPr>
        <w:szCs w:val="24"/>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52</w:t>
    </w:r>
    <w:r>
      <w:rPr>
        <w:szCs w:val="24"/>
      </w:rPr>
      <w:fldChar w:fldCharType="end"/>
    </w:r>
  </w:p>
  <w:p>
    <w:pPr>
      <w:tabs>
        <w:tab w:val="center" w:pos="4153"/>
        <w:tab w:val="right" w:pos="8306"/>
      </w:tabs>
      <w:rPr>
        <w:szCs w:val="24"/>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43</w:t>
    </w:r>
    <w:r>
      <w:rPr>
        <w:szCs w:val="24"/>
      </w:rPr>
      <w:fldChar w:fldCharType="end"/>
    </w:r>
  </w:p>
  <w:p>
    <w:pPr>
      <w:tabs>
        <w:tab w:val="center" w:pos="4153"/>
        <w:tab w:val="right" w:pos="8306"/>
      </w:tabs>
      <w:rPr>
        <w:szCs w:val="24"/>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63</w:t>
    </w:r>
    <w:r>
      <w:rPr>
        <w:szCs w:val="24"/>
      </w:rPr>
      <w:fldChar w:fldCharType="end"/>
    </w:r>
  </w:p>
  <w:p>
    <w:pPr>
      <w:tabs>
        <w:tab w:val="center" w:pos="4153"/>
        <w:tab w:val="right" w:pos="8306"/>
      </w:tabs>
      <w:rPr>
        <w:szCs w:val="24"/>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41</w:t>
    </w:r>
    <w:r>
      <w:rPr>
        <w:szCs w:val="24"/>
      </w:rPr>
      <w:fldChar w:fldCharType="end"/>
    </w:r>
  </w:p>
  <w:p>
    <w:pPr>
      <w:tabs>
        <w:tab w:val="center" w:pos="4153"/>
        <w:tab w:val="right" w:pos="8306"/>
      </w:tabs>
      <w:rPr>
        <w:szCs w:val="24"/>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0"/>
  <w:embedSystemFont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0708CA27"/>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38093114">
      <w:bodyDiv w:val="1"/>
      <w:marLeft w:val="0"/>
      <w:marRight w:val="0"/>
      <w:marTop w:val="0"/>
      <w:marBottom w:val="0"/>
      <w:divBdr>
        <w:top w:val="none" w:sz="0" w:space="0" w:color="auto"/>
        <w:left w:val="none" w:sz="0" w:space="0" w:color="auto"/>
        <w:bottom w:val="none" w:sz="0" w:space="0" w:color="auto"/>
        <w:right w:val="none" w:sz="0" w:space="0" w:color="auto"/>
      </w:divBdr>
    </w:div>
    <w:div w:id="420491753">
      <w:bodyDiv w:val="1"/>
      <w:marLeft w:val="0"/>
      <w:marRight w:val="0"/>
      <w:marTop w:val="0"/>
      <w:marBottom w:val="0"/>
      <w:divBdr>
        <w:top w:val="none" w:sz="0" w:space="0" w:color="auto"/>
        <w:left w:val="none" w:sz="0" w:space="0" w:color="auto"/>
        <w:bottom w:val="none" w:sz="0" w:space="0" w:color="auto"/>
        <w:right w:val="none" w:sz="0" w:space="0" w:color="auto"/>
      </w:divBdr>
    </w:div>
    <w:div w:id="677585866">
      <w:bodyDiv w:val="1"/>
      <w:marLeft w:val="0"/>
      <w:marRight w:val="0"/>
      <w:marTop w:val="0"/>
      <w:marBottom w:val="0"/>
      <w:divBdr>
        <w:top w:val="none" w:sz="0" w:space="0" w:color="auto"/>
        <w:left w:val="none" w:sz="0" w:space="0" w:color="auto"/>
        <w:bottom w:val="none" w:sz="0" w:space="0" w:color="auto"/>
        <w:right w:val="none" w:sz="0" w:space="0" w:color="auto"/>
      </w:divBdr>
    </w:div>
    <w:div w:id="782386875">
      <w:bodyDiv w:val="1"/>
      <w:marLeft w:val="0"/>
      <w:marRight w:val="0"/>
      <w:marTop w:val="0"/>
      <w:marBottom w:val="0"/>
      <w:divBdr>
        <w:top w:val="none" w:sz="0" w:space="0" w:color="auto"/>
        <w:left w:val="none" w:sz="0" w:space="0" w:color="auto"/>
        <w:bottom w:val="none" w:sz="0" w:space="0" w:color="auto"/>
        <w:right w:val="none" w:sz="0" w:space="0" w:color="auto"/>
      </w:divBdr>
    </w:div>
    <w:div w:id="1105885491">
      <w:bodyDiv w:val="1"/>
      <w:marLeft w:val="0"/>
      <w:marRight w:val="0"/>
      <w:marTop w:val="0"/>
      <w:marBottom w:val="0"/>
      <w:divBdr>
        <w:top w:val="none" w:sz="0" w:space="0" w:color="auto"/>
        <w:left w:val="none" w:sz="0" w:space="0" w:color="auto"/>
        <w:bottom w:val="none" w:sz="0" w:space="0" w:color="auto"/>
        <w:right w:val="none" w:sz="0" w:space="0" w:color="auto"/>
      </w:divBdr>
    </w:div>
    <w:div w:id="1208106963">
      <w:bodyDiv w:val="1"/>
      <w:marLeft w:val="0"/>
      <w:marRight w:val="0"/>
      <w:marTop w:val="0"/>
      <w:marBottom w:val="0"/>
      <w:divBdr>
        <w:top w:val="none" w:sz="0" w:space="0" w:color="auto"/>
        <w:left w:val="none" w:sz="0" w:space="0" w:color="auto"/>
        <w:bottom w:val="none" w:sz="0" w:space="0" w:color="auto"/>
        <w:right w:val="none" w:sz="0" w:space="0" w:color="auto"/>
      </w:divBdr>
    </w:div>
    <w:div w:id="1245719927">
      <w:bodyDiv w:val="1"/>
      <w:marLeft w:val="0"/>
      <w:marRight w:val="0"/>
      <w:marTop w:val="0"/>
      <w:marBottom w:val="0"/>
      <w:divBdr>
        <w:top w:val="none" w:sz="0" w:space="0" w:color="auto"/>
        <w:left w:val="none" w:sz="0" w:space="0" w:color="auto"/>
        <w:bottom w:val="none" w:sz="0" w:space="0" w:color="auto"/>
        <w:right w:val="none" w:sz="0" w:space="0" w:color="auto"/>
      </w:divBdr>
    </w:div>
    <w:div w:id="1260485836">
      <w:bodyDiv w:val="1"/>
      <w:marLeft w:val="0"/>
      <w:marRight w:val="0"/>
      <w:marTop w:val="0"/>
      <w:marBottom w:val="0"/>
      <w:divBdr>
        <w:top w:val="none" w:sz="0" w:space="0" w:color="auto"/>
        <w:left w:val="none" w:sz="0" w:space="0" w:color="auto"/>
        <w:bottom w:val="none" w:sz="0" w:space="0" w:color="auto"/>
        <w:right w:val="none" w:sz="0" w:space="0" w:color="auto"/>
      </w:divBdr>
    </w:div>
    <w:div w:id="1731422743">
      <w:bodyDiv w:val="1"/>
      <w:marLeft w:val="0"/>
      <w:marRight w:val="0"/>
      <w:marTop w:val="0"/>
      <w:marBottom w:val="0"/>
      <w:divBdr>
        <w:top w:val="none" w:sz="0" w:space="0" w:color="auto"/>
        <w:left w:val="none" w:sz="0" w:space="0" w:color="auto"/>
        <w:bottom w:val="none" w:sz="0" w:space="0" w:color="auto"/>
        <w:right w:val="none" w:sz="0" w:space="0" w:color="auto"/>
      </w:divBdr>
    </w:div>
    <w:div w:id="1786538804">
      <w:bodyDiv w:val="1"/>
      <w:marLeft w:val="0"/>
      <w:marRight w:val="0"/>
      <w:marTop w:val="0"/>
      <w:marBottom w:val="0"/>
      <w:divBdr>
        <w:top w:val="none" w:sz="0" w:space="0" w:color="auto"/>
        <w:left w:val="none" w:sz="0" w:space="0" w:color="auto"/>
        <w:bottom w:val="none" w:sz="0" w:space="0" w:color="auto"/>
        <w:right w:val="none" w:sz="0" w:space="0" w:color="auto"/>
      </w:divBdr>
    </w:div>
    <w:div w:id="1923178316">
      <w:bodyDiv w:val="1"/>
      <w:marLeft w:val="0"/>
      <w:marRight w:val="0"/>
      <w:marTop w:val="0"/>
      <w:marBottom w:val="0"/>
      <w:divBdr>
        <w:top w:val="none" w:sz="0" w:space="0" w:color="auto"/>
        <w:left w:val="none" w:sz="0" w:space="0" w:color="auto"/>
        <w:bottom w:val="none" w:sz="0" w:space="0" w:color="auto"/>
        <w:right w:val="none" w:sz="0" w:space="0" w:color="auto"/>
      </w:divBdr>
    </w:div>
    <w:div w:id="1944024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09.xml"/>
  <Relationship Id="rId10" Type="http://schemas.openxmlformats.org/officeDocument/2006/relationships/customXml" Target="../customXml/item4.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177.png"/>
  <Relationship Id="rId19" Type="http://schemas.openxmlformats.org/officeDocument/2006/relationships/oleObject" Target="embeddings/oleObject177.bin"/>
  <Relationship Id="rId2" Type="http://schemas.openxmlformats.org/officeDocument/2006/relationships/header" Target="header110.xml"/>
  <Relationship Id="rId20" Type="http://schemas.openxmlformats.org/officeDocument/2006/relationships/header" Target="header136.xml"/>
  <Relationship Id="rId21" Type="http://schemas.openxmlformats.org/officeDocument/2006/relationships/header" Target="header137.xml"/>
  <Relationship Id="rId22" Type="http://schemas.openxmlformats.org/officeDocument/2006/relationships/footer" Target="footer136.xml"/>
  <Relationship Id="rId23" Type="http://schemas.openxmlformats.org/officeDocument/2006/relationships/footer" Target="footer137.xml"/>
  <Relationship Id="rId24" Type="http://schemas.openxmlformats.org/officeDocument/2006/relationships/header" Target="header138.xml"/>
  <Relationship Id="rId25" Type="http://schemas.openxmlformats.org/officeDocument/2006/relationships/footer" Target="footer138.xml"/>
  <Relationship Id="rId26" Type="http://schemas.openxmlformats.org/officeDocument/2006/relationships/header" Target="header262.xml"/>
  <Relationship Id="rId27" Type="http://schemas.openxmlformats.org/officeDocument/2006/relationships/header" Target="header263.xml"/>
  <Relationship Id="rId28" Type="http://schemas.openxmlformats.org/officeDocument/2006/relationships/footer" Target="footer262.xml"/>
  <Relationship Id="rId29" Type="http://schemas.openxmlformats.org/officeDocument/2006/relationships/footer" Target="footer263.xml"/>
  <Relationship Id="rId3" Type="http://schemas.openxmlformats.org/officeDocument/2006/relationships/footer" Target="footer109.xml"/>
  <Relationship Id="rId30" Type="http://schemas.openxmlformats.org/officeDocument/2006/relationships/header" Target="header264.xml"/>
  <Relationship Id="rId31" Type="http://schemas.openxmlformats.org/officeDocument/2006/relationships/footer" Target="footer264.xml"/>
  <Relationship Id="rId32" Type="http://schemas.openxmlformats.org/officeDocument/2006/relationships/customXml" Target="../customXml/item5.xml"/>
  <Relationship Id="rId4" Type="http://schemas.openxmlformats.org/officeDocument/2006/relationships/footer" Target="footer110.xml"/>
  <Relationship Id="rId5" Type="http://schemas.openxmlformats.org/officeDocument/2006/relationships/header" Target="header111.xml"/>
  <Relationship Id="rId6" Type="http://schemas.openxmlformats.org/officeDocument/2006/relationships/footer" Target="footer111.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p:properties>
</file>

<file path=customXml/item4.xml><?xml version="1.0" encoding="utf-8"?>
<b:Sources xmlns:b="http://schemas.openxmlformats.org/officeDocument/2006/bibliography" SelectedStyle="\APASixthEditionOfficeOnline.xsl" StyleName="APA" Version="6"/>
</file>

<file path=customXml/item5.xml><?xml version="1.0" encoding="utf-8"?>
<Parts xmlns="http://lrs.lt/TAIS/DocParts">
  <Part Type="pagrindine" DocPartId="f8c1caabe0df49e198502b4b17034264" PartId="18cc371fbdf0429eafdd98cb9f51b48f">
    <Part Type="preambule" DocPartId="a5dc527e952a46629f814acb02a68a8e" PartId="b55119ea5b19448c96fabf90dbccb4b9"/>
    <Part Type="pastraipa" DocPartId="cc90611dd24c491087d0fff5035be87c" PartId="e2e446847dd74fb198f9f4bc120dd735"/>
    <Part Type="signatura" DocPartId="bf3910d75445475e9ba178c29f724398" PartId="8d04719570ea4e7899eed59ab7a0f072"/>
  </Part>
  <Part Type="patvirtinta" Titl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 DocPartId="d7b8cd9b6d7b482285af0e9839f22413" PartId="7e00c1bea6e04480a31e94ac6c847bc9">
    <Part Type="skyrius" Nr="1" Title="PLĖTROS PROGRAMOS PAŽANGOS PRIEMONĖS SIEKIAMI REZULTATAI" DocPartId="b924309999714986a1f663aef95b7db6" PartId="ed03eb13e1d04245a53cad59932558e0"/>
    <Part Type="skyrius" Nr="2" Title="PLĖTROS PROGRAMOS PAŽANGOS PRIEMONĖS FINANSAVIMO ŠALTINIAI" DocPartId="142dd9faf7a84d91b4f244595a84d08d" PartId="9d0aedf2bf194fce908dda4419ffb962"/>
    <Part Type="skyrius" Nr="3" Title="PLĖTROS PROGRAMOS PAŽANGOS PRIEMONĖS VEIKLŲ SUVESTINĖ" DocPartId="c918111ff85046029314a093ade416dc" PartId="97e34dcf80da4018ac4c7410a4644e64"/>
    <Part Type="pabaiga" DocPartId="848b03eee26b4c708a50289e0035c65b" PartId="0a803e9b38de41efa81b2f43b2912e53"/>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s>
</ds:datastoreItem>
</file>

<file path=customXml/itemProps2.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3.xml><?xml version="1.0" encoding="utf-8"?>
<ds:datastoreItem xmlns:ds="http://schemas.openxmlformats.org/officeDocument/2006/customXml" ds:itemID="{AB9CFDD4-93A5-48E2-A3E4-27507CA1D5BE}">
  <ds:schemaRefs>
    <ds:schemaRef ds:uri="http://schemas.microsoft.com/office/2006/metadata/properties"/>
  </ds:schemaRefs>
</ds:datastoreItem>
</file>

<file path=customXml/itemProps4.xml><?xml version="1.0" encoding="utf-8"?>
<ds:datastoreItem xmlns:ds="http://schemas.openxmlformats.org/officeDocument/2006/customXml" ds:itemID="{F566033F-293C-4A04-842A-F9C6CD20E5B2}">
  <ds:schemaRefs>
    <ds:schemaRef ds:uri="http://schemas.openxmlformats.org/officeDocument/2006/bibliography"/>
  </ds:schemaRefs>
</ds:datastoreItem>
</file>

<file path=customXml/itemProps5.xml><?xml version="1.0" encoding="utf-8"?>
<ds:datastoreItem xmlns:ds="http://schemas.openxmlformats.org/officeDocument/2006/customXml" ds:itemID="{AAE67BCD-71D5-48CF-B4E5-5C5019F186D0}">
  <ds:schemaRefs>
    <ds:schemaRef ds:uri="http://lrs.lt/TAIS/DocParts"/>
  </ds:schemaRefs>
</ds:datastoreItem>
</file>

<file path=customXml/itemProps6.xml><?xml version="1.0" encoding="utf-8"?>
<ds:datastoreItem xmlns:ds="http://schemas.openxmlformats.org/officeDocument/2006/customXml" ds:itemID="{EDCF9B89-BBBA-4214-A4DD-013260F94DB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522</TotalTime>
  <Pages>68</Pages>
  <Words>63613</Words>
  <Characters>36260</Characters>
  <Application>Microsoft Office Word</Application>
  <DocSecurity>0</DocSecurity>
  <Lines>302</Lines>
  <Paragraphs>199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99674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2026-06-25T06:29:00Z</dcterms:modified>
  <revision>168</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