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8926a5b0e0c4dcca5651b35ab7e0d79"/>
        <w:lock w:val="sdtLocked"/>
        <w:richText/>
      </w:sdtPr>
      <w:sdtContent>
        <w:p>
          <w:pPr>
            <w:jc w:val="both"/>
            <w:rPr>
              <w:rFonts w:ascii="Times New Roman" w:hAnsi="Times New Roman"/>
            </w:rPr>
          </w:pPr>
          <w:r>
            <w:rPr>
              <w:rFonts w:ascii="Times New Roman" w:hAnsi="Times New Roman"/>
              <w:b/>
              <w:i/>
            </w:rPr>
            <w:t>Suvestinė redakcija nuo 2026-04-28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pt;height:43.95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e00c1bea6e04480a31e94ac6c847bc9"/>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e00c1bea6e04480a31e94ac6c847bc9"/>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551da1a097d947d2b1f9b2cbc54cabf3"/>
            <w:lock w:val="sdtLocked"/>
            <w:richText/>
          </w:sdtPr>
          <w:sdtContent>
            <w:p>
              <w:pPr>
                <w:tabs>
                  <w:tab w:val="left" w:pos="1985"/>
                </w:tabs>
                <w:jc w:val="center"/>
                <w:rPr>
                  <w:b/>
                  <w:bCs/>
                  <w:sz w:val="22"/>
                  <w:szCs w:val="22"/>
                </w:rPr>
              </w:pPr>
              <w:sdt>
                <w:sdtPr>
                  <w:alias w:val="Numeris"/>
                  <w:tag w:val="nr_551da1a097d947d2b1f9b2cbc54cabf3"/>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551da1a097d947d2b1f9b2cbc54cabf3"/>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9660108a9abb403fbff4a371950d0d5a"/>
            <w:lock w:val="sdtLocked"/>
            <w:richText/>
          </w:sdtPr>
          <w:sdtContent>
            <w:p>
              <w:pPr>
                <w:ind w:right="-2"/>
                <w:jc w:val="center"/>
                <w:rPr>
                  <w:color w:val="000000"/>
                  <w:szCs w:val="24"/>
                  <w:lang w:eastAsia="lt-LT"/>
                </w:rPr>
              </w:pPr>
              <w:sdt>
                <w:sdtPr>
                  <w:alias w:val="Numeris"/>
                  <w:tag w:val="nr_9660108a9abb403fbff4a371950d0d5a"/>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9660108a9abb403fbff4a371950d0d5a"/>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81339af4984a45678e652eebd664e6b1"/>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81339af4984a45678e652eebd664e6b1"/>
                  <w:lock w:val="sdtLocked"/>
                  <w:richText/>
                </w:sdtPr>
                <w:sdtContent>
                  <w:r>
                    <w:rPr>
                      <w:b/>
                      <w:bCs/>
                    </w:rPr>
                    <w:t>III</w:t>
                  </w:r>
                </w:sdtContent>
              </w:sdt>
              <w:r>
                <w:rPr>
                  <w:b/>
                  <w:bCs/>
                </w:rPr>
                <w:t xml:space="preserve"> SKYRIUS</w:t>
              </w:r>
            </w:p>
            <w:p>
              <w:pPr>
                <w:jc w:val="center"/>
                <w:rPr>
                  <w:b/>
                  <w:bCs/>
                </w:rPr>
              </w:pPr>
              <w:sdt>
                <w:sdtPr>
                  <w:alias w:val="Pavadinimas"/>
                  <w:tag w:val="title_81339af4984a45678e652eebd664e6b1"/>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118"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Įkurtų specializuotų dienos priežiūros centrų, skirtų integruotoms ilgalaikės priežiūros paslaugoms teikti, skaičius,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30"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118"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jc w:val="center"/>
                      <w:rPr>
                        <w:color w:val="000000"/>
                        <w:sz w:val="20"/>
                      </w:rPr>
                    </w:pPr>
                  </w:p>
                </w:tc>
                <w:tc>
                  <w:tcPr>
                    <w:tcW w:w="1118" w:type="dxa"/>
                    <w:vMerge/>
                    <w:tcBorders>
                      <w:left w:val="single" w:sz="4" w:space="0" w:color="auto"/>
                      <w:bottom w:val="single" w:sz="4" w:space="0" w:color="auto"/>
                      <w:right w:val="single" w:sz="4" w:space="0" w:color="auto"/>
                    </w:tcBorders>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tc>
              </w:tr>
              <w:tr>
                <w:trPr>
                  <w:trHeight w:val="453"/>
                </w:trPr>
                <w:tc>
                  <w:tcPr>
                    <w:tcW w:w="2130" w:type="dxa"/>
                    <w:gridSpan w:val="2"/>
                    <w:vMerge/>
                    <w:tcBorders>
                      <w:left w:val="single" w:sz="4" w:space="0" w:color="auto"/>
                      <w:right w:val="single" w:sz="4" w:space="0" w:color="auto"/>
                    </w:tcBorders>
                  </w:tcPr>
                  <w:p>
                    <w:pPr>
                      <w:ind w:left="-57" w:right="-57"/>
                      <w:rPr>
                        <w:iCs/>
                        <w:sz w:val="20"/>
                      </w:rPr>
                    </w:pPr>
                  </w:p>
                </w:tc>
                <w:tc>
                  <w:tcPr>
                    <w:tcW w:w="699" w:type="dxa"/>
                    <w:vMerge/>
                    <w:tcBorders>
                      <w:left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167" w:type="dxa"/>
                    <w:gridSpan w:val="2"/>
                    <w:tcBorders>
                      <w:left w:val="single" w:sz="4" w:space="0" w:color="auto"/>
                      <w:right w:val="single" w:sz="4" w:space="0" w:color="auto"/>
                    </w:tcBorders>
                  </w:tcPr>
                  <w:p>
                    <w:pPr>
                      <w:ind w:left="-57" w:right="-57"/>
                      <w:jc w:val="center"/>
                      <w:rPr>
                        <w:sz w:val="20"/>
                      </w:rPr>
                    </w:pPr>
                    <w:r>
                      <w:rPr>
                        <w:sz w:val="20"/>
                      </w:rPr>
                      <w:t>740</w:t>
                    </w:r>
                  </w:p>
                </w:tc>
                <w:tc>
                  <w:tcPr>
                    <w:tcW w:w="1118"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001" w:type="dxa"/>
                    <w:gridSpan w:val="2"/>
                    <w:vMerge/>
                    <w:tcBorders>
                      <w:left w:val="single" w:sz="4" w:space="0" w:color="auto"/>
                      <w:right w:val="single" w:sz="4" w:space="0" w:color="auto"/>
                    </w:tcBorders>
                  </w:tcPr>
                  <w:p>
                    <w:pPr>
                      <w:ind w:left="-57" w:right="-57"/>
                      <w:rPr>
                        <w:sz w:val="20"/>
                      </w:rPr>
                    </w:pPr>
                  </w:p>
                </w:tc>
                <w:tc>
                  <w:tcPr>
                    <w:tcW w:w="1134" w:type="dxa"/>
                    <w:gridSpan w:val="2"/>
                    <w:vMerge/>
                    <w:tcBorders>
                      <w:left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001" w:type="dxa"/>
                    <w:gridSpan w:val="2"/>
                    <w:vMerge/>
                    <w:tcBorders>
                      <w:left w:val="single" w:sz="4" w:space="0" w:color="auto"/>
                      <w:bottom w:val="single" w:sz="4" w:space="0" w:color="auto"/>
                      <w:right w:val="single" w:sz="4" w:space="0" w:color="auto"/>
                    </w:tcBorders>
                  </w:tcPr>
                  <w:p>
                    <w:pPr>
                      <w:ind w:left="-57" w:right="-57"/>
                      <w:rPr>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right w:val="single" w:sz="4" w:space="0" w:color="auto"/>
                    </w:tcBorders>
                    <w:hideMark/>
                  </w:tcPr>
                  <w:p>
                    <w:pPr>
                      <w:ind w:left="-57" w:right="-57"/>
                      <w:jc w:val="center"/>
                      <w:rPr>
                        <w:sz w:val="20"/>
                      </w:rPr>
                    </w:pPr>
                    <w:r>
                      <w:rPr>
                        <w:sz w:val="20"/>
                      </w:rPr>
                      <w:t>2. Pasirengimo grėsmėms stiprinimas:</w:t>
                    </w:r>
                  </w:p>
                </w:tc>
                <w:tc>
                  <w:tcPr>
                    <w:tcW w:w="699" w:type="dxa"/>
                    <w:vMerge w:val="restart"/>
                    <w:tcBorders>
                      <w:top w:val="single" w:sz="4" w:space="0" w:color="auto"/>
                      <w:left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320 499,779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b/>
                        <w:sz w:val="20"/>
                      </w:rPr>
                    </w:pPr>
                  </w:p>
                </w:tc>
                <w:tc>
                  <w:tcPr>
                    <w:tcW w:w="1279" w:type="dxa"/>
                    <w:vMerge w:val="restart"/>
                    <w:tcBorders>
                      <w:top w:val="single" w:sz="4" w:space="0" w:color="auto"/>
                      <w:left w:val="single" w:sz="4" w:space="0" w:color="auto"/>
                      <w:right w:val="single" w:sz="4" w:space="0" w:color="auto"/>
                    </w:tcBorders>
                  </w:tcPr>
                  <w:p>
                    <w:pPr>
                      <w:ind w:left="-57" w:right="-57"/>
                      <w:jc w:val="cente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194 283,999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40 798,741</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070"/>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lang w:val="en-US"/>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(Bendrojo finansavimo (toliau – BF), Sostinės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45 507,182</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8 030,679</w:t>
                    </w:r>
                  </w:p>
                  <w:p>
                    <w:pPr>
                      <w:ind w:left="-57" w:right="-57" w:hanging="70"/>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 proc.)</w:t>
                    </w: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bottom w:val="single" w:sz="4" w:space="0" w:color="auto"/>
                      <w:right w:val="single" w:sz="4" w:space="0" w:color="auto"/>
                    </w:tcBorders>
                    <w:vAlign w:val="center"/>
                  </w:tcPr>
                  <w:p>
                    <w:pPr>
                      <w:rPr>
                        <w:b/>
                        <w:bCs/>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bCs/>
                        <w:sz w:val="20"/>
                      </w:rPr>
                    </w:pPr>
                  </w:p>
                </w:tc>
                <w:tc>
                  <w:tcPr>
                    <w:tcW w:w="829" w:type="dxa"/>
                    <w:gridSpan w:val="3"/>
                    <w:vMerge/>
                    <w:tcBorders>
                      <w:left w:val="single" w:sz="4" w:space="0" w:color="auto"/>
                      <w:bottom w:val="single" w:sz="4" w:space="0" w:color="auto"/>
                      <w:right w:val="single" w:sz="4" w:space="0" w:color="auto"/>
                    </w:tcBorders>
                    <w:vAlign w:val="center"/>
                  </w:tcPr>
                  <w:p>
                    <w:pPr>
                      <w:rPr>
                        <w:bCs/>
                        <w:sz w:val="20"/>
                      </w:rPr>
                    </w:pPr>
                  </w:p>
                </w:tc>
                <w:tc>
                  <w:tcPr>
                    <w:tcW w:w="1014" w:type="dxa"/>
                    <w:gridSpan w:val="3"/>
                    <w:vMerge/>
                    <w:tcBorders>
                      <w:left w:val="single" w:sz="4" w:space="0" w:color="auto"/>
                      <w:bottom w:val="single" w:sz="4" w:space="0" w:color="auto"/>
                      <w:right w:val="single" w:sz="4" w:space="0" w:color="auto"/>
                    </w:tcBorders>
                    <w:vAlign w:val="center"/>
                  </w:tcPr>
                  <w:p>
                    <w:pPr>
                      <w:rPr>
                        <w:bCs/>
                        <w:sz w:val="20"/>
                      </w:rPr>
                    </w:pPr>
                  </w:p>
                </w:tc>
                <w:tc>
                  <w:tcPr>
                    <w:tcW w:w="681" w:type="dxa"/>
                    <w:gridSpan w:val="3"/>
                    <w:vMerge/>
                    <w:tcBorders>
                      <w:left w:val="single" w:sz="4" w:space="0" w:color="auto"/>
                      <w:bottom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b/>
                        <w:sz w:val="20"/>
                      </w:rPr>
                    </w:pPr>
                  </w:p>
                </w:tc>
                <w:tc>
                  <w:tcPr>
                    <w:tcW w:w="1279" w:type="dxa"/>
                    <w:vMerge/>
                    <w:tcBorders>
                      <w:left w:val="single" w:sz="4" w:space="0" w:color="auto"/>
                      <w:bottom w:val="single" w:sz="4" w:space="0" w:color="auto"/>
                      <w:right w:val="single" w:sz="4" w:space="0" w:color="auto"/>
                    </w:tcBorders>
                    <w:vAlign w:val="center"/>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69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rPr>
                    </w:pPr>
                    <w:r>
                      <w:rPr>
                        <w:sz w:val="20"/>
                      </w:rPr>
                      <w:t>146 153,509</w:t>
                    </w:r>
                  </w:p>
                </w:tc>
                <w:tc>
                  <w:tcPr>
                    <w:tcW w:w="1118" w:type="dxa"/>
                    <w:tcBorders>
                      <w:top w:val="single" w:sz="4" w:space="0" w:color="auto"/>
                      <w:left w:val="single" w:sz="4" w:space="0" w:color="auto"/>
                      <w:right w:val="single" w:sz="4" w:space="0" w:color="auto"/>
                    </w:tcBorders>
                  </w:tcPr>
                  <w:p>
                    <w:pPr>
                      <w:rPr>
                        <w:sz w:val="20"/>
                      </w:rPr>
                    </w:pPr>
                    <w:r>
                      <w:rPr>
                        <w:sz w:val="20"/>
                      </w:rPr>
                      <w:t>EGADP</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Modernizuotų sveikatos priežiūros įstaigų, įskaitant infekcinių ligų klasterio kompetencijos centrus, skaičius, vnt.</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118"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118"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vMerge w:val="restart"/>
                  </w:tcPr>
                  <w:p>
                    <w:pPr>
                      <w:rPr>
                        <w:sz w:val="20"/>
                      </w:rPr>
                    </w:pPr>
                    <w:r>
                      <w:rPr>
                        <w:sz w:val="20"/>
                      </w:rPr>
                      <w:t>2.4. Regionų ir savivaldybių sveikatos priežiūros įstaigų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49" w:type="dxa"/>
                    <w:gridSpan w:val="4"/>
                    <w:vMerge w:val="restart"/>
                  </w:tcPr>
                  <w:p>
                    <w:pPr>
                      <w:rPr>
                        <w:sz w:val="20"/>
                      </w:rPr>
                    </w:pPr>
                    <w:r>
                      <w:rPr>
                        <w:sz w:val="20"/>
                      </w:rPr>
                      <w:t>P</w:t>
                    </w:r>
                  </w:p>
                </w:tc>
                <w:tc>
                  <w:tcPr>
                    <w:tcW w:w="994" w:type="dxa"/>
                    <w:gridSpan w:val="2"/>
                    <w:vMerge w:val="restart"/>
                  </w:tcPr>
                  <w:p>
                    <w:pPr>
                      <w:rPr>
                        <w:sz w:val="20"/>
                      </w:rPr>
                    </w:pPr>
                    <w:r>
                      <w:rPr>
                        <w:sz w:val="20"/>
                      </w:rPr>
                      <w:t>Taip</w:t>
                    </w:r>
                  </w:p>
                </w:tc>
                <w:tc>
                  <w:tcPr>
                    <w:tcW w:w="708" w:type="dxa"/>
                    <w:gridSpan w:val="4"/>
                    <w:vMerge w:val="restart"/>
                  </w:tcPr>
                  <w:p>
                    <w:pPr>
                      <w:rPr>
                        <w:sz w:val="20"/>
                      </w:rPr>
                    </w:pPr>
                    <w:r>
                      <w:rPr>
                        <w:sz w:val="20"/>
                      </w:rPr>
                      <w:t>D</w:t>
                    </w:r>
                  </w:p>
                </w:tc>
                <w:tc>
                  <w:tcPr>
                    <w:tcW w:w="1140" w:type="dxa"/>
                    <w:tcBorders>
                      <w:left w:val="single" w:sz="4" w:space="0" w:color="auto"/>
                      <w:bottom w:val="single" w:sz="4" w:space="0" w:color="auto"/>
                      <w:right w:val="single" w:sz="4" w:space="0" w:color="auto"/>
                    </w:tcBorders>
                  </w:tcPr>
                  <w:p>
                    <w:pPr>
                      <w:jc w:val="center"/>
                      <w:rPr>
                        <w:sz w:val="20"/>
                      </w:rPr>
                    </w:pPr>
                    <w:r>
                      <w:rPr>
                        <w:color w:val="000000"/>
                        <w:sz w:val="20"/>
                      </w:rPr>
                      <w:t>11 250,490</w:t>
                    </w:r>
                  </w:p>
                </w:tc>
                <w:tc>
                  <w:tcPr>
                    <w:tcW w:w="1134" w:type="dxa"/>
                    <w:gridSpan w:val="2"/>
                  </w:tcPr>
                  <w:p>
                    <w:pPr>
                      <w:rPr>
                        <w:sz w:val="20"/>
                      </w:rPr>
                    </w:pPr>
                    <w:r>
                      <w:rPr>
                        <w:sz w:val="20"/>
                      </w:rPr>
                      <w:t>2021–2027 m. IP (ERPF)</w:t>
                    </w:r>
                  </w:p>
                  <w:p>
                    <w:pPr>
                      <w:rPr>
                        <w:sz w:val="20"/>
                      </w:rPr>
                    </w:pPr>
                  </w:p>
                </w:tc>
                <w:tc>
                  <w:tcPr>
                    <w:tcW w:w="1985"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134" w:type="dxa"/>
                    <w:gridSpan w:val="2"/>
                  </w:tcPr>
                  <w:p>
                    <w:pPr>
                      <w:ind w:left="-57" w:right="-57"/>
                      <w:jc w:val="center"/>
                      <w:rPr>
                        <w:sz w:val="20"/>
                      </w:rPr>
                    </w:pPr>
                    <w:r>
                      <w:rPr>
                        <w:sz w:val="20"/>
                      </w:rPr>
                      <w:t>57 050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49" w:type="dxa"/>
                    <w:gridSpan w:val="4"/>
                    <w:vMerge/>
                  </w:tcPr>
                  <w:p>
                    <w:pPr>
                      <w:rPr>
                        <w:color w:val="000000"/>
                        <w:sz w:val="20"/>
                      </w:rPr>
                    </w:pPr>
                  </w:p>
                </w:tc>
                <w:tc>
                  <w:tcPr>
                    <w:tcW w:w="994" w:type="dxa"/>
                    <w:gridSpan w:val="2"/>
                    <w:vMerge/>
                  </w:tcPr>
                  <w:p>
                    <w:pPr>
                      <w:rPr>
                        <w:color w:val="000000"/>
                        <w:sz w:val="20"/>
                      </w:rPr>
                    </w:pPr>
                  </w:p>
                </w:tc>
                <w:tc>
                  <w:tcPr>
                    <w:tcW w:w="708" w:type="dxa"/>
                    <w:gridSpan w:val="4"/>
                    <w:vMerge/>
                  </w:tcPr>
                  <w:p>
                    <w:pPr>
                      <w:rPr>
                        <w:color w:val="000000"/>
                        <w:sz w:val="20"/>
                      </w:rPr>
                    </w:pPr>
                  </w:p>
                </w:tc>
                <w:tc>
                  <w:tcPr>
                    <w:tcW w:w="1140" w:type="dxa"/>
                    <w:tcBorders>
                      <w:left w:val="single" w:sz="4" w:space="0" w:color="auto"/>
                      <w:bottom w:val="single" w:sz="4" w:space="0" w:color="auto"/>
                      <w:right w:val="single" w:sz="4" w:space="0" w:color="auto"/>
                    </w:tcBorders>
                  </w:tcPr>
                  <w:p>
                    <w:pPr>
                      <w:jc w:val="center"/>
                      <w:rPr>
                        <w:color w:val="000000"/>
                        <w:sz w:val="20"/>
                      </w:rPr>
                    </w:pPr>
                    <w:r>
                      <w:rPr>
                        <w:color w:val="000000"/>
                        <w:sz w:val="20"/>
                      </w:rPr>
                      <w:t>9 450,490</w:t>
                    </w:r>
                  </w:p>
                </w:tc>
                <w:tc>
                  <w:tcPr>
                    <w:tcW w:w="1134" w:type="dxa"/>
                    <w:gridSpan w:val="2"/>
                  </w:tcPr>
                  <w:p>
                    <w:pPr>
                      <w:rPr>
                        <w:sz w:val="20"/>
                      </w:rPr>
                    </w:pPr>
                    <w:r>
                      <w:rPr>
                        <w:sz w:val="20"/>
                      </w:rPr>
                      <w:t>2021–2027 m. IP (BF)</w:t>
                    </w:r>
                  </w:p>
                </w:tc>
                <w:tc>
                  <w:tcPr>
                    <w:tcW w:w="1985"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134" w:type="dxa"/>
                    <w:gridSpan w:val="2"/>
                  </w:tcPr>
                  <w:p>
                    <w:pPr>
                      <w:ind w:left="-57" w:right="-57"/>
                      <w:jc w:val="center"/>
                      <w:rPr>
                        <w:sz w:val="20"/>
                      </w:rPr>
                    </w:pPr>
                    <w:r>
                      <w:rPr>
                        <w:sz w:val="20"/>
                      </w:rPr>
                      <w:t>51 920</w:t>
                    </w:r>
                  </w:p>
                  <w:p>
                    <w:pPr>
                      <w:ind w:left="423" w:right="-57" w:hanging="480"/>
                      <w:jc w:val="center"/>
                      <w:rPr>
                        <w:sz w:val="20"/>
                      </w:rPr>
                    </w:pPr>
                    <w:r>
                      <w:rPr>
                        <w:sz w:val="20"/>
                      </w:rPr>
                      <w:t>(2029</w:t>
                      <w:tab/>
                      <w:t xml:space="preserve">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ind w:firstLine="53"/>
                      <w:rPr>
                        <w:sz w:val="20"/>
                      </w:rPr>
                    </w:pPr>
                    <w:r>
                      <w:rPr>
                        <w:sz w:val="20"/>
                      </w:rPr>
                      <w:t>38 972,928</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ind w:firstLine="106"/>
                      <w:rPr>
                        <w:sz w:val="20"/>
                      </w:rPr>
                    </w:pPr>
                    <w:r>
                      <w:rPr>
                        <w:sz w:val="20"/>
                      </w:rPr>
                      <w:t>6 877,575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451"/>
                </w:trPr>
                <w:tc>
                  <w:tcPr>
                    <w:tcW w:w="2130" w:type="dxa"/>
                    <w:gridSpan w:val="2"/>
                  </w:tcPr>
                  <w:p>
                    <w:r>
                      <w:rPr>
                        <w:sz w:val="20"/>
                      </w:rPr>
                      <w:t>2.10.</w:t>
                    </w:r>
                  </w:p>
                </w:tc>
                <w:tc>
                  <w:tcPr>
                    <w:tcW w:w="11620" w:type="dxa"/>
                    <w:gridSpan w:val="19"/>
                  </w:tcPr>
                  <w:p>
                    <w:r>
                      <w:rPr>
                        <w:i/>
                        <w:sz w:val="20"/>
                      </w:rPr>
                      <w:t>Neteko galios 2026-03-06</w:t>
                    </w:r>
                    <w:r>
                      <w:t>.</w:t>
                    </w:r>
                  </w:p>
                </w:tc>
                <w:tc>
                  <w:tcPr>
                    <w:tcW w:w="1279" w:type="dxa"/>
                  </w:tcPr>
                  <w:p>
                    <w:r>
                      <w:rPr>
                        <w:sz w:val="20"/>
                      </w:rPr>
                      <w:t>SAM</w:t>
                    </w:r>
                  </w:p>
                </w:tc>
              </w:tr>
              <w:tr>
                <w:trPr>
                  <w:trHeight w:val="414"/>
                </w:trPr>
                <w:tc>
                  <w:tcPr>
                    <w:tcW w:w="2130" w:type="dxa"/>
                    <w:gridSpan w:val="2"/>
                    <w:vMerge w:val="restart"/>
                  </w:tcPr>
                  <w:p>
                    <w:pPr>
                      <w:rPr>
                        <w:color w:val="000000"/>
                        <w:sz w:val="20"/>
                      </w:rPr>
                    </w:pPr>
                    <w:r>
                      <w:rPr>
                        <w:color w:val="000000"/>
                        <w:sz w:val="20"/>
                      </w:rPr>
                      <w:t xml:space="preserve">2.11. Sveikatos priežiūros specialistų (pirminės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color w:val="000000"/>
                        <w:sz w:val="20"/>
                      </w:rPr>
                    </w:pPr>
                    <w:r>
                      <w:rPr>
                        <w:color w:val="000000"/>
                        <w:sz w:val="20"/>
                      </w:rPr>
                      <w:t>I</w:t>
                    </w:r>
                  </w:p>
                </w:tc>
                <w:tc>
                  <w:tcPr>
                    <w:tcW w:w="1985" w:type="dxa"/>
                    <w:vMerge w:val="restart"/>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829" w:type="dxa"/>
                    <w:gridSpan w:val="3"/>
                    <w:vMerge w:val="restart"/>
                  </w:tcPr>
                  <w:p>
                    <w:pPr>
                      <w:rPr>
                        <w:color w:val="000000"/>
                        <w:sz w:val="20"/>
                      </w:rPr>
                    </w:pPr>
                    <w:r>
                      <w:rPr>
                        <w:color w:val="000000"/>
                        <w:sz w:val="20"/>
                      </w:rPr>
                      <w:t>P</w:t>
                    </w:r>
                  </w:p>
                </w:tc>
                <w:tc>
                  <w:tcPr>
                    <w:tcW w:w="1014" w:type="dxa"/>
                    <w:gridSpan w:val="3"/>
                    <w:vMerge w:val="restart"/>
                  </w:tcPr>
                  <w:p>
                    <w:pPr>
                      <w:rPr>
                        <w:color w:val="000000"/>
                        <w:sz w:val="20"/>
                      </w:rPr>
                    </w:pPr>
                    <w:r>
                      <w:rPr>
                        <w:color w:val="000000"/>
                        <w:sz w:val="20"/>
                      </w:rPr>
                      <w:t>Taip</w:t>
                    </w:r>
                  </w:p>
                </w:tc>
                <w:tc>
                  <w:tcPr>
                    <w:tcW w:w="681" w:type="dxa"/>
                    <w:gridSpan w:val="3"/>
                    <w:vMerge w:val="restart"/>
                  </w:tcPr>
                  <w:p>
                    <w:pPr>
                      <w:rPr>
                        <w:color w:val="000000"/>
                        <w:sz w:val="20"/>
                      </w:rPr>
                    </w:pPr>
                    <w:r>
                      <w:rPr>
                        <w:color w:val="000000"/>
                        <w:sz w:val="20"/>
                      </w:rPr>
                      <w:t>D</w:t>
                    </w:r>
                  </w:p>
                </w:tc>
                <w:tc>
                  <w:tcPr>
                    <w:tcW w:w="1167" w:type="dxa"/>
                    <w:gridSpan w:val="2"/>
                  </w:tcPr>
                  <w:p>
                    <w:pPr>
                      <w:rPr>
                        <w:color w:val="000000"/>
                        <w:sz w:val="20"/>
                      </w:rPr>
                    </w:pPr>
                    <w:r>
                      <w:rPr>
                        <w:color w:val="000000"/>
                        <w:sz w:val="20"/>
                      </w:rPr>
                      <w:t>1 616,463</w:t>
                    </w:r>
                  </w:p>
                </w:tc>
                <w:tc>
                  <w:tcPr>
                    <w:tcW w:w="1118" w:type="dxa"/>
                  </w:tcPr>
                  <w:p>
                    <w:pPr>
                      <w:rPr>
                        <w:color w:val="000000"/>
                        <w:sz w:val="20"/>
                      </w:rPr>
                    </w:pPr>
                    <w:r>
                      <w:rPr>
                        <w:color w:val="000000"/>
                        <w:sz w:val="20"/>
                      </w:rPr>
                      <w:t xml:space="preserve">2021–2027 m. IP (ESF+) </w:t>
                    </w:r>
                  </w:p>
                </w:tc>
                <w:tc>
                  <w:tcPr>
                    <w:tcW w:w="2001" w:type="dxa"/>
                    <w:gridSpan w:val="2"/>
                  </w:tcPr>
                  <w:p>
                    <w:pPr>
                      <w:ind w:left="-57" w:right="-57"/>
                      <w:rPr>
                        <w:color w:val="000000"/>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rPr>
                        <w:color w:val="000000"/>
                        <w:sz w:val="20"/>
                      </w:rPr>
                    </w:pPr>
                    <w:r>
                      <w:rPr>
                        <w:color w:val="000000"/>
                        <w:sz w:val="20"/>
                      </w:rPr>
                      <w:t>285,259</w:t>
                    </w:r>
                  </w:p>
                </w:tc>
                <w:tc>
                  <w:tcPr>
                    <w:tcW w:w="1118" w:type="dxa"/>
                  </w:tcPr>
                  <w:p>
                    <w:pPr>
                      <w:rPr>
                        <w:color w:val="000000"/>
                        <w:sz w:val="20"/>
                      </w:rPr>
                    </w:pPr>
                    <w:r>
                      <w:rPr>
                        <w:color w:val="000000"/>
                        <w:sz w:val="20"/>
                      </w:rPr>
                      <w:t>2021–2027 m. IP (BF)</w:t>
                    </w:r>
                  </w:p>
                </w:tc>
                <w:tc>
                  <w:tcPr>
                    <w:tcW w:w="2001" w:type="dxa"/>
                    <w:gridSpan w:val="2"/>
                  </w:tcPr>
                  <w:p>
                    <w:pPr>
                      <w:ind w:left="-57" w:right="-57"/>
                      <w:rPr>
                        <w:color w:val="000000"/>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val="restart"/>
                  </w:tcPr>
                  <w:p>
                    <w:pPr>
                      <w:rPr>
                        <w:sz w:val="20"/>
                      </w:rPr>
                    </w:pPr>
                    <w:r>
                      <w:rPr>
                        <w:sz w:val="20"/>
                      </w:rPr>
                      <w:t xml:space="preserve">2.12. Sveikatos priežiūros specialistų (specializuotos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sz w:val="20"/>
                      </w:rPr>
                    </w:pPr>
                    <w:r>
                      <w:rPr>
                        <w:sz w:val="20"/>
                      </w:rPr>
                      <w:t>I</w:t>
                    </w:r>
                  </w:p>
                </w:tc>
                <w:tc>
                  <w:tcPr>
                    <w:tcW w:w="1985" w:type="dxa"/>
                    <w:vMerge w:val="restart"/>
                  </w:tcPr>
                  <w:p>
                    <w:pPr>
                      <w:rPr>
                        <w:sz w:val="20"/>
                      </w:rPr>
                    </w:pPr>
                    <w:r>
                      <w:rPr>
                        <w:sz w:val="20"/>
                      </w:rPr>
                      <w:t>ESSC, VU ir LSMU</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color w:val="000000"/>
                        <w:sz w:val="20"/>
                      </w:rPr>
                    </w:pPr>
                    <w:r>
                      <w:rPr>
                        <w:sz w:val="20"/>
                      </w:rPr>
                      <w:t>6 723,896</w:t>
                    </w:r>
                  </w:p>
                </w:tc>
                <w:tc>
                  <w:tcPr>
                    <w:tcW w:w="1118" w:type="dxa"/>
                  </w:tcPr>
                  <w:p>
                    <w:pPr>
                      <w:rPr>
                        <w:color w:val="000000"/>
                        <w:sz w:val="20"/>
                      </w:rPr>
                    </w:pPr>
                    <w:r>
                      <w:rPr>
                        <w:sz w:val="20"/>
                      </w:rPr>
                      <w:t xml:space="preserve">2021–2027 m. IP (ESF+) </w:t>
                    </w:r>
                  </w:p>
                </w:tc>
                <w:tc>
                  <w:tcPr>
                    <w:tcW w:w="2001" w:type="dxa"/>
                    <w:gridSpan w:val="2"/>
                  </w:tcPr>
                  <w:p>
                    <w:pPr>
                      <w:ind w:left="-57" w:right="-57"/>
                      <w:rPr>
                        <w:color w:val="000000"/>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3 830</w:t>
                    </w:r>
                  </w:p>
                  <w:p>
                    <w:pPr>
                      <w:ind w:left="-57" w:right="-57"/>
                      <w:jc w:val="center"/>
                      <w:rPr>
                        <w:color w:val="000000"/>
                        <w:sz w:val="20"/>
                      </w:rPr>
                    </w:pPr>
                    <w:r>
                      <w:rPr>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sz w:val="20"/>
                      </w:rPr>
                      <w:t>1 186,570</w:t>
                    </w:r>
                  </w:p>
                </w:tc>
                <w:tc>
                  <w:tcPr>
                    <w:tcW w:w="1118" w:type="dxa"/>
                  </w:tcPr>
                  <w:p>
                    <w:pPr>
                      <w:rPr>
                        <w:sz w:val="20"/>
                      </w:rPr>
                    </w:pPr>
                    <w:r>
                      <w:rPr>
                        <w:sz w:val="20"/>
                      </w:rPr>
                      <w:t>2021–2027 m. IP (BF)</w:t>
                    </w:r>
                  </w:p>
                </w:tc>
                <w:tc>
                  <w:tcPr>
                    <w:tcW w:w="2001" w:type="dxa"/>
                    <w:gridSpan w:val="2"/>
                  </w:tcPr>
                  <w:p>
                    <w:pPr>
                      <w:ind w:left="-57" w:right="-57"/>
                      <w:rPr>
                        <w:sz w:val="20"/>
                      </w:rPr>
                    </w:pPr>
                    <w:r>
                      <w:rPr>
                        <w:sz w:val="20"/>
                      </w:rPr>
                      <w:t>R – Specialistų, kurie po dalyvavimo veiklose įgijo ar patobulino kvalifikaciją, dalis, proc.</w:t>
                    </w: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shd w:val="clear" w:color="auto" w:fill="F2F2F2" w:themeFill="background1" w:themeFillShade="F2"/>
                  </w:tcPr>
                  <w:p>
                    <w:pPr>
                      <w:rPr>
                        <w:b/>
                        <w:bCs/>
                        <w:sz w:val="20"/>
                      </w:rPr>
                    </w:pPr>
                  </w:p>
                </w:tc>
                <w:tc>
                  <w:tcPr>
                    <w:tcW w:w="699" w:type="dxa"/>
                    <w:shd w:val="clear" w:color="auto" w:fill="F2F2F2" w:themeFill="background1" w:themeFillShade="F2"/>
                  </w:tcPr>
                  <w:p>
                    <w:pPr>
                      <w:rPr>
                        <w:sz w:val="20"/>
                      </w:rPr>
                    </w:pPr>
                  </w:p>
                </w:tc>
                <w:tc>
                  <w:tcPr>
                    <w:tcW w:w="1985" w:type="dxa"/>
                    <w:shd w:val="clear" w:color="auto" w:fill="F2F2F2" w:themeFill="background1" w:themeFillShade="F2"/>
                  </w:tcPr>
                  <w:p>
                    <w:pPr>
                      <w:rPr>
                        <w:sz w:val="20"/>
                      </w:rPr>
                    </w:pPr>
                  </w:p>
                </w:tc>
                <w:tc>
                  <w:tcPr>
                    <w:tcW w:w="829" w:type="dxa"/>
                    <w:gridSpan w:val="3"/>
                    <w:shd w:val="clear" w:color="auto" w:fill="F2F2F2" w:themeFill="background1" w:themeFillShade="F2"/>
                  </w:tcPr>
                  <w:p>
                    <w:pPr>
                      <w:rPr>
                        <w:sz w:val="20"/>
                      </w:rPr>
                    </w:pPr>
                  </w:p>
                </w:tc>
                <w:tc>
                  <w:tcPr>
                    <w:tcW w:w="1014" w:type="dxa"/>
                    <w:gridSpan w:val="3"/>
                    <w:shd w:val="clear" w:color="auto" w:fill="F2F2F2" w:themeFill="background1" w:themeFillShade="F2"/>
                  </w:tcPr>
                  <w:p>
                    <w:pPr>
                      <w:rPr>
                        <w:sz w:val="20"/>
                      </w:rPr>
                    </w:pPr>
                  </w:p>
                </w:tc>
                <w:tc>
                  <w:tcPr>
                    <w:tcW w:w="681" w:type="dxa"/>
                    <w:gridSpan w:val="3"/>
                    <w:shd w:val="clear" w:color="auto" w:fill="F2F2F2" w:themeFill="background1" w:themeFillShade="F2"/>
                  </w:tcPr>
                  <w:p>
                    <w:pPr>
                      <w:rPr>
                        <w:sz w:val="20"/>
                      </w:rPr>
                    </w:pPr>
                  </w:p>
                </w:tc>
                <w:tc>
                  <w:tcPr>
                    <w:tcW w:w="1167" w:type="dxa"/>
                    <w:gridSpan w:val="2"/>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shd w:val="clear" w:color="auto" w:fill="F2F2F2" w:themeFill="background1" w:themeFillShade="F2"/>
                  </w:tcPr>
                  <w:p>
                    <w:pPr>
                      <w:rPr>
                        <w:color w:val="000000"/>
                        <w:sz w:val="20"/>
                      </w:rPr>
                    </w:pPr>
                    <w:r>
                      <w:rPr>
                        <w:b/>
                        <w:bCs/>
                        <w:sz w:val="20"/>
                      </w:rPr>
                      <w:t>52 970,227</w:t>
                    </w:r>
                  </w:p>
                </w:tc>
                <w:tc>
                  <w:tcPr>
                    <w:tcW w:w="1118" w:type="dxa"/>
                    <w:shd w:val="clear" w:color="auto" w:fill="F2F2F2" w:themeFill="background1" w:themeFillShade="F2"/>
                  </w:tcPr>
                  <w:p>
                    <w:pPr>
                      <w:rPr>
                        <w:color w:val="000000"/>
                        <w:sz w:val="20"/>
                      </w:rPr>
                    </w:pPr>
                    <w:r>
                      <w:rPr>
                        <w:sz w:val="20"/>
                      </w:rPr>
                      <w:t>-</w:t>
                    </w:r>
                  </w:p>
                </w:tc>
                <w:tc>
                  <w:tcPr>
                    <w:tcW w:w="2001"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19 500</w:t>
                    </w:r>
                  </w:p>
                </w:tc>
                <w:tc>
                  <w:tcPr>
                    <w:tcW w:w="1118" w:type="dxa"/>
                    <w:shd w:val="clear" w:color="auto" w:fill="F2F2F2" w:themeFill="background1" w:themeFillShade="F2"/>
                  </w:tcPr>
                  <w:p>
                    <w:pPr>
                      <w:rPr>
                        <w:sz w:val="20"/>
                      </w:rPr>
                    </w:pPr>
                    <w:r>
                      <w:rPr>
                        <w:sz w:val="20"/>
                      </w:rPr>
                      <w:t>EGADP</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4 090</w:t>
                    </w:r>
                  </w:p>
                </w:tc>
                <w:tc>
                  <w:tcPr>
                    <w:tcW w:w="1118" w:type="dxa"/>
                    <w:shd w:val="clear" w:color="auto" w:fill="F2F2F2" w:themeFill="background1" w:themeFillShade="F2"/>
                  </w:tcPr>
                  <w:p>
                    <w:pPr>
                      <w:rPr>
                        <w:sz w:val="20"/>
                      </w:rPr>
                    </w:pPr>
                    <w:r>
                      <w:rPr>
                        <w:sz w:val="20"/>
                      </w:rPr>
                      <w:t>PVM iš VB</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8 823,193</w:t>
                    </w:r>
                  </w:p>
                </w:tc>
                <w:tc>
                  <w:tcPr>
                    <w:tcW w:w="1118" w:type="dxa"/>
                    <w:shd w:val="clear" w:color="auto" w:fill="F2F2F2" w:themeFill="background1" w:themeFillShade="F2"/>
                  </w:tcPr>
                  <w:p>
                    <w:pPr>
                      <w:rPr>
                        <w:sz w:val="20"/>
                      </w:rPr>
                    </w:pPr>
                    <w:r>
                      <w:rPr>
                        <w:sz w:val="20"/>
                      </w:rPr>
                      <w:t xml:space="preserve">2021–2027 m. IP (ESF+,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134"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1 557,034</w:t>
                    </w:r>
                  </w:p>
                </w:tc>
                <w:tc>
                  <w:tcPr>
                    <w:tcW w:w="1118" w:type="dxa"/>
                    <w:shd w:val="clear" w:color="auto" w:fill="F2F2F2" w:themeFill="background1" w:themeFillShade="F2"/>
                  </w:tcPr>
                  <w:p>
                    <w:pPr>
                      <w:rPr>
                        <w:sz w:val="20"/>
                      </w:rPr>
                    </w:pPr>
                    <w:r>
                      <w:rPr>
                        <w:sz w:val="20"/>
                      </w:rPr>
                      <w:t xml:space="preserve">2021–2027 m. IP (BF,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134"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19 000</w:t>
                    </w:r>
                  </w:p>
                </w:tc>
                <w:tc>
                  <w:tcPr>
                    <w:tcW w:w="1118" w:type="dxa"/>
                    <w:shd w:val="clear" w:color="auto" w:fill="F2F2F2" w:themeFill="background1" w:themeFillShade="F2"/>
                  </w:tcPr>
                  <w:p>
                    <w:pPr>
                      <w:rPr>
                        <w:sz w:val="20"/>
                      </w:rPr>
                    </w:pPr>
                    <w:r>
                      <w:rPr>
                        <w:sz w:val="20"/>
                      </w:rPr>
                      <w:t>VB</w:t>
                    </w:r>
                  </w:p>
                </w:tc>
                <w:tc>
                  <w:tcPr>
                    <w:tcW w:w="2001"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30" w:type="dxa"/>
                    <w:gridSpan w:val="2"/>
                    <w:vMerge w:val="restart"/>
                  </w:tcPr>
                  <w:p>
                    <w:pPr>
                      <w:rPr>
                        <w:color w:val="000000"/>
                        <w:sz w:val="20"/>
                      </w:rPr>
                    </w:pPr>
                    <w:r>
                      <w:rPr>
                        <w:sz w:val="20"/>
                      </w:rPr>
                      <w:t>3.1. Pažangios terapijos centro statyba</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13 200</w:t>
                    </w:r>
                  </w:p>
                </w:tc>
                <w:tc>
                  <w:tcPr>
                    <w:tcW w:w="1118" w:type="dxa"/>
                    <w:tcBorders>
                      <w:left w:val="single" w:sz="4" w:space="0" w:color="auto"/>
                      <w:right w:val="single" w:sz="4" w:space="0" w:color="auto"/>
                    </w:tcBorders>
                    <w:vAlign w:val="center"/>
                  </w:tcPr>
                  <w:p>
                    <w:pPr>
                      <w:rPr>
                        <w:color w:val="000000"/>
                        <w:sz w:val="20"/>
                      </w:rPr>
                    </w:pPr>
                    <w:r>
                      <w:rPr>
                        <w:color w:val="000000"/>
                        <w:sz w:val="20"/>
                      </w:rPr>
                      <w:t>EGADP</w:t>
                    </w: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Pažangiosios terapijos centro pastato statybos darbų viešojo pirkimo procedūrų užbaigimas, vnt.</w:t>
                    </w:r>
                  </w:p>
                </w:tc>
                <w:tc>
                  <w:tcPr>
                    <w:tcW w:w="113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2 770</w:t>
                    </w:r>
                  </w:p>
                </w:tc>
                <w:tc>
                  <w:tcPr>
                    <w:tcW w:w="1118" w:type="dxa"/>
                    <w:tcBorders>
                      <w:left w:val="single" w:sz="4" w:space="0" w:color="auto"/>
                      <w:right w:val="single" w:sz="4" w:space="0" w:color="auto"/>
                    </w:tcBorders>
                    <w:vAlign w:val="center"/>
                  </w:tcPr>
                  <w:p>
                    <w:pPr>
                      <w:rPr>
                        <w:color w:val="000000"/>
                        <w:sz w:val="20"/>
                      </w:rPr>
                    </w:pPr>
                    <w:r>
                      <w:rPr>
                        <w:color w:val="000000"/>
                        <w:sz w:val="20"/>
                      </w:rPr>
                      <w:t>PVM iš VB</w:t>
                    </w:r>
                  </w:p>
                </w:tc>
                <w:tc>
                  <w:tcPr>
                    <w:tcW w:w="2001" w:type="dxa"/>
                    <w:gridSpan w:val="2"/>
                    <w:vMerge/>
                    <w:tcBorders>
                      <w:left w:val="single" w:sz="4" w:space="0" w:color="auto"/>
                      <w:right w:val="single" w:sz="4" w:space="0" w:color="auto"/>
                    </w:tcBorders>
                  </w:tcPr>
                  <w:p>
                    <w:pPr>
                      <w:ind w:left="-57" w:right="-57"/>
                      <w:rPr>
                        <w:color w:val="FF0000"/>
                        <w:sz w:val="20"/>
                      </w:rPr>
                    </w:pPr>
                  </w:p>
                </w:tc>
                <w:tc>
                  <w:tcPr>
                    <w:tcW w:w="1134" w:type="dxa"/>
                    <w:gridSpan w:val="2"/>
                    <w:vMerge/>
                    <w:tcBorders>
                      <w:left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vAlign w:val="center"/>
                  </w:tcPr>
                  <w:p>
                    <w:pPr>
                      <w:rPr>
                        <w:color w:val="000000"/>
                        <w:sz w:val="20"/>
                      </w:rPr>
                    </w:pPr>
                  </w:p>
                </w:tc>
                <w:tc>
                  <w:tcPr>
                    <w:tcW w:w="1118" w:type="dxa"/>
                    <w:vMerge w:val="restart"/>
                    <w:tcBorders>
                      <w:left w:val="single" w:sz="4" w:space="0" w:color="auto"/>
                      <w:right w:val="single" w:sz="4" w:space="0" w:color="auto"/>
                    </w:tcBorders>
                    <w:vAlign w:val="center"/>
                  </w:tcPr>
                  <w:p>
                    <w:pPr>
                      <w:rPr>
                        <w:color w:val="000000"/>
                        <w:sz w:val="20"/>
                      </w:rPr>
                    </w:pPr>
                  </w:p>
                </w:tc>
                <w:tc>
                  <w:tcPr>
                    <w:tcW w:w="2001" w:type="dxa"/>
                    <w:gridSpan w:val="2"/>
                    <w:vMerge/>
                    <w:tcBorders>
                      <w:left w:val="single" w:sz="4" w:space="0" w:color="auto"/>
                      <w:bottom w:val="single" w:sz="4" w:space="0" w:color="auto"/>
                      <w:right w:val="single" w:sz="4" w:space="0" w:color="auto"/>
                    </w:tcBorders>
                  </w:tcPr>
                  <w:p>
                    <w:pPr>
                      <w:ind w:left="-57" w:right="-57"/>
                      <w:rPr>
                        <w:color w:val="FF0000"/>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FF0000"/>
                        <w:sz w:val="20"/>
                      </w:rPr>
                    </w:pPr>
                    <w:r>
                      <w:rPr>
                        <w:sz w:val="20"/>
                      </w:rPr>
                      <w:t>P – Sukurtas pažangios terapijos centras,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right w:val="single" w:sz="4" w:space="0" w:color="auto"/>
                    </w:tcBorders>
                  </w:tcPr>
                  <w:p>
                    <w:pPr>
                      <w:ind w:left="-57" w:right="-57"/>
                      <w:rPr>
                        <w:color w:val="FF0000"/>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130" w:type="dxa"/>
                    <w:gridSpan w:val="2"/>
                    <w:vMerge w:val="restart"/>
                  </w:tcPr>
                  <w:p>
                    <w:pPr>
                      <w:rPr>
                        <w:color w:val="000000"/>
                        <w:sz w:val="20"/>
                      </w:rPr>
                    </w:pPr>
                    <w:r>
                      <w:rPr>
                        <w:sz w:val="20"/>
                      </w:rPr>
                      <w:t>3.2. Genomo tyrimams atlikti reikalingos įrangos įsigijimas ir tyrimų atlikimas</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6 300</w:t>
                    </w:r>
                  </w:p>
                </w:tc>
                <w:tc>
                  <w:tcPr>
                    <w:tcW w:w="1118" w:type="dxa"/>
                  </w:tcPr>
                  <w:p>
                    <w:pPr>
                      <w:rPr>
                        <w:color w:val="000000"/>
                        <w:sz w:val="20"/>
                      </w:rPr>
                    </w:pPr>
                    <w:r>
                      <w:rPr>
                        <w:sz w:val="20"/>
                      </w:rPr>
                      <w:t>EGADP</w:t>
                    </w:r>
                  </w:p>
                </w:tc>
                <w:tc>
                  <w:tcPr>
                    <w:tcW w:w="2001" w:type="dxa"/>
                    <w:gridSpan w:val="2"/>
                    <w:vMerge w:val="restart"/>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134" w:type="dxa"/>
                    <w:gridSpan w:val="2"/>
                    <w:vMerge w:val="restart"/>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restart"/>
                  </w:tcPr>
                  <w:p>
                    <w:pPr>
                      <w:rPr>
                        <w:color w:val="000000"/>
                        <w:sz w:val="20"/>
                      </w:rPr>
                    </w:pPr>
                    <w:r>
                      <w:rPr>
                        <w:sz w:val="20"/>
                      </w:rPr>
                      <w:t>1 320</w:t>
                    </w:r>
                  </w:p>
                </w:tc>
                <w:tc>
                  <w:tcPr>
                    <w:tcW w:w="1118" w:type="dxa"/>
                    <w:vMerge w:val="restart"/>
                  </w:tcPr>
                  <w:p>
                    <w:pPr>
                      <w:rPr>
                        <w:color w:val="000000"/>
                        <w:sz w:val="20"/>
                      </w:rPr>
                    </w:pPr>
                    <w:r>
                      <w:rPr>
                        <w:iCs/>
                        <w:sz w:val="20"/>
                      </w:rPr>
                      <w:t>PVM iš VB</w:t>
                    </w:r>
                  </w:p>
                </w:tc>
                <w:tc>
                  <w:tcPr>
                    <w:tcW w:w="2001" w:type="dxa"/>
                    <w:gridSpan w:val="2"/>
                    <w:vMerge/>
                    <w:tcBorders>
                      <w:bottom w:val="single" w:sz="4" w:space="0" w:color="auto"/>
                    </w:tcBorders>
                  </w:tcPr>
                  <w:p>
                    <w:pPr>
                      <w:ind w:left="-57" w:right="-57"/>
                      <w:rPr>
                        <w:sz w:val="20"/>
                      </w:rPr>
                    </w:pPr>
                  </w:p>
                </w:tc>
                <w:tc>
                  <w:tcPr>
                    <w:tcW w:w="1134" w:type="dxa"/>
                    <w:gridSpan w:val="2"/>
                    <w:vMerge/>
                    <w:tcBorders>
                      <w:bottom w:val="single" w:sz="4" w:space="0" w:color="auto"/>
                    </w:tcBorders>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 </w:t>
                    </w:r>
                    <w:r>
                      <w:rPr>
                        <w:sz w:val="20"/>
                        <w:lang w:eastAsia="lt-LT"/>
                      </w:rPr>
                      <w:t>Atliktų viso žmogaus genomo sekos nustatymo tyrimų skaičius, vnt.</w:t>
                    </w:r>
                  </w:p>
                </w:tc>
                <w:tc>
                  <w:tcPr>
                    <w:tcW w:w="1134" w:type="dxa"/>
                    <w:gridSpan w:val="2"/>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jc w:val="center"/>
                      <w:rPr>
                        <w:color w:val="000000"/>
                        <w:sz w:val="20"/>
                      </w:rPr>
                    </w:pPr>
                  </w:p>
                </w:tc>
              </w:tr>
              <w:tr>
                <w:trPr>
                  <w:trHeight w:val="841"/>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 Atliktų viso žmogaus genomo sekos nustatymo tyrimų skaičius, vnt. </w:t>
                    </w:r>
                  </w:p>
                </w:tc>
                <w:tc>
                  <w:tcPr>
                    <w:tcW w:w="1134" w:type="dxa"/>
                    <w:gridSpan w:val="2"/>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jc w:val="center"/>
                      <w:rPr>
                        <w:color w:val="000000"/>
                        <w:sz w:val="20"/>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tcPr>
                  <w:p>
                    <w:pPr>
                      <w:ind w:left="-57" w:right="-57"/>
                      <w:rPr>
                        <w:sz w:val="20"/>
                      </w:rPr>
                    </w:pPr>
                    <w:r>
                      <w:rPr>
                        <w:sz w:val="20"/>
                      </w:rPr>
                      <w:t>P – Modernizuotų asmens sveikatos priežiūros įstaigų skaičius</w:t>
                    </w:r>
                  </w:p>
                </w:tc>
                <w:tc>
                  <w:tcPr>
                    <w:tcW w:w="1134" w:type="dxa"/>
                    <w:gridSpan w:val="2"/>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 paslaugų naudotojų skaičius per metus, naudotojai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159 658,803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74 860,004</w:t>
                    </w: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18 757,691</w:t>
                    </w: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 xml:space="preserve">R </w:t>
                    </w:r>
                    <w:r>
                      <w:rPr>
                        <w:szCs w:val="24"/>
                      </w:rPr>
                      <w:t>–</w:t>
                    </w:r>
                    <w:r>
                      <w:rPr>
                        <w:sz w:val="20"/>
                      </w:rPr>
                      <w:t xml:space="preserve"> Aktyviojo gydymo lovų užimtumas, proc.</w:t>
                    </w:r>
                  </w:p>
                </w:tc>
                <w:tc>
                  <w:tcPr>
                    <w:tcW w:w="1134" w:type="dxa"/>
                    <w:gridSpan w:val="2"/>
                    <w:hideMark/>
                  </w:tcPr>
                  <w:p>
                    <w:pPr>
                      <w:ind w:left="-57" w:right="-57"/>
                      <w:jc w:val="center"/>
                      <w:rPr>
                        <w:sz w:val="20"/>
                      </w:rPr>
                    </w:pPr>
                    <w:r>
                      <w:rPr>
                        <w:sz w:val="20"/>
                      </w:rPr>
                      <w:t>82</w:t>
                    </w:r>
                  </w:p>
                  <w:p>
                    <w:pPr>
                      <w:ind w:right="-57"/>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rPr>
                    </w:pPr>
                    <w:r>
                      <w:rPr>
                        <w:sz w:val="20"/>
                      </w:rPr>
                      <w:t>26 963,273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4 758,224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 xml:space="preserve">(2029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tc>
                <w:tc>
                  <w:tcPr>
                    <w:tcW w:w="1279"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699" w:type="dxa"/>
                    <w:vMerge w:val="restart"/>
                    <w:tcBorders>
                      <w:top w:val="single" w:sz="4" w:space="0" w:color="auto"/>
                      <w:left w:val="single" w:sz="4" w:space="0" w:color="auto"/>
                      <w:right w:val="single" w:sz="4" w:space="0" w:color="auto"/>
                    </w:tcBorders>
                  </w:tcPr>
                  <w:p>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118" w:type="dxa"/>
                    <w:tcBorders>
                      <w:top w:val="single" w:sz="4" w:space="0" w:color="auto"/>
                      <w:left w:val="single" w:sz="4" w:space="0" w:color="auto"/>
                      <w:bottom w:val="single" w:sz="4" w:space="0" w:color="auto"/>
                      <w:right w:val="single" w:sz="4" w:space="0" w:color="auto"/>
                    </w:tcBorders>
                  </w:tcPr>
                  <w:p>
                    <w:r>
                      <w:rPr>
                        <w:sz w:val="20"/>
                      </w:rPr>
                      <w:t xml:space="preserve">2021–2027 m. IP (ESF+) </w:t>
                    </w:r>
                  </w:p>
                  <w:p>
                    <w:pPr>
                      <w:ind w:firstLine="53"/>
                      <w:rPr>
                        <w:sz w:val="20"/>
                      </w:rPr>
                    </w:pPr>
                  </w:p>
                  <w:p>
                    <w:pPr>
                      <w:rPr>
                        <w:sz w:val="20"/>
                      </w:rPr>
                    </w:pPr>
                  </w:p>
                  <w:p>
                    <w:pPr>
                      <w:rPr>
                        <w:sz w:val="20"/>
                      </w:rPr>
                    </w:pP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tc>
                <w:tc>
                  <w:tcPr>
                    <w:tcW w:w="1118" w:type="dxa"/>
                    <w:vMerge w:val="restart"/>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699" w:type="dxa"/>
                    <w:vMerge/>
                    <w:tcBorders>
                      <w:left w:val="single" w:sz="4" w:space="0" w:color="auto"/>
                      <w:right w:val="single" w:sz="4" w:space="0" w:color="auto"/>
                    </w:tcBorders>
                    <w:tcMar>
                      <w:left w:w="108" w:type="dxa"/>
                      <w:right w:w="108" w:type="dxa"/>
                    </w:tcMar>
                  </w:tcPr>
                  <w:p/>
                </w:tc>
                <w:tc>
                  <w:tcPr>
                    <w:tcW w:w="1985" w:type="dxa"/>
                    <w:vMerge/>
                    <w:tcBorders>
                      <w:left w:val="single" w:sz="4" w:space="0" w:color="auto"/>
                      <w:right w:val="single" w:sz="4" w:space="0" w:color="auto"/>
                    </w:tcBorders>
                    <w:tcMar>
                      <w:left w:w="108" w:type="dxa"/>
                      <w:right w:w="108" w:type="dxa"/>
                    </w:tcMar>
                  </w:tcPr>
                  <w:p/>
                </w:tc>
                <w:tc>
                  <w:tcPr>
                    <w:tcW w:w="829" w:type="dxa"/>
                    <w:gridSpan w:val="3"/>
                    <w:vMerge/>
                    <w:tcBorders>
                      <w:left w:val="single" w:sz="4" w:space="0" w:color="auto"/>
                      <w:right w:val="single" w:sz="4" w:space="0" w:color="auto"/>
                    </w:tcBorders>
                    <w:tcMar>
                      <w:left w:w="108" w:type="dxa"/>
                      <w:right w:w="108" w:type="dxa"/>
                    </w:tcMar>
                  </w:tcPr>
                  <w:p/>
                </w:tc>
                <w:tc>
                  <w:tcPr>
                    <w:tcW w:w="1006" w:type="dxa"/>
                    <w:gridSpan w:val="2"/>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bottom w:val="single" w:sz="4" w:space="0" w:color="auto"/>
                      <w:right w:val="single" w:sz="4" w:space="0" w:color="auto"/>
                    </w:tcBorders>
                    <w:vAlign w:val="center"/>
                  </w:tcPr>
                  <w:p/>
                </w:tc>
                <w:tc>
                  <w:tcPr>
                    <w:tcW w:w="1985" w:type="dxa"/>
                    <w:vMerge/>
                    <w:tcBorders>
                      <w:left w:val="single" w:sz="4" w:space="0" w:color="auto"/>
                      <w:bottom w:val="single" w:sz="4" w:space="0" w:color="auto"/>
                      <w:right w:val="single" w:sz="4" w:space="0" w:color="auto"/>
                    </w:tcBorders>
                    <w:vAlign w:val="center"/>
                  </w:tcPr>
                  <w:p/>
                </w:tc>
                <w:tc>
                  <w:tcPr>
                    <w:tcW w:w="829" w:type="dxa"/>
                    <w:gridSpan w:val="3"/>
                    <w:vMerge/>
                    <w:tcBorders>
                      <w:left w:val="single" w:sz="4" w:space="0" w:color="auto"/>
                      <w:bottom w:val="single" w:sz="4" w:space="0" w:color="auto"/>
                      <w:right w:val="single" w:sz="4" w:space="0" w:color="auto"/>
                    </w:tcBorders>
                    <w:vAlign w:val="center"/>
                  </w:tcPr>
                  <w:p/>
                </w:tc>
                <w:tc>
                  <w:tcPr>
                    <w:tcW w:w="1006" w:type="dxa"/>
                    <w:gridSpan w:val="2"/>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10.3.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15 230,950</w:t>
                    </w:r>
                  </w:p>
                  <w:p>
                    <w:pPr>
                      <w:ind w:firstLine="62"/>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2 687,815</w:t>
                    </w:r>
                  </w:p>
                  <w:p>
                    <w:pPr>
                      <w:ind w:firstLine="62"/>
                    </w:pP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tcPr>
                  <w:p>
                    <w:pPr>
                      <w:rPr>
                        <w:sz w:val="20"/>
                      </w:rPr>
                    </w:pPr>
                    <w:r>
                      <w:rPr>
                        <w:sz w:val="20"/>
                      </w:rPr>
                      <w:t xml:space="preserve">11.1. Sveikatos priežiūros  specialistų kvalifikaciją ir darbo sąlygas tobulinančių teisės aktų 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tcPr>
                  <w:p>
                    <w:pPr>
                      <w:ind w:left="-57" w:right="-57"/>
                      <w:jc w:val="center"/>
                      <w:rPr>
                        <w:sz w:val="20"/>
                      </w:rPr>
                    </w:pPr>
                    <w:r>
                      <w:rPr>
                        <w:sz w:val="20"/>
                      </w:rPr>
                      <w:t>1</w:t>
                    </w:r>
                  </w:p>
                  <w:p>
                    <w:pPr>
                      <w:ind w:left="-57" w:right="-57"/>
                      <w:jc w:val="center"/>
                      <w:rPr>
                        <w:sz w:val="20"/>
                      </w:rPr>
                    </w:pPr>
                    <w:r>
                      <w:rPr>
                        <w:sz w:val="20"/>
                      </w:rPr>
                      <w:t>(2023 m. II ketv.)</w:t>
                    </w:r>
                  </w:p>
                </w:tc>
                <w:tc>
                  <w:tcPr>
                    <w:tcW w:w="992" w:type="dxa"/>
                  </w:tcPr>
                  <w:p>
                    <w:pPr>
                      <w:rPr>
                        <w:sz w:val="20"/>
                      </w:rPr>
                    </w:pPr>
                    <w:r>
                      <w:rPr>
                        <w:sz w:val="20"/>
                      </w:rPr>
                      <w:t>-</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11.3. Sveikatos priežiūros specialistų kvalifikacijos tobulinimas</w:t>
                    </w:r>
                  </w:p>
                </w:tc>
                <w:tc>
                  <w:tcPr>
                    <w:tcW w:w="699" w:type="dxa"/>
                  </w:tcPr>
                  <w:p>
                    <w:pPr>
                      <w:rPr>
                        <w:sz w:val="20"/>
                      </w:rPr>
                    </w:pPr>
                    <w:r>
                      <w:rPr>
                        <w:sz w:val="20"/>
                      </w:rPr>
                      <w:t>I</w:t>
                    </w:r>
                  </w:p>
                </w:tc>
                <w:tc>
                  <w:tcPr>
                    <w:tcW w:w="1985" w:type="dxa"/>
                  </w:tcPr>
                  <w:p>
                    <w:pPr>
                      <w:rPr>
                        <w:sz w:val="20"/>
                      </w:rPr>
                    </w:pPr>
                    <w:r>
                      <w:rPr>
                        <w:sz w:val="20"/>
                      </w:rPr>
                      <w:t>SAM</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lang w:val="en-US"/>
                      </w:rPr>
                    </w:pPr>
                    <w:r>
                      <w:rPr>
                        <w:sz w:val="20"/>
                        <w:lang w:val="en-US"/>
                      </w:rPr>
                      <w:t>5 000</w:t>
                    </w:r>
                  </w:p>
                  <w:p>
                    <w:pPr>
                      <w:rPr>
                        <w:sz w:val="20"/>
                        <w:lang w:val="en-US"/>
                      </w:rPr>
                    </w:pPr>
                  </w:p>
                </w:tc>
                <w:tc>
                  <w:tcPr>
                    <w:tcW w:w="1118" w:type="dxa"/>
                  </w:tcPr>
                  <w:p>
                    <w:pPr>
                      <w:ind w:left="-57" w:right="-57"/>
                      <w:rPr>
                        <w:sz w:val="20"/>
                      </w:rPr>
                    </w:pPr>
                    <w:r>
                      <w:rPr>
                        <w:sz w:val="20"/>
                      </w:rPr>
                      <w:t>VB</w:t>
                    </w:r>
                  </w:p>
                </w:tc>
                <w:tc>
                  <w:tcPr>
                    <w:tcW w:w="2001" w:type="dxa"/>
                    <w:gridSpan w:val="2"/>
                  </w:tcPr>
                  <w:p>
                    <w:pPr>
                      <w:ind w:left="-57" w:right="-57"/>
                      <w:rPr>
                        <w:sz w:val="20"/>
                      </w:rPr>
                    </w:pPr>
                    <w:r>
                      <w:rPr>
                        <w:sz w:val="20"/>
                      </w:rPr>
                      <w:t>P – Specialistai, dalyvavę kvalifikacijos tobulinimo veiklose, asmenys</w:t>
                    </w:r>
                  </w:p>
                </w:tc>
                <w:tc>
                  <w:tcPr>
                    <w:tcW w:w="1134" w:type="dxa"/>
                    <w:gridSpan w:val="2"/>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restart"/>
                  </w:tcPr>
                  <w:p>
                    <w:pPr>
                      <w:rPr>
                        <w:sz w:val="20"/>
                      </w:rPr>
                    </w:pPr>
                    <w:r>
                      <w:rPr>
                        <w:sz w:val="20"/>
                      </w:rPr>
                      <w:t>11.4. Ilgalaikės priežiūros paslaugas teikiančių specialistų parengimas</w:t>
                    </w:r>
                  </w:p>
                </w:tc>
                <w:tc>
                  <w:tcPr>
                    <w:tcW w:w="699" w:type="dxa"/>
                    <w:vMerge w:val="restart"/>
                  </w:tcPr>
                  <w:p>
                    <w:pPr>
                      <w:rPr>
                        <w:sz w:val="20"/>
                      </w:rPr>
                    </w:pPr>
                    <w:r>
                      <w:rPr>
                        <w:sz w:val="20"/>
                      </w:rPr>
                      <w:t>I</w:t>
                    </w:r>
                  </w:p>
                </w:tc>
                <w:tc>
                  <w:tcPr>
                    <w:tcW w:w="1985" w:type="dxa"/>
                    <w:vMerge w:val="restart"/>
                  </w:tcPr>
                  <w:p>
                    <w:pPr>
                      <w:rPr>
                        <w:sz w:val="20"/>
                      </w:rPr>
                    </w:pPr>
                    <w:r>
                      <w:rPr>
                        <w:sz w:val="20"/>
                      </w:rPr>
                      <w:t>SAM</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2 100</w:t>
                    </w:r>
                  </w:p>
                  <w:p>
                    <w:pPr>
                      <w:rPr>
                        <w:sz w:val="20"/>
                        <w:lang w:val="en-US"/>
                      </w:rPr>
                    </w:pPr>
                  </w:p>
                </w:tc>
                <w:tc>
                  <w:tcPr>
                    <w:tcW w:w="1118" w:type="dxa"/>
                  </w:tcPr>
                  <w:p>
                    <w:pPr>
                      <w:ind w:left="-57" w:right="-57"/>
                      <w:rPr>
                        <w:sz w:val="20"/>
                      </w:rPr>
                    </w:pPr>
                    <w:r>
                      <w:rPr>
                        <w:sz w:val="20"/>
                      </w:rPr>
                      <w:t>EGADP</w:t>
                    </w:r>
                  </w:p>
                  <w:p>
                    <w:pPr>
                      <w:ind w:left="-57" w:right="-57"/>
                      <w:rPr>
                        <w:sz w:val="20"/>
                      </w:rPr>
                    </w:pPr>
                  </w:p>
                </w:tc>
                <w:tc>
                  <w:tcPr>
                    <w:tcW w:w="2001" w:type="dxa"/>
                    <w:gridSpan w:val="2"/>
                    <w:vMerge w:val="restart"/>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134" w:type="dxa"/>
                    <w:gridSpan w:val="2"/>
                    <w:vMerge w:val="restart"/>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440</w:t>
                    </w:r>
                  </w:p>
                </w:tc>
                <w:tc>
                  <w:tcPr>
                    <w:tcW w:w="1118" w:type="dxa"/>
                  </w:tcPr>
                  <w:p>
                    <w:pPr>
                      <w:rPr>
                        <w:sz w:val="20"/>
                      </w:rPr>
                    </w:pPr>
                    <w:r>
                      <w:rPr>
                        <w:sz w:val="20"/>
                      </w:rPr>
                      <w:t>PVM iš VB</w:t>
                    </w:r>
                  </w:p>
                </w:tc>
                <w:tc>
                  <w:tcPr>
                    <w:tcW w:w="2001" w:type="dxa"/>
                    <w:gridSpan w:val="2"/>
                    <w:vMerge/>
                    <w:tcBorders>
                      <w:bottom w:val="single" w:sz="4" w:space="0" w:color="auto"/>
                    </w:tcBorders>
                    <w:shd w:val="clear" w:color="auto" w:fill="FFFFFF" w:themeFill="background1"/>
                  </w:tcPr>
                  <w:p>
                    <w:pPr>
                      <w:ind w:left="-57" w:right="-57"/>
                      <w:rPr>
                        <w:sz w:val="20"/>
                      </w:rPr>
                    </w:pPr>
                  </w:p>
                </w:tc>
                <w:tc>
                  <w:tcPr>
                    <w:tcW w:w="1134"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tcPr>
                  <w:p>
                    <w:pPr>
                      <w:rPr>
                        <w:sz w:val="20"/>
                      </w:rPr>
                    </w:pPr>
                    <w:r>
                      <w:rPr>
                        <w:b/>
                        <w:bCs/>
                        <w:sz w:val="20"/>
                      </w:rPr>
                      <w:t>13. Programos „Motinos ir vaiko sveikata bei gerovė“ įgyvendinimas</w:t>
                    </w:r>
                  </w:p>
                </w:tc>
                <w:tc>
                  <w:tcPr>
                    <w:tcW w:w="699" w:type="dxa"/>
                    <w:vMerge w:val="restart"/>
                  </w:tcPr>
                  <w:p>
                    <w:pPr>
                      <w:rPr>
                        <w:sz w:val="20"/>
                      </w:rPr>
                    </w:pPr>
                    <w:r>
                      <w:rPr>
                        <w:sz w:val="20"/>
                      </w:rPr>
                      <w:t>I</w:t>
                    </w:r>
                  </w:p>
                </w:tc>
                <w:tc>
                  <w:tcPr>
                    <w:tcW w:w="1985" w:type="dxa"/>
                    <w:vMerge w:val="restart"/>
                  </w:tcPr>
                  <w:p>
                    <w:pPr>
                      <w:rPr>
                        <w:sz w:val="20"/>
                      </w:rPr>
                    </w:pPr>
                    <w:r>
                      <w:rPr>
                        <w:sz w:val="20"/>
                      </w:rPr>
                      <w:t>Lietuvos sveikatos mokslų universiteto ligoninė Kauno klinikos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Ne</w:t>
                    </w:r>
                  </w:p>
                </w:tc>
                <w:tc>
                  <w:tcPr>
                    <w:tcW w:w="681" w:type="dxa"/>
                    <w:gridSpan w:val="3"/>
                    <w:vMerge w:val="restart"/>
                  </w:tcPr>
                  <w:p>
                    <w:pPr>
                      <w:jc w:val="center"/>
                      <w:rPr>
                        <w:sz w:val="20"/>
                      </w:rPr>
                    </w:pPr>
                    <w:r>
                      <w:rPr>
                        <w:sz w:val="20"/>
                      </w:rPr>
                      <w:t>D</w:t>
                    </w:r>
                  </w:p>
                </w:tc>
                <w:tc>
                  <w:tcPr>
                    <w:tcW w:w="1167" w:type="dxa"/>
                    <w:gridSpan w:val="2"/>
                    <w:tcBorders>
                      <w:bottom w:val="single" w:sz="4" w:space="0" w:color="auto"/>
                    </w:tcBorders>
                  </w:tcPr>
                  <w:p>
                    <w:pPr>
                      <w:rPr>
                        <w:b/>
                        <w:bCs/>
                        <w:sz w:val="20"/>
                      </w:rPr>
                    </w:pPr>
                    <w:r>
                      <w:rPr>
                        <w:b/>
                        <w:bCs/>
                        <w:sz w:val="20"/>
                      </w:rPr>
                      <w:t>34 219,646</w:t>
                    </w:r>
                  </w:p>
                </w:tc>
                <w:tc>
                  <w:tcPr>
                    <w:tcW w:w="1118" w:type="dxa"/>
                    <w:tcBorders>
                      <w:bottom w:val="single" w:sz="4" w:space="0" w:color="auto"/>
                    </w:tcBorders>
                  </w:tcPr>
                  <w:p>
                    <w:pPr>
                      <w:rPr>
                        <w:sz w:val="20"/>
                      </w:rPr>
                    </w:pPr>
                    <w:r>
                      <w:rPr>
                        <w:sz w:val="20"/>
                      </w:rPr>
                      <w:t>-</w:t>
                    </w:r>
                  </w:p>
                </w:tc>
                <w:tc>
                  <w:tcPr>
                    <w:tcW w:w="2001" w:type="dxa"/>
                    <w:gridSpan w:val="2"/>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tcPr>
                  <w:p>
                    <w:pPr>
                      <w:rPr>
                        <w:sz w:val="20"/>
                      </w:rPr>
                    </w:pPr>
                    <w:r>
                      <w:rPr>
                        <w:sz w:val="20"/>
                      </w:rPr>
                      <w:t>29 086,699</w:t>
                    </w:r>
                  </w:p>
                </w:tc>
                <w:tc>
                  <w:tcPr>
                    <w:tcW w:w="1118" w:type="dxa"/>
                  </w:tcPr>
                  <w:p>
                    <w:pPr>
                      <w:rPr>
                        <w:sz w:val="20"/>
                      </w:rPr>
                    </w:pPr>
                    <w:r>
                      <w:rPr>
                        <w:sz w:val="20"/>
                      </w:rPr>
                      <w:t>AŠĮFP</w:t>
                    </w:r>
                  </w:p>
                </w:tc>
                <w:tc>
                  <w:tcPr>
                    <w:tcW w:w="2001" w:type="dxa"/>
                    <w:gridSpan w:val="2"/>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val="restart"/>
                  </w:tcPr>
                  <w:p>
                    <w:pPr>
                      <w:rPr>
                        <w:sz w:val="20"/>
                      </w:rPr>
                    </w:pPr>
                    <w:r>
                      <w:rPr>
                        <w:sz w:val="20"/>
                      </w:rPr>
                      <w:t>5 132,947</w:t>
                    </w:r>
                  </w:p>
                </w:tc>
                <w:tc>
                  <w:tcPr>
                    <w:tcW w:w="1118" w:type="dxa"/>
                    <w:vMerge w:val="restart"/>
                  </w:tcPr>
                  <w:p>
                    <w:pPr>
                      <w:rPr>
                        <w:sz w:val="20"/>
                      </w:rPr>
                    </w:pPr>
                    <w:r>
                      <w:rPr>
                        <w:sz w:val="20"/>
                      </w:rPr>
                      <w:t>AŠĮFP</w:t>
                    </w:r>
                  </w:p>
                  <w:p>
                    <w:pPr>
                      <w:rPr>
                        <w:sz w:val="20"/>
                      </w:rPr>
                    </w:pPr>
                    <w:r>
                      <w:rPr>
                        <w:sz w:val="20"/>
                      </w:rPr>
                      <w:t>(BF)</w:t>
                    </w:r>
                  </w:p>
                </w:tc>
                <w:tc>
                  <w:tcPr>
                    <w:tcW w:w="2001" w:type="dxa"/>
                    <w:gridSpan w:val="2"/>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Sukurti paslaugų teikimo metodikos ir organizacinių procesų aprašai, vnt.</w:t>
                    </w:r>
                  </w:p>
                </w:tc>
                <w:tc>
                  <w:tcPr>
                    <w:tcW w:w="1134" w:type="dxa"/>
                    <w:gridSpan w:val="2"/>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(V-232)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1bf1d4211411f1a552c76556910e9c">
            <w:r w:rsidRPr="00532B9F">
              <w:rPr>
                <w:rFonts w:ascii="Times New Roman" w:eastAsia="MS Mincho" w:hAnsi="Times New Roman"/>
                <w:sz w:val="20"/>
                <w:i/>
                <w:iCs/>
                <w:color w:val="0000FF" w:themeColor="hyperlink"/>
                <w:u w:val="single"/>
              </w:rPr>
              <w:t>V-232</w:t>
            </w:r>
          </w:fldSimple>
          <w:r>
            <w:rPr>
              <w:rFonts w:ascii="Times New Roman" w:eastAsia="MS Mincho" w:hAnsi="Times New Roman"/>
              <w:sz w:val="20"/>
              <w:i/>
              <w:iCs/>
            </w:rPr>
            <w:t>,
2026-03-16,
paskelbta TAR 2026-03-16, i. k. 2026-04073        </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pStyle w:val="PlainText"/>
            <w:rPr>
              <w:rFonts w:ascii="Times New Roman" w:eastAsia="MS Mincho" w:hAnsi="Times New Roman"/>
              <w:sz w:val="20"/>
              <w:iCs/>
            </w:rPr>
          </w:pPr>
          <w:r>
            <w:rPr>
              <w:rFonts w:ascii="Times New Roman" w:eastAsia="MS Mincho" w:hAnsi="Times New Roman"/>
              <w:sz w:val="20"/>
              <w:iCs/>
            </w:rPr>
            <w:t>36 priedas  (V-430)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5e056421f11f180c9c618618421ed">
            <w:r w:rsidRPr="00532B9F">
              <w:rPr>
                <w:rFonts w:ascii="Times New Roman" w:eastAsia="MS Mincho" w:hAnsi="Times New Roman"/>
                <w:sz w:val="20"/>
                <w:i/>
                <w:iCs/>
                <w:color w:val="0000FF" w:themeColor="hyperlink"/>
                <w:u w:val="single"/>
              </w:rPr>
              <w:t>V-430</w:t>
            </w:r>
          </w:fldSimple>
          <w:r>
            <w:rPr>
              <w:rFonts w:ascii="Times New Roman" w:eastAsia="MS Mincho" w:hAnsi="Times New Roman"/>
              <w:sz w:val="20"/>
              <w:i/>
              <w:iCs/>
            </w:rPr>
            <w:t>,
2026-04-27,
paskelbta TAR 2026-04-27, i. k. 2026-06854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1bf1d4211411f1a552c76556910e9c">
            <w:r w:rsidRPr="00532B9F">
              <w:rPr>
                <w:rFonts w:ascii="Times New Roman" w:eastAsia="MS Mincho" w:hAnsi="Times New Roman"/>
                <w:sz w:val="20"/>
                <w:iCs/>
                <w:color w:val="0000FF" w:themeColor="hyperlink"/>
                <w:u w:val="single"/>
              </w:rPr>
              <w:t>V-232</w:t>
            </w:r>
          </w:fldSimple>
          <w:r>
            <w:rPr>
              <w:rFonts w:ascii="Times New Roman" w:eastAsia="MS Mincho" w:hAnsi="Times New Roman"/>
              <w:sz w:val="20"/>
              <w:iCs/>
            </w:rPr>
            <w:t>,
2026-03-16,
paskelbta TAR 2026-03-16, i. k. 2026-04073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225131242a11f1a552c76556910e9c">
            <w:r w:rsidRPr="00532B9F">
              <w:rPr>
                <w:rFonts w:ascii="Times New Roman" w:eastAsia="MS Mincho" w:hAnsi="Times New Roman"/>
                <w:sz w:val="20"/>
                <w:iCs/>
                <w:color w:val="0000FF" w:themeColor="hyperlink"/>
                <w:u w:val="single"/>
              </w:rPr>
              <w:t>V-246</w:t>
            </w:r>
          </w:fldSimple>
          <w:r>
            <w:rPr>
              <w:rFonts w:ascii="Times New Roman" w:eastAsia="MS Mincho" w:hAnsi="Times New Roman"/>
              <w:sz w:val="20"/>
              <w:iCs/>
            </w:rPr>
            <w:t>,
2026-03-20,
paskelbta TAR 2026-03-20, i. k. 2026-04384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55e056421f11f180c9c618618421ed">
            <w:r w:rsidRPr="00532B9F">
              <w:rPr>
                <w:rFonts w:ascii="Times New Roman" w:eastAsia="MS Mincho" w:hAnsi="Times New Roman"/>
                <w:sz w:val="20"/>
                <w:iCs/>
                <w:color w:val="0000FF" w:themeColor="hyperlink"/>
                <w:u w:val="single"/>
              </w:rPr>
              <w:t>V-430</w:t>
            </w:r>
          </w:fldSimple>
          <w:r>
            <w:rPr>
              <w:rFonts w:ascii="Times New Roman" w:eastAsia="MS Mincho" w:hAnsi="Times New Roman"/>
              <w:sz w:val="20"/>
              <w:iCs/>
            </w:rPr>
            <w:t>,
2026-04-27,
paskelbta TAR 2026-04-27, i. k. 2026-06854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3"/>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EEEE875"/>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3.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70.png"/>
  <Relationship Id="rId19" Type="http://schemas.openxmlformats.org/officeDocument/2006/relationships/oleObject" Target="embeddings/oleObject170.bin"/>
  <Relationship Id="rId2" Type="http://schemas.openxmlformats.org/officeDocument/2006/relationships/header" Target="header104.xml"/>
  <Relationship Id="rId20" Type="http://schemas.openxmlformats.org/officeDocument/2006/relationships/header" Target="header130.xml"/>
  <Relationship Id="rId21" Type="http://schemas.openxmlformats.org/officeDocument/2006/relationships/header" Target="header131.xml"/>
  <Relationship Id="rId22" Type="http://schemas.openxmlformats.org/officeDocument/2006/relationships/footer" Target="footer130.xml"/>
  <Relationship Id="rId23" Type="http://schemas.openxmlformats.org/officeDocument/2006/relationships/footer" Target="footer131.xml"/>
  <Relationship Id="rId24" Type="http://schemas.openxmlformats.org/officeDocument/2006/relationships/header" Target="header132.xml"/>
  <Relationship Id="rId25" Type="http://schemas.openxmlformats.org/officeDocument/2006/relationships/footer" Target="footer132.xml"/>
  <Relationship Id="rId26" Type="http://schemas.openxmlformats.org/officeDocument/2006/relationships/header" Target="header235.xml"/>
  <Relationship Id="rId27" Type="http://schemas.openxmlformats.org/officeDocument/2006/relationships/header" Target="header236.xml"/>
  <Relationship Id="rId28" Type="http://schemas.openxmlformats.org/officeDocument/2006/relationships/footer" Target="footer235.xml"/>
  <Relationship Id="rId29" Type="http://schemas.openxmlformats.org/officeDocument/2006/relationships/footer" Target="footer236.xml"/>
  <Relationship Id="rId3" Type="http://schemas.openxmlformats.org/officeDocument/2006/relationships/footer" Target="footer103.xml"/>
  <Relationship Id="rId30" Type="http://schemas.openxmlformats.org/officeDocument/2006/relationships/header" Target="header237.xml"/>
  <Relationship Id="rId31" Type="http://schemas.openxmlformats.org/officeDocument/2006/relationships/footer" Target="footer237.xml"/>
  <Relationship Id="rId32" Type="http://schemas.openxmlformats.org/officeDocument/2006/relationships/customXml" Target="../customXml/item5.xml"/>
  <Relationship Id="rId4" Type="http://schemas.openxmlformats.org/officeDocument/2006/relationships/footer" Target="footer104.xml"/>
  <Relationship Id="rId5" Type="http://schemas.openxmlformats.org/officeDocument/2006/relationships/header" Target="header105.xml"/>
  <Relationship Id="rId6" Type="http://schemas.openxmlformats.org/officeDocument/2006/relationships/footer" Target="footer10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b:Sources xmlns:b="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f8c1caabe0df49e198502b4b17034264" PartId="b8926a5b0e0c4dcca5651b35ab7e0d79">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e00c1bea6e04480a31e94ac6c847bc9">
    <Part Type="skyrius" Nr="1" Title="PLĖTROS PROGRAMOS PAŽANGOS PRIEMONĖS SIEKIAMI REZULTATAI" DocPartId="b924309999714986a1f663aef95b7db6" PartId="551da1a097d947d2b1f9b2cbc54cabf3"/>
    <Part Type="skyrius" Nr="2" Title="PLĖTROS PROGRAMOS PAŽANGOS PRIEMONĖS FINANSAVIMO ŠALTINIAI" DocPartId="142dd9faf7a84d91b4f244595a84d08d" PartId="9660108a9abb403fbff4a371950d0d5a"/>
    <Part Type="skyrius" Nr="3" Title="PLĖTROS PROGRAMOS PAŽANGOS PRIEMONĖS VEIKLŲ SUVESTINĖ" DocPartId="c918111ff85046029314a093ade416dc" PartId="81339af4984a45678e652eebd664e6b1"/>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metadata/properties"/>
  </ds:schemaRefs>
</ds:datastoreItem>
</file>

<file path=customXml/itemProps2.xml><?xml version="1.0" encoding="utf-8"?>
<ds:datastoreItem xmlns:ds="http://schemas.openxmlformats.org/officeDocument/2006/customXml" ds:itemID="{F566033F-293C-4A04-842A-F9C6CD20E5B2}">
  <ds:schemaRefs>
    <ds:schemaRef ds:uri="http://schemas.openxmlformats.org/officeDocument/2006/bibliography"/>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s>
</ds:datastoreItem>
</file>

<file path=customXml/itemProps4.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5.xml><?xml version="1.0" encoding="utf-8"?>
<ds:datastoreItem xmlns:ds="http://schemas.openxmlformats.org/officeDocument/2006/customXml" ds:itemID="{5C8BDF75-7969-446D-AB45-04236ED9D1DD}">
  <ds:schemaRefs>
    <ds:schemaRef ds:uri="http://lrs.lt/TAIS/DocParts"/>
  </ds:schemaRefs>
</ds:datastoreItem>
</file>

<file path=customXml/itemProps6.xml><?xml version="1.0" encoding="utf-8"?>
<ds:datastoreItem xmlns:ds="http://schemas.openxmlformats.org/officeDocument/2006/customXml" ds:itemID="{C58E3A7F-DEB1-42D3-A124-C048D56170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230</TotalTime>
  <Pages>44</Pages>
  <Words>37445</Words>
  <Characters>21344</Characters>
  <Application>Microsoft Office Word</Application>
  <DocSecurity>0</DocSecurity>
  <Lines>177</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58672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2026-04-30T07:50:00Z</dcterms:modified>
  <revision>110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