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84e54a45c0f741009a3e20ef40948f4e"/>
        <w:lock w:val="sdtLocked"/>
        <w:richText/>
      </w:sdtPr>
      <w:sdtContent>
        <w:p>
          <w:pPr>
            <w:jc w:val="both"/>
            <w:rPr>
              <w:rFonts w:ascii="Times New Roman" w:hAnsi="Times New Roman"/>
            </w:rPr>
          </w:pPr>
          <w:r>
            <w:rPr>
              <w:rFonts w:ascii="Times New Roman" w:hAnsi="Times New Roman"/>
              <w:b/>
              <w:i/>
            </w:rPr>
            <w:t>Suvestinė redakcija nuo 2026-03-06 iki 2026-03-16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43.95pt" o:ole="" fillcolor="window">
                <v:imagedata r:id="rId24" o:title=""/>
              </v:shape>
              <o:OLEObject Type="Embed" ProgID="Word.Picture.8" ShapeID="_x0000_i1025" DrawAspect="Content" ObjectID="_0000000001" r:id="rId25"/>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3e0b85091f246cf97f2e2efd30b8734"/>
        <w:lock w:val="sdtLocked"/>
        <w:richText/>
      </w:sdtPr>
      <w:sdtContent>
        <w:p>
          <w:pPr>
            <w:shd w:val="clear" w:color="000000" w:fill="auto"/>
            <w:ind w:left="6521"/>
            <w:sectPr>
              <w:headerReference w:type="even" r:id="rId26"/>
              <w:headerReference w:type="default" r:id="rId27"/>
              <w:footerReference w:type="even" r:id="rId28"/>
              <w:footerReference w:type="default" r:id="rId29"/>
              <w:headerReference w:type="first" r:id="rId30"/>
              <w:footerReference w:type="first" r:id="rId31"/>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3e0b85091f246cf97f2e2efd30b8734"/>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027bd9b5aef74d63ab4ec1d181d3390d"/>
            <w:lock w:val="sdtLocked"/>
            <w:richText/>
          </w:sdtPr>
          <w:sdtContent>
            <w:p>
              <w:pPr>
                <w:tabs>
                  <w:tab w:val="left" w:pos="1985"/>
                </w:tabs>
                <w:jc w:val="center"/>
                <w:rPr>
                  <w:b/>
                  <w:bCs/>
                  <w:sz w:val="22"/>
                  <w:szCs w:val="22"/>
                </w:rPr>
              </w:pPr>
              <w:sdt>
                <w:sdtPr>
                  <w:alias w:val="Numeris"/>
                  <w:tag w:val="nr_027bd9b5aef74d63ab4ec1d181d3390d"/>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027bd9b5aef74d63ab4ec1d181d3390d"/>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df2c9d356a4249f1a083870fd90177d1"/>
            <w:lock w:val="sdtLocked"/>
            <w:richText/>
          </w:sdtPr>
          <w:sdtContent>
            <w:p>
              <w:pPr>
                <w:ind w:left="-284"/>
                <w:jc w:val="center"/>
                <w:sectPr>
                  <w:headerReference w:type="even" r:id="rId32"/>
                  <w:headerReference w:type="default" r:id="rId33"/>
                  <w:footerReference w:type="even" r:id="rId34"/>
                  <w:footerReference w:type="default" r:id="rId35"/>
                  <w:headerReference w:type="first" r:id="rId36"/>
                  <w:footerReference w:type="first" r:id="rId37"/>
                  <w:pgSz w:w="11906" w:h="16838" w:code="9"/>
                  <w:pgMar w:top="1701" w:right="567" w:bottom="1134" w:left="709" w:header="1134" w:footer="1134" w:gutter="0"/>
                  <w:cols w:space="1296"/>
                  <w:titlePg/>
                  <w:docGrid w:linePitch="326"/>
                </w:sectPr>
              </w:pPr>
            </w:p>
            <w:p>
              <w:pPr>
                <w:ind w:left="-284"/>
                <w:jc w:val="center"/>
                <w:rPr>
                  <w:b/>
                  <w:bCs/>
                </w:rPr>
              </w:pPr>
              <w:sdt>
                <w:sdtPr>
                  <w:alias w:val="Numeris"/>
                  <w:tag w:val="nr_df2c9d356a4249f1a083870fd90177d1"/>
                  <w:lock w:val="sdtLocked"/>
                  <w:richText/>
                </w:sdtPr>
                <w:sdtContent>
                  <w:r>
                    <w:rPr>
                      <w:b/>
                      <w:bCs/>
                    </w:rPr>
                    <w:t>III</w:t>
                  </w:r>
                </w:sdtContent>
              </w:sdt>
              <w:r>
                <w:rPr>
                  <w:b/>
                  <w:bCs/>
                </w:rPr>
                <w:t xml:space="preserve"> SKYRIUS</w:t>
              </w:r>
            </w:p>
            <w:p>
              <w:pPr>
                <w:jc w:val="center"/>
                <w:rPr>
                  <w:b/>
                  <w:bCs/>
                </w:rPr>
              </w:pPr>
              <w:sdt>
                <w:sdtPr>
                  <w:alias w:val="Pavadinimas"/>
                  <w:tag w:val="title_df2c9d356a4249f1a083870fd90177d1"/>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320 199,779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53"/>
                      <w:rPr>
                        <w:sz w:val="20"/>
                      </w:rPr>
                    </w:pPr>
                    <w:r>
                      <w:rPr>
                        <w:sz w:val="20"/>
                      </w:rPr>
                      <w:t>45 252,182</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106"/>
                      <w:rPr>
                        <w:sz w:val="20"/>
                      </w:rPr>
                    </w:pPr>
                    <w:r>
                      <w:rPr>
                        <w:sz w:val="20"/>
                      </w:rPr>
                      <w:t>7 985,679</w:t>
                    </w:r>
                  </w:p>
                  <w:p>
                    <w:pPr>
                      <w:ind w:left="-57" w:right="-57"/>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sz w:val="20"/>
                      </w:rPr>
                      <w:t>2.4. Regionų ir savivaldybių sveikatos priežiūros įstaigų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49" w:type="dxa"/>
                    <w:gridSpan w:val="4"/>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40"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2"/>
                  </w:tcPr>
                  <w:p>
                    <w:pPr>
                      <w:rPr>
                        <w:sz w:val="20"/>
                      </w:rPr>
                    </w:pPr>
                    <w:r>
                      <w:rPr>
                        <w:sz w:val="20"/>
                      </w:rPr>
                      <w:t>2021–2027 m. IP (ERPF)</w:t>
                    </w:r>
                  </w:p>
                  <w:p>
                    <w:pPr>
                      <w:rPr>
                        <w:sz w:val="20"/>
                      </w:rPr>
                    </w:pPr>
                  </w:p>
                </w:tc>
                <w:tc>
                  <w:tcPr>
                    <w:tcW w:w="1985"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49" w:type="dxa"/>
                    <w:gridSpan w:val="4"/>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40"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2"/>
                  </w:tcPr>
                  <w:p>
                    <w:pPr>
                      <w:rPr>
                        <w:sz w:val="20"/>
                      </w:rPr>
                    </w:pPr>
                    <w:r>
                      <w:rPr>
                        <w:sz w:val="20"/>
                      </w:rPr>
                      <w:t>2021–2027 m. IP (BF)</w:t>
                    </w:r>
                  </w:p>
                </w:tc>
                <w:tc>
                  <w:tcPr>
                    <w:tcW w:w="1985"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38 717,928</w:t>
                    </w:r>
                  </w:p>
                  <w:p>
                    <w:pPr>
                      <w:rPr>
                        <w:sz w:val="20"/>
                      </w:rPr>
                    </w:pP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rPr>
                    </w:pPr>
                    <w:r>
                      <w:rPr>
                        <w:sz w:val="20"/>
                      </w:rPr>
                      <w:t>6 832,575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451"/>
                </w:trPr>
                <w:tc>
                  <w:tcPr>
                    <w:tcW w:w="2130" w:type="dxa"/>
                    <w:gridSpan w:val="2"/>
                  </w:tcPr>
                  <w:p>
                    <w:pPr/>
                    <w:r>
                      <w:rPr>
                        <w:sz w:val="20"/>
                      </w:rPr>
                      <w:t>2.10.</w:t>
                    </w:r>
                  </w:p>
                </w:tc>
                <w:tc>
                  <w:tcPr>
                    <w:tcW w:w="11620" w:type="dxa"/>
                    <w:gridSpan w:val="19"/>
                  </w:tcPr>
                  <w:p>
                    <w:pPr/>
                    <w:r>
                      <w:rPr>
                        <w:i/>
                        <w:sz w:val="20"/>
                      </w:rPr>
                      <w:t>Neteko galios 2026-03-06</w:t>
                    </w:r>
                    <w:r>
                      <w:t>.</w:t>
                    </w:r>
                  </w:p>
                </w:tc>
                <w:tc>
                  <w:tcPr>
                    <w:tcW w:w="1279" w:type="dxa"/>
                  </w:tcPr>
                  <w:p>
                    <w:pPr/>
                    <w:r>
                      <w:rPr>
                        <w:sz w:val="20"/>
                      </w:rPr>
                      <w:t>SAM</w:t>
                    </w:r>
                  </w:p>
                </w:tc>
              </w:tr>
              <w:tr>
                <w:trPr>
                  <w:trHeight w:val="414"/>
                </w:trPr>
                <w:tc>
                  <w:tcPr>
                    <w:tcW w:w="2130" w:type="dxa"/>
                    <w:gridSpan w:val="2"/>
                    <w:vMerge w:val="restart"/>
                  </w:tcPr>
                  <w:p>
                    <w:pPr>
                      <w:rPr>
                        <w:color w:val="000000"/>
                        <w:sz w:val="20"/>
                      </w:rPr>
                    </w:pPr>
                    <w:r>
                      <w:rPr>
                        <w:color w:val="000000"/>
                        <w:sz w:val="20"/>
                      </w:rPr>
                      <w:t xml:space="preserve">2.11. Sveikatos priežiūros specialistų (pirminės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color w:val="000000"/>
                        <w:sz w:val="20"/>
                      </w:rPr>
                    </w:pPr>
                    <w:r>
                      <w:rPr>
                        <w:color w:val="000000"/>
                        <w:sz w:val="20"/>
                      </w:rPr>
                      <w:t>I</w:t>
                    </w:r>
                  </w:p>
                </w:tc>
                <w:tc>
                  <w:tcPr>
                    <w:tcW w:w="1985" w:type="dxa"/>
                    <w:vMerge w:val="restart"/>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829" w:type="dxa"/>
                    <w:gridSpan w:val="3"/>
                    <w:vMerge w:val="restart"/>
                  </w:tcPr>
                  <w:p>
                    <w:pPr>
                      <w:rPr>
                        <w:color w:val="000000"/>
                        <w:sz w:val="20"/>
                      </w:rPr>
                    </w:pPr>
                    <w:r>
                      <w:rPr>
                        <w:color w:val="000000"/>
                        <w:sz w:val="20"/>
                      </w:rPr>
                      <w:t>P</w:t>
                    </w:r>
                  </w:p>
                </w:tc>
                <w:tc>
                  <w:tcPr>
                    <w:tcW w:w="1014" w:type="dxa"/>
                    <w:gridSpan w:val="3"/>
                    <w:vMerge w:val="restart"/>
                  </w:tcPr>
                  <w:p>
                    <w:pPr>
                      <w:rPr>
                        <w:color w:val="000000"/>
                        <w:sz w:val="20"/>
                      </w:rPr>
                    </w:pPr>
                    <w:r>
                      <w:rPr>
                        <w:color w:val="000000"/>
                        <w:sz w:val="20"/>
                      </w:rPr>
                      <w:t>Taip</w:t>
                    </w:r>
                  </w:p>
                </w:tc>
                <w:tc>
                  <w:tcPr>
                    <w:tcW w:w="681" w:type="dxa"/>
                    <w:gridSpan w:val="3"/>
                    <w:vMerge w:val="restart"/>
                  </w:tcPr>
                  <w:p>
                    <w:pPr>
                      <w:rPr>
                        <w:color w:val="000000"/>
                        <w:sz w:val="20"/>
                      </w:rPr>
                    </w:pPr>
                    <w:r>
                      <w:rPr>
                        <w:color w:val="000000"/>
                        <w:sz w:val="20"/>
                      </w:rPr>
                      <w:t>D</w:t>
                    </w:r>
                  </w:p>
                </w:tc>
                <w:tc>
                  <w:tcPr>
                    <w:tcW w:w="1167" w:type="dxa"/>
                    <w:gridSpan w:val="2"/>
                  </w:tcPr>
                  <w:p>
                    <w:pPr>
                      <w:rPr>
                        <w:color w:val="000000"/>
                        <w:sz w:val="20"/>
                      </w:rPr>
                    </w:pPr>
                    <w:r>
                      <w:rPr>
                        <w:color w:val="000000"/>
                        <w:sz w:val="20"/>
                      </w:rPr>
                      <w:t>1 616,463</w:t>
                    </w:r>
                  </w:p>
                </w:tc>
                <w:tc>
                  <w:tcPr>
                    <w:tcW w:w="1118" w:type="dxa"/>
                  </w:tcPr>
                  <w:p>
                    <w:pPr>
                      <w:rPr>
                        <w:color w:val="000000"/>
                        <w:sz w:val="20"/>
                      </w:rPr>
                    </w:pPr>
                    <w:r>
                      <w:rPr>
                        <w:color w:val="000000"/>
                        <w:sz w:val="20"/>
                      </w:rPr>
                      <w:t xml:space="preserve">2021–2027 m. IP (ESF+) </w:t>
                    </w:r>
                  </w:p>
                </w:tc>
                <w:tc>
                  <w:tcPr>
                    <w:tcW w:w="2001" w:type="dxa"/>
                    <w:gridSpan w:val="2"/>
                  </w:tcPr>
                  <w:p>
                    <w:pPr>
                      <w:ind w:left="-57" w:right="-57"/>
                      <w:rPr>
                        <w:color w:val="000000"/>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rPr>
                        <w:color w:val="000000"/>
                        <w:sz w:val="20"/>
                      </w:rPr>
                    </w:pPr>
                    <w:r>
                      <w:rPr>
                        <w:color w:val="000000"/>
                        <w:sz w:val="20"/>
                      </w:rPr>
                      <w:t>285,259</w:t>
                    </w:r>
                  </w:p>
                </w:tc>
                <w:tc>
                  <w:tcPr>
                    <w:tcW w:w="1118" w:type="dxa"/>
                  </w:tcPr>
                  <w:p>
                    <w:pPr>
                      <w:rPr>
                        <w:color w:val="000000"/>
                        <w:sz w:val="20"/>
                      </w:rPr>
                    </w:pPr>
                    <w:r>
                      <w:rPr>
                        <w:color w:val="000000"/>
                        <w:sz w:val="20"/>
                      </w:rPr>
                      <w:t>2021–2027 m. IP (BF)</w:t>
                    </w:r>
                  </w:p>
                </w:tc>
                <w:tc>
                  <w:tcPr>
                    <w:tcW w:w="2001" w:type="dxa"/>
                    <w:gridSpan w:val="2"/>
                  </w:tcPr>
                  <w:p>
                    <w:pPr>
                      <w:ind w:left="-57" w:right="-57"/>
                      <w:rPr>
                        <w:color w:val="000000"/>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val="restart"/>
                  </w:tcPr>
                  <w:p>
                    <w:pPr>
                      <w:rPr>
                        <w:sz w:val="20"/>
                      </w:rPr>
                    </w:pPr>
                    <w:r>
                      <w:rPr>
                        <w:sz w:val="20"/>
                      </w:rPr>
                      <w:t xml:space="preserve">2.12. Sveikatos priežiūros specialistų (specializuotos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sz w:val="20"/>
                      </w:rPr>
                    </w:pPr>
                    <w:r>
                      <w:rPr>
                        <w:sz w:val="20"/>
                      </w:rPr>
                      <w:t>I</w:t>
                    </w:r>
                  </w:p>
                </w:tc>
                <w:tc>
                  <w:tcPr>
                    <w:tcW w:w="1985" w:type="dxa"/>
                    <w:vMerge w:val="restart"/>
                  </w:tcPr>
                  <w:p>
                    <w:pPr>
                      <w:rPr>
                        <w:sz w:val="20"/>
                      </w:rPr>
                    </w:pPr>
                    <w:r>
                      <w:rPr>
                        <w:sz w:val="20"/>
                      </w:rPr>
                      <w:t>ESSC, VU ir LSMU</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color w:val="000000"/>
                        <w:sz w:val="20"/>
                      </w:rPr>
                    </w:pPr>
                    <w:r>
                      <w:rPr>
                        <w:sz w:val="20"/>
                      </w:rPr>
                      <w:t>6 723,896</w:t>
                    </w:r>
                  </w:p>
                </w:tc>
                <w:tc>
                  <w:tcPr>
                    <w:tcW w:w="1118" w:type="dxa"/>
                  </w:tcPr>
                  <w:p>
                    <w:pPr>
                      <w:rPr>
                        <w:color w:val="000000"/>
                        <w:sz w:val="20"/>
                      </w:rPr>
                    </w:pPr>
                    <w:r>
                      <w:rPr>
                        <w:sz w:val="20"/>
                      </w:rPr>
                      <w:t xml:space="preserve">2021–2027 m. IP (ESF+) </w:t>
                    </w:r>
                  </w:p>
                </w:tc>
                <w:tc>
                  <w:tcPr>
                    <w:tcW w:w="2001" w:type="dxa"/>
                    <w:gridSpan w:val="2"/>
                  </w:tcPr>
                  <w:p>
                    <w:pPr>
                      <w:ind w:left="-57" w:right="-57"/>
                      <w:rPr>
                        <w:color w:val="000000"/>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3 830</w:t>
                    </w:r>
                  </w:p>
                  <w:p>
                    <w:pPr>
                      <w:ind w:left="-57" w:right="-57"/>
                      <w:jc w:val="center"/>
                      <w:rPr>
                        <w:color w:val="000000"/>
                        <w:sz w:val="20"/>
                      </w:rPr>
                    </w:pPr>
                    <w:r>
                      <w:rPr>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sz w:val="20"/>
                      </w:rPr>
                      <w:t>1 186,570</w:t>
                    </w:r>
                  </w:p>
                </w:tc>
                <w:tc>
                  <w:tcPr>
                    <w:tcW w:w="1118" w:type="dxa"/>
                  </w:tcPr>
                  <w:p>
                    <w:pPr>
                      <w:rPr>
                        <w:sz w:val="20"/>
                      </w:rPr>
                    </w:pPr>
                    <w:r>
                      <w:rPr>
                        <w:sz w:val="20"/>
                      </w:rPr>
                      <w:t>2021–2027 m. IP (BF)</w:t>
                    </w:r>
                  </w:p>
                </w:tc>
                <w:tc>
                  <w:tcPr>
                    <w:tcW w:w="2001" w:type="dxa"/>
                    <w:gridSpan w:val="2"/>
                  </w:tcPr>
                  <w:p>
                    <w:pPr>
                      <w:ind w:left="-57" w:right="-57"/>
                      <w:rPr>
                        <w:sz w:val="20"/>
                      </w:rPr>
                    </w:pPr>
                    <w:r>
                      <w:rPr>
                        <w:sz w:val="20"/>
                      </w:rPr>
                      <w:t>R – Specialistų, kurie po dalyvavimo veiklose įgijo ar patobulino kvalifikaciją, dalis, proc.</w:t>
                    </w: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shd w:val="clear" w:color="auto" w:fill="F2F2F2" w:themeFill="background1" w:themeFillShade="F2"/>
                  </w:tcPr>
                  <w:p>
                    <w:pPr>
                      <w:rPr>
                        <w:b/>
                        <w:bCs/>
                        <w:sz w:val="20"/>
                      </w:rPr>
                    </w:pPr>
                  </w:p>
                </w:tc>
                <w:tc>
                  <w:tcPr>
                    <w:tcW w:w="699" w:type="dxa"/>
                    <w:shd w:val="clear" w:color="auto" w:fill="F2F2F2" w:themeFill="background1" w:themeFillShade="F2"/>
                  </w:tcPr>
                  <w:p>
                    <w:pPr>
                      <w:rPr>
                        <w:sz w:val="20"/>
                      </w:rPr>
                    </w:pPr>
                  </w:p>
                </w:tc>
                <w:tc>
                  <w:tcPr>
                    <w:tcW w:w="1985" w:type="dxa"/>
                    <w:shd w:val="clear" w:color="auto" w:fill="F2F2F2" w:themeFill="background1" w:themeFillShade="F2"/>
                  </w:tcPr>
                  <w:p>
                    <w:pPr>
                      <w:rPr>
                        <w:sz w:val="20"/>
                      </w:rPr>
                    </w:pPr>
                  </w:p>
                </w:tc>
                <w:tc>
                  <w:tcPr>
                    <w:tcW w:w="829" w:type="dxa"/>
                    <w:gridSpan w:val="3"/>
                    <w:shd w:val="clear" w:color="auto" w:fill="F2F2F2" w:themeFill="background1" w:themeFillShade="F2"/>
                  </w:tcPr>
                  <w:p>
                    <w:pPr>
                      <w:rPr>
                        <w:sz w:val="20"/>
                      </w:rPr>
                    </w:pPr>
                  </w:p>
                </w:tc>
                <w:tc>
                  <w:tcPr>
                    <w:tcW w:w="1014" w:type="dxa"/>
                    <w:gridSpan w:val="3"/>
                    <w:shd w:val="clear" w:color="auto" w:fill="F2F2F2" w:themeFill="background1" w:themeFillShade="F2"/>
                  </w:tcPr>
                  <w:p>
                    <w:pPr>
                      <w:rPr>
                        <w:sz w:val="20"/>
                      </w:rPr>
                    </w:pPr>
                  </w:p>
                </w:tc>
                <w:tc>
                  <w:tcPr>
                    <w:tcW w:w="681" w:type="dxa"/>
                    <w:gridSpan w:val="3"/>
                    <w:shd w:val="clear" w:color="auto" w:fill="F2F2F2" w:themeFill="background1" w:themeFillShade="F2"/>
                  </w:tcPr>
                  <w:p>
                    <w:pPr>
                      <w:rPr>
                        <w:sz w:val="20"/>
                      </w:rPr>
                    </w:pPr>
                  </w:p>
                </w:tc>
                <w:tc>
                  <w:tcPr>
                    <w:tcW w:w="1167" w:type="dxa"/>
                    <w:gridSpan w:val="2"/>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shd w:val="clear" w:color="auto" w:fill="auto"/>
                  </w:tcPr>
                  <w:p>
                    <w:pPr>
                      <w:ind w:left="-57" w:right="-57"/>
                      <w:rPr>
                        <w:sz w:val="20"/>
                      </w:rPr>
                    </w:pPr>
                  </w:p>
                </w:tc>
                <w:tc>
                  <w:tcPr>
                    <w:tcW w:w="1134"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134"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134"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P – Modernizuotų asmens sveikatos priežiūros įstaigų skaičius</w:t>
                    </w:r>
                  </w:p>
                </w:tc>
                <w:tc>
                  <w:tcPr>
                    <w:tcW w:w="1134"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159 958,803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R –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R –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75 115,004</w:t>
                    </w:r>
                  </w:p>
                  <w:p>
                    <w:pPr>
                      <w:jc w:val="center"/>
                      <w:rPr>
                        <w:sz w:val="20"/>
                      </w:rPr>
                    </w:pP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R –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18 802,691</w:t>
                    </w:r>
                  </w:p>
                  <w:p>
                    <w:pPr>
                      <w:jc w:val="center"/>
                      <w:rPr>
                        <w:sz w:val="20"/>
                      </w:rPr>
                    </w:pP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R –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R – Aktyviojo gydymo lovų užimtumas, proc.</w:t>
                    </w:r>
                  </w:p>
                </w:tc>
                <w:tc>
                  <w:tcPr>
                    <w:tcW w:w="1134" w:type="dxa"/>
                    <w:gridSpan w:val="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trike/>
                        <w:sz w:val="20"/>
                      </w:rPr>
                    </w:pPr>
                    <w:r>
                      <w:rPr>
                        <w:sz w:val="20"/>
                      </w:rPr>
                      <w:t>27 218,273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4 803,224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shd w:val="clear" w:color="auto" w:fill="auto"/>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shd w:val="clear" w:color="auto" w:fill="auto"/>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shd w:val="clear" w:color="auto" w:fill="auto"/>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pPr/>
                  </w:p>
                </w:tc>
                <w:tc>
                  <w:tcPr>
                    <w:tcW w:w="699" w:type="dxa"/>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pPr/>
                  </w:p>
                </w:tc>
                <w:tc>
                  <w:tcPr>
                    <w:tcW w:w="1118"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pPr/>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699" w:type="dxa"/>
                    <w:vMerge/>
                    <w:tcBorders>
                      <w:left w:val="single" w:sz="4" w:space="0" w:color="auto"/>
                      <w:right w:val="single" w:sz="4" w:space="0" w:color="auto"/>
                    </w:tcBorders>
                    <w:tcMar>
                      <w:left w:w="108" w:type="dxa"/>
                      <w:right w:w="108" w:type="dxa"/>
                    </w:tcMar>
                  </w:tcPr>
                  <w:p>
                    <w:pPr/>
                  </w:p>
                </w:tc>
                <w:tc>
                  <w:tcPr>
                    <w:tcW w:w="1985" w:type="dxa"/>
                    <w:vMerge/>
                    <w:tcBorders>
                      <w:left w:val="single" w:sz="4" w:space="0" w:color="auto"/>
                      <w:right w:val="single" w:sz="4" w:space="0" w:color="auto"/>
                    </w:tcBorders>
                    <w:tcMar>
                      <w:left w:w="108" w:type="dxa"/>
                      <w:right w:w="108" w:type="dxa"/>
                    </w:tcMar>
                  </w:tcPr>
                  <w:p>
                    <w:pPr/>
                  </w:p>
                </w:tc>
                <w:tc>
                  <w:tcPr>
                    <w:tcW w:w="829" w:type="dxa"/>
                    <w:gridSpan w:val="3"/>
                    <w:vMerge/>
                    <w:tcBorders>
                      <w:left w:val="single" w:sz="4" w:space="0" w:color="auto"/>
                      <w:right w:val="single" w:sz="4" w:space="0" w:color="auto"/>
                    </w:tcBorders>
                    <w:tcMar>
                      <w:left w:w="108" w:type="dxa"/>
                      <w:right w:w="108" w:type="dxa"/>
                    </w:tcMar>
                  </w:tcPr>
                  <w:p>
                    <w:pPr/>
                  </w:p>
                </w:tc>
                <w:tc>
                  <w:tcPr>
                    <w:tcW w:w="1006" w:type="dxa"/>
                    <w:gridSpan w:val="2"/>
                    <w:vMerge/>
                    <w:tcBorders>
                      <w:left w:val="single" w:sz="4" w:space="0" w:color="auto"/>
                      <w:right w:val="single" w:sz="4" w:space="0" w:color="auto"/>
                    </w:tcBorders>
                    <w:tcMar>
                      <w:left w:w="108" w:type="dxa"/>
                      <w:right w:w="108" w:type="dxa"/>
                    </w:tcMar>
                  </w:tcPr>
                  <w:p>
                    <w:pPr/>
                  </w:p>
                </w:tc>
                <w:tc>
                  <w:tcPr>
                    <w:tcW w:w="689" w:type="dxa"/>
                    <w:gridSpan w:val="4"/>
                    <w:vMerge/>
                    <w:tcBorders>
                      <w:left w:val="single" w:sz="4" w:space="0" w:color="auto"/>
                      <w:right w:val="single" w:sz="4" w:space="0" w:color="auto"/>
                    </w:tcBorders>
                    <w:tcMar>
                      <w:left w:w="108" w:type="dxa"/>
                      <w:right w:w="108" w:type="dxa"/>
                    </w:tcMar>
                  </w:tcPr>
                  <w:p>
                    <w:p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p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p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15 230,950</w:t>
                    </w:r>
                  </w:p>
                  <w:p>
                    <w:pPr>
                      <w:ind w:firstLine="62"/>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2 687,815</w:t>
                    </w:r>
                  </w:p>
                  <w:p>
                    <w:pPr>
                      <w:ind w:firstLine="62"/>
                    </w:pP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699" w:type="dxa"/>
                    <w:shd w:val="clear" w:color="auto" w:fill="auto"/>
                  </w:tcPr>
                  <w:p>
                    <w:pPr>
                      <w:rPr>
                        <w:sz w:val="20"/>
                      </w:rPr>
                    </w:pPr>
                    <w:r>
                      <w:rPr>
                        <w:sz w:val="20"/>
                      </w:rPr>
                      <w:t>R</w:t>
                    </w:r>
                  </w:p>
                </w:tc>
                <w:tc>
                  <w:tcPr>
                    <w:tcW w:w="1985" w:type="dxa"/>
                    <w:shd w:val="clear" w:color="auto" w:fill="auto"/>
                  </w:tcPr>
                  <w:p>
                    <w:pPr>
                      <w:rPr>
                        <w:sz w:val="20"/>
                      </w:rPr>
                    </w:pPr>
                    <w:r>
                      <w:rPr>
                        <w:sz w:val="20"/>
                      </w:rPr>
                      <w:t>-</w:t>
                    </w:r>
                  </w:p>
                </w:tc>
                <w:tc>
                  <w:tcPr>
                    <w:tcW w:w="829" w:type="dxa"/>
                    <w:gridSpan w:val="3"/>
                    <w:shd w:val="clear" w:color="auto" w:fill="auto"/>
                  </w:tcPr>
                  <w:p>
                    <w:pPr>
                      <w:rPr>
                        <w:sz w:val="20"/>
                      </w:rPr>
                    </w:pPr>
                    <w:r>
                      <w:rPr>
                        <w:sz w:val="20"/>
                      </w:rPr>
                      <w:t>-</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167" w:type="dxa"/>
                    <w:gridSpan w:val="2"/>
                    <w:shd w:val="clear" w:color="auto" w:fill="auto"/>
                  </w:tcPr>
                  <w:p>
                    <w:pPr>
                      <w:rPr>
                        <w:sz w:val="20"/>
                        <w:lang w:val="en-US"/>
                      </w:rPr>
                    </w:pPr>
                    <w:r>
                      <w:rPr>
                        <w:sz w:val="20"/>
                        <w:lang w:val="en-US"/>
                      </w:rPr>
                      <w:t>-</w:t>
                    </w:r>
                  </w:p>
                </w:tc>
                <w:tc>
                  <w:tcPr>
                    <w:tcW w:w="1118" w:type="dxa"/>
                    <w:shd w:val="clear" w:color="auto" w:fill="auto"/>
                  </w:tcPr>
                  <w:p>
                    <w:pPr>
                      <w:rPr>
                        <w:sz w:val="20"/>
                      </w:rPr>
                    </w:pPr>
                    <w:r>
                      <w:rPr>
                        <w:sz w:val="20"/>
                      </w:rPr>
                      <w:t>-</w:t>
                    </w:r>
                  </w:p>
                </w:tc>
                <w:tc>
                  <w:tcPr>
                    <w:tcW w:w="2001" w:type="dxa"/>
                    <w:gridSpan w:val="2"/>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shd w:val="clear" w:color="auto" w:fill="auto"/>
                  </w:tcPr>
                  <w:p>
                    <w:pPr>
                      <w:rPr>
                        <w:sz w:val="20"/>
                      </w:rPr>
                    </w:pPr>
                    <w:r>
                      <w:rPr>
                        <w:sz w:val="20"/>
                      </w:rPr>
                      <w:t>11.3. Sveikatos priežiūros specialistų kvalifikacijos tobulinimas</w:t>
                    </w:r>
                  </w:p>
                </w:tc>
                <w:tc>
                  <w:tcPr>
                    <w:tcW w:w="699" w:type="dxa"/>
                    <w:shd w:val="clear" w:color="auto" w:fill="auto"/>
                  </w:tcPr>
                  <w:p>
                    <w:pPr>
                      <w:rPr>
                        <w:sz w:val="20"/>
                      </w:rPr>
                    </w:pPr>
                    <w:r>
                      <w:rPr>
                        <w:sz w:val="20"/>
                      </w:rPr>
                      <w:t>I</w:t>
                    </w:r>
                  </w:p>
                </w:tc>
                <w:tc>
                  <w:tcPr>
                    <w:tcW w:w="1985" w:type="dxa"/>
                    <w:shd w:val="clear" w:color="auto" w:fill="auto"/>
                  </w:tcPr>
                  <w:p>
                    <w:pPr>
                      <w:rPr>
                        <w:sz w:val="20"/>
                      </w:rPr>
                    </w:pPr>
                    <w:r>
                      <w:rPr>
                        <w:sz w:val="20"/>
                      </w:rPr>
                      <w:t>SAM</w:t>
                    </w:r>
                  </w:p>
                </w:tc>
                <w:tc>
                  <w:tcPr>
                    <w:tcW w:w="829" w:type="dxa"/>
                    <w:gridSpan w:val="3"/>
                    <w:shd w:val="clear" w:color="auto" w:fill="auto"/>
                  </w:tcPr>
                  <w:p>
                    <w:pPr>
                      <w:rPr>
                        <w:sz w:val="20"/>
                      </w:rPr>
                    </w:pPr>
                    <w:r>
                      <w:rPr>
                        <w:sz w:val="20"/>
                      </w:rPr>
                      <w:t>P</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5 000</w:t>
                    </w:r>
                  </w:p>
                  <w:p>
                    <w:pPr>
                      <w:rPr>
                        <w:sz w:val="20"/>
                        <w:lang w:val="en-US"/>
                      </w:rPr>
                    </w:pPr>
                  </w:p>
                </w:tc>
                <w:tc>
                  <w:tcPr>
                    <w:tcW w:w="1118" w:type="dxa"/>
                    <w:shd w:val="clear" w:color="auto" w:fill="auto"/>
                  </w:tcPr>
                  <w:p>
                    <w:pPr>
                      <w:ind w:left="-57" w:right="-57"/>
                      <w:rPr>
                        <w:sz w:val="20"/>
                      </w:rPr>
                    </w:pPr>
                    <w:r>
                      <w:rPr>
                        <w:sz w:val="20"/>
                      </w:rPr>
                      <w:t>VB</w:t>
                    </w:r>
                  </w:p>
                </w:tc>
                <w:tc>
                  <w:tcPr>
                    <w:tcW w:w="2001" w:type="dxa"/>
                    <w:gridSpan w:val="2"/>
                    <w:shd w:val="clear" w:color="auto" w:fill="auto"/>
                  </w:tcPr>
                  <w:p>
                    <w:pPr>
                      <w:ind w:left="-57" w:right="-57"/>
                      <w:rPr>
                        <w:sz w:val="20"/>
                      </w:rPr>
                    </w:pPr>
                    <w:r>
                      <w:rPr>
                        <w:sz w:val="20"/>
                      </w:rPr>
                      <w:t>P – Specialistai, dalyvavę kvalifikacijos tobulinimo veiklose, asmenys</w:t>
                    </w:r>
                  </w:p>
                </w:tc>
                <w:tc>
                  <w:tcPr>
                    <w:tcW w:w="1134"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30" w:type="dxa"/>
                    <w:gridSpan w:val="2"/>
                    <w:vMerge w:val="restart"/>
                    <w:shd w:val="clear" w:color="auto" w:fill="auto"/>
                  </w:tcPr>
                  <w:p>
                    <w:pPr>
                      <w:rPr>
                        <w:sz w:val="20"/>
                      </w:rPr>
                    </w:pPr>
                    <w:r>
                      <w:rPr>
                        <w:sz w:val="20"/>
                      </w:rPr>
                      <w:t>11.4. Ilgalaikės priežiūros paslaugas teikiančių specialistų parengimas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SAM</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2 100</w:t>
                    </w:r>
                  </w:p>
                  <w:p>
                    <w:pPr>
                      <w:rPr>
                        <w:sz w:val="20"/>
                        <w:lang w:val="en-US"/>
                      </w:rPr>
                    </w:pPr>
                  </w:p>
                </w:tc>
                <w:tc>
                  <w:tcPr>
                    <w:tcW w:w="1118" w:type="dxa"/>
                    <w:shd w:val="clear" w:color="auto" w:fill="auto"/>
                  </w:tcPr>
                  <w:p>
                    <w:pPr>
                      <w:ind w:left="-57" w:right="-57"/>
                      <w:rPr>
                        <w:sz w:val="20"/>
                      </w:rPr>
                    </w:pPr>
                    <w:r>
                      <w:rPr>
                        <w:sz w:val="20"/>
                      </w:rPr>
                      <w:t>EGADP</w:t>
                    </w:r>
                  </w:p>
                  <w:p>
                    <w:pPr>
                      <w:ind w:left="-57" w:right="-57"/>
                      <w:rPr>
                        <w:sz w:val="20"/>
                      </w:rPr>
                    </w:pPr>
                  </w:p>
                </w:tc>
                <w:tc>
                  <w:tcPr>
                    <w:tcW w:w="2001" w:type="dxa"/>
                    <w:gridSpan w:val="2"/>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9"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shd w:val="clear" w:color="auto" w:fill="auto"/>
                  </w:tcPr>
                  <w:p>
                    <w:pPr>
                      <w:rPr>
                        <w:sz w:val="20"/>
                        <w:lang w:val="en-US"/>
                      </w:rPr>
                    </w:pPr>
                    <w:r>
                      <w:rPr>
                        <w:sz w:val="20"/>
                        <w:lang w:val="en-US"/>
                      </w:rPr>
                      <w:t>440</w:t>
                    </w:r>
                  </w:p>
                </w:tc>
                <w:tc>
                  <w:tcPr>
                    <w:tcW w:w="1118" w:type="dxa"/>
                    <w:shd w:val="clear" w:color="auto" w:fill="auto"/>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shd w:val="clear" w:color="auto" w:fill="auto"/>
                  </w:tcPr>
                  <w:p>
                    <w:pPr>
                      <w:rPr>
                        <w:sz w:val="20"/>
                      </w:rPr>
                    </w:pPr>
                    <w:r>
                      <w:rPr>
                        <w:b/>
                        <w:bCs/>
                        <w:sz w:val="20"/>
                      </w:rPr>
                      <w:t>13. Programos „Motinos ir vaiko sveikata bei gerovė“ įgyvendinimas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Lietuvos sveikatos mokslų universiteto ligoninė Kauno klinikos</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167" w:type="dxa"/>
                    <w:gridSpan w:val="2"/>
                    <w:tcBorders>
                      <w:bottom w:val="single" w:sz="4" w:space="0" w:color="auto"/>
                    </w:tcBorders>
                    <w:shd w:val="clear" w:color="auto" w:fill="auto"/>
                  </w:tcPr>
                  <w:p>
                    <w:pPr>
                      <w:rPr>
                        <w:b/>
                        <w:bCs/>
                        <w:sz w:val="20"/>
                      </w:rPr>
                    </w:pPr>
                    <w:r>
                      <w:rPr>
                        <w:b/>
                        <w:bCs/>
                        <w:sz w:val="20"/>
                      </w:rPr>
                      <w:t>34 219,646</w:t>
                    </w:r>
                  </w:p>
                </w:tc>
                <w:tc>
                  <w:tcPr>
                    <w:tcW w:w="1118" w:type="dxa"/>
                    <w:tcBorders>
                      <w:bottom w:val="single" w:sz="4" w:space="0" w:color="auto"/>
                    </w:tcBorders>
                    <w:shd w:val="clear" w:color="auto" w:fill="auto"/>
                  </w:tcPr>
                  <w:p>
                    <w:pPr>
                      <w:rPr>
                        <w:sz w:val="20"/>
                      </w:rPr>
                    </w:pPr>
                    <w:r>
                      <w:rPr>
                        <w:sz w:val="20"/>
                      </w:rPr>
                      <w:t>-</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shd w:val="clear" w:color="auto" w:fill="auto"/>
                  </w:tcPr>
                  <w:p>
                    <w:pPr>
                      <w:rPr>
                        <w:sz w:val="20"/>
                      </w:rPr>
                    </w:pPr>
                    <w:r>
                      <w:rPr>
                        <w:sz w:val="20"/>
                      </w:rPr>
                      <w:t>29 086,699</w:t>
                    </w:r>
                  </w:p>
                </w:tc>
                <w:tc>
                  <w:tcPr>
                    <w:tcW w:w="1118" w:type="dxa"/>
                    <w:shd w:val="clear" w:color="auto" w:fill="auto"/>
                  </w:tcPr>
                  <w:p>
                    <w:pPr>
                      <w:rPr>
                        <w:sz w:val="20"/>
                      </w:rPr>
                    </w:pPr>
                    <w:r>
                      <w:rPr>
                        <w:sz w:val="20"/>
                      </w:rPr>
                      <w:t>AŠĮFP</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val="restart"/>
                    <w:shd w:val="clear" w:color="auto" w:fill="auto"/>
                  </w:tcPr>
                  <w:p>
                    <w:pPr>
                      <w:rPr>
                        <w:sz w:val="20"/>
                      </w:rPr>
                    </w:pPr>
                    <w:r>
                      <w:rPr>
                        <w:sz w:val="20"/>
                      </w:rPr>
                      <w:t>5 132,947</w:t>
                    </w:r>
                  </w:p>
                </w:tc>
                <w:tc>
                  <w:tcPr>
                    <w:tcW w:w="1118" w:type="dxa"/>
                    <w:vMerge w:val="restart"/>
                    <w:shd w:val="clear" w:color="auto" w:fill="auto"/>
                  </w:tcPr>
                  <w:p>
                    <w:pPr>
                      <w:rPr>
                        <w:sz w:val="20"/>
                      </w:rPr>
                    </w:pPr>
                    <w:r>
                      <w:rPr>
                        <w:sz w:val="20"/>
                      </w:rPr>
                      <w:t>AŠĮFP</w:t>
                    </w:r>
                  </w:p>
                  <w:p>
                    <w:pPr>
                      <w:rPr>
                        <w:sz w:val="20"/>
                      </w:rPr>
                    </w:pPr>
                    <w:r>
                      <w:rPr>
                        <w:sz w:val="20"/>
                      </w:rPr>
                      <w:t>(BF)</w:t>
                    </w:r>
                  </w:p>
                </w:tc>
                <w:tc>
                  <w:tcPr>
                    <w:tcW w:w="2001" w:type="dxa"/>
                    <w:gridSpan w:val="2"/>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Sukurti paslaugų teikimo metodikos ir organizacinių procesų aprašai, vnt.</w:t>
                    </w:r>
                  </w:p>
                </w:tc>
                <w:tc>
                  <w:tcPr>
                    <w:tcW w:w="1134"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(V-114)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percent="94"/>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0705"/>
    <o:shapelayout v:ext="edit">
      <o:idmap v:ext="edit" data="1"/>
    </o:shapelayout>
  </w:shapeDefaults>
  <w:decimalSymbol w:val=","/>
  <w:listSeparator w:val=";"/>
  <w14:docId w14:val="49F92A54"/>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94.xml"/>
  <Relationship Id="rId10" Type="http://schemas.openxmlformats.org/officeDocument/2006/relationships/customXml" Target="../customXml/item6.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footnotes" Target="footnotes.xml"/>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header" Target="header6.xml"/>
  <Relationship Id="rId2" Type="http://schemas.openxmlformats.org/officeDocument/2006/relationships/header" Target="header95.xml"/>
  <Relationship Id="rId20" Type="http://schemas.openxmlformats.org/officeDocument/2006/relationships/settings" Target="settings.xml"/>
  <Relationship Id="rId21" Type="http://schemas.openxmlformats.org/officeDocument/2006/relationships/styles" Target="styles.xml"/>
  <Relationship Id="rId22" Type="http://schemas.openxmlformats.org/officeDocument/2006/relationships/theme" Target="theme/theme1.xml"/>
  <Relationship Id="rId23" Type="http://schemas.openxmlformats.org/officeDocument/2006/relationships/webSettings" Target="webSettings.xml"/>
  <Relationship Id="rId24" Type="http://schemas.openxmlformats.org/officeDocument/2006/relationships/image" Target="media/image167.png"/>
  <Relationship Id="rId25" Type="http://schemas.openxmlformats.org/officeDocument/2006/relationships/oleObject" Target="embeddings/oleObject167.bin"/>
  <Relationship Id="rId26" Type="http://schemas.openxmlformats.org/officeDocument/2006/relationships/header" Target="header124.xml"/>
  <Relationship Id="rId27" Type="http://schemas.openxmlformats.org/officeDocument/2006/relationships/header" Target="header125.xml"/>
  <Relationship Id="rId28" Type="http://schemas.openxmlformats.org/officeDocument/2006/relationships/footer" Target="footer124.xml"/>
  <Relationship Id="rId29" Type="http://schemas.openxmlformats.org/officeDocument/2006/relationships/footer" Target="footer125.xml"/>
  <Relationship Id="rId3" Type="http://schemas.openxmlformats.org/officeDocument/2006/relationships/footer" Target="footer94.xml"/>
  <Relationship Id="rId30" Type="http://schemas.openxmlformats.org/officeDocument/2006/relationships/header" Target="header126.xml"/>
  <Relationship Id="rId31" Type="http://schemas.openxmlformats.org/officeDocument/2006/relationships/footer" Target="footer126.xml"/>
  <Relationship Id="rId32" Type="http://schemas.openxmlformats.org/officeDocument/2006/relationships/header" Target="header220.xml"/>
  <Relationship Id="rId33" Type="http://schemas.openxmlformats.org/officeDocument/2006/relationships/header" Target="header221.xml"/>
  <Relationship Id="rId34" Type="http://schemas.openxmlformats.org/officeDocument/2006/relationships/footer" Target="footer220.xml"/>
  <Relationship Id="rId35" Type="http://schemas.openxmlformats.org/officeDocument/2006/relationships/footer" Target="footer221.xml"/>
  <Relationship Id="rId36" Type="http://schemas.openxmlformats.org/officeDocument/2006/relationships/header" Target="header222.xml"/>
  <Relationship Id="rId37" Type="http://schemas.openxmlformats.org/officeDocument/2006/relationships/footer" Target="footer222.xml"/>
  <Relationship Id="rId38" Type="http://schemas.openxmlformats.org/officeDocument/2006/relationships/customXml" Target="../customXml/item4.xml"/>
  <Relationship Id="rId4" Type="http://schemas.openxmlformats.org/officeDocument/2006/relationships/footer" Target="footer95.xml"/>
  <Relationship Id="rId5" Type="http://schemas.openxmlformats.org/officeDocument/2006/relationships/header" Target="header96.xml"/>
  <Relationship Id="rId6" Type="http://schemas.openxmlformats.org/officeDocument/2006/relationships/footer" Target="footer96.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arts xmlns="http://lrs.lt/TAIS/DocParts">
  <Part Type="pagrindine" DocPartId="f8c1caabe0df49e198502b4b17034264" PartId="84e54a45c0f741009a3e20ef40948f4e">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3e0b85091f246cf97f2e2efd30b8734">
    <Part Type="skyrius" Nr="1" Title="PLĖTROS PROGRAMOS PAŽANGOS PRIEMONĖS SIEKIAMI REZULTATAI" DocPartId="b924309999714986a1f663aef95b7db6" PartId="027bd9b5aef74d63ab4ec1d181d3390d"/>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df2c9d356a4249f1a083870fd90177d1"/>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4215AEA-B420-41C5-A361-2AE1F1C2EC1E}">
  <ds:schemaRefs>
    <ds:schemaRef ds:uri="http://lrs.lt/TAIS/DocParts"/>
  </ds:schemaRefs>
</ds:datastoreItem>
</file>

<file path=customXml/itemProps6.xml><?xml version="1.0" encoding="utf-8"?>
<ds:datastoreItem xmlns:ds="http://schemas.openxmlformats.org/officeDocument/2006/customXml" ds:itemID="{F3CFCD78-A543-458D-B5F9-82BD27570A6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219</TotalTime>
  <Pages>65</Pages>
  <Words>13032</Words>
  <Characters>83450</Characters>
  <Application>Microsoft Office Word</Application>
  <DocSecurity>0</DocSecurity>
  <Lines>695</Lines>
  <Paragraphs>192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96290</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2026-03-09T09:41:00Z</dcterms:modified>
  <revision>107</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