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89fe12cc6ea84e22b1e345857d1f054f"/>
        <w:lock w:val="sdtLocked"/>
        <w:richText/>
      </w:sdtPr>
      <w:sdtContent>
        <w:p>
          <w:pPr>
            <w:jc w:val="both"/>
            <w:rPr>
              <w:rFonts w:ascii="Times New Roman" w:hAnsi="Times New Roman"/>
            </w:rPr>
          </w:pPr>
          <w:r>
            <w:rPr>
              <w:rFonts w:ascii="Times New Roman" w:hAnsi="Times New Roman"/>
              <w:b/>
              <w:i/>
            </w:rPr>
            <w:t>Suvestinė redakcija nuo 2026-05-13 iki 2026-05-21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6pt;height:43.35pt" o:ole="" fillcolor="window">
                <v:imagedata r:id="rId18" o:title=""/>
              </v:shape>
              <o:OLEObject Type="Embed" ProgID="Word.Picture.8" ShapeID="_x0000_i1025" DrawAspect="Content" ObjectID="_0000000001" r:id="rId19"/>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7e00c1bea6e04480a31e94ac6c847bc9"/>
        <w:lock w:val="sdtLocked"/>
        <w:richText/>
      </w:sdtPr>
      <w:sdtContent>
        <w:p>
          <w:pPr>
            <w:shd w:val="clear" w:color="000000" w:fill="auto"/>
            <w:ind w:left="6521"/>
            <w:sectPr>
              <w:headerReference w:type="even" r:id="rId20"/>
              <w:headerReference w:type="default" r:id="rId21"/>
              <w:footerReference w:type="even" r:id="rId22"/>
              <w:footerReference w:type="default" r:id="rId23"/>
              <w:headerReference w:type="first" r:id="rId24"/>
              <w:footerReference w:type="first" r:id="rId25"/>
              <w:pgSz w:w="11906" w:h="16838" w:code="9"/>
              <w:pgMar w:top="851" w:right="567" w:bottom="1134" w:left="992" w:header="567" w:footer="567" w:gutter="0"/>
              <w:pgNumType w:start="1"/>
              <w:cols w:space="1296"/>
              <w:titlePg/>
              <w:docGrid w:linePitch="360"/>
            </w:sectPr>
          </w:pPr>
        </w:p>
        <w:p>
          <w:pPr>
            <w:shd w:val="clear" w:color="000000" w:fill="auto"/>
            <w:ind w:left="6521"/>
            <w:rPr>
              <w:sz w:val="22"/>
              <w:szCs w:val="22"/>
            </w:rPr>
          </w:pPr>
          <w:r>
            <w:rPr>
              <w:sz w:val="22"/>
              <w:szCs w:val="22"/>
            </w:rPr>
            <w:t>PATVIRTINTA</w:t>
          </w:r>
        </w:p>
        <w:p>
          <w:pPr>
            <w:shd w:val="clear" w:color="000000" w:fill="auto"/>
            <w:ind w:left="6521"/>
            <w:rPr>
              <w:sz w:val="22"/>
              <w:szCs w:val="22"/>
            </w:rPr>
          </w:pPr>
          <w:r>
            <w:rPr>
              <w:sz w:val="22"/>
              <w:szCs w:val="22"/>
            </w:rPr>
            <w:t>Lietuvos Respublikos sveikatos apsaugos ministro 2022 m. gegužės 20 d. įsakymu</w:t>
          </w:r>
        </w:p>
        <w:p>
          <w:pPr>
            <w:shd w:val="clear" w:color="000000" w:fill="auto"/>
            <w:ind w:left="6521"/>
            <w:rPr>
              <w:sz w:val="22"/>
              <w:szCs w:val="22"/>
            </w:rPr>
          </w:pPr>
          <w:r>
            <w:rPr>
              <w:sz w:val="22"/>
              <w:szCs w:val="22"/>
            </w:rPr>
            <w:t>Nr. V-988</w:t>
          </w:r>
        </w:p>
        <w:p>
          <w:pPr>
            <w:shd w:val="clear" w:color="000000" w:fill="auto"/>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shd w:val="clear" w:color="000000" w:fill="auto"/>
            <w:jc w:val="center"/>
            <w:rPr>
              <w:b/>
              <w:szCs w:val="24"/>
            </w:rPr>
          </w:pPr>
        </w:p>
        <w:p>
          <w:pPr>
            <w:shd w:val="clear" w:color="000000" w:fill="auto"/>
            <w:jc w:val="center"/>
            <w:rPr>
              <w:b/>
              <w:sz w:val="22"/>
              <w:szCs w:val="22"/>
              <w:lang w:eastAsia="lt-LT"/>
            </w:rPr>
          </w:pPr>
          <w:sdt>
            <w:sdtPr>
              <w:alias w:val="Pavadinimas"/>
              <w:tag w:val="title_7e00c1bea6e04480a31e94ac6c847bc9"/>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shd w:val="clear" w:color="000000" w:fill="auto"/>
            <w:jc w:val="center"/>
            <w:rPr>
              <w:b/>
              <w:sz w:val="22"/>
              <w:szCs w:val="22"/>
              <w:lang w:eastAsia="lt-LT"/>
            </w:rPr>
          </w:pPr>
        </w:p>
        <w:sdt>
          <w:sdtPr>
            <w:alias w:val="skyrius"/>
            <w:tag w:val="part_74861fdf2a104d89b2f634fea31dc90b"/>
            <w:lock w:val="sdtLocked"/>
            <w:richText/>
          </w:sdtPr>
          <w:sdtContent>
            <w:p>
              <w:pPr>
                <w:tabs>
                  <w:tab w:val="left" w:pos="1985"/>
                </w:tabs>
                <w:jc w:val="center"/>
                <w:rPr>
                  <w:b/>
                  <w:bCs/>
                  <w:sz w:val="22"/>
                  <w:szCs w:val="22"/>
                </w:rPr>
              </w:pPr>
              <w:sdt>
                <w:sdtPr>
                  <w:alias w:val="Numeris"/>
                  <w:tag w:val="nr_74861fdf2a104d89b2f634fea31dc90b"/>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74861fdf2a104d89b2f634fea31dc90b"/>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1 823 440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9144" w:type="dxa"/>
                    <w:gridSpan w:val="7"/>
                    <w:shd w:val="clear" w:color="auto" w:fill="FFFFFF" w:themeFill="background1"/>
                  </w:tcPr>
                  <w:p>
                    <w:pPr>
                      <w:rPr>
                        <w:color w:val="FFFFFF"/>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3 543 550</w:t>
                    </w:r>
                  </w:p>
                  <w:p>
                    <w:pPr>
                      <w:jc w:val="center"/>
                      <w:rPr>
                        <w:color w:val="FFFFFF"/>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color w:val="000000"/>
                        <w:sz w:val="20"/>
                      </w:rPr>
                      <w:t>Modernizuotų infekcinių ligų klasterio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Modernizuotų skubiosios medicinos pagalbos, reanimacijos arba intensyviosios terapijos skyrių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shd w:val="clear" w:color="auto" w:fill="FFFFFF"/>
                  </w:tcPr>
                  <w:p>
                    <w:pPr>
                      <w:rPr>
                        <w:sz w:val="20"/>
                      </w:rPr>
                    </w:pPr>
                    <w:r>
                      <w:rPr>
                        <w:sz w:val="20"/>
                      </w:rPr>
                      <w:t>P-11-002-02-11-01-57</w:t>
                    </w:r>
                  </w:p>
                </w:tc>
                <w:tc>
                  <w:tcPr>
                    <w:tcW w:w="1079" w:type="dxa"/>
                    <w:shd w:val="clear" w:color="auto" w:fill="FFFFFF"/>
                  </w:tcPr>
                  <w:p>
                    <w:pPr>
                      <w:rPr>
                        <w:sz w:val="20"/>
                      </w:rPr>
                    </w:pPr>
                    <w:r>
                      <w:rPr>
                        <w:sz w:val="20"/>
                      </w:rPr>
                      <w:t>Produkto</w:t>
                    </w:r>
                  </w:p>
                </w:tc>
                <w:tc>
                  <w:tcPr>
                    <w:tcW w:w="2541" w:type="dxa"/>
                    <w:shd w:val="clear" w:color="auto" w:fill="FFFFFF"/>
                  </w:tcPr>
                  <w:p>
                    <w:pPr>
                      <w:rPr>
                        <w:sz w:val="20"/>
                      </w:rPr>
                    </w:pPr>
                    <w:r>
                      <w:rPr>
                        <w:sz w:val="20"/>
                      </w:rPr>
                      <w:t>Sveikatos priežiūros įstaigos, įgyvendinusios sveikatos priežiūros specialistų įgalinimo, pritraukimo ir išlaikymo projektus</w:t>
                    </w:r>
                  </w:p>
                </w:tc>
                <w:tc>
                  <w:tcPr>
                    <w:tcW w:w="1078" w:type="dxa"/>
                    <w:shd w:val="clear" w:color="auto" w:fill="FFFFFF"/>
                  </w:tcPr>
                  <w:p>
                    <w:pPr>
                      <w:jc w:val="center"/>
                      <w:rPr>
                        <w:sz w:val="20"/>
                      </w:rPr>
                    </w:pPr>
                    <w:r>
                      <w:rPr>
                        <w:sz w:val="20"/>
                      </w:rPr>
                      <w:t>Skaičius</w:t>
                    </w:r>
                  </w:p>
                </w:tc>
                <w:tc>
                  <w:tcPr>
                    <w:tcW w:w="1078" w:type="dxa"/>
                    <w:shd w:val="clear" w:color="auto" w:fill="FFFFFF"/>
                  </w:tcPr>
                  <w:p>
                    <w:pPr>
                      <w:jc w:val="center"/>
                      <w:rPr>
                        <w:sz w:val="20"/>
                      </w:rPr>
                    </w:pPr>
                    <w:r>
                      <w:rPr>
                        <w:sz w:val="20"/>
                      </w:rPr>
                      <w:t>0</w:t>
                    </w:r>
                  </w:p>
                </w:tc>
                <w:tc>
                  <w:tcPr>
                    <w:tcW w:w="945" w:type="dxa"/>
                    <w:shd w:val="clear" w:color="auto" w:fill="FFFFFF"/>
                  </w:tcPr>
                  <w:p>
                    <w:pPr>
                      <w:jc w:val="both"/>
                      <w:rPr>
                        <w:sz w:val="20"/>
                      </w:rPr>
                    </w:pPr>
                    <w:r>
                      <w:rPr>
                        <w:sz w:val="20"/>
                      </w:rPr>
                      <w:t>5</w:t>
                    </w:r>
                  </w:p>
                  <w:p>
                    <w:pPr>
                      <w:jc w:val="center"/>
                      <w:rPr>
                        <w:sz w:val="20"/>
                      </w:rPr>
                    </w:pPr>
                    <w:r>
                      <w:rPr>
                        <w:sz w:val="20"/>
                      </w:rPr>
                      <w:t>(2024 m.)</w:t>
                    </w:r>
                  </w:p>
                </w:tc>
                <w:tc>
                  <w:tcPr>
                    <w:tcW w:w="1079" w:type="dxa"/>
                    <w:shd w:val="clear" w:color="auto" w:fill="FFFFFF"/>
                  </w:tcPr>
                  <w:p>
                    <w:pPr>
                      <w:jc w:val="both"/>
                      <w:rPr>
                        <w:sz w:val="20"/>
                      </w:rPr>
                    </w:pPr>
                    <w:r>
                      <w:rPr>
                        <w:sz w:val="20"/>
                      </w:rPr>
                      <w:t>105</w:t>
                    </w:r>
                  </w:p>
                  <w:p>
                    <w:pPr>
                      <w:jc w:val="center"/>
                      <w:rPr>
                        <w:sz w:val="20"/>
                      </w:rPr>
                    </w:pPr>
                    <w:r>
                      <w:rPr>
                        <w:sz w:val="20"/>
                      </w:rPr>
                      <w:t>(2029 m.)</w:t>
                    </w:r>
                  </w:p>
                </w:tc>
                <w:tc>
                  <w:tcPr>
                    <w:tcW w:w="1344" w:type="dxa"/>
                    <w:shd w:val="clear" w:color="auto" w:fill="FFFFFF"/>
                  </w:tcPr>
                  <w:p>
                    <w:pPr>
                      <w:jc w:val="center"/>
                      <w:rPr>
                        <w:bCs/>
                        <w:sz w:val="20"/>
                      </w:rPr>
                    </w:pPr>
                    <w:r>
                      <w:rPr>
                        <w:sz w:val="20"/>
                      </w:rPr>
                      <w:t>2021–2027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cPr>
                  <w:p>
                    <w:pPr>
                      <w:spacing w:line="276" w:lineRule="auto"/>
                      <w:rPr>
                        <w:sz w:val="20"/>
                      </w:rPr>
                    </w:pPr>
                    <w:r>
                      <w:rPr>
                        <w:sz w:val="20"/>
                      </w:rPr>
                      <w:t>P-11-002-02-11-01-60</w:t>
                    </w:r>
                  </w:p>
                </w:tc>
                <w:tc>
                  <w:tcPr>
                    <w:tcW w:w="1079" w:type="dxa"/>
                    <w:shd w:val="clear" w:color="auto" w:fill="FFFFFF"/>
                  </w:tcPr>
                  <w:p>
                    <w:pPr>
                      <w:spacing w:line="276" w:lineRule="auto"/>
                      <w:rPr>
                        <w:sz w:val="20"/>
                      </w:rPr>
                    </w:pPr>
                    <w:r>
                      <w:rPr>
                        <w:sz w:val="20"/>
                      </w:rPr>
                      <w:t>Produkto</w:t>
                    </w:r>
                  </w:p>
                </w:tc>
                <w:tc>
                  <w:tcPr>
                    <w:tcW w:w="2541" w:type="dxa"/>
                    <w:shd w:val="clear" w:color="auto" w:fill="FFFFFF"/>
                  </w:tcPr>
                  <w:p>
                    <w:pPr>
                      <w:rPr>
                        <w:sz w:val="20"/>
                      </w:rPr>
                    </w:pPr>
                    <w:r>
                      <w:rPr>
                        <w:sz w:val="20"/>
                      </w:rPr>
                      <w:t>Asmenys, dalyvavę kvalifikacijos įgijimo veiklose</w:t>
                    </w:r>
                  </w:p>
                </w:tc>
                <w:tc>
                  <w:tcPr>
                    <w:tcW w:w="1078" w:type="dxa"/>
                    <w:shd w:val="clear" w:color="auto" w:fill="FFFFFF"/>
                  </w:tcPr>
                  <w:p>
                    <w:pPr>
                      <w:spacing w:line="276" w:lineRule="auto"/>
                      <w:jc w:val="center"/>
                      <w:rPr>
                        <w:sz w:val="20"/>
                      </w:rPr>
                    </w:pPr>
                    <w:r>
                      <w:rPr>
                        <w:sz w:val="20"/>
                      </w:rPr>
                      <w:t>Asmenys</w:t>
                    </w:r>
                  </w:p>
                </w:tc>
                <w:tc>
                  <w:tcPr>
                    <w:tcW w:w="1078" w:type="dxa"/>
                    <w:shd w:val="clear" w:color="auto" w:fill="FFFFFF"/>
                  </w:tcPr>
                  <w:p>
                    <w:pPr>
                      <w:jc w:val="center"/>
                      <w:rPr>
                        <w:sz w:val="20"/>
                      </w:rPr>
                    </w:pPr>
                    <w:r>
                      <w:rPr>
                        <w:sz w:val="20"/>
                      </w:rPr>
                      <w:t>0</w:t>
                    </w:r>
                  </w:p>
                </w:tc>
                <w:tc>
                  <w:tcPr>
                    <w:tcW w:w="945" w:type="dxa"/>
                    <w:shd w:val="clear" w:color="auto" w:fill="FFFFFF"/>
                  </w:tcPr>
                  <w:p>
                    <w:pPr>
                      <w:jc w:val="both"/>
                      <w:rPr>
                        <w:sz w:val="20"/>
                      </w:rPr>
                    </w:pPr>
                    <w:r>
                      <w:rPr>
                        <w:sz w:val="20"/>
                      </w:rPr>
                      <w:t>0</w:t>
                    </w:r>
                  </w:p>
                  <w:p>
                    <w:pPr>
                      <w:jc w:val="center"/>
                      <w:rPr>
                        <w:sz w:val="20"/>
                      </w:rPr>
                    </w:pPr>
                    <w:r>
                      <w:rPr>
                        <w:sz w:val="20"/>
                      </w:rPr>
                      <w:t>(2024 m.)</w:t>
                    </w:r>
                  </w:p>
                </w:tc>
                <w:tc>
                  <w:tcPr>
                    <w:tcW w:w="1079" w:type="dxa"/>
                    <w:shd w:val="clear" w:color="auto" w:fill="FFFFFF"/>
                  </w:tcPr>
                  <w:p>
                    <w:pPr>
                      <w:jc w:val="both"/>
                      <w:rPr>
                        <w:sz w:val="20"/>
                      </w:rPr>
                    </w:pPr>
                    <w:r>
                      <w:rPr>
                        <w:sz w:val="20"/>
                      </w:rPr>
                      <w:t>324</w:t>
                    </w:r>
                  </w:p>
                  <w:p>
                    <w:pPr>
                      <w:jc w:val="center"/>
                      <w:rPr>
                        <w:sz w:val="20"/>
                        <w:lang w:val="en-US"/>
                      </w:rPr>
                    </w:pPr>
                    <w:r>
                      <w:rPr>
                        <w:sz w:val="20"/>
                      </w:rPr>
                      <w:t>(2029 m.)</w:t>
                    </w:r>
                  </w:p>
                </w:tc>
                <w:tc>
                  <w:tcPr>
                    <w:tcW w:w="1344" w:type="dxa"/>
                    <w:shd w:val="clear" w:color="auto" w:fill="FFFFFF"/>
                  </w:tcPr>
                  <w:p>
                    <w:pPr>
                      <w:jc w:val="center"/>
                      <w:rPr>
                        <w:bCs/>
                        <w:sz w:val="20"/>
                      </w:rPr>
                    </w:pPr>
                    <w:r>
                      <w:rPr>
                        <w:sz w:val="20"/>
                      </w:rPr>
                      <w:t>2021–2027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sdtContent>
        </w:sdt>
        <w:sdt>
          <w:sdtPr>
            <w:alias w:val="skyrius"/>
            <w:tag w:val="part_9660108a9abb403fbff4a371950d0d5a"/>
            <w:lock w:val="sdtLocked"/>
            <w:richText/>
          </w:sdtPr>
          <w:sdtContent>
            <w:p>
              <w:pPr>
                <w:ind w:right="-2"/>
                <w:jc w:val="center"/>
                <w:rPr>
                  <w:color w:val="000000"/>
                  <w:szCs w:val="24"/>
                  <w:lang w:eastAsia="lt-LT"/>
                </w:rPr>
              </w:pPr>
              <w:sdt>
                <w:sdtPr>
                  <w:alias w:val="Numeris"/>
                  <w:tag w:val="nr_9660108a9abb403fbff4a371950d0d5a"/>
                  <w:lock w:val="sdtLocked"/>
                  <w:richText/>
                </w:sdtPr>
                <w:sdtContent>
                  <w:r>
                    <w:rPr>
                      <w:b/>
                      <w:bCs/>
                      <w:color w:val="000000"/>
                      <w:szCs w:val="24"/>
                      <w:lang w:eastAsia="lt-LT"/>
                    </w:rPr>
                    <w:t>II</w:t>
                  </w:r>
                </w:sdtContent>
              </w:sdt>
              <w:r>
                <w:rPr>
                  <w:b/>
                  <w:bCs/>
                  <w:color w:val="000000"/>
                  <w:szCs w:val="24"/>
                  <w:lang w:eastAsia="lt-LT"/>
                </w:rPr>
                <w:t> SKYRIUS</w:t>
              </w:r>
            </w:p>
            <w:p>
              <w:pPr>
                <w:ind w:left="720" w:right="-2"/>
                <w:jc w:val="center"/>
                <w:rPr>
                  <w:color w:val="000000"/>
                  <w:szCs w:val="24"/>
                  <w:lang w:eastAsia="lt-LT"/>
                </w:rPr>
              </w:pPr>
              <w:sdt>
                <w:sdtPr>
                  <w:alias w:val="Pavadinimas"/>
                  <w:tag w:val="title_9660108a9abb403fbff4a371950d0d5a"/>
                  <w:lock w:val="sdtLocked"/>
                  <w:richText/>
                </w:sdtPr>
                <w:sdtContent>
                  <w:r>
                    <w:rPr>
                      <w:b/>
                      <w:bCs/>
                      <w:color w:val="000000"/>
                      <w:szCs w:val="24"/>
                      <w:lang w:eastAsia="lt-LT"/>
                    </w:rPr>
                    <w:t>PLĖTROS PROGRAMOS PAŽANGOS PRIEMONĖS FINANSAVIMO ŠALTINIAI</w:t>
                  </w:r>
                </w:sdtContent>
              </w:sdt>
            </w:p>
            <w:p>
              <w:pPr>
                <w:ind w:left="720" w:firstLine="62"/>
                <w:jc w:val="center"/>
                <w:rPr>
                  <w:color w:val="000000"/>
                  <w:szCs w:val="24"/>
                  <w:lang w:eastAsia="lt-LT"/>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7706"/>
                <w:gridCol w:w="2908"/>
              </w:tblGrid>
              <w:tr>
                <w:trPr>
                  <w:trHeight w:val="557"/>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Finansavimo apimtis ir šaltiniai</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Lėšų poreikis (tūkst. eurų)</w:t>
                    </w:r>
                  </w:p>
                </w:tc>
              </w:tr>
              <w:tr>
                <w:trPr>
                  <w:trHeight w:val="272"/>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2</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111 199,719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54 919,719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1.1.1.1.2. Valstybės biudžeto lėšos, skirtos apmokėti bendrai finansuojamų iš ES fondų lėšų projektų netinkamam finansuoti iš ES fondų lėšų pirkimo ir (arba) importo PVM</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56 280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1.2. Europos Sąjungos ir kitos tarptautinės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89 381,753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Sostinės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36 571,033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Vidurio ir vakarų Lietuvos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47 677,773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1.2.3.1.68. Antrojo Šveicarijos įnašo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5 132,947</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1.3. Europos Sąjungos ir kita tarptautinė finansinė parama</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605 631,779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socialinis fondas +)</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88 047,443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Sostinės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Cs/>
                        <w:szCs w:val="24"/>
                        <w:lang w:eastAsia="lt-LT"/>
                      </w:rPr>
                      <w:t>38 371,033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182 126,604</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1.3.3.1.57. Ekonomikos gaivinimo ir atsparumo didinimo priemonės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268 000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1.3.3.1.68. Antrojo Šveicarijos įnašo finansinės paramos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29 086,699</w:t>
                    </w:r>
                  </w:p>
                </w:tc>
              </w:tr>
              <w:tr>
                <w:trPr>
                  <w:trHeight w:val="228"/>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line="276" w:lineRule="atLeast"/>
                      <w:ind w:left="104"/>
                      <w:jc w:val="both"/>
                      <w:rPr>
                        <w:szCs w:val="24"/>
                        <w:lang w:eastAsia="lt-LT"/>
                      </w:rPr>
                    </w:pPr>
                    <w:r>
                      <w:rPr>
                        <w:b/>
                        <w:bCs/>
                        <w:szCs w:val="24"/>
                        <w:lang w:eastAsia="lt-LT"/>
                      </w:rPr>
                      <w:t>1.4.</w:t>
                    </w:r>
                    <w:r>
                      <w:rPr>
                        <w:b/>
                        <w:bCs/>
                        <w:i/>
                        <w:iCs/>
                        <w:szCs w:val="24"/>
                        <w:lang w:eastAsia="lt-LT"/>
                      </w:rPr>
                      <w:t> </w:t>
                    </w:r>
                    <w:r>
                      <w:rPr>
                        <w:b/>
                        <w:bCs/>
                        <w:szCs w:val="24"/>
                        <w:lang w:eastAsia="lt-LT"/>
                      </w:rPr>
                      <w:t>Biudžetinių įstaigų pajamų įmokos ir kitos pajamos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2. Kitos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2.1.Savivaldybių biudžetų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2.2. Privačios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2.3. Kitos viešosios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b/>
                        <w:bCs/>
                        <w:szCs w:val="24"/>
                        <w:lang w:eastAsia="lt-LT"/>
                      </w:rPr>
                      <w:t>IŠ VISO:</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720" w:hanging="236"/>
                      <w:jc w:val="center"/>
                      <w:rPr>
                        <w:szCs w:val="24"/>
                        <w:lang w:eastAsia="lt-LT"/>
                      </w:rPr>
                    </w:pPr>
                    <w:r>
                      <w:rPr>
                        <w:b/>
                        <w:szCs w:val="24"/>
                        <w:lang w:val="en-US" w:eastAsia="lt-LT"/>
                      </w:rPr>
                      <w:t>806 213,251</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6ce86d16a2d240909008c1fe41b9a0ba"/>
            <w:lock w:val="sdtLocked"/>
            <w:richText/>
          </w:sdtPr>
          <w:sdtContent>
            <w:p>
              <w:pPr>
                <w:ind w:left="-284"/>
                <w:jc w:val="center"/>
                <w:sectPr>
                  <w:headerReference w:type="even" r:id="rId26"/>
                  <w:headerReference w:type="default" r:id="rId27"/>
                  <w:footerReference w:type="even" r:id="rId28"/>
                  <w:footerReference w:type="default" r:id="rId29"/>
                  <w:headerReference w:type="first" r:id="rId30"/>
                  <w:footerReference w:type="first" r:id="rId31"/>
                  <w:pgSz w:w="11906" w:h="16838" w:code="9"/>
                  <w:pgMar w:top="1701" w:right="567" w:bottom="1134" w:left="709" w:header="1134" w:footer="1134" w:gutter="0"/>
                  <w:cols w:space="1296"/>
                  <w:titlePg/>
                  <w:docGrid w:linePitch="326"/>
                </w:sectPr>
              </w:pPr>
            </w:p>
            <w:p>
              <w:pPr>
                <w:ind w:left="-284"/>
                <w:jc w:val="center"/>
                <w:rPr>
                  <w:b/>
                  <w:bCs/>
                </w:rPr>
              </w:pPr>
              <w:sdt>
                <w:sdtPr>
                  <w:alias w:val="Numeris"/>
                  <w:tag w:val="nr_6ce86d16a2d240909008c1fe41b9a0ba"/>
                  <w:lock w:val="sdtLocked"/>
                  <w:richText/>
                </w:sdtPr>
                <w:sdtContent>
                  <w:r>
                    <w:rPr>
                      <w:b/>
                      <w:bCs/>
                    </w:rPr>
                    <w:t>III</w:t>
                  </w:r>
                </w:sdtContent>
              </w:sdt>
              <w:r>
                <w:rPr>
                  <w:b/>
                  <w:bCs/>
                </w:rPr>
                <w:t xml:space="preserve"> SKYRIUS</w:t>
              </w:r>
            </w:p>
            <w:p>
              <w:pPr>
                <w:jc w:val="center"/>
                <w:rPr>
                  <w:b/>
                  <w:bCs/>
                </w:rPr>
              </w:pPr>
              <w:sdt>
                <w:sdtPr>
                  <w:alias w:val="Pavadinimas"/>
                  <w:tag w:val="title_6ce86d16a2d240909008c1fe41b9a0ba"/>
                  <w:lock w:val="sdtLocked"/>
                  <w:richText/>
                </w:sdtPr>
                <w:sdtContent>
                  <w:r>
                    <w:rPr>
                      <w:b/>
                      <w:bCs/>
                    </w:rPr>
                    <w:t>PLĖTROS PROGRAMOS PAŽANGOS PRIEMONĖS VEIKLŲ SUVESTINĖ</w:t>
                  </w:r>
                </w:sdtContent>
              </w:sdt>
            </w:p>
            <w:p>
              <w:pPr>
                <w:jc w:val="center"/>
                <w:rPr>
                  <w:b/>
                  <w:bCs/>
                </w:rPr>
              </w:pPr>
            </w:p>
            <w:tbl>
              <w:tblPr>
                <w:tblW w:w="1502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2124"/>
                <w:gridCol w:w="699"/>
                <w:gridCol w:w="1985"/>
                <w:gridCol w:w="114"/>
                <w:gridCol w:w="680"/>
                <w:gridCol w:w="35"/>
                <w:gridCol w:w="20"/>
                <w:gridCol w:w="986"/>
                <w:gridCol w:w="8"/>
                <w:gridCol w:w="32"/>
                <w:gridCol w:w="625"/>
                <w:gridCol w:w="24"/>
                <w:gridCol w:w="27"/>
                <w:gridCol w:w="1140"/>
                <w:gridCol w:w="1118"/>
                <w:gridCol w:w="16"/>
                <w:gridCol w:w="1985"/>
                <w:gridCol w:w="1001"/>
                <w:gridCol w:w="133"/>
                <w:gridCol w:w="992"/>
                <w:gridCol w:w="1279"/>
              </w:tblGrid>
              <w:tr>
                <w:trPr>
                  <w:trHeight w:val="1425"/>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69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85"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118"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69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85"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118"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001"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13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3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001"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30"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67"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130" w:type="dxa"/>
                    <w:gridSpan w:val="2"/>
                    <w:vMerge/>
                    <w:tcBorders>
                      <w:left w:val="single" w:sz="4" w:space="0" w:color="auto"/>
                      <w:bottom w:val="single" w:sz="4" w:space="0" w:color="auto"/>
                      <w:right w:val="single" w:sz="4" w:space="0" w:color="auto"/>
                    </w:tcBorders>
                  </w:tcPr>
                  <w:p>
                    <w:pPr>
                      <w:ind w:left="-57" w:right="-57"/>
                      <w:rPr>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118" w:type="dxa"/>
                    <w:vMerge/>
                    <w:tcBorders>
                      <w:left w:val="single" w:sz="4" w:space="0" w:color="auto"/>
                      <w:bottom w:val="single" w:sz="4" w:space="0" w:color="auto"/>
                      <w:right w:val="single" w:sz="4" w:space="0" w:color="auto"/>
                    </w:tcBorders>
                  </w:tcPr>
                  <w:p>
                    <w:pPr>
                      <w:ind w:left="-57" w:right="-57"/>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130" w:type="dxa"/>
                    <w:gridSpan w:val="2"/>
                    <w:vMerge w:val="restart"/>
                    <w:tcBorders>
                      <w:top w:val="single" w:sz="4" w:space="0" w:color="auto"/>
                      <w:left w:val="single" w:sz="4" w:space="0" w:color="auto"/>
                      <w:bottom w:val="single" w:sz="4" w:space="0" w:color="auto"/>
                      <w:right w:val="single" w:sz="4" w:space="0" w:color="auto"/>
                    </w:tcBorders>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699"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Asmens sveikatos priežiūros įstaigos (toliau – ASPĮ); savivaldybių administracijos; savivaldybių įstaigos, teikiančios globos paslaugas</w:t>
                    </w:r>
                  </w:p>
                </w:tc>
                <w:tc>
                  <w:tcPr>
                    <w:tcW w:w="829"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D</w:t>
                    </w:r>
                  </w:p>
                </w:tc>
                <w:tc>
                  <w:tcPr>
                    <w:tcW w:w="1167"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1118"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Įkurtų specializuotų dienos priežiūros centrų, skirtų integruotoms ilgalaikės priežiūros paslaugoms teikti, skaičius,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VšĮ Centrinė projektų valdymo agentūra (toliau – CPVA)</w:t>
                    </w:r>
                  </w:p>
                </w:tc>
                <w:tc>
                  <w:tcPr>
                    <w:tcW w:w="1279"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SAM; SADM</w:t>
                    </w: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130" w:type="dxa"/>
                    <w:gridSpan w:val="2"/>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985"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167" w:type="dxa"/>
                    <w:gridSpan w:val="2"/>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1118"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jc w:val="center"/>
                      <w:rPr>
                        <w:color w:val="000000"/>
                        <w:sz w:val="20"/>
                      </w:rPr>
                    </w:pPr>
                  </w:p>
                </w:tc>
                <w:tc>
                  <w:tcPr>
                    <w:tcW w:w="1118" w:type="dxa"/>
                    <w:vMerge/>
                    <w:tcBorders>
                      <w:left w:val="single" w:sz="4" w:space="0" w:color="auto"/>
                      <w:bottom w:val="single" w:sz="4" w:space="0" w:color="auto"/>
                      <w:right w:val="single" w:sz="4" w:space="0" w:color="auto"/>
                    </w:tcBorders>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69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167" w:type="dxa"/>
                    <w:gridSpan w:val="2"/>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1118"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001" w:type="dxa"/>
                    <w:gridSpan w:val="2"/>
                    <w:vMerge w:val="restart"/>
                    <w:tcBorders>
                      <w:top w:val="single" w:sz="4" w:space="0" w:color="auto"/>
                      <w:left w:val="single" w:sz="4" w:space="0" w:color="auto"/>
                      <w:right w:val="single" w:sz="4" w:space="0" w:color="auto"/>
                    </w:tcBorders>
                  </w:tcPr>
                  <w:p>
                    <w:pPr>
                      <w:ind w:left="-57" w:right="-57"/>
                      <w:rPr>
                        <w:sz w:val="20"/>
                      </w:rPr>
                    </w:pPr>
                    <w:r>
                      <w:rPr>
                        <w:sz w:val="20"/>
                      </w:rPr>
                      <w:t>P – Sukurtų ilgalaikės priežiūros specialistų komandų, teikiančių paslaugas gyventojų namuose, skaičius, vnt.</w:t>
                    </w:r>
                  </w:p>
                </w:tc>
                <w:tc>
                  <w:tcPr>
                    <w:tcW w:w="113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tc>
              </w:tr>
              <w:tr>
                <w:trPr>
                  <w:trHeight w:val="453"/>
                </w:trPr>
                <w:tc>
                  <w:tcPr>
                    <w:tcW w:w="2130" w:type="dxa"/>
                    <w:gridSpan w:val="2"/>
                    <w:vMerge/>
                    <w:tcBorders>
                      <w:left w:val="single" w:sz="4" w:space="0" w:color="auto"/>
                      <w:right w:val="single" w:sz="4" w:space="0" w:color="auto"/>
                    </w:tcBorders>
                  </w:tcPr>
                  <w:p>
                    <w:pPr>
                      <w:ind w:left="-57" w:right="-57"/>
                      <w:rPr>
                        <w:iCs/>
                        <w:sz w:val="20"/>
                      </w:rPr>
                    </w:pPr>
                  </w:p>
                </w:tc>
                <w:tc>
                  <w:tcPr>
                    <w:tcW w:w="699" w:type="dxa"/>
                    <w:vMerge/>
                    <w:tcBorders>
                      <w:left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right w:val="single" w:sz="4" w:space="0" w:color="auto"/>
                    </w:tcBorders>
                  </w:tcPr>
                  <w:p>
                    <w:pPr>
                      <w:ind w:left="-57" w:right="-57"/>
                      <w:jc w:val="center"/>
                      <w:rPr>
                        <w:color w:val="000000"/>
                        <w:sz w:val="20"/>
                      </w:rPr>
                    </w:pPr>
                  </w:p>
                </w:tc>
                <w:tc>
                  <w:tcPr>
                    <w:tcW w:w="1167" w:type="dxa"/>
                    <w:gridSpan w:val="2"/>
                    <w:tcBorders>
                      <w:left w:val="single" w:sz="4" w:space="0" w:color="auto"/>
                      <w:right w:val="single" w:sz="4" w:space="0" w:color="auto"/>
                    </w:tcBorders>
                  </w:tcPr>
                  <w:p>
                    <w:pPr>
                      <w:ind w:left="-57" w:right="-57"/>
                      <w:jc w:val="center"/>
                      <w:rPr>
                        <w:sz w:val="20"/>
                      </w:rPr>
                    </w:pPr>
                    <w:r>
                      <w:rPr>
                        <w:sz w:val="20"/>
                      </w:rPr>
                      <w:t>740</w:t>
                    </w:r>
                  </w:p>
                </w:tc>
                <w:tc>
                  <w:tcPr>
                    <w:tcW w:w="1118"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001" w:type="dxa"/>
                    <w:gridSpan w:val="2"/>
                    <w:vMerge/>
                    <w:tcBorders>
                      <w:left w:val="single" w:sz="4" w:space="0" w:color="auto"/>
                      <w:right w:val="single" w:sz="4" w:space="0" w:color="auto"/>
                    </w:tcBorders>
                  </w:tcPr>
                  <w:p>
                    <w:pPr>
                      <w:ind w:left="-57" w:right="-57"/>
                      <w:rPr>
                        <w:sz w:val="20"/>
                      </w:rPr>
                    </w:pPr>
                  </w:p>
                </w:tc>
                <w:tc>
                  <w:tcPr>
                    <w:tcW w:w="1134" w:type="dxa"/>
                    <w:gridSpan w:val="2"/>
                    <w:vMerge/>
                    <w:tcBorders>
                      <w:left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tcPr>
                  <w:p>
                    <w:pPr>
                      <w:ind w:left="-57" w:right="-57"/>
                      <w:jc w:val="center"/>
                      <w:rPr>
                        <w:sz w:val="20"/>
                      </w:rPr>
                    </w:pPr>
                  </w:p>
                </w:tc>
                <w:tc>
                  <w:tcPr>
                    <w:tcW w:w="1279" w:type="dxa"/>
                    <w:vMerge/>
                    <w:tcBorders>
                      <w:left w:val="single" w:sz="4" w:space="0" w:color="auto"/>
                      <w:right w:val="single" w:sz="4" w:space="0" w:color="auto"/>
                    </w:tcBorders>
                  </w:tcPr>
                  <w:p>
                    <w:pPr>
                      <w:ind w:left="-57" w:right="-57"/>
                      <w:jc w:val="center"/>
                      <w:rPr>
                        <w:sz w:val="20"/>
                      </w:rPr>
                    </w:pPr>
                  </w:p>
                </w:tc>
              </w:tr>
              <w:tr>
                <w:trPr>
                  <w:trHeight w:val="419"/>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167" w:type="dxa"/>
                    <w:gridSpan w:val="2"/>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001" w:type="dxa"/>
                    <w:gridSpan w:val="2"/>
                    <w:vMerge/>
                    <w:tcBorders>
                      <w:left w:val="single" w:sz="4" w:space="0" w:color="auto"/>
                      <w:bottom w:val="single" w:sz="4" w:space="0" w:color="auto"/>
                      <w:right w:val="single" w:sz="4" w:space="0" w:color="auto"/>
                    </w:tcBorders>
                  </w:tcPr>
                  <w:p>
                    <w:pPr>
                      <w:ind w:left="-57" w:right="-57"/>
                      <w:rPr>
                        <w:sz w:val="20"/>
                      </w:rPr>
                    </w:pPr>
                  </w:p>
                </w:tc>
                <w:tc>
                  <w:tcPr>
                    <w:tcW w:w="113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tcPr>
                  <w:p>
                    <w:pPr>
                      <w:ind w:left="-57" w:right="-57"/>
                      <w:jc w:val="center"/>
                      <w:rPr>
                        <w:sz w:val="20"/>
                      </w:rPr>
                    </w:pPr>
                  </w:p>
                </w:tc>
                <w:tc>
                  <w:tcPr>
                    <w:tcW w:w="1279" w:type="dxa"/>
                    <w:vMerge/>
                    <w:tcBorders>
                      <w:left w:val="single" w:sz="4" w:space="0" w:color="auto"/>
                      <w:right w:val="single" w:sz="4" w:space="0" w:color="auto"/>
                    </w:tcBorders>
                  </w:tcPr>
                  <w:p>
                    <w:pPr>
                      <w:ind w:left="-57" w:right="-57"/>
                      <w:jc w:val="center"/>
                      <w:rPr>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79"/>
                </w:trPr>
                <w:tc>
                  <w:tcPr>
                    <w:tcW w:w="2130" w:type="dxa"/>
                    <w:gridSpan w:val="2"/>
                    <w:vMerge w:val="restart"/>
                    <w:tcBorders>
                      <w:top w:val="single" w:sz="4" w:space="0" w:color="auto"/>
                      <w:left w:val="single" w:sz="4" w:space="0" w:color="auto"/>
                      <w:right w:val="single" w:sz="4" w:space="0" w:color="auto"/>
                    </w:tcBorders>
                    <w:hideMark/>
                  </w:tcPr>
                  <w:p>
                    <w:pPr>
                      <w:ind w:left="-57" w:right="-57"/>
                      <w:jc w:val="center"/>
                      <w:rPr>
                        <w:sz w:val="20"/>
                      </w:rPr>
                    </w:pPr>
                    <w:r>
                      <w:rPr>
                        <w:sz w:val="20"/>
                      </w:rPr>
                      <w:t>2. Pasirengimo grėsmėms stiprinimas:</w:t>
                    </w:r>
                  </w:p>
                </w:tc>
                <w:tc>
                  <w:tcPr>
                    <w:tcW w:w="699" w:type="dxa"/>
                    <w:vMerge w:val="restart"/>
                    <w:tcBorders>
                      <w:top w:val="single" w:sz="4" w:space="0" w:color="auto"/>
                      <w:left w:val="single" w:sz="4" w:space="0" w:color="auto"/>
                      <w:right w:val="single" w:sz="4" w:space="0" w:color="auto"/>
                    </w:tcBorders>
                    <w:hideMark/>
                  </w:tcPr>
                  <w:p>
                    <w:pPr>
                      <w:ind w:left="-57" w:right="-57"/>
                      <w:jc w:val="center"/>
                      <w:rPr>
                        <w:sz w:val="20"/>
                      </w:rPr>
                    </w:pPr>
                    <w:r>
                      <w:rPr>
                        <w:sz w:val="20"/>
                      </w:rPr>
                      <w:t>-</w:t>
                    </w:r>
                  </w:p>
                </w:tc>
                <w:tc>
                  <w:tcPr>
                    <w:tcW w:w="1985" w:type="dxa"/>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829"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1014"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320 499,779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miokardo infarkto per 30 dienų nuo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b/>
                        <w:sz w:val="20"/>
                      </w:rPr>
                    </w:pPr>
                  </w:p>
                </w:tc>
                <w:tc>
                  <w:tcPr>
                    <w:tcW w:w="1279" w:type="dxa"/>
                    <w:vMerge w:val="restart"/>
                    <w:tcBorders>
                      <w:top w:val="single" w:sz="4" w:space="0" w:color="auto"/>
                      <w:left w:val="single" w:sz="4" w:space="0" w:color="auto"/>
                      <w:right w:val="single" w:sz="4" w:space="0" w:color="auto"/>
                    </w:tcBorders>
                  </w:tcPr>
                  <w:p>
                    <w:pPr>
                      <w:ind w:left="-57" w:right="-57"/>
                      <w:jc w:val="cente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194 283,999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40 798,741</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Efektyvių organų donorų skaičius 1 mln. gyventojų</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2070"/>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right w:val="single" w:sz="4" w:space="0" w:color="auto"/>
                    </w:tcBorders>
                  </w:tcPr>
                  <w:p>
                    <w:pPr>
                      <w:ind w:left="-57" w:right="-57"/>
                      <w:jc w:val="center"/>
                      <w:rPr>
                        <w:sz w:val="20"/>
                      </w:rPr>
                    </w:pPr>
                    <w:r>
                      <w:rPr>
                        <w:sz w:val="20"/>
                      </w:rPr>
                      <w:t>11 933,495</w:t>
                    </w:r>
                  </w:p>
                </w:tc>
                <w:tc>
                  <w:tcPr>
                    <w:tcW w:w="1118" w:type="dxa"/>
                    <w:tcBorders>
                      <w:top w:val="single" w:sz="4" w:space="0" w:color="auto"/>
                      <w:left w:val="single" w:sz="4" w:space="0" w:color="auto"/>
                      <w:right w:val="single" w:sz="4" w:space="0" w:color="auto"/>
                    </w:tcBorders>
                  </w:tcPr>
                  <w:p>
                    <w:pPr>
                      <w:ind w:left="-57" w:right="-57"/>
                      <w:jc w:val="center"/>
                      <w:rPr>
                        <w:sz w:val="20"/>
                      </w:rPr>
                    </w:pPr>
                    <w:r>
                      <w:rPr>
                        <w:sz w:val="20"/>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lang w:val="en-US"/>
                      </w:rPr>
                      <w:t>10 133,495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(Bendrojo finansavimo (toliau – BF), Sostinės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hanging="70"/>
                      <w:rPr>
                        <w:sz w:val="20"/>
                      </w:rPr>
                    </w:pPr>
                    <w:r>
                      <w:rPr>
                        <w:sz w:val="20"/>
                      </w:rPr>
                      <w:t>45 507,182</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b/>
                        <w:sz w:val="20"/>
                      </w:rPr>
                    </w:pPr>
                  </w:p>
                </w:tc>
                <w:tc>
                  <w:tcPr>
                    <w:tcW w:w="1279" w:type="dxa"/>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hanging="70"/>
                      <w:rPr>
                        <w:sz w:val="20"/>
                      </w:rPr>
                    </w:pPr>
                    <w:r>
                      <w:rPr>
                        <w:sz w:val="20"/>
                      </w:rPr>
                      <w:t>8 030,679</w:t>
                    </w:r>
                  </w:p>
                  <w:p>
                    <w:pPr>
                      <w:ind w:left="-57" w:right="-57" w:hanging="70"/>
                      <w:jc w:val="center"/>
                      <w:rPr>
                        <w:bCs/>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b/>
                        <w:sz w:val="20"/>
                      </w:rPr>
                    </w:pPr>
                  </w:p>
                </w:tc>
                <w:tc>
                  <w:tcPr>
                    <w:tcW w:w="1279" w:type="dxa"/>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8 340,359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(ESF+,</w:t>
                    </w:r>
                  </w:p>
                  <w:p>
                    <w:pPr>
                      <w:ind w:left="-57" w:right="-57"/>
                      <w:jc w:val="center"/>
                      <w:rPr>
                        <w:sz w:val="20"/>
                      </w:rPr>
                    </w:pPr>
                    <w:r>
                      <w:rPr>
                        <w:sz w:val="20"/>
                      </w:rPr>
                      <w:t>VVL regionas)</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 proc.)</w:t>
                    </w:r>
                  </w:p>
                </w:tc>
                <w:tc>
                  <w:tcPr>
                    <w:tcW w:w="992" w:type="dxa"/>
                    <w:vMerge/>
                    <w:tcBorders>
                      <w:left w:val="single" w:sz="4" w:space="0" w:color="auto"/>
                      <w:right w:val="single" w:sz="4" w:space="0" w:color="auto"/>
                    </w:tcBorders>
                    <w:vAlign w:val="center"/>
                  </w:tcPr>
                  <w:p>
                    <w:pPr>
                      <w:rPr>
                        <w:b/>
                        <w:sz w:val="20"/>
                      </w:rPr>
                    </w:pPr>
                  </w:p>
                </w:tc>
                <w:tc>
                  <w:tcPr>
                    <w:tcW w:w="1279" w:type="dxa"/>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bottom w:val="single" w:sz="4" w:space="0" w:color="auto"/>
                      <w:right w:val="single" w:sz="4" w:space="0" w:color="auto"/>
                    </w:tcBorders>
                    <w:vAlign w:val="center"/>
                  </w:tcPr>
                  <w:p>
                    <w:pPr>
                      <w:rPr>
                        <w:b/>
                        <w:bCs/>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bCs/>
                        <w:sz w:val="20"/>
                      </w:rPr>
                    </w:pPr>
                  </w:p>
                </w:tc>
                <w:tc>
                  <w:tcPr>
                    <w:tcW w:w="829" w:type="dxa"/>
                    <w:gridSpan w:val="3"/>
                    <w:vMerge/>
                    <w:tcBorders>
                      <w:left w:val="single" w:sz="4" w:space="0" w:color="auto"/>
                      <w:bottom w:val="single" w:sz="4" w:space="0" w:color="auto"/>
                      <w:right w:val="single" w:sz="4" w:space="0" w:color="auto"/>
                    </w:tcBorders>
                    <w:vAlign w:val="center"/>
                  </w:tcPr>
                  <w:p>
                    <w:pPr>
                      <w:rPr>
                        <w:bCs/>
                        <w:sz w:val="20"/>
                      </w:rPr>
                    </w:pPr>
                  </w:p>
                </w:tc>
                <w:tc>
                  <w:tcPr>
                    <w:tcW w:w="1014" w:type="dxa"/>
                    <w:gridSpan w:val="3"/>
                    <w:vMerge/>
                    <w:tcBorders>
                      <w:left w:val="single" w:sz="4" w:space="0" w:color="auto"/>
                      <w:bottom w:val="single" w:sz="4" w:space="0" w:color="auto"/>
                      <w:right w:val="single" w:sz="4" w:space="0" w:color="auto"/>
                    </w:tcBorders>
                    <w:vAlign w:val="center"/>
                  </w:tcPr>
                  <w:p>
                    <w:pPr>
                      <w:rPr>
                        <w:bCs/>
                        <w:sz w:val="20"/>
                      </w:rPr>
                    </w:pPr>
                  </w:p>
                </w:tc>
                <w:tc>
                  <w:tcPr>
                    <w:tcW w:w="681" w:type="dxa"/>
                    <w:gridSpan w:val="3"/>
                    <w:vMerge/>
                    <w:tcBorders>
                      <w:left w:val="single" w:sz="4" w:space="0" w:color="auto"/>
                      <w:bottom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1 471,829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b/>
                        <w:sz w:val="20"/>
                      </w:rPr>
                    </w:pPr>
                  </w:p>
                </w:tc>
                <w:tc>
                  <w:tcPr>
                    <w:tcW w:w="1279" w:type="dxa"/>
                    <w:vMerge/>
                    <w:tcBorders>
                      <w:left w:val="single" w:sz="4" w:space="0" w:color="auto"/>
                      <w:bottom w:val="single" w:sz="4" w:space="0" w:color="auto"/>
                      <w:right w:val="single" w:sz="4" w:space="0" w:color="auto"/>
                    </w:tcBorders>
                    <w:vAlign w:val="center"/>
                  </w:tcPr>
                  <w:p>
                    <w:pPr>
                      <w:rPr>
                        <w:b/>
                        <w:sz w:val="16"/>
                        <w:szCs w:val="16"/>
                      </w:rPr>
                    </w:pPr>
                  </w:p>
                </w:tc>
              </w:tr>
              <w:tr>
                <w:trPr>
                  <w:trHeight w:val="212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69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167" w:type="dxa"/>
                    <w:gridSpan w:val="2"/>
                    <w:vMerge w:val="restart"/>
                    <w:tcBorders>
                      <w:top w:val="single" w:sz="4" w:space="0" w:color="auto"/>
                      <w:left w:val="single" w:sz="4" w:space="0" w:color="auto"/>
                      <w:right w:val="single" w:sz="4" w:space="0" w:color="auto"/>
                    </w:tcBorders>
                  </w:tcPr>
                  <w:p>
                    <w:pPr>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87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ind w:left="-57" w:right="-57"/>
                      <w:jc w:val="center"/>
                      <w:rPr>
                        <w:color w:val="000000"/>
                        <w:sz w:val="20"/>
                      </w:rPr>
                    </w:pPr>
                  </w:p>
                </w:tc>
                <w:tc>
                  <w:tcPr>
                    <w:tcW w:w="1118" w:type="dxa"/>
                    <w:vMerge/>
                    <w:tcBorders>
                      <w:left w:val="single" w:sz="4" w:space="0" w:color="auto"/>
                      <w:right w:val="single" w:sz="4" w:space="0" w:color="auto"/>
                    </w:tcBorders>
                    <w:vAlign w:val="center"/>
                  </w:tcPr>
                  <w:p>
                    <w:pPr>
                      <w:ind w:left="-57" w:right="-57"/>
                      <w:jc w:val="cente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P – Nustatyti infekcinių ligų centrų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1294"/>
                </w:trPr>
                <w:tc>
                  <w:tcPr>
                    <w:tcW w:w="2130"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69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rPr>
                    </w:pPr>
                    <w:r>
                      <w:rPr>
                        <w:sz w:val="20"/>
                      </w:rPr>
                      <w:t>146 153,509</w:t>
                    </w:r>
                  </w:p>
                </w:tc>
                <w:tc>
                  <w:tcPr>
                    <w:tcW w:w="1118" w:type="dxa"/>
                    <w:tcBorders>
                      <w:top w:val="single" w:sz="4" w:space="0" w:color="auto"/>
                      <w:left w:val="single" w:sz="4" w:space="0" w:color="auto"/>
                      <w:right w:val="single" w:sz="4" w:space="0" w:color="auto"/>
                    </w:tcBorders>
                  </w:tcPr>
                  <w:p>
                    <w:pPr>
                      <w:rPr>
                        <w:sz w:val="20"/>
                      </w:rPr>
                    </w:pPr>
                    <w:r>
                      <w:rPr>
                        <w:sz w:val="20"/>
                      </w:rPr>
                      <w:t>EGADP</w:t>
                    </w: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P – Modernizuotų sveikatos priežiūros įstaigų, įskaitant infekcinių ligų klasterio kompetencijos centrus, skaičius, vnt.</w:t>
                    </w:r>
                  </w:p>
                </w:tc>
                <w:tc>
                  <w:tcPr>
                    <w:tcW w:w="1134" w:type="dxa"/>
                    <w:gridSpan w:val="2"/>
                    <w:tcBorders>
                      <w:top w:val="single" w:sz="4" w:space="0" w:color="auto"/>
                      <w:left w:val="single" w:sz="4" w:space="0" w:color="auto"/>
                      <w:right w:val="single" w:sz="4" w:space="0" w:color="auto"/>
                    </w:tcBorders>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787"/>
                </w:trPr>
                <w:tc>
                  <w:tcPr>
                    <w:tcW w:w="213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699" w:type="dxa"/>
                    <w:vMerge/>
                    <w:tcBorders>
                      <w:left w:val="single" w:sz="4" w:space="0" w:color="auto"/>
                      <w:bottom w:val="single" w:sz="4" w:space="0" w:color="auto"/>
                      <w:right w:val="single" w:sz="4" w:space="0" w:color="auto"/>
                    </w:tcBorders>
                    <w:vAlign w:val="center"/>
                  </w:tcPr>
                  <w:p>
                    <w:pPr>
                      <w:rPr>
                        <w:color w:val="000000"/>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30 691,338</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9"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color w:val="000000"/>
                        <w:sz w:val="20"/>
                      </w:rPr>
                      <w:t>48 130,490</w:t>
                    </w:r>
                  </w:p>
                </w:tc>
                <w:tc>
                  <w:tcPr>
                    <w:tcW w:w="1118"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Modernizuotų ligoninių skubiosios medicinos pagalbos ir</w:t>
                    </w:r>
                  </w:p>
                  <w:p>
                    <w:pPr>
                      <w:ind w:left="-57" w:right="-57"/>
                      <w:rPr>
                        <w:sz w:val="20"/>
                      </w:rPr>
                    </w:pPr>
                    <w:r>
                      <w:rPr>
                        <w:sz w:val="20"/>
                      </w:rPr>
                      <w:t>reanimacijos bei intensyviosios terapijos skyrių sveikatos priežiūros</w:t>
                    </w:r>
                  </w:p>
                  <w:p>
                    <w:pPr>
                      <w:ind w:left="-57" w:right="-57"/>
                      <w:rPr>
                        <w:sz w:val="20"/>
                      </w:rPr>
                    </w:pPr>
                    <w:r>
                      <w:rPr>
                        <w:sz w:val="20"/>
                      </w:rPr>
                      <w:t>infrastruktūros objektų skaičius, vnt.</w:t>
                    </w:r>
                  </w:p>
                </w:tc>
                <w:tc>
                  <w:tcPr>
                    <w:tcW w:w="113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10 107,403</w:t>
                    </w:r>
                  </w:p>
                </w:tc>
                <w:tc>
                  <w:tcPr>
                    <w:tcW w:w="1118"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gridBefore w:val="1"/>
                  <w:wBefore w:w="6" w:type="dxa"/>
                  <w:trHeight w:val="1025"/>
                </w:trPr>
                <w:tc>
                  <w:tcPr>
                    <w:tcW w:w="2124" w:type="dxa"/>
                    <w:vMerge w:val="restart"/>
                  </w:tcPr>
                  <w:p>
                    <w:pPr>
                      <w:rPr>
                        <w:sz w:val="20"/>
                      </w:rPr>
                    </w:pPr>
                    <w:r>
                      <w:rPr>
                        <w:color w:val="000000"/>
                        <w:sz w:val="20"/>
                      </w:rPr>
                      <w:t>2.4. Regionų ir savivaldybių sveikatos priežiūros įstaigų infrastruktūros modernizavimas, Sostinės regionas</w:t>
                    </w:r>
                  </w:p>
                </w:tc>
                <w:tc>
                  <w:tcPr>
                    <w:tcW w:w="699" w:type="dxa"/>
                    <w:vMerge w:val="restart"/>
                  </w:tcPr>
                  <w:p>
                    <w:pPr>
                      <w:rPr>
                        <w:sz w:val="20"/>
                      </w:rPr>
                    </w:pPr>
                    <w:r>
                      <w:rPr>
                        <w:color w:val="000000"/>
                        <w:sz w:val="20"/>
                      </w:rPr>
                      <w:t>I</w:t>
                    </w:r>
                  </w:p>
                </w:tc>
                <w:tc>
                  <w:tcPr>
                    <w:tcW w:w="1985" w:type="dxa"/>
                    <w:vMerge w:val="restart"/>
                  </w:tcPr>
                  <w:p>
                    <w:pPr>
                      <w:tabs>
                        <w:tab w:val="center" w:pos="4153"/>
                        <w:tab w:val="right" w:pos="8306"/>
                      </w:tabs>
                      <w:jc w:val="both"/>
                      <w:rPr>
                        <w:sz w:val="20"/>
                      </w:rPr>
                    </w:pPr>
                    <w:r>
                      <w:rPr>
                        <w:color w:val="000000"/>
                        <w:sz w:val="20"/>
                      </w:rPr>
                      <w:t>ASPĮ</w:t>
                    </w:r>
                  </w:p>
                </w:tc>
                <w:tc>
                  <w:tcPr>
                    <w:tcW w:w="849" w:type="dxa"/>
                    <w:gridSpan w:val="4"/>
                    <w:vMerge w:val="restart"/>
                  </w:tcPr>
                  <w:p>
                    <w:pPr>
                      <w:rPr>
                        <w:sz w:val="20"/>
                      </w:rPr>
                    </w:pPr>
                    <w:r>
                      <w:rPr>
                        <w:color w:val="000000"/>
                        <w:sz w:val="20"/>
                      </w:rPr>
                      <w:t>P</w:t>
                    </w:r>
                  </w:p>
                </w:tc>
                <w:tc>
                  <w:tcPr>
                    <w:tcW w:w="994" w:type="dxa"/>
                    <w:gridSpan w:val="2"/>
                    <w:vMerge w:val="restart"/>
                  </w:tcPr>
                  <w:p>
                    <w:pPr>
                      <w:rPr>
                        <w:sz w:val="20"/>
                      </w:rPr>
                    </w:pPr>
                    <w:r>
                      <w:rPr>
                        <w:color w:val="000000"/>
                        <w:sz w:val="20"/>
                      </w:rPr>
                      <w:t>Taip</w:t>
                    </w:r>
                  </w:p>
                </w:tc>
                <w:tc>
                  <w:tcPr>
                    <w:tcW w:w="708" w:type="dxa"/>
                    <w:gridSpan w:val="4"/>
                    <w:vMerge w:val="restart"/>
                  </w:tcPr>
                  <w:p>
                    <w:pPr>
                      <w:rPr>
                        <w:sz w:val="20"/>
                      </w:rPr>
                    </w:pPr>
                    <w:r>
                      <w:rPr>
                        <w:color w:val="000000"/>
                        <w:sz w:val="20"/>
                      </w:rPr>
                      <w:t>D</w:t>
                    </w:r>
                  </w:p>
                </w:tc>
                <w:tc>
                  <w:tcPr>
                    <w:tcW w:w="1140" w:type="dxa"/>
                  </w:tcPr>
                  <w:p>
                    <w:pPr>
                      <w:jc w:val="center"/>
                      <w:rPr>
                        <w:sz w:val="20"/>
                      </w:rPr>
                    </w:pPr>
                    <w:r>
                      <w:rPr>
                        <w:color w:val="000000"/>
                        <w:sz w:val="20"/>
                      </w:rPr>
                      <w:t>5 850,490</w:t>
                    </w:r>
                  </w:p>
                </w:tc>
                <w:tc>
                  <w:tcPr>
                    <w:tcW w:w="1134" w:type="dxa"/>
                    <w:gridSpan w:val="2"/>
                  </w:tcPr>
                  <w:p>
                    <w:pPr>
                      <w:rPr>
                        <w:sz w:val="20"/>
                      </w:rPr>
                    </w:pPr>
                    <w:r>
                      <w:rPr>
                        <w:color w:val="000000"/>
                        <w:sz w:val="20"/>
                      </w:rPr>
                      <w:t>2021–2027 m. IP (ERPF)</w:t>
                    </w:r>
                  </w:p>
                </w:tc>
                <w:tc>
                  <w:tcPr>
                    <w:tcW w:w="1985" w:type="dxa"/>
                  </w:tcPr>
                  <w:p>
                    <w:pPr>
                      <w:ind w:left="-57" w:right="-57"/>
                      <w:rPr>
                        <w:sz w:val="20"/>
                      </w:rPr>
                    </w:pPr>
                    <w:r>
                      <w:rPr>
                        <w:color w:val="000000"/>
                        <w:sz w:val="20"/>
                      </w:rPr>
                      <w:t>P – Naujos arba modernizuotos sveikatos priežiūros infrastruktūros talpumas, asmenys per metus</w:t>
                    </w:r>
                  </w:p>
                </w:tc>
                <w:tc>
                  <w:tcPr>
                    <w:tcW w:w="1134" w:type="dxa"/>
                    <w:gridSpan w:val="2"/>
                  </w:tcPr>
                  <w:p>
                    <w:pPr>
                      <w:tabs>
                        <w:tab w:val="center" w:pos="4153"/>
                        <w:tab w:val="right" w:pos="8306"/>
                      </w:tabs>
                      <w:jc w:val="both"/>
                      <w:rPr>
                        <w:color w:val="000000"/>
                        <w:sz w:val="20"/>
                      </w:rPr>
                    </w:pPr>
                    <w:r>
                      <w:rPr>
                        <w:color w:val="000000"/>
                        <w:sz w:val="20"/>
                      </w:rPr>
                      <w:t>51 500</w:t>
                    </w:r>
                  </w:p>
                  <w:p>
                    <w:pPr>
                      <w:ind w:left="-57" w:right="-57"/>
                      <w:jc w:val="center"/>
                      <w:rPr>
                        <w:sz w:val="20"/>
                      </w:rPr>
                    </w:pPr>
                    <w:r>
                      <w:rPr>
                        <w:color w:val="000000"/>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gridBefore w:val="1"/>
                  <w:wBefore w:w="6" w:type="dxa"/>
                  <w:trHeight w:val="983"/>
                </w:trPr>
                <w:tc>
                  <w:tcPr>
                    <w:tcW w:w="2124" w:type="dxa"/>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49" w:type="dxa"/>
                    <w:gridSpan w:val="4"/>
                    <w:vMerge/>
                    <w:vAlign w:val="center"/>
                  </w:tcPr>
                  <w:p>
                    <w:pPr>
                      <w:rPr>
                        <w:color w:val="000000"/>
                        <w:sz w:val="20"/>
                      </w:rPr>
                    </w:pPr>
                  </w:p>
                </w:tc>
                <w:tc>
                  <w:tcPr>
                    <w:tcW w:w="994" w:type="dxa"/>
                    <w:gridSpan w:val="2"/>
                    <w:vMerge/>
                    <w:vAlign w:val="center"/>
                  </w:tcPr>
                  <w:p>
                    <w:pPr>
                      <w:rPr>
                        <w:color w:val="000000"/>
                        <w:sz w:val="20"/>
                      </w:rPr>
                    </w:pPr>
                  </w:p>
                </w:tc>
                <w:tc>
                  <w:tcPr>
                    <w:tcW w:w="708" w:type="dxa"/>
                    <w:gridSpan w:val="4"/>
                    <w:vMerge/>
                    <w:vAlign w:val="center"/>
                  </w:tcPr>
                  <w:p>
                    <w:pPr>
                      <w:rPr>
                        <w:color w:val="000000"/>
                        <w:sz w:val="20"/>
                      </w:rPr>
                    </w:pPr>
                  </w:p>
                </w:tc>
                <w:tc>
                  <w:tcPr>
                    <w:tcW w:w="1140" w:type="dxa"/>
                  </w:tcPr>
                  <w:p>
                    <w:pPr>
                      <w:tabs>
                        <w:tab w:val="center" w:pos="4153"/>
                        <w:tab w:val="right" w:pos="8306"/>
                      </w:tabs>
                      <w:jc w:val="both"/>
                      <w:rPr>
                        <w:color w:val="000000"/>
                        <w:sz w:val="20"/>
                      </w:rPr>
                    </w:pPr>
                    <w:r>
                      <w:rPr>
                        <w:color w:val="000000"/>
                        <w:sz w:val="20"/>
                      </w:rPr>
                      <w:t>5 850,490</w:t>
                    </w:r>
                    <w:r>
                      <w:rPr>
                        <w:strike/>
                        <w:color w:val="000000"/>
                        <w:sz w:val="20"/>
                      </w:rPr>
                      <w:t xml:space="preserve">  </w:t>
                    </w:r>
                  </w:p>
                </w:tc>
                <w:tc>
                  <w:tcPr>
                    <w:tcW w:w="1134" w:type="dxa"/>
                    <w:gridSpan w:val="2"/>
                  </w:tcPr>
                  <w:p>
                    <w:pPr>
                      <w:rPr>
                        <w:sz w:val="20"/>
                      </w:rPr>
                    </w:pPr>
                    <w:r>
                      <w:rPr>
                        <w:color w:val="000000"/>
                        <w:sz w:val="20"/>
                      </w:rPr>
                      <w:t>2021–2027 m. IP (BF)</w:t>
                    </w:r>
                  </w:p>
                </w:tc>
                <w:tc>
                  <w:tcPr>
                    <w:tcW w:w="1985" w:type="dxa"/>
                  </w:tcPr>
                  <w:p>
                    <w:pPr>
                      <w:ind w:left="-57" w:right="-57"/>
                      <w:rPr>
                        <w:sz w:val="20"/>
                      </w:rPr>
                    </w:pPr>
                    <w:r>
                      <w:rPr>
                        <w:color w:val="000000"/>
                        <w:sz w:val="20"/>
                      </w:rPr>
                      <w:t>R – Naujos arba modernizuotos sveikatos priežiūros infrastruktūros naudotojų skaičius per metus, asmenys per metus</w:t>
                    </w:r>
                  </w:p>
                </w:tc>
                <w:tc>
                  <w:tcPr>
                    <w:tcW w:w="1134" w:type="dxa"/>
                    <w:gridSpan w:val="2"/>
                  </w:tcPr>
                  <w:p>
                    <w:pPr>
                      <w:tabs>
                        <w:tab w:val="center" w:pos="4153"/>
                        <w:tab w:val="right" w:pos="8306"/>
                      </w:tabs>
                      <w:jc w:val="both"/>
                      <w:rPr>
                        <w:color w:val="000000"/>
                        <w:sz w:val="20"/>
                      </w:rPr>
                    </w:pPr>
                    <w:r>
                      <w:rPr>
                        <w:color w:val="000000"/>
                        <w:sz w:val="20"/>
                      </w:rPr>
                      <w:t>46 480</w:t>
                    </w:r>
                  </w:p>
                  <w:p>
                    <w:pPr>
                      <w:ind w:left="423" w:right="-57" w:hanging="480"/>
                      <w:jc w:val="center"/>
                      <w:rPr>
                        <w:sz w:val="20"/>
                      </w:rPr>
                    </w:pPr>
                    <w:r>
                      <w:rPr>
                        <w:color w:val="000000"/>
                        <w:sz w:val="20"/>
                      </w:rPr>
                      <w:t>(2029 m.)</w:t>
                    </w: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1023"/>
                </w:trPr>
                <w:tc>
                  <w:tcPr>
                    <w:tcW w:w="2130" w:type="dxa"/>
                    <w:gridSpan w:val="2"/>
                    <w:vMerge w:val="restart"/>
                  </w:tcPr>
                  <w:p>
                    <w:pPr>
                      <w:rPr>
                        <w:sz w:val="20"/>
                      </w:rPr>
                    </w:pPr>
                    <w:r>
                      <w:rPr>
                        <w:sz w:val="20"/>
                      </w:rPr>
                      <w:t>2.5. Regionų ir savivaldybių sveikatos priežiūros įstaigų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ind w:firstLine="53"/>
                      <w:rPr>
                        <w:sz w:val="20"/>
                      </w:rPr>
                    </w:pPr>
                    <w:r>
                      <w:rPr>
                        <w:sz w:val="20"/>
                      </w:rPr>
                      <w:t>38 972,928</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ind w:firstLine="106"/>
                      <w:rPr>
                        <w:sz w:val="20"/>
                      </w:rPr>
                    </w:pPr>
                    <w:r>
                      <w:rPr>
                        <w:sz w:val="20"/>
                      </w:rPr>
                      <w:t>6 877,575</w:t>
                    </w:r>
                  </w:p>
                </w:tc>
                <w:tc>
                  <w:tcPr>
                    <w:tcW w:w="1118" w:type="dxa"/>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60"/>
                </w:trPr>
                <w:tc>
                  <w:tcPr>
                    <w:tcW w:w="2130" w:type="dxa"/>
                    <w:gridSpan w:val="2"/>
                    <w:vMerge w:val="restart"/>
                  </w:tcPr>
                  <w:p>
                    <w:pPr>
                      <w:rPr>
                        <w:sz w:val="20"/>
                      </w:rPr>
                    </w:pPr>
                    <w:r>
                      <w:rPr>
                        <w:sz w:val="20"/>
                      </w:rPr>
                      <w:t>2.6. Skubios telemedicinos paslaugų diegimas,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rPr>
                    </w:pPr>
                    <w:r>
                      <w:rPr>
                        <w:sz w:val="20"/>
                      </w:rPr>
                      <w:t>3 825</w:t>
                    </w:r>
                  </w:p>
                  <w:p>
                    <w:pPr>
                      <w:rPr>
                        <w:sz w:val="20"/>
                      </w:rPr>
                    </w:pPr>
                  </w:p>
                </w:tc>
                <w:tc>
                  <w:tcPr>
                    <w:tcW w:w="1118" w:type="dxa"/>
                  </w:tcPr>
                  <w:p>
                    <w:pPr>
                      <w:rPr>
                        <w:sz w:val="20"/>
                      </w:rPr>
                    </w:pPr>
                    <w:r>
                      <w:rPr>
                        <w:sz w:val="20"/>
                      </w:rPr>
                      <w:t>2021–2027 m. IP (ERPF)</w:t>
                    </w:r>
                  </w:p>
                </w:tc>
                <w:tc>
                  <w:tcPr>
                    <w:tcW w:w="2001" w:type="dxa"/>
                    <w:gridSpan w:val="2"/>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vMerge w:val="restart"/>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Pr>
                  <w:p>
                    <w:pPr>
                      <w:rPr>
                        <w:color w:val="000000"/>
                        <w:sz w:val="20"/>
                      </w:rPr>
                    </w:pPr>
                  </w:p>
                </w:tc>
                <w:tc>
                  <w:tcPr>
                    <w:tcW w:w="681" w:type="dxa"/>
                    <w:gridSpan w:val="3"/>
                    <w:vMerge/>
                  </w:tcPr>
                  <w:p>
                    <w:pPr>
                      <w:rPr>
                        <w:color w:val="000000"/>
                        <w:sz w:val="20"/>
                      </w:rPr>
                    </w:pPr>
                  </w:p>
                </w:tc>
                <w:tc>
                  <w:tcPr>
                    <w:tcW w:w="1167" w:type="dxa"/>
                    <w:gridSpan w:val="2"/>
                    <w:vMerge w:val="restart"/>
                  </w:tcPr>
                  <w:p>
                    <w:pPr>
                      <w:rPr>
                        <w:sz w:val="20"/>
                      </w:rPr>
                    </w:pPr>
                    <w:r>
                      <w:rPr>
                        <w:sz w:val="20"/>
                      </w:rPr>
                      <w:t>675</w:t>
                    </w:r>
                  </w:p>
                  <w:p>
                    <w:pPr>
                      <w:rPr>
                        <w:color w:val="000000"/>
                        <w:sz w:val="20"/>
                      </w:rPr>
                    </w:pPr>
                  </w:p>
                </w:tc>
                <w:tc>
                  <w:tcPr>
                    <w:tcW w:w="1118" w:type="dxa"/>
                    <w:vMerge w:val="restart"/>
                  </w:tcPr>
                  <w:p>
                    <w:pPr>
                      <w:rPr>
                        <w:color w:val="000000"/>
                        <w:sz w:val="20"/>
                      </w:rPr>
                    </w:pPr>
                    <w:r>
                      <w:rPr>
                        <w:sz w:val="20"/>
                      </w:rPr>
                      <w:t>2021–2027 m. IP (BF)</w:t>
                    </w:r>
                  </w:p>
                </w:tc>
                <w:tc>
                  <w:tcPr>
                    <w:tcW w:w="2001" w:type="dxa"/>
                    <w:gridSpan w:val="2"/>
                    <w:vMerge/>
                  </w:tcPr>
                  <w:p>
                    <w:pPr>
                      <w:ind w:left="-57" w:right="-57"/>
                      <w:rPr>
                        <w:color w:val="FF0000"/>
                        <w:sz w:val="20"/>
                      </w:rPr>
                    </w:pPr>
                  </w:p>
                </w:tc>
                <w:tc>
                  <w:tcPr>
                    <w:tcW w:w="1134" w:type="dxa"/>
                    <w:gridSpan w:val="2"/>
                    <w:vMerge/>
                  </w:tcPr>
                  <w:p>
                    <w:pPr>
                      <w:ind w:left="-57" w:right="-57"/>
                      <w:jc w:val="center"/>
                      <w:rPr>
                        <w:color w:val="FF0000"/>
                        <w:sz w:val="20"/>
                      </w:rPr>
                    </w:pP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970"/>
                </w:trPr>
                <w:tc>
                  <w:tcPr>
                    <w:tcW w:w="2130" w:type="dxa"/>
                    <w:gridSpan w:val="2"/>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29" w:type="dxa"/>
                    <w:gridSpan w:val="3"/>
                    <w:vMerge/>
                    <w:vAlign w:val="center"/>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ign w:val="center"/>
                  </w:tcPr>
                  <w:p>
                    <w:pPr>
                      <w:rPr>
                        <w:color w:val="000000"/>
                        <w:sz w:val="20"/>
                      </w:rPr>
                    </w:pPr>
                  </w:p>
                </w:tc>
                <w:tc>
                  <w:tcPr>
                    <w:tcW w:w="1118" w:type="dxa"/>
                    <w:vMerge/>
                    <w:vAlign w:val="center"/>
                  </w:tcPr>
                  <w:p>
                    <w:pPr>
                      <w:rPr>
                        <w:color w:val="000000"/>
                        <w:sz w:val="20"/>
                      </w:rPr>
                    </w:pPr>
                  </w:p>
                </w:tc>
                <w:tc>
                  <w:tcPr>
                    <w:tcW w:w="2001" w:type="dxa"/>
                    <w:gridSpan w:val="2"/>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134" w:type="dxa"/>
                    <w:gridSpan w:val="2"/>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10"/>
                </w:trPr>
                <w:tc>
                  <w:tcPr>
                    <w:tcW w:w="2130" w:type="dxa"/>
                    <w:gridSpan w:val="2"/>
                    <w:tcMar>
                      <w:left w:w="105" w:type="dxa"/>
                      <w:right w:w="105" w:type="dxa"/>
                    </w:tcMar>
                  </w:tcPr>
                  <w:p>
                    <w:pPr>
                      <w:rPr>
                        <w:color w:val="000000"/>
                        <w:sz w:val="20"/>
                      </w:rPr>
                    </w:pPr>
                    <w:r>
                      <w:rPr>
                        <w:color w:val="000000"/>
                        <w:sz w:val="20"/>
                      </w:rPr>
                      <w:t xml:space="preserve">2.7.  .</w:t>
                    </w:r>
                  </w:p>
                </w:tc>
                <w:tc>
                  <w:tcPr>
                    <w:tcW w:w="12899" w:type="dxa"/>
                    <w:gridSpan w:val="20"/>
                  </w:tcPr>
                  <w:p>
                    <w:pPr>
                      <w:rPr>
                        <w:color w:val="000000"/>
                        <w:sz w:val="20"/>
                      </w:rPr>
                    </w:pPr>
                    <w:r>
                      <w:rPr>
                        <w:i/>
                        <w:color w:val="000000"/>
                        <w:sz w:val="20"/>
                      </w:rPr>
                      <w:t>Neteko galios 2026-03-06.</w:t>
                    </w:r>
                  </w:p>
                </w:tc>
              </w:tr>
              <w:tr>
                <w:trPr>
                  <w:trHeight w:val="975"/>
                </w:trPr>
                <w:tc>
                  <w:tcPr>
                    <w:tcW w:w="2130"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tc>
                <w:tc>
                  <w:tcPr>
                    <w:tcW w:w="699" w:type="dxa"/>
                    <w:vMerge/>
                    <w:vAlign w:val="center"/>
                  </w:tcPr>
                  <w:p/>
                </w:tc>
                <w:tc>
                  <w:tcPr>
                    <w:tcW w:w="1985" w:type="dxa"/>
                    <w:vMerge/>
                    <w:vAlign w:val="center"/>
                  </w:tcPr>
                  <w:p/>
                </w:tc>
                <w:tc>
                  <w:tcPr>
                    <w:tcW w:w="829" w:type="dxa"/>
                    <w:gridSpan w:val="3"/>
                    <w:vMerge/>
                    <w:vAlign w:val="center"/>
                  </w:tcPr>
                  <w:p/>
                </w:tc>
                <w:tc>
                  <w:tcPr>
                    <w:tcW w:w="1014" w:type="dxa"/>
                    <w:gridSpan w:val="3"/>
                    <w:vMerge/>
                    <w:vAlign w:val="center"/>
                  </w:tcPr>
                  <w:p/>
                </w:tc>
                <w:tc>
                  <w:tcPr>
                    <w:tcW w:w="681" w:type="dxa"/>
                    <w:gridSpan w:val="3"/>
                    <w:vMerge/>
                    <w:vAlign w:val="center"/>
                  </w:tcP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tc>
                <w:tc>
                  <w:tcPr>
                    <w:tcW w:w="1279" w:type="dxa"/>
                    <w:vMerge/>
                    <w:vAlign w:val="center"/>
                  </w:tcPr>
                  <w:p/>
                </w:tc>
              </w:tr>
              <w:tr>
                <w:trPr>
                  <w:trHeight w:val="975"/>
                </w:trPr>
                <w:tc>
                  <w:tcPr>
                    <w:tcW w:w="2130"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2 709,254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tc>
                <w:tc>
                  <w:tcPr>
                    <w:tcW w:w="699" w:type="dxa"/>
                    <w:vMerge/>
                    <w:vAlign w:val="center"/>
                  </w:tcPr>
                  <w:p/>
                </w:tc>
                <w:tc>
                  <w:tcPr>
                    <w:tcW w:w="1985" w:type="dxa"/>
                    <w:vMerge/>
                    <w:vAlign w:val="center"/>
                  </w:tcPr>
                  <w:p/>
                </w:tc>
                <w:tc>
                  <w:tcPr>
                    <w:tcW w:w="829" w:type="dxa"/>
                    <w:gridSpan w:val="3"/>
                    <w:vMerge/>
                    <w:vAlign w:val="center"/>
                  </w:tcPr>
                  <w:p/>
                </w:tc>
                <w:tc>
                  <w:tcPr>
                    <w:tcW w:w="1014" w:type="dxa"/>
                    <w:gridSpan w:val="3"/>
                    <w:vMerge/>
                    <w:vAlign w:val="center"/>
                  </w:tcPr>
                  <w:p/>
                </w:tc>
                <w:tc>
                  <w:tcPr>
                    <w:tcW w:w="681" w:type="dxa"/>
                    <w:gridSpan w:val="3"/>
                    <w:vMerge/>
                    <w:vAlign w:val="center"/>
                  </w:tcPr>
                  <w:p/>
                </w:tc>
                <w:tc>
                  <w:tcPr>
                    <w:tcW w:w="1167" w:type="dxa"/>
                    <w:gridSpan w:val="2"/>
                    <w:tcMar>
                      <w:left w:w="105" w:type="dxa"/>
                      <w:right w:w="105" w:type="dxa"/>
                    </w:tcMar>
                  </w:tcPr>
                  <w:p>
                    <w:pPr>
                      <w:jc w:val="center"/>
                      <w:rPr>
                        <w:color w:val="000000"/>
                        <w:sz w:val="20"/>
                      </w:rPr>
                    </w:pPr>
                    <w:r>
                      <w:rPr>
                        <w:color w:val="000000"/>
                        <w:sz w:val="20"/>
                      </w:rPr>
                      <w:t xml:space="preserve">478,104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tc>
                <w:tc>
                  <w:tcPr>
                    <w:tcW w:w="1279" w:type="dxa"/>
                    <w:vMerge/>
                    <w:vAlign w:val="center"/>
                  </w:tcPr>
                  <w:p/>
                </w:tc>
              </w:tr>
              <w:tr>
                <w:trPr>
                  <w:trHeight w:val="451"/>
                </w:trPr>
                <w:tc>
                  <w:tcPr>
                    <w:tcW w:w="2130" w:type="dxa"/>
                    <w:gridSpan w:val="2"/>
                  </w:tcPr>
                  <w:p>
                    <w:r>
                      <w:rPr>
                        <w:sz w:val="20"/>
                      </w:rPr>
                      <w:t>2.10.</w:t>
                    </w:r>
                  </w:p>
                </w:tc>
                <w:tc>
                  <w:tcPr>
                    <w:tcW w:w="11620" w:type="dxa"/>
                    <w:gridSpan w:val="19"/>
                  </w:tcPr>
                  <w:p>
                    <w:r>
                      <w:rPr>
                        <w:i/>
                        <w:sz w:val="20"/>
                      </w:rPr>
                      <w:t>Neteko galios 2026-03-06</w:t>
                    </w:r>
                    <w:r>
                      <w:t>.</w:t>
                    </w:r>
                  </w:p>
                </w:tc>
                <w:tc>
                  <w:tcPr>
                    <w:tcW w:w="1279" w:type="dxa"/>
                  </w:tcPr>
                  <w:p>
                    <w:r>
                      <w:rPr>
                        <w:sz w:val="20"/>
                      </w:rPr>
                      <w:t>SAM</w:t>
                    </w:r>
                  </w:p>
                </w:tc>
              </w:tr>
              <w:tr>
                <w:trPr>
                  <w:trHeight w:val="414"/>
                </w:trPr>
                <w:tc>
                  <w:tcPr>
                    <w:tcW w:w="2130" w:type="dxa"/>
                    <w:gridSpan w:val="2"/>
                  </w:tcPr>
                  <w:p>
                    <w:pPr>
                      <w:rPr>
                        <w:color w:val="000000"/>
                        <w:sz w:val="20"/>
                      </w:rPr>
                    </w:pPr>
                    <w:r>
                      <w:rPr>
                        <w:color w:val="000000"/>
                        <w:sz w:val="20"/>
                      </w:rPr>
                      <w:t>2.11.</w:t>
                    </w:r>
                  </w:p>
                </w:tc>
                <w:tc>
                  <w:tcPr>
                    <w:tcW w:w="12899" w:type="dxa"/>
                    <w:gridSpan w:val="20"/>
                    <w:tcBorders>
                      <w:right w:val="single" w:sz="4" w:space="0" w:color="auto"/>
                    </w:tcBorders>
                  </w:tcPr>
                  <w:p>
                    <w:pPr>
                      <w:rPr>
                        <w:i/>
                        <w:iCs/>
                        <w:color w:val="000000"/>
                        <w:sz w:val="20"/>
                      </w:rPr>
                    </w:pPr>
                    <w:r>
                      <w:rPr>
                        <w:i/>
                        <w:iCs/>
                        <w:color w:val="000000"/>
                        <w:sz w:val="20"/>
                      </w:rPr>
                      <w:t>Neteko galios 2026-05-04</w:t>
                    </w:r>
                  </w:p>
                </w:tc>
              </w:tr>
              <w:tr>
                <w:trPr>
                  <w:trHeight w:val="414"/>
                </w:trPr>
                <w:tc>
                  <w:tcPr>
                    <w:tcW w:w="2130" w:type="dxa"/>
                    <w:gridSpan w:val="2"/>
                  </w:tcPr>
                  <w:p>
                    <w:pPr>
                      <w:rPr>
                        <w:sz w:val="20"/>
                      </w:rPr>
                    </w:pPr>
                    <w:r>
                      <w:rPr>
                        <w:sz w:val="20"/>
                      </w:rPr>
                      <w:t xml:space="preserve">2.12. </w:t>
                    </w:r>
                  </w:p>
                </w:tc>
                <w:tc>
                  <w:tcPr>
                    <w:tcW w:w="12899" w:type="dxa"/>
                    <w:gridSpan w:val="20"/>
                    <w:tcBorders>
                      <w:right w:val="single" w:sz="4" w:space="0" w:color="auto"/>
                    </w:tcBorders>
                  </w:tcPr>
                  <w:p>
                    <w:pPr>
                      <w:rPr>
                        <w:color w:val="000000"/>
                        <w:sz w:val="20"/>
                      </w:rPr>
                    </w:pPr>
                    <w:r>
                      <w:rPr>
                        <w:i/>
                        <w:iCs/>
                        <w:color w:val="000000"/>
                        <w:sz w:val="20"/>
                      </w:rPr>
                      <w:t>Neteko galios 2026-05-04</w:t>
                    </w:r>
                  </w:p>
                </w:tc>
              </w:tr>
              <w:tr>
                <w:trPr>
                  <w:trHeight w:val="414"/>
                </w:trPr>
                <w:tc>
                  <w:tcPr>
                    <w:tcW w:w="2130" w:type="dxa"/>
                    <w:gridSpan w:val="2"/>
                    <w:vMerge w:val="restart"/>
                  </w:tcPr>
                  <w:p>
                    <w:pPr>
                      <w:rPr>
                        <w:b/>
                        <w:bCs/>
                        <w:sz w:val="20"/>
                      </w:rPr>
                    </w:pPr>
                    <w:r>
                      <w:rPr>
                        <w:color w:val="000000"/>
                        <w:sz w:val="20"/>
                      </w:rPr>
                      <w:t>2.13. Regionų ir savivaldybių sveikatos priežiūros įstaigų  infrastruktūros modernizavimas, Sostinės regionas</w:t>
                    </w:r>
                  </w:p>
                </w:tc>
                <w:tc>
                  <w:tcPr>
                    <w:tcW w:w="699" w:type="dxa"/>
                    <w:vMerge w:val="restart"/>
                  </w:tcPr>
                  <w:p>
                    <w:pPr>
                      <w:rPr>
                        <w:sz w:val="20"/>
                      </w:rPr>
                    </w:pPr>
                    <w:r>
                      <w:rPr>
                        <w:color w:val="000000"/>
                        <w:sz w:val="20"/>
                      </w:rPr>
                      <w:t>I</w:t>
                    </w:r>
                  </w:p>
                </w:tc>
                <w:tc>
                  <w:tcPr>
                    <w:tcW w:w="1985" w:type="dxa"/>
                    <w:vMerge w:val="restart"/>
                  </w:tcPr>
                  <w:p>
                    <w:pPr>
                      <w:tabs>
                        <w:tab w:val="center" w:pos="4153"/>
                        <w:tab w:val="right" w:pos="8306"/>
                      </w:tabs>
                      <w:jc w:val="both"/>
                      <w:rPr>
                        <w:color w:val="000000"/>
                        <w:sz w:val="20"/>
                      </w:rPr>
                    </w:pPr>
                    <w:r>
                      <w:rPr>
                        <w:color w:val="000000"/>
                        <w:sz w:val="20"/>
                      </w:rPr>
                      <w:t>VšĮ Respublikinė Vilniaus universitetinė ligoninė</w:t>
                    </w:r>
                  </w:p>
                  <w:p>
                    <w:pPr>
                      <w:rPr>
                        <w:sz w:val="20"/>
                      </w:rPr>
                    </w:pPr>
                  </w:p>
                </w:tc>
                <w:tc>
                  <w:tcPr>
                    <w:tcW w:w="829" w:type="dxa"/>
                    <w:gridSpan w:val="3"/>
                    <w:vMerge w:val="restart"/>
                  </w:tcPr>
                  <w:p>
                    <w:pPr>
                      <w:rPr>
                        <w:sz w:val="20"/>
                      </w:rPr>
                    </w:pPr>
                    <w:r>
                      <w:rPr>
                        <w:color w:val="000000"/>
                        <w:sz w:val="20"/>
                      </w:rPr>
                      <w:t>P</w:t>
                    </w:r>
                  </w:p>
                </w:tc>
                <w:tc>
                  <w:tcPr>
                    <w:tcW w:w="1014" w:type="dxa"/>
                    <w:gridSpan w:val="3"/>
                    <w:vMerge w:val="restart"/>
                  </w:tcPr>
                  <w:p>
                    <w:pPr>
                      <w:rPr>
                        <w:sz w:val="20"/>
                      </w:rPr>
                    </w:pPr>
                    <w:r>
                      <w:rPr>
                        <w:color w:val="000000"/>
                        <w:sz w:val="20"/>
                      </w:rPr>
                      <w:t>Taip</w:t>
                    </w:r>
                  </w:p>
                </w:tc>
                <w:tc>
                  <w:tcPr>
                    <w:tcW w:w="681" w:type="dxa"/>
                    <w:gridSpan w:val="3"/>
                    <w:vMerge w:val="restart"/>
                  </w:tcPr>
                  <w:p>
                    <w:pPr>
                      <w:rPr>
                        <w:sz w:val="20"/>
                      </w:rPr>
                    </w:pPr>
                    <w:r>
                      <w:rPr>
                        <w:color w:val="000000"/>
                        <w:sz w:val="20"/>
                      </w:rPr>
                      <w:t>D</w:t>
                    </w:r>
                  </w:p>
                </w:tc>
                <w:tc>
                  <w:tcPr>
                    <w:tcW w:w="1167" w:type="dxa"/>
                    <w:gridSpan w:val="2"/>
                  </w:tcPr>
                  <w:p>
                    <w:pPr>
                      <w:rPr>
                        <w:b/>
                        <w:bCs/>
                        <w:sz w:val="20"/>
                      </w:rPr>
                    </w:pPr>
                    <w:r>
                      <w:rPr>
                        <w:color w:val="000000"/>
                        <w:sz w:val="20"/>
                      </w:rPr>
                      <w:t xml:space="preserve">5 400 </w:t>
                    </w:r>
                  </w:p>
                </w:tc>
                <w:tc>
                  <w:tcPr>
                    <w:tcW w:w="1118" w:type="dxa"/>
                  </w:tcPr>
                  <w:p>
                    <w:pPr>
                      <w:tabs>
                        <w:tab w:val="center" w:pos="4153"/>
                        <w:tab w:val="right" w:pos="8306"/>
                      </w:tabs>
                      <w:jc w:val="both"/>
                      <w:rPr>
                        <w:color w:val="000000"/>
                        <w:sz w:val="20"/>
                      </w:rPr>
                    </w:pPr>
                    <w:r>
                      <w:rPr>
                        <w:color w:val="000000"/>
                        <w:sz w:val="20"/>
                      </w:rPr>
                      <w:t>2021–2027 m. IP (ERPF)</w:t>
                    </w:r>
                  </w:p>
                  <w:p>
                    <w:pPr>
                      <w:rPr>
                        <w:sz w:val="20"/>
                      </w:rPr>
                    </w:pPr>
                  </w:p>
                </w:tc>
                <w:tc>
                  <w:tcPr>
                    <w:tcW w:w="2001" w:type="dxa"/>
                    <w:gridSpan w:val="2"/>
                  </w:tcPr>
                  <w:p>
                    <w:pPr>
                      <w:ind w:left="-57" w:right="-57"/>
                      <w:rPr>
                        <w:sz w:val="20"/>
                      </w:rPr>
                    </w:pPr>
                    <w:r>
                      <w:rPr>
                        <w:color w:val="000000"/>
                        <w:sz w:val="20"/>
                      </w:rPr>
                      <w:t>P – Naujos arba modernizuotos sveikatos priežiūros infrastruktūros talpumas, asmenys per metus</w:t>
                    </w:r>
                  </w:p>
                </w:tc>
                <w:tc>
                  <w:tcPr>
                    <w:tcW w:w="1134" w:type="dxa"/>
                    <w:gridSpan w:val="2"/>
                  </w:tcPr>
                  <w:p>
                    <w:pPr>
                      <w:tabs>
                        <w:tab w:val="center" w:pos="4153"/>
                        <w:tab w:val="right" w:pos="8306"/>
                      </w:tabs>
                      <w:jc w:val="center"/>
                      <w:rPr>
                        <w:color w:val="000000"/>
                        <w:sz w:val="20"/>
                      </w:rPr>
                    </w:pPr>
                    <w:r>
                      <w:rPr>
                        <w:sz w:val="20"/>
                      </w:rPr>
                      <w:t>5 550</w:t>
                    </w:r>
                  </w:p>
                  <w:p>
                    <w:pPr>
                      <w:ind w:left="-57" w:right="-57"/>
                      <w:jc w:val="center"/>
                      <w:rPr>
                        <w:sz w:val="20"/>
                      </w:rPr>
                    </w:pPr>
                    <w:r>
                      <w:rPr>
                        <w:color w:val="000000"/>
                        <w:sz w:val="20"/>
                      </w:rPr>
                      <w:t>(2029 m.)</w:t>
                    </w:r>
                  </w:p>
                </w:tc>
                <w:tc>
                  <w:tcPr>
                    <w:tcW w:w="992" w:type="dxa"/>
                    <w:vMerge w:val="restart"/>
                  </w:tcPr>
                  <w:p>
                    <w:pPr>
                      <w:rPr>
                        <w:sz w:val="20"/>
                      </w:rPr>
                    </w:pPr>
                    <w:r>
                      <w:rPr>
                        <w:color w:val="000000"/>
                        <w:sz w:val="20"/>
                      </w:rPr>
                      <w:t>CPVA</w:t>
                    </w:r>
                  </w:p>
                </w:tc>
                <w:tc>
                  <w:tcPr>
                    <w:tcW w:w="1279" w:type="dxa"/>
                    <w:vMerge w:val="restart"/>
                  </w:tcPr>
                  <w:p>
                    <w:pPr>
                      <w:rPr>
                        <w:color w:val="000000"/>
                        <w:sz w:val="20"/>
                      </w:rPr>
                    </w:pPr>
                    <w:r>
                      <w:rPr>
                        <w:color w:val="000000"/>
                        <w:sz w:val="20"/>
                      </w:rPr>
                      <w:t>SAM</w:t>
                    </w: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b/>
                        <w:bCs/>
                        <w:sz w:val="20"/>
                      </w:rPr>
                    </w:pPr>
                    <w:r>
                      <w:rPr>
                        <w:color w:val="000000"/>
                        <w:szCs w:val="24"/>
                      </w:rPr>
                      <w:t xml:space="preserve">3 600  </w:t>
                    </w:r>
                  </w:p>
                </w:tc>
                <w:tc>
                  <w:tcPr>
                    <w:tcW w:w="1118" w:type="dxa"/>
                  </w:tcPr>
                  <w:p>
                    <w:pPr>
                      <w:rPr>
                        <w:sz w:val="20"/>
                      </w:rPr>
                    </w:pPr>
                    <w:r>
                      <w:rPr>
                        <w:color w:val="000000"/>
                        <w:szCs w:val="24"/>
                      </w:rPr>
                      <w:t>2021–2027 m. IP (BF)</w:t>
                    </w:r>
                  </w:p>
                </w:tc>
                <w:tc>
                  <w:tcPr>
                    <w:tcW w:w="2001" w:type="dxa"/>
                    <w:gridSpan w:val="2"/>
                  </w:tcPr>
                  <w:p>
                    <w:pPr>
                      <w:tabs>
                        <w:tab w:val="center" w:pos="4153"/>
                        <w:tab w:val="right" w:pos="8306"/>
                      </w:tabs>
                      <w:jc w:val="both"/>
                      <w:rPr>
                        <w:color w:val="000000"/>
                        <w:szCs w:val="24"/>
                      </w:rPr>
                    </w:pPr>
                    <w:r>
                      <w:rPr>
                        <w:color w:val="000000"/>
                        <w:szCs w:val="24"/>
                      </w:rPr>
                      <w:t>R – Naujos arba modernizuotos sveikatos priežiūros infrastruktūros naudotojų skaičius per metus,</w:t>
                    </w:r>
                  </w:p>
                  <w:p>
                    <w:pPr>
                      <w:ind w:left="-57" w:right="-57"/>
                      <w:rPr>
                        <w:sz w:val="20"/>
                      </w:rPr>
                    </w:pPr>
                    <w:r>
                      <w:rPr>
                        <w:color w:val="000000"/>
                        <w:szCs w:val="24"/>
                      </w:rPr>
                      <w:t>asmenys per metus</w:t>
                    </w:r>
                  </w:p>
                </w:tc>
                <w:tc>
                  <w:tcPr>
                    <w:tcW w:w="1134" w:type="dxa"/>
                    <w:gridSpan w:val="2"/>
                  </w:tcPr>
                  <w:p>
                    <w:pPr>
                      <w:tabs>
                        <w:tab w:val="center" w:pos="4153"/>
                        <w:tab w:val="right" w:pos="8306"/>
                      </w:tabs>
                      <w:jc w:val="center"/>
                      <w:rPr>
                        <w:color w:val="000000"/>
                        <w:szCs w:val="24"/>
                      </w:rPr>
                    </w:pPr>
                    <w:r>
                      <w:rPr>
                        <w:szCs w:val="24"/>
                      </w:rPr>
                      <w:t>5 440</w:t>
                    </w:r>
                  </w:p>
                  <w:p>
                    <w:pPr>
                      <w:ind w:left="-57" w:right="-57"/>
                      <w:jc w:val="center"/>
                      <w:rPr>
                        <w:sz w:val="20"/>
                      </w:rPr>
                    </w:pPr>
                    <w:r>
                      <w:rPr>
                        <w:color w:val="000000"/>
                        <w:szCs w:val="24"/>
                      </w:rPr>
                      <w:t>(2029 m.)</w:t>
                    </w:r>
                  </w:p>
                </w:tc>
                <w:tc>
                  <w:tcPr>
                    <w:tcW w:w="992" w:type="dxa"/>
                    <w:vMerge/>
                    <w:vAlign w:val="center"/>
                  </w:tcPr>
                  <w:p>
                    <w:pPr>
                      <w:rPr>
                        <w:sz w:val="20"/>
                      </w:rPr>
                    </w:pPr>
                  </w:p>
                </w:tc>
                <w:tc>
                  <w:tcPr>
                    <w:tcW w:w="1279" w:type="dxa"/>
                    <w:vMerge/>
                    <w:vAlign w:val="center"/>
                  </w:tcPr>
                  <w:p>
                    <w:pPr>
                      <w:rPr>
                        <w:color w:val="000000"/>
                        <w:sz w:val="20"/>
                      </w:rPr>
                    </w:pPr>
                  </w:p>
                </w:tc>
              </w:tr>
              <w:tr>
                <w:trPr>
                  <w:trHeight w:val="414"/>
                </w:trPr>
                <w:tc>
                  <w:tcPr>
                    <w:tcW w:w="2130" w:type="dxa"/>
                    <w:gridSpan w:val="2"/>
                    <w:vMerge w:val="restart"/>
                  </w:tcPr>
                  <w:p>
                    <w:pPr>
                      <w:rPr>
                        <w:b/>
                        <w:bCs/>
                        <w:sz w:val="20"/>
                      </w:rPr>
                    </w:pPr>
                    <w:r>
                      <w:rPr>
                        <w:color w:val="000000"/>
                        <w:sz w:val="20"/>
                      </w:rPr>
                      <w:t xml:space="preserve">2.14. Sveikatos priežiūros specialistų paruošimas operatyviai ir koordinuotai teikti asmens sveikatos priežiūros paslaugas </w:t>
                    </w:r>
                    <w:r>
                      <w:rPr>
                        <w:iCs/>
                        <w:sz w:val="20"/>
                      </w:rPr>
                      <w:t>įvairių krizių ar ekstremaliųjų situacijų metu</w:t>
                    </w:r>
                  </w:p>
                </w:tc>
                <w:tc>
                  <w:tcPr>
                    <w:tcW w:w="699" w:type="dxa"/>
                    <w:vMerge w:val="restart"/>
                  </w:tcPr>
                  <w:p>
                    <w:pPr>
                      <w:rPr>
                        <w:sz w:val="20"/>
                      </w:rPr>
                    </w:pPr>
                    <w:r>
                      <w:rPr>
                        <w:color w:val="000000"/>
                        <w:sz w:val="20"/>
                      </w:rPr>
                      <w:t>I</w:t>
                    </w:r>
                  </w:p>
                </w:tc>
                <w:tc>
                  <w:tcPr>
                    <w:tcW w:w="1985" w:type="dxa"/>
                    <w:vMerge w:val="restart"/>
                  </w:tcPr>
                  <w:p>
                    <w:pPr>
                      <w:rPr>
                        <w:sz w:val="20"/>
                      </w:rPr>
                    </w:pPr>
                    <w:r>
                      <w:rPr>
                        <w:sz w:val="20"/>
                      </w:rPr>
                      <w:t xml:space="preserve">Sveikatos apsaugos ministerijos Ekstremalių sveikatai situacijų centras, Vilniaus universitetas ir Lietuvos sveikatos mokslų universitetas </w:t>
                    </w:r>
                  </w:p>
                </w:tc>
                <w:tc>
                  <w:tcPr>
                    <w:tcW w:w="829" w:type="dxa"/>
                    <w:gridSpan w:val="3"/>
                    <w:vMerge w:val="restart"/>
                  </w:tcPr>
                  <w:p>
                    <w:pPr>
                      <w:rPr>
                        <w:sz w:val="20"/>
                      </w:rPr>
                    </w:pPr>
                    <w:r>
                      <w:rPr>
                        <w:color w:val="000000"/>
                        <w:sz w:val="20"/>
                      </w:rPr>
                      <w:t>P</w:t>
                    </w:r>
                  </w:p>
                </w:tc>
                <w:tc>
                  <w:tcPr>
                    <w:tcW w:w="1014" w:type="dxa"/>
                    <w:gridSpan w:val="3"/>
                    <w:vMerge w:val="restart"/>
                  </w:tcPr>
                  <w:p>
                    <w:pPr>
                      <w:rPr>
                        <w:sz w:val="20"/>
                      </w:rPr>
                    </w:pPr>
                    <w:r>
                      <w:rPr>
                        <w:color w:val="000000"/>
                        <w:sz w:val="20"/>
                      </w:rPr>
                      <w:t>Taip</w:t>
                    </w:r>
                  </w:p>
                </w:tc>
                <w:tc>
                  <w:tcPr>
                    <w:tcW w:w="681" w:type="dxa"/>
                    <w:gridSpan w:val="3"/>
                    <w:vMerge w:val="restart"/>
                  </w:tcPr>
                  <w:p>
                    <w:pPr>
                      <w:rPr>
                        <w:sz w:val="20"/>
                      </w:rPr>
                    </w:pPr>
                    <w:r>
                      <w:rPr>
                        <w:color w:val="000000"/>
                        <w:sz w:val="20"/>
                      </w:rPr>
                      <w:t>D</w:t>
                    </w:r>
                  </w:p>
                </w:tc>
                <w:tc>
                  <w:tcPr>
                    <w:tcW w:w="1167" w:type="dxa"/>
                    <w:gridSpan w:val="2"/>
                  </w:tcPr>
                  <w:p>
                    <w:pPr>
                      <w:rPr>
                        <w:b/>
                        <w:bCs/>
                        <w:sz w:val="20"/>
                      </w:rPr>
                    </w:pPr>
                    <w:r>
                      <w:rPr>
                        <w:color w:val="000000"/>
                        <w:sz w:val="20"/>
                        <w:lang w:val="en-US"/>
                      </w:rPr>
                      <w:t>9 321,577</w:t>
                    </w:r>
                  </w:p>
                </w:tc>
                <w:tc>
                  <w:tcPr>
                    <w:tcW w:w="1118" w:type="dxa"/>
                  </w:tcPr>
                  <w:p>
                    <w:pPr>
                      <w:rPr>
                        <w:sz w:val="20"/>
                      </w:rPr>
                    </w:pPr>
                    <w:r>
                      <w:rPr>
                        <w:color w:val="000000"/>
                        <w:sz w:val="20"/>
                      </w:rPr>
                      <w:t xml:space="preserve">2021–2027 m. IP (ESF+) </w:t>
                    </w:r>
                  </w:p>
                </w:tc>
                <w:tc>
                  <w:tcPr>
                    <w:tcW w:w="2001" w:type="dxa"/>
                    <w:gridSpan w:val="2"/>
                  </w:tcPr>
                  <w:p>
                    <w:pPr>
                      <w:ind w:left="-57" w:right="-57"/>
                      <w:rPr>
                        <w:sz w:val="20"/>
                      </w:rPr>
                    </w:pPr>
                    <w:r>
                      <w:rPr>
                        <w:color w:val="000000"/>
                        <w:sz w:val="20"/>
                      </w:rPr>
                      <w:t>P – Specialistai, dalyvavę kvalifikacijos tobulinimo ar perkvalifikavimo veiklose, asmenys</w:t>
                    </w:r>
                  </w:p>
                </w:tc>
                <w:tc>
                  <w:tcPr>
                    <w:tcW w:w="1134" w:type="dxa"/>
                    <w:gridSpan w:val="2"/>
                  </w:tcPr>
                  <w:p>
                    <w:pPr>
                      <w:ind w:left="-57" w:right="-57"/>
                      <w:jc w:val="center"/>
                      <w:rPr>
                        <w:color w:val="000000"/>
                        <w:sz w:val="20"/>
                      </w:rPr>
                    </w:pPr>
                    <w:r>
                      <w:rPr>
                        <w:color w:val="000000"/>
                        <w:sz w:val="20"/>
                      </w:rPr>
                      <w:t>4 920</w:t>
                    </w:r>
                  </w:p>
                  <w:p>
                    <w:pPr>
                      <w:ind w:left="-57" w:right="-57"/>
                      <w:jc w:val="center"/>
                      <w:rPr>
                        <w:sz w:val="20"/>
                      </w:rPr>
                    </w:pPr>
                    <w:r>
                      <w:rPr>
                        <w:color w:val="000000"/>
                        <w:sz w:val="20"/>
                      </w:rPr>
                      <w:t>(2029 m.)</w:t>
                    </w:r>
                  </w:p>
                </w:tc>
                <w:tc>
                  <w:tcPr>
                    <w:tcW w:w="992" w:type="dxa"/>
                    <w:vMerge w:val="restart"/>
                  </w:tcPr>
                  <w:p>
                    <w:pPr>
                      <w:rPr>
                        <w:sz w:val="20"/>
                      </w:rPr>
                    </w:pPr>
                    <w:r>
                      <w:rPr>
                        <w:color w:val="000000"/>
                        <w:sz w:val="20"/>
                      </w:rPr>
                      <w:t>CPVA</w:t>
                    </w:r>
                  </w:p>
                </w:tc>
                <w:tc>
                  <w:tcPr>
                    <w:tcW w:w="1279" w:type="dxa"/>
                    <w:vMerge w:val="restart"/>
                  </w:tcPr>
                  <w:p>
                    <w:pPr>
                      <w:rPr>
                        <w:color w:val="000000"/>
                        <w:sz w:val="20"/>
                      </w:rPr>
                    </w:pPr>
                    <w:r>
                      <w:rPr>
                        <w:color w:val="000000"/>
                        <w:sz w:val="20"/>
                      </w:rPr>
                      <w:t>SAM</w:t>
                    </w: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b/>
                        <w:bCs/>
                        <w:sz w:val="20"/>
                      </w:rPr>
                    </w:pPr>
                    <w:r>
                      <w:rPr>
                        <w:color w:val="000000"/>
                        <w:sz w:val="20"/>
                      </w:rPr>
                      <w:t>490,611</w:t>
                    </w:r>
                  </w:p>
                </w:tc>
                <w:tc>
                  <w:tcPr>
                    <w:tcW w:w="1118" w:type="dxa"/>
                  </w:tcPr>
                  <w:p>
                    <w:pPr>
                      <w:rPr>
                        <w:sz w:val="20"/>
                      </w:rPr>
                    </w:pPr>
                    <w:r>
                      <w:rPr>
                        <w:color w:val="000000"/>
                        <w:sz w:val="20"/>
                      </w:rPr>
                      <w:t>2021–2027 m. IP (BF)</w:t>
                    </w:r>
                  </w:p>
                </w:tc>
                <w:tc>
                  <w:tcPr>
                    <w:tcW w:w="2001" w:type="dxa"/>
                    <w:gridSpan w:val="2"/>
                  </w:tcPr>
                  <w:p>
                    <w:pPr>
                      <w:ind w:left="-57" w:right="-57"/>
                      <w:rPr>
                        <w:sz w:val="20"/>
                      </w:rPr>
                    </w:pPr>
                    <w:r>
                      <w:rPr>
                        <w:color w:val="000000"/>
                        <w:sz w:val="20"/>
                      </w:rPr>
                      <w:t>R – Specialistų, kurie po dalyvavimo veiklose įgijo ar patobulino kvalifikaciją, dalis, proc.</w:t>
                    </w:r>
                  </w:p>
                </w:tc>
                <w:tc>
                  <w:tcPr>
                    <w:tcW w:w="1134" w:type="dxa"/>
                    <w:gridSpan w:val="2"/>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sz w:val="20"/>
                      </w:rPr>
                    </w:pPr>
                  </w:p>
                </w:tc>
                <w:tc>
                  <w:tcPr>
                    <w:tcW w:w="992" w:type="dxa"/>
                    <w:vMerge/>
                    <w:vAlign w:val="center"/>
                  </w:tcPr>
                  <w:p>
                    <w:pPr>
                      <w:rPr>
                        <w:sz w:val="20"/>
                      </w:rPr>
                    </w:pPr>
                  </w:p>
                </w:tc>
                <w:tc>
                  <w:tcPr>
                    <w:tcW w:w="1279" w:type="dxa"/>
                    <w:vMerge/>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699" w:type="dxa"/>
                    <w:vMerge w:val="restart"/>
                    <w:shd w:val="clear" w:color="auto" w:fill="F2F2F2" w:themeFill="background1" w:themeFillShade="F2"/>
                  </w:tcPr>
                  <w:p>
                    <w:pPr>
                      <w:rPr>
                        <w:color w:val="000000"/>
                        <w:sz w:val="20"/>
                      </w:rPr>
                    </w:pPr>
                    <w:r>
                      <w:rPr>
                        <w:sz w:val="20"/>
                      </w:rPr>
                      <w:t>-</w:t>
                    </w:r>
                  </w:p>
                </w:tc>
                <w:tc>
                  <w:tcPr>
                    <w:tcW w:w="1985" w:type="dxa"/>
                    <w:vMerge w:val="restart"/>
                    <w:shd w:val="clear" w:color="auto" w:fill="F2F2F2" w:themeFill="background1" w:themeFillShade="F2"/>
                  </w:tcPr>
                  <w:p>
                    <w:pPr>
                      <w:rPr>
                        <w:color w:val="000000"/>
                        <w:sz w:val="20"/>
                      </w:rPr>
                    </w:pPr>
                    <w:r>
                      <w:rPr>
                        <w:sz w:val="20"/>
                      </w:rPr>
                      <w:t>-</w:t>
                    </w:r>
                  </w:p>
                </w:tc>
                <w:tc>
                  <w:tcPr>
                    <w:tcW w:w="829" w:type="dxa"/>
                    <w:gridSpan w:val="3"/>
                    <w:vMerge w:val="restart"/>
                    <w:shd w:val="clear" w:color="auto" w:fill="F2F2F2" w:themeFill="background1" w:themeFillShade="F2"/>
                  </w:tcPr>
                  <w:p>
                    <w:pPr>
                      <w:rPr>
                        <w:color w:val="000000"/>
                        <w:sz w:val="20"/>
                      </w:rPr>
                    </w:pPr>
                    <w:r>
                      <w:rPr>
                        <w:sz w:val="20"/>
                      </w:rPr>
                      <w:t>-</w:t>
                    </w:r>
                  </w:p>
                </w:tc>
                <w:tc>
                  <w:tcPr>
                    <w:tcW w:w="1014" w:type="dxa"/>
                    <w:gridSpan w:val="3"/>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167" w:type="dxa"/>
                    <w:gridSpan w:val="2"/>
                    <w:shd w:val="clear" w:color="auto" w:fill="F2F2F2" w:themeFill="background1" w:themeFillShade="F2"/>
                  </w:tcPr>
                  <w:p>
                    <w:pPr>
                      <w:rPr>
                        <w:color w:val="000000"/>
                        <w:sz w:val="20"/>
                      </w:rPr>
                    </w:pPr>
                    <w:r>
                      <w:rPr>
                        <w:b/>
                        <w:bCs/>
                        <w:sz w:val="20"/>
                      </w:rPr>
                      <w:t>52 970,227</w:t>
                    </w:r>
                  </w:p>
                </w:tc>
                <w:tc>
                  <w:tcPr>
                    <w:tcW w:w="1118" w:type="dxa"/>
                    <w:shd w:val="clear" w:color="auto" w:fill="F2F2F2" w:themeFill="background1" w:themeFillShade="F2"/>
                  </w:tcPr>
                  <w:p>
                    <w:pPr>
                      <w:rPr>
                        <w:color w:val="000000"/>
                        <w:sz w:val="20"/>
                      </w:rPr>
                    </w:pPr>
                    <w:r>
                      <w:rPr>
                        <w:sz w:val="20"/>
                      </w:rPr>
                      <w:t>-</w:t>
                    </w:r>
                  </w:p>
                </w:tc>
                <w:tc>
                  <w:tcPr>
                    <w:tcW w:w="2001" w:type="dxa"/>
                    <w:gridSpan w:val="2"/>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9"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19 500</w:t>
                    </w:r>
                  </w:p>
                </w:tc>
                <w:tc>
                  <w:tcPr>
                    <w:tcW w:w="1118" w:type="dxa"/>
                    <w:shd w:val="clear" w:color="auto" w:fill="F2F2F2" w:themeFill="background1" w:themeFillShade="F2"/>
                  </w:tcPr>
                  <w:p>
                    <w:pPr>
                      <w:rPr>
                        <w:sz w:val="20"/>
                      </w:rPr>
                    </w:pPr>
                    <w:r>
                      <w:rPr>
                        <w:sz w:val="20"/>
                      </w:rPr>
                      <w:t>EGADP</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4 090</w:t>
                    </w:r>
                  </w:p>
                </w:tc>
                <w:tc>
                  <w:tcPr>
                    <w:tcW w:w="1118" w:type="dxa"/>
                    <w:shd w:val="clear" w:color="auto" w:fill="F2F2F2" w:themeFill="background1" w:themeFillShade="F2"/>
                  </w:tcPr>
                  <w:p>
                    <w:pPr>
                      <w:rPr>
                        <w:sz w:val="20"/>
                      </w:rPr>
                    </w:pPr>
                    <w:r>
                      <w:rPr>
                        <w:sz w:val="20"/>
                      </w:rPr>
                      <w:t>PVM iš VB</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8 823,193</w:t>
                    </w:r>
                  </w:p>
                </w:tc>
                <w:tc>
                  <w:tcPr>
                    <w:tcW w:w="1118" w:type="dxa"/>
                    <w:shd w:val="clear" w:color="auto" w:fill="F2F2F2" w:themeFill="background1" w:themeFillShade="F2"/>
                  </w:tcPr>
                  <w:p>
                    <w:pPr>
                      <w:rPr>
                        <w:sz w:val="20"/>
                      </w:rPr>
                    </w:pPr>
                    <w:r>
                      <w:rPr>
                        <w:sz w:val="20"/>
                      </w:rPr>
                      <w:t xml:space="preserve">2021–2027 m. IP (ESF+,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1134" w:type="dxa"/>
                    <w:gridSpan w:val="2"/>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1 557,034</w:t>
                    </w:r>
                  </w:p>
                </w:tc>
                <w:tc>
                  <w:tcPr>
                    <w:tcW w:w="1118" w:type="dxa"/>
                    <w:shd w:val="clear" w:color="auto" w:fill="F2F2F2" w:themeFill="background1" w:themeFillShade="F2"/>
                  </w:tcPr>
                  <w:p>
                    <w:pPr>
                      <w:rPr>
                        <w:sz w:val="20"/>
                      </w:rPr>
                    </w:pPr>
                    <w:r>
                      <w:rPr>
                        <w:sz w:val="20"/>
                      </w:rPr>
                      <w:t xml:space="preserve">2021–2027 m. IP (BF,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1134" w:type="dxa"/>
                    <w:gridSpan w:val="2"/>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19 000</w:t>
                    </w:r>
                  </w:p>
                </w:tc>
                <w:tc>
                  <w:tcPr>
                    <w:tcW w:w="1118" w:type="dxa"/>
                    <w:shd w:val="clear" w:color="auto" w:fill="F2F2F2" w:themeFill="background1" w:themeFillShade="F2"/>
                  </w:tcPr>
                  <w:p>
                    <w:pPr>
                      <w:rPr>
                        <w:sz w:val="20"/>
                      </w:rPr>
                    </w:pPr>
                    <w:r>
                      <w:rPr>
                        <w:sz w:val="20"/>
                      </w:rPr>
                      <w:t>VB</w:t>
                    </w:r>
                  </w:p>
                </w:tc>
                <w:tc>
                  <w:tcPr>
                    <w:tcW w:w="2001" w:type="dxa"/>
                    <w:gridSpan w:val="2"/>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130" w:type="dxa"/>
                    <w:gridSpan w:val="2"/>
                    <w:vMerge w:val="restart"/>
                  </w:tcPr>
                  <w:p>
                    <w:pPr>
                      <w:rPr>
                        <w:color w:val="000000"/>
                        <w:sz w:val="20"/>
                      </w:rPr>
                    </w:pPr>
                    <w:r>
                      <w:rPr>
                        <w:sz w:val="20"/>
                      </w:rPr>
                      <w:t>3.1. Pažangios terapijos centro statyba</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VšĮ Vilniaus universiteto ligoninė Santaros klinikos</w:t>
                    </w:r>
                  </w:p>
                </w:tc>
                <w:tc>
                  <w:tcPr>
                    <w:tcW w:w="829" w:type="dxa"/>
                    <w:gridSpan w:val="3"/>
                    <w:vMerge w:val="restart"/>
                  </w:tcPr>
                  <w:p>
                    <w:pPr>
                      <w:rPr>
                        <w:color w:val="000000"/>
                        <w:sz w:val="20"/>
                      </w:rPr>
                    </w:pPr>
                    <w:r>
                      <w:rPr>
                        <w:sz w:val="20"/>
                      </w:rPr>
                      <w:t>P</w:t>
                    </w:r>
                  </w:p>
                </w:tc>
                <w:tc>
                  <w:tcPr>
                    <w:tcW w:w="1014" w:type="dxa"/>
                    <w:gridSpan w:val="3"/>
                    <w:vMerge w:val="restart"/>
                    <w:tcBorders>
                      <w:left w:val="single" w:sz="4" w:space="0" w:color="auto"/>
                      <w:right w:val="single" w:sz="4" w:space="0" w:color="auto"/>
                    </w:tcBorders>
                  </w:tcPr>
                  <w:p>
                    <w:pPr>
                      <w:jc w:val="center"/>
                      <w:rPr>
                        <w:color w:val="000000"/>
                        <w:sz w:val="20"/>
                      </w:rPr>
                    </w:pPr>
                    <w:r>
                      <w:rPr>
                        <w:color w:val="000000"/>
                        <w:sz w:val="20"/>
                      </w:rPr>
                      <w:t>Taip</w:t>
                    </w:r>
                  </w:p>
                </w:tc>
                <w:tc>
                  <w:tcPr>
                    <w:tcW w:w="681" w:type="dxa"/>
                    <w:gridSpan w:val="3"/>
                    <w:vMerge w:val="restart"/>
                    <w:tcBorders>
                      <w:left w:val="single" w:sz="4" w:space="0" w:color="auto"/>
                      <w:right w:val="single" w:sz="4" w:space="0" w:color="auto"/>
                    </w:tcBorders>
                  </w:tcPr>
                  <w:p>
                    <w:pPr>
                      <w:jc w:val="center"/>
                      <w:rPr>
                        <w:color w:val="000000"/>
                        <w:sz w:val="20"/>
                      </w:rPr>
                    </w:pPr>
                    <w:r>
                      <w:rPr>
                        <w:color w:val="000000"/>
                        <w:sz w:val="20"/>
                      </w:rPr>
                      <w:t>D</w:t>
                    </w: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13 200</w:t>
                    </w:r>
                  </w:p>
                </w:tc>
                <w:tc>
                  <w:tcPr>
                    <w:tcW w:w="1118" w:type="dxa"/>
                    <w:tcBorders>
                      <w:left w:val="single" w:sz="4" w:space="0" w:color="auto"/>
                      <w:right w:val="single" w:sz="4" w:space="0" w:color="auto"/>
                    </w:tcBorders>
                    <w:vAlign w:val="center"/>
                  </w:tcPr>
                  <w:p>
                    <w:pPr>
                      <w:rPr>
                        <w:color w:val="000000"/>
                        <w:sz w:val="20"/>
                      </w:rPr>
                    </w:pPr>
                    <w:r>
                      <w:rPr>
                        <w:color w:val="000000"/>
                        <w:sz w:val="20"/>
                      </w:rPr>
                      <w:t>EGADP</w:t>
                    </w:r>
                  </w:p>
                </w:tc>
                <w:tc>
                  <w:tcPr>
                    <w:tcW w:w="2001" w:type="dxa"/>
                    <w:gridSpan w:val="2"/>
                    <w:vMerge w:val="restart"/>
                    <w:tcBorders>
                      <w:top w:val="single" w:sz="4" w:space="0" w:color="auto"/>
                      <w:left w:val="single" w:sz="4" w:space="0" w:color="auto"/>
                      <w:right w:val="single" w:sz="4" w:space="0" w:color="auto"/>
                    </w:tcBorders>
                  </w:tcPr>
                  <w:p>
                    <w:pPr>
                      <w:ind w:left="-57" w:right="-57"/>
                      <w:rPr>
                        <w:sz w:val="20"/>
                      </w:rPr>
                    </w:pPr>
                    <w:r>
                      <w:rPr>
                        <w:sz w:val="20"/>
                      </w:rPr>
                      <w:t>P – Pažangiosios terapijos centro pastato statybos darbų viešojo pirkimo procedūrų užbaigimas, vnt.</w:t>
                    </w:r>
                  </w:p>
                </w:tc>
                <w:tc>
                  <w:tcPr>
                    <w:tcW w:w="113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2 770</w:t>
                    </w:r>
                  </w:p>
                </w:tc>
                <w:tc>
                  <w:tcPr>
                    <w:tcW w:w="1118" w:type="dxa"/>
                    <w:tcBorders>
                      <w:left w:val="single" w:sz="4" w:space="0" w:color="auto"/>
                      <w:right w:val="single" w:sz="4" w:space="0" w:color="auto"/>
                    </w:tcBorders>
                    <w:vAlign w:val="center"/>
                  </w:tcPr>
                  <w:p>
                    <w:pPr>
                      <w:rPr>
                        <w:color w:val="000000"/>
                        <w:sz w:val="20"/>
                      </w:rPr>
                    </w:pPr>
                    <w:r>
                      <w:rPr>
                        <w:color w:val="000000"/>
                        <w:sz w:val="20"/>
                      </w:rPr>
                      <w:t>PVM iš VB</w:t>
                    </w:r>
                  </w:p>
                </w:tc>
                <w:tc>
                  <w:tcPr>
                    <w:tcW w:w="2001" w:type="dxa"/>
                    <w:gridSpan w:val="2"/>
                    <w:vMerge/>
                    <w:tcBorders>
                      <w:left w:val="single" w:sz="4" w:space="0" w:color="auto"/>
                      <w:right w:val="single" w:sz="4" w:space="0" w:color="auto"/>
                    </w:tcBorders>
                  </w:tcPr>
                  <w:p>
                    <w:pPr>
                      <w:ind w:left="-57" w:right="-57"/>
                      <w:rPr>
                        <w:color w:val="FF0000"/>
                        <w:sz w:val="20"/>
                      </w:rPr>
                    </w:pPr>
                  </w:p>
                </w:tc>
                <w:tc>
                  <w:tcPr>
                    <w:tcW w:w="1134" w:type="dxa"/>
                    <w:gridSpan w:val="2"/>
                    <w:vMerge/>
                    <w:tcBorders>
                      <w:left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val="restart"/>
                    <w:tcBorders>
                      <w:left w:val="single" w:sz="4" w:space="0" w:color="auto"/>
                      <w:right w:val="single" w:sz="4" w:space="0" w:color="auto"/>
                    </w:tcBorders>
                    <w:vAlign w:val="center"/>
                  </w:tcPr>
                  <w:p>
                    <w:pPr>
                      <w:rPr>
                        <w:color w:val="000000"/>
                        <w:sz w:val="20"/>
                      </w:rPr>
                    </w:pPr>
                  </w:p>
                </w:tc>
                <w:tc>
                  <w:tcPr>
                    <w:tcW w:w="1118" w:type="dxa"/>
                    <w:vMerge w:val="restart"/>
                    <w:tcBorders>
                      <w:left w:val="single" w:sz="4" w:space="0" w:color="auto"/>
                      <w:right w:val="single" w:sz="4" w:space="0" w:color="auto"/>
                    </w:tcBorders>
                    <w:vAlign w:val="center"/>
                  </w:tcPr>
                  <w:p>
                    <w:pPr>
                      <w:rPr>
                        <w:color w:val="000000"/>
                        <w:sz w:val="20"/>
                      </w:rPr>
                    </w:pPr>
                  </w:p>
                </w:tc>
                <w:tc>
                  <w:tcPr>
                    <w:tcW w:w="2001" w:type="dxa"/>
                    <w:gridSpan w:val="2"/>
                    <w:vMerge/>
                    <w:tcBorders>
                      <w:left w:val="single" w:sz="4" w:space="0" w:color="auto"/>
                      <w:bottom w:val="single" w:sz="4" w:space="0" w:color="auto"/>
                      <w:right w:val="single" w:sz="4" w:space="0" w:color="auto"/>
                    </w:tcBorders>
                  </w:tcPr>
                  <w:p>
                    <w:pPr>
                      <w:ind w:left="-57" w:right="-57"/>
                      <w:rPr>
                        <w:color w:val="FF0000"/>
                        <w:sz w:val="20"/>
                      </w:rPr>
                    </w:pPr>
                  </w:p>
                </w:tc>
                <w:tc>
                  <w:tcPr>
                    <w:tcW w:w="113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FF0000"/>
                        <w:sz w:val="20"/>
                      </w:rPr>
                    </w:pPr>
                    <w:r>
                      <w:rPr>
                        <w:sz w:val="20"/>
                      </w:rPr>
                      <w:t>P – Sukurtas pažangios terapijos centras,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761"/>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right w:val="single" w:sz="4" w:space="0" w:color="auto"/>
                    </w:tcBorders>
                  </w:tcPr>
                  <w:p>
                    <w:pPr>
                      <w:ind w:left="-57" w:right="-57"/>
                      <w:rPr>
                        <w:color w:val="FF0000"/>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20"/>
                </w:trPr>
                <w:tc>
                  <w:tcPr>
                    <w:tcW w:w="2130" w:type="dxa"/>
                    <w:gridSpan w:val="2"/>
                    <w:vMerge w:val="restart"/>
                  </w:tcPr>
                  <w:p>
                    <w:pPr>
                      <w:rPr>
                        <w:color w:val="000000"/>
                        <w:sz w:val="20"/>
                      </w:rPr>
                    </w:pPr>
                    <w:r>
                      <w:rPr>
                        <w:sz w:val="20"/>
                      </w:rPr>
                      <w:t>3.2. Genomo tyrimams atlikti reikalingos įrangos įsigijimas ir tyrimų atlikimas</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ASPĮ</w:t>
                    </w:r>
                  </w:p>
                </w:tc>
                <w:tc>
                  <w:tcPr>
                    <w:tcW w:w="829" w:type="dxa"/>
                    <w:gridSpan w:val="3"/>
                    <w:vMerge w:val="restart"/>
                  </w:tcPr>
                  <w:p>
                    <w:pPr>
                      <w:rPr>
                        <w:color w:val="000000"/>
                        <w:sz w:val="20"/>
                      </w:rPr>
                    </w:pPr>
                    <w:r>
                      <w:rPr>
                        <w:sz w:val="20"/>
                      </w:rPr>
                      <w:t>P</w:t>
                    </w:r>
                  </w:p>
                </w:tc>
                <w:tc>
                  <w:tcPr>
                    <w:tcW w:w="1014" w:type="dxa"/>
                    <w:gridSpan w:val="3"/>
                    <w:vMerge w:val="restart"/>
                  </w:tcPr>
                  <w:p>
                    <w:pPr>
                      <w:rPr>
                        <w:color w:val="000000"/>
                        <w:sz w:val="20"/>
                      </w:rPr>
                    </w:pPr>
                    <w:r>
                      <w:rPr>
                        <w:sz w:val="20"/>
                      </w:rPr>
                      <w:t>Taip</w:t>
                    </w:r>
                  </w:p>
                </w:tc>
                <w:tc>
                  <w:tcPr>
                    <w:tcW w:w="681" w:type="dxa"/>
                    <w:gridSpan w:val="3"/>
                    <w:vMerge w:val="restart"/>
                  </w:tcPr>
                  <w:p>
                    <w:pPr>
                      <w:rPr>
                        <w:color w:val="000000"/>
                        <w:sz w:val="20"/>
                      </w:rPr>
                    </w:pPr>
                    <w:r>
                      <w:rPr>
                        <w:sz w:val="20"/>
                      </w:rPr>
                      <w:t>D</w:t>
                    </w:r>
                  </w:p>
                </w:tc>
                <w:tc>
                  <w:tcPr>
                    <w:tcW w:w="1167" w:type="dxa"/>
                    <w:gridSpan w:val="2"/>
                  </w:tcPr>
                  <w:p>
                    <w:pPr>
                      <w:rPr>
                        <w:color w:val="000000"/>
                        <w:sz w:val="20"/>
                      </w:rPr>
                    </w:pPr>
                    <w:r>
                      <w:rPr>
                        <w:sz w:val="20"/>
                      </w:rPr>
                      <w:t>6 300</w:t>
                    </w:r>
                  </w:p>
                </w:tc>
                <w:tc>
                  <w:tcPr>
                    <w:tcW w:w="1118" w:type="dxa"/>
                  </w:tcPr>
                  <w:p>
                    <w:pPr>
                      <w:rPr>
                        <w:color w:val="000000"/>
                        <w:sz w:val="20"/>
                      </w:rPr>
                    </w:pPr>
                    <w:r>
                      <w:rPr>
                        <w:sz w:val="20"/>
                      </w:rPr>
                      <w:t>EGADP</w:t>
                    </w:r>
                  </w:p>
                </w:tc>
                <w:tc>
                  <w:tcPr>
                    <w:tcW w:w="2001" w:type="dxa"/>
                    <w:gridSpan w:val="2"/>
                    <w:vMerge w:val="restart"/>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1134" w:type="dxa"/>
                    <w:gridSpan w:val="2"/>
                    <w:vMerge w:val="restart"/>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restart"/>
                  </w:tcPr>
                  <w:p>
                    <w:pPr>
                      <w:rPr>
                        <w:color w:val="000000"/>
                        <w:sz w:val="20"/>
                      </w:rPr>
                    </w:pPr>
                    <w:r>
                      <w:rPr>
                        <w:sz w:val="20"/>
                      </w:rPr>
                      <w:t>1 320</w:t>
                    </w:r>
                  </w:p>
                </w:tc>
                <w:tc>
                  <w:tcPr>
                    <w:tcW w:w="1118" w:type="dxa"/>
                    <w:vMerge w:val="restart"/>
                  </w:tcPr>
                  <w:p>
                    <w:pPr>
                      <w:rPr>
                        <w:color w:val="000000"/>
                        <w:sz w:val="20"/>
                      </w:rPr>
                    </w:pPr>
                    <w:r>
                      <w:rPr>
                        <w:iCs/>
                        <w:sz w:val="20"/>
                      </w:rPr>
                      <w:t>PVM iš VB</w:t>
                    </w:r>
                  </w:p>
                </w:tc>
                <w:tc>
                  <w:tcPr>
                    <w:tcW w:w="2001" w:type="dxa"/>
                    <w:gridSpan w:val="2"/>
                    <w:vMerge/>
                    <w:tcBorders>
                      <w:bottom w:val="single" w:sz="4" w:space="0" w:color="auto"/>
                    </w:tcBorders>
                  </w:tcPr>
                  <w:p>
                    <w:pPr>
                      <w:ind w:left="-57" w:right="-57"/>
                      <w:rPr>
                        <w:sz w:val="20"/>
                      </w:rPr>
                    </w:pPr>
                  </w:p>
                </w:tc>
                <w:tc>
                  <w:tcPr>
                    <w:tcW w:w="1134" w:type="dxa"/>
                    <w:gridSpan w:val="2"/>
                    <w:vMerge/>
                    <w:tcBorders>
                      <w:bottom w:val="single" w:sz="4" w:space="0" w:color="auto"/>
                    </w:tcBorders>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41"/>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 xml:space="preserve">P – </w:t>
                    </w:r>
                    <w:r>
                      <w:rPr>
                        <w:sz w:val="20"/>
                        <w:lang w:eastAsia="lt-LT"/>
                      </w:rPr>
                      <w:t>Atliktų viso žmogaus genomo sekos nustatymo tyrimų skaičius, vnt.</w:t>
                    </w:r>
                  </w:p>
                </w:tc>
                <w:tc>
                  <w:tcPr>
                    <w:tcW w:w="1134" w:type="dxa"/>
                    <w:gridSpan w:val="2"/>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tcPr>
                  <w:p>
                    <w:pPr>
                      <w:rPr>
                        <w:sz w:val="20"/>
                      </w:rPr>
                    </w:pPr>
                  </w:p>
                </w:tc>
                <w:tc>
                  <w:tcPr>
                    <w:tcW w:w="1279" w:type="dxa"/>
                    <w:vMerge/>
                    <w:tcBorders>
                      <w:left w:val="single" w:sz="4" w:space="0" w:color="auto"/>
                      <w:right w:val="single" w:sz="4" w:space="0" w:color="auto"/>
                    </w:tcBorders>
                    <w:vAlign w:val="center"/>
                  </w:tcPr>
                  <w:p>
                    <w:pPr>
                      <w:jc w:val="center"/>
                      <w:rPr>
                        <w:color w:val="000000"/>
                        <w:sz w:val="20"/>
                      </w:rPr>
                    </w:pPr>
                  </w:p>
                </w:tc>
              </w:tr>
              <w:tr>
                <w:trPr>
                  <w:trHeight w:val="841"/>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 xml:space="preserve">P – Atliktų viso žmogaus genomo sekos nustatymo tyrimų skaičius, vnt. </w:t>
                    </w:r>
                  </w:p>
                </w:tc>
                <w:tc>
                  <w:tcPr>
                    <w:tcW w:w="1134" w:type="dxa"/>
                    <w:gridSpan w:val="2"/>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tcPr>
                  <w:p>
                    <w:pPr>
                      <w:rPr>
                        <w:sz w:val="20"/>
                      </w:rPr>
                    </w:pPr>
                  </w:p>
                </w:tc>
                <w:tc>
                  <w:tcPr>
                    <w:tcW w:w="1279" w:type="dxa"/>
                    <w:vMerge/>
                    <w:tcBorders>
                      <w:left w:val="single" w:sz="4" w:space="0" w:color="auto"/>
                      <w:right w:val="single" w:sz="4" w:space="0" w:color="auto"/>
                    </w:tcBorders>
                    <w:vAlign w:val="center"/>
                  </w:tcPr>
                  <w:p>
                    <w:pPr>
                      <w:jc w:val="center"/>
                      <w:rPr>
                        <w:color w:val="000000"/>
                        <w:sz w:val="20"/>
                      </w:rPr>
                    </w:pPr>
                  </w:p>
                </w:tc>
              </w:tr>
              <w:tr>
                <w:trPr>
                  <w:trHeight w:val="1176"/>
                </w:trPr>
                <w:tc>
                  <w:tcPr>
                    <w:tcW w:w="2130"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699" w:type="dxa"/>
                    <w:vMerge w:val="restart"/>
                  </w:tcPr>
                  <w:p>
                    <w:pPr>
                      <w:rPr>
                        <w:sz w:val="20"/>
                      </w:rPr>
                    </w:pPr>
                    <w:r>
                      <w:rPr>
                        <w:sz w:val="20"/>
                      </w:rPr>
                      <w:t>I</w:t>
                    </w:r>
                  </w:p>
                </w:tc>
                <w:tc>
                  <w:tcPr>
                    <w:tcW w:w="1985"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rPr>
                    </w:pPr>
                    <w:r>
                      <w:rPr>
                        <w:sz w:val="20"/>
                      </w:rPr>
                      <w:t>5 525</w:t>
                    </w:r>
                  </w:p>
                  <w:p>
                    <w:pPr>
                      <w:rPr>
                        <w:sz w:val="20"/>
                      </w:rPr>
                    </w:pPr>
                  </w:p>
                  <w:p>
                    <w:pPr>
                      <w:rPr>
                        <w:sz w:val="20"/>
                      </w:rPr>
                    </w:pPr>
                  </w:p>
                </w:tc>
                <w:tc>
                  <w:tcPr>
                    <w:tcW w:w="1118" w:type="dxa"/>
                    <w:vMerge w:val="restart"/>
                  </w:tcPr>
                  <w:p>
                    <w:pPr>
                      <w:rPr>
                        <w:sz w:val="20"/>
                      </w:rPr>
                    </w:pPr>
                    <w:r>
                      <w:rPr>
                        <w:sz w:val="20"/>
                      </w:rPr>
                      <w:t>2021–2027 m. IP (ESF</w:t>
                    </w:r>
                    <w:r>
                      <w:rPr>
                        <w:sz w:val="20"/>
                        <w:lang w:val="en-US"/>
                      </w:rPr>
                      <w:t>+</w:t>
                    </w:r>
                    <w:r>
                      <w:rPr>
                        <w:sz w:val="20"/>
                      </w:rPr>
                      <w:t xml:space="preserve">) </w:t>
                    </w: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134" w:type="dxa"/>
                    <w:gridSpan w:val="2"/>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P – Specialistai, dalyvavę kvalifikacijos tobulinimo ar perkvalifikavimo veiklose, asmenys</w:t>
                    </w:r>
                  </w:p>
                </w:tc>
                <w:tc>
                  <w:tcPr>
                    <w:tcW w:w="1134" w:type="dxa"/>
                    <w:gridSpan w:val="2"/>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rPr>
                    </w:pPr>
                    <w:r>
                      <w:rPr>
                        <w:sz w:val="20"/>
                      </w:rPr>
                      <w:t>975</w:t>
                    </w:r>
                  </w:p>
                </w:tc>
                <w:tc>
                  <w:tcPr>
                    <w:tcW w:w="1118" w:type="dxa"/>
                    <w:vMerge w:val="restart"/>
                  </w:tcPr>
                  <w:p>
                    <w:pPr>
                      <w:rPr>
                        <w:sz w:val="20"/>
                      </w:rPr>
                    </w:pPr>
                    <w:r>
                      <w:rPr>
                        <w:sz w:val="20"/>
                      </w:rPr>
                      <w:t xml:space="preserve">2021–2027 m. IP (BF) </w:t>
                    </w:r>
                  </w:p>
                </w:tc>
                <w:tc>
                  <w:tcPr>
                    <w:tcW w:w="2001" w:type="dxa"/>
                    <w:gridSpan w:val="2"/>
                    <w:shd w:val="clear" w:color="auto" w:fill="FFFFFF" w:themeFill="background1"/>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134"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264"/>
                </w:trPr>
                <w:tc>
                  <w:tcPr>
                    <w:tcW w:w="2130" w:type="dxa"/>
                    <w:gridSpan w:val="2"/>
                  </w:tcPr>
                  <w:p>
                    <w:pPr>
                      <w:rPr>
                        <w:iCs/>
                        <w:sz w:val="20"/>
                      </w:rPr>
                    </w:pPr>
                    <w:r>
                      <w:rPr>
                        <w:iCs/>
                        <w:sz w:val="20"/>
                      </w:rPr>
                      <w:t>3.4. Sudėtingų sveikatos priežiūros diagnostikos ir gydymo paslaugų infrastruktūros modernizavimas</w:t>
                    </w:r>
                  </w:p>
                </w:tc>
                <w:tc>
                  <w:tcPr>
                    <w:tcW w:w="699" w:type="dxa"/>
                  </w:tcPr>
                  <w:p>
                    <w:pPr>
                      <w:rPr>
                        <w:color w:val="000000"/>
                        <w:sz w:val="20"/>
                      </w:rPr>
                    </w:pPr>
                    <w:r>
                      <w:rPr>
                        <w:sz w:val="20"/>
                      </w:rPr>
                      <w:t>I</w:t>
                    </w:r>
                  </w:p>
                </w:tc>
                <w:tc>
                  <w:tcPr>
                    <w:tcW w:w="1985" w:type="dxa"/>
                  </w:tcPr>
                  <w:p>
                    <w:pPr>
                      <w:rPr>
                        <w:color w:val="000000"/>
                        <w:sz w:val="20"/>
                      </w:rPr>
                    </w:pPr>
                    <w:r>
                      <w:rPr>
                        <w:sz w:val="20"/>
                      </w:rPr>
                      <w:t>ASPĮ</w:t>
                    </w:r>
                  </w:p>
                </w:tc>
                <w:tc>
                  <w:tcPr>
                    <w:tcW w:w="829" w:type="dxa"/>
                    <w:gridSpan w:val="3"/>
                  </w:tcPr>
                  <w:p>
                    <w:pPr>
                      <w:rPr>
                        <w:color w:val="000000"/>
                        <w:sz w:val="20"/>
                      </w:rPr>
                    </w:pPr>
                    <w:r>
                      <w:rPr>
                        <w:sz w:val="20"/>
                      </w:rPr>
                      <w:t>P</w:t>
                    </w:r>
                  </w:p>
                </w:tc>
                <w:tc>
                  <w:tcPr>
                    <w:tcW w:w="1014" w:type="dxa"/>
                    <w:gridSpan w:val="3"/>
                  </w:tcPr>
                  <w:p>
                    <w:pPr>
                      <w:rPr>
                        <w:color w:val="000000"/>
                        <w:sz w:val="20"/>
                      </w:rPr>
                    </w:pPr>
                    <w:r>
                      <w:rPr>
                        <w:sz w:val="20"/>
                      </w:rPr>
                      <w:t>Taip</w:t>
                    </w:r>
                  </w:p>
                </w:tc>
                <w:tc>
                  <w:tcPr>
                    <w:tcW w:w="681" w:type="dxa"/>
                    <w:gridSpan w:val="3"/>
                  </w:tcPr>
                  <w:p>
                    <w:pPr>
                      <w:rPr>
                        <w:color w:val="000000"/>
                        <w:sz w:val="20"/>
                      </w:rPr>
                    </w:pPr>
                    <w:r>
                      <w:rPr>
                        <w:sz w:val="20"/>
                      </w:rPr>
                      <w:t>D</w:t>
                    </w:r>
                  </w:p>
                </w:tc>
                <w:tc>
                  <w:tcPr>
                    <w:tcW w:w="1167" w:type="dxa"/>
                    <w:gridSpan w:val="2"/>
                  </w:tcPr>
                  <w:p>
                    <w:pPr>
                      <w:rPr>
                        <w:sz w:val="20"/>
                      </w:rPr>
                    </w:pPr>
                    <w:r>
                      <w:rPr>
                        <w:sz w:val="20"/>
                      </w:rPr>
                      <w:t>19 000</w:t>
                    </w:r>
                  </w:p>
                </w:tc>
                <w:tc>
                  <w:tcPr>
                    <w:tcW w:w="1118" w:type="dxa"/>
                  </w:tcPr>
                  <w:p>
                    <w:pPr>
                      <w:rPr>
                        <w:sz w:val="20"/>
                      </w:rPr>
                    </w:pPr>
                    <w:r>
                      <w:rPr>
                        <w:sz w:val="20"/>
                      </w:rPr>
                      <w:t>VB</w:t>
                    </w:r>
                  </w:p>
                </w:tc>
                <w:tc>
                  <w:tcPr>
                    <w:tcW w:w="2001" w:type="dxa"/>
                    <w:gridSpan w:val="2"/>
                  </w:tcPr>
                  <w:p>
                    <w:pPr>
                      <w:ind w:left="-57" w:right="-57"/>
                      <w:rPr>
                        <w:sz w:val="20"/>
                      </w:rPr>
                    </w:pPr>
                    <w:r>
                      <w:rPr>
                        <w:sz w:val="20"/>
                      </w:rPr>
                      <w:t>P – Modernizuotų asmens sveikatos priežiūros įstaigų skaičius</w:t>
                    </w:r>
                  </w:p>
                </w:tc>
                <w:tc>
                  <w:tcPr>
                    <w:tcW w:w="1134" w:type="dxa"/>
                    <w:gridSpan w:val="2"/>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r>
                      <w:rPr>
                        <w:iCs/>
                        <w:sz w:val="20"/>
                      </w:rPr>
                      <w:t>3.5. Inovatyvių specializuotų sveikatos priežiūros paslaugų teikimo ir organizavimo modelių kūrimas ir išbandymas, Vidurio ir vakarų Lietuvos regionas</w:t>
                    </w:r>
                  </w:p>
                </w:tc>
                <w:tc>
                  <w:tcPr>
                    <w:tcW w:w="699" w:type="dxa"/>
                    <w:tcBorders>
                      <w:top w:val="single" w:sz="4" w:space="0" w:color="auto"/>
                      <w:left w:val="single" w:sz="4" w:space="0" w:color="auto"/>
                      <w:bottom w:val="single" w:sz="4" w:space="0" w:color="auto"/>
                      <w:right w:val="single" w:sz="4" w:space="0" w:color="auto"/>
                    </w:tcBorders>
                  </w:tcPr>
                  <w:p>
                    <w:pPr>
                      <w:rPr>
                        <w:sz w:val="20"/>
                      </w:rPr>
                    </w:pPr>
                    <w:r>
                      <w:rPr>
                        <w:sz w:val="20"/>
                      </w:rPr>
                      <w:t>I</w:t>
                    </w:r>
                  </w:p>
                </w:tc>
                <w:tc>
                  <w:tcPr>
                    <w:tcW w:w="1985" w:type="dxa"/>
                    <w:tcBorders>
                      <w:top w:val="single" w:sz="4" w:space="0" w:color="auto"/>
                      <w:left w:val="single" w:sz="4" w:space="0" w:color="auto"/>
                      <w:bottom w:val="single" w:sz="4" w:space="0" w:color="auto"/>
                      <w:right w:val="single" w:sz="4" w:space="0" w:color="auto"/>
                    </w:tcBorders>
                  </w:tcPr>
                  <w:p>
                    <w:pPr>
                      <w:rPr>
                        <w:sz w:val="20"/>
                      </w:rPr>
                    </w:pPr>
                    <w:r>
                      <w:rPr>
                        <w:sz w:val="20"/>
                      </w:rPr>
                      <w:t>Valstybinė ligonių kasa prie Sveikatos apsaugos ministerijos, Lietuvos medicinos biblioteka (toliau – LMB)</w:t>
                    </w:r>
                  </w:p>
                  <w:p>
                    <w:pPr>
                      <w:rPr>
                        <w:sz w:val="20"/>
                      </w:rPr>
                    </w:pPr>
                  </w:p>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P</w:t>
                    </w: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3 298,193</w:t>
                    </w:r>
                  </w:p>
                  <w:p>
                    <w:pPr>
                      <w:rPr>
                        <w:sz w:val="20"/>
                      </w:rPr>
                    </w:pP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CPVA</w:t>
                    </w: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699" w:type="dxa"/>
                    <w:tcBorders>
                      <w:top w:val="single" w:sz="4" w:space="0" w:color="auto"/>
                      <w:left w:val="single" w:sz="4" w:space="0" w:color="auto"/>
                      <w:bottom w:val="single" w:sz="4" w:space="0" w:color="auto"/>
                      <w:right w:val="single" w:sz="4" w:space="0" w:color="auto"/>
                    </w:tcBorders>
                  </w:tcPr>
                  <w:p>
                    <w:pPr>
                      <w:rPr>
                        <w:sz w:val="20"/>
                      </w:rPr>
                    </w:pPr>
                  </w:p>
                </w:tc>
                <w:tc>
                  <w:tcPr>
                    <w:tcW w:w="1985" w:type="dxa"/>
                    <w:tcBorders>
                      <w:top w:val="single" w:sz="4" w:space="0" w:color="auto"/>
                      <w:left w:val="single" w:sz="4" w:space="0" w:color="auto"/>
                      <w:bottom w:val="single" w:sz="4" w:space="0" w:color="auto"/>
                      <w:right w:val="single" w:sz="4" w:space="0" w:color="auto"/>
                    </w:tcBorders>
                  </w:tcPr>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77 320,412</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43 216,001</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9 081,259</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w:t>
                    </w:r>
                  </w:p>
                  <w:p>
                    <w:pPr>
                      <w:rPr>
                        <w:sz w:val="20"/>
                      </w:rPr>
                    </w:pPr>
                    <w:r>
                      <w:rPr>
                        <w:sz w:val="20"/>
                      </w:rPr>
                      <w:t>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bottom w:val="single" w:sz="4" w:space="0" w:color="auto"/>
                      <w:right w:val="single" w:sz="4" w:space="0" w:color="auto"/>
                    </w:tcBorders>
                    <w:vAlign w:val="center"/>
                  </w:tcPr>
                  <w:p>
                    <w:pPr>
                      <w:rPr>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40 812,839</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8 776,404</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4.5. E. sveikatos sistemos tobulinimas, Sostinės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val="restart"/>
                  </w:tcPr>
                  <w:p>
                    <w:pPr>
                      <w:rPr>
                        <w:sz w:val="20"/>
                      </w:rPr>
                    </w:pPr>
                    <w:r>
                      <w:rPr>
                        <w:sz w:val="20"/>
                      </w:rPr>
                      <w:t xml:space="preserve">CPVA </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 paslaugų naudotojų skaičius per metus, naudotojai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tcBorders>
                      <w:right w:val="single" w:sz="4" w:space="0" w:color="auto"/>
                    </w:tcBorders>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w:t>
                    </w:r>
                  </w:p>
                  <w:p>
                    <w:pPr>
                      <w:ind w:left="-57" w:right="-57"/>
                      <w:rPr>
                        <w:sz w:val="20"/>
                      </w:rPr>
                    </w:pPr>
                    <w:r>
                      <w:rPr>
                        <w:sz w:val="20"/>
                      </w:rPr>
                      <w:t>paslaugų naudotojų skaičius per metus, naudotojai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699" w:type="dxa"/>
                    <w:shd w:val="clear" w:color="auto" w:fill="F2F2F2" w:themeFill="background1" w:themeFillShade="F2"/>
                  </w:tcPr>
                  <w:p>
                    <w:pPr>
                      <w:rPr>
                        <w:sz w:val="20"/>
                      </w:rPr>
                    </w:pPr>
                    <w:r>
                      <w:rPr>
                        <w:sz w:val="20"/>
                      </w:rPr>
                      <w:t>A</w:t>
                    </w:r>
                  </w:p>
                </w:tc>
                <w:tc>
                  <w:tcPr>
                    <w:tcW w:w="1985" w:type="dxa"/>
                    <w:shd w:val="clear" w:color="auto" w:fill="F2F2F2" w:themeFill="background1" w:themeFillShade="F2"/>
                  </w:tcPr>
                  <w:p>
                    <w:pPr>
                      <w:rPr>
                        <w:sz w:val="20"/>
                      </w:rPr>
                    </w:pPr>
                    <w:r>
                      <w:rPr>
                        <w:sz w:val="20"/>
                      </w:rPr>
                      <w:t>SAM</w:t>
                    </w:r>
                  </w:p>
                </w:tc>
                <w:tc>
                  <w:tcPr>
                    <w:tcW w:w="829" w:type="dxa"/>
                    <w:gridSpan w:val="3"/>
                    <w:shd w:val="clear" w:color="auto" w:fill="F2F2F2" w:themeFill="background1" w:themeFillShade="F2"/>
                  </w:tcPr>
                  <w:p>
                    <w:pPr>
                      <w:rPr>
                        <w:sz w:val="20"/>
                      </w:rPr>
                    </w:pPr>
                    <w:r>
                      <w:rPr>
                        <w:sz w:val="20"/>
                      </w:rPr>
                      <w:t>P</w:t>
                    </w:r>
                  </w:p>
                </w:tc>
                <w:tc>
                  <w:tcPr>
                    <w:tcW w:w="1014" w:type="dxa"/>
                    <w:gridSpan w:val="3"/>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167" w:type="dxa"/>
                    <w:gridSpan w:val="2"/>
                    <w:shd w:val="clear" w:color="auto" w:fill="F2F2F2" w:themeFill="background1" w:themeFillShade="F2"/>
                  </w:tcPr>
                  <w:p>
                    <w:pPr>
                      <w:rPr>
                        <w:b/>
                        <w:bCs/>
                        <w:sz w:val="20"/>
                      </w:rPr>
                    </w:pPr>
                    <w:r>
                      <w:rPr>
                        <w:b/>
                        <w:bCs/>
                        <w:sz w:val="20"/>
                        <w:lang w:val="en-US"/>
                      </w:rPr>
                      <w:t>169,719</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134"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30" w:type="dxa"/>
                    <w:gridSpan w:val="2"/>
                    <w:vMerge w:val="restart"/>
                    <w:hideMark/>
                  </w:tcPr>
                  <w:p>
                    <w:pPr>
                      <w:rPr>
                        <w:iCs/>
                        <w:sz w:val="20"/>
                      </w:rPr>
                    </w:pPr>
                    <w:r>
                      <w:rPr>
                        <w:iCs/>
                        <w:sz w:val="20"/>
                      </w:rPr>
                      <w:t>6. Bazinių sveikatos priežiūros paslaugų užtikrinimas:</w:t>
                    </w:r>
                  </w:p>
                </w:tc>
                <w:tc>
                  <w:tcPr>
                    <w:tcW w:w="699" w:type="dxa"/>
                    <w:vMerge w:val="restart"/>
                    <w:hideMark/>
                  </w:tcPr>
                  <w:p>
                    <w:pPr>
                      <w:rPr>
                        <w:sz w:val="20"/>
                      </w:rPr>
                    </w:pPr>
                    <w:r>
                      <w:rPr>
                        <w:sz w:val="20"/>
                      </w:rPr>
                      <w:t>-</w:t>
                    </w:r>
                  </w:p>
                </w:tc>
                <w:tc>
                  <w:tcPr>
                    <w:tcW w:w="1985" w:type="dxa"/>
                    <w:vMerge w:val="restart"/>
                    <w:hideMark/>
                  </w:tcPr>
                  <w:p>
                    <w:pPr>
                      <w:rPr>
                        <w:sz w:val="20"/>
                      </w:rPr>
                    </w:pPr>
                    <w:r>
                      <w:rPr>
                        <w:sz w:val="20"/>
                      </w:rPr>
                      <w:t>-</w:t>
                    </w:r>
                  </w:p>
                </w:tc>
                <w:tc>
                  <w:tcPr>
                    <w:tcW w:w="829" w:type="dxa"/>
                    <w:gridSpan w:val="3"/>
                    <w:vMerge w:val="restart"/>
                    <w:hideMark/>
                  </w:tcPr>
                  <w:p>
                    <w:pPr>
                      <w:rPr>
                        <w:sz w:val="20"/>
                      </w:rPr>
                    </w:pPr>
                    <w:r>
                      <w:rPr>
                        <w:sz w:val="20"/>
                      </w:rPr>
                      <w:t>-</w:t>
                    </w:r>
                  </w:p>
                </w:tc>
                <w:tc>
                  <w:tcPr>
                    <w:tcW w:w="1014" w:type="dxa"/>
                    <w:gridSpan w:val="3"/>
                    <w:vMerge w:val="restart"/>
                    <w:hideMark/>
                  </w:tcPr>
                  <w:p>
                    <w:pPr>
                      <w:rPr>
                        <w:sz w:val="20"/>
                      </w:rPr>
                    </w:pPr>
                    <w:r>
                      <w:rPr>
                        <w:sz w:val="20"/>
                      </w:rPr>
                      <w:t>-</w:t>
                    </w:r>
                  </w:p>
                </w:tc>
                <w:tc>
                  <w:tcPr>
                    <w:tcW w:w="681" w:type="dxa"/>
                    <w:gridSpan w:val="3"/>
                    <w:vMerge w:val="restart"/>
                    <w:hideMark/>
                  </w:tcPr>
                  <w:p>
                    <w:pPr>
                      <w:rPr>
                        <w:sz w:val="20"/>
                      </w:rPr>
                    </w:pPr>
                    <w:r>
                      <w:rPr>
                        <w:sz w:val="20"/>
                      </w:rPr>
                      <w:t>-</w:t>
                    </w:r>
                  </w:p>
                </w:tc>
                <w:tc>
                  <w:tcPr>
                    <w:tcW w:w="1167" w:type="dxa"/>
                    <w:gridSpan w:val="2"/>
                    <w:hideMark/>
                  </w:tcPr>
                  <w:p>
                    <w:pPr>
                      <w:jc w:val="center"/>
                      <w:rPr>
                        <w:sz w:val="20"/>
                      </w:rPr>
                    </w:pPr>
                    <w:r>
                      <w:rPr>
                        <w:sz w:val="20"/>
                      </w:rPr>
                      <w:t>159 658,803</w:t>
                    </w:r>
                  </w:p>
                </w:tc>
                <w:tc>
                  <w:tcPr>
                    <w:tcW w:w="1118" w:type="dxa"/>
                    <w:hideMark/>
                  </w:tcPr>
                  <w:p>
                    <w:pPr>
                      <w:rPr>
                        <w:sz w:val="20"/>
                      </w:rPr>
                    </w:pPr>
                    <w:r>
                      <w:rPr>
                        <w:sz w:val="20"/>
                      </w:rPr>
                      <w:t>-</w:t>
                    </w:r>
                  </w:p>
                </w:tc>
                <w:tc>
                  <w:tcPr>
                    <w:tcW w:w="2001" w:type="dxa"/>
                    <w:gridSpan w:val="2"/>
                    <w:hideMark/>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1134" w:type="dxa"/>
                    <w:gridSpan w:val="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13 303,764</w:t>
                    </w:r>
                  </w:p>
                </w:tc>
                <w:tc>
                  <w:tcPr>
                    <w:tcW w:w="1118" w:type="dxa"/>
                    <w:hideMark/>
                  </w:tcPr>
                  <w:p>
                    <w:pPr>
                      <w:rPr>
                        <w:sz w:val="20"/>
                      </w:rPr>
                    </w:pPr>
                    <w:r>
                      <w:rPr>
                        <w:sz w:val="20"/>
                      </w:rPr>
                      <w:t>2021–2027 m. IP (ERPF, Sostinės regionas)</w:t>
                    </w:r>
                  </w:p>
                </w:tc>
                <w:tc>
                  <w:tcPr>
                    <w:tcW w:w="2001" w:type="dxa"/>
                    <w:gridSpan w:val="2"/>
                    <w:hideMark/>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1134" w:type="dxa"/>
                    <w:gridSpan w:val="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tcPr>
                  <w:p>
                    <w:pPr>
                      <w:jc w:val="center"/>
                      <w:rPr>
                        <w:sz w:val="20"/>
                      </w:rPr>
                    </w:pPr>
                    <w:r>
                      <w:rPr>
                        <w:sz w:val="20"/>
                      </w:rPr>
                      <w:t>13 303,764</w:t>
                    </w:r>
                  </w:p>
                  <w:p>
                    <w:pPr>
                      <w:jc w:val="center"/>
                      <w:rPr>
                        <w:sz w:val="20"/>
                      </w:rPr>
                    </w:pPr>
                  </w:p>
                </w:tc>
                <w:tc>
                  <w:tcPr>
                    <w:tcW w:w="1118" w:type="dxa"/>
                    <w:hideMark/>
                  </w:tcPr>
                  <w:p>
                    <w:pPr>
                      <w:rPr>
                        <w:sz w:val="20"/>
                      </w:rPr>
                    </w:pPr>
                    <w:r>
                      <w:rPr>
                        <w:sz w:val="20"/>
                      </w:rPr>
                      <w:t>2021–2027 m. IP (BF, Sostinės regionas)</w:t>
                    </w:r>
                  </w:p>
                </w:tc>
                <w:tc>
                  <w:tcPr>
                    <w:tcW w:w="2001" w:type="dxa"/>
                    <w:gridSpan w:val="2"/>
                    <w:hideMark/>
                  </w:tcPr>
                  <w:p>
                    <w:pPr>
                      <w:ind w:left="-57" w:right="-57"/>
                      <w:rPr>
                        <w:sz w:val="20"/>
                      </w:rPr>
                    </w:pPr>
                    <w:r>
                      <w:rPr>
                        <w:sz w:val="20"/>
                      </w:rPr>
                      <w:t xml:space="preserve">R </w:t>
                    </w:r>
                    <w:r>
                      <w:rPr>
                        <w:szCs w:val="24"/>
                      </w:rPr>
                      <w:t>–</w:t>
                    </w:r>
                    <w:r>
                      <w:rPr>
                        <w:sz w:val="20"/>
                      </w:rPr>
                      <w:t xml:space="preserve"> Gyventojų, dėl laukimo laiko (ilgų eilių) atidėjusių kreipimąsi dėl sveikatos priežiūros paslaugų, dalis,  proc.</w:t>
                    </w:r>
                  </w:p>
                </w:tc>
                <w:tc>
                  <w:tcPr>
                    <w:tcW w:w="1134" w:type="dxa"/>
                    <w:gridSpan w:val="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rPr>
                    </w:pPr>
                    <w:r>
                      <w:rPr>
                        <w:sz w:val="20"/>
                        <w:lang w:val="en-US"/>
                      </w:rPr>
                      <w:t>74 860,004</w:t>
                    </w:r>
                  </w:p>
                </w:tc>
                <w:tc>
                  <w:tcPr>
                    <w:tcW w:w="1118" w:type="dxa"/>
                    <w:hideMark/>
                  </w:tcPr>
                  <w:p>
                    <w:pPr>
                      <w:rPr>
                        <w:sz w:val="20"/>
                      </w:rPr>
                    </w:pPr>
                    <w:r>
                      <w:rPr>
                        <w:sz w:val="20"/>
                      </w:rPr>
                      <w:t>2021–2027 m. IP (ERPF, VVL regionas)</w:t>
                    </w:r>
                  </w:p>
                </w:tc>
                <w:tc>
                  <w:tcPr>
                    <w:tcW w:w="2001" w:type="dxa"/>
                    <w:gridSpan w:val="2"/>
                    <w:hideMark/>
                  </w:tcPr>
                  <w:p>
                    <w:pPr>
                      <w:ind w:left="-57" w:right="-57"/>
                      <w:rPr>
                        <w:sz w:val="20"/>
                      </w:rPr>
                    </w:pPr>
                    <w:r>
                      <w:rPr>
                        <w:sz w:val="20"/>
                      </w:rPr>
                      <w:t xml:space="preserve">R </w:t>
                    </w:r>
                    <w:r>
                      <w:rPr>
                        <w:szCs w:val="24"/>
                      </w:rPr>
                      <w:t>–</w:t>
                    </w:r>
                    <w:r>
                      <w:rPr>
                        <w:sz w:val="20"/>
                      </w:rPr>
                      <w:t xml:space="preserve"> Stacionarinio aktyviojo gydymo atvejų skaičiaus sumažėjimas lyginant su 2019 m., atvejų skaičius</w:t>
                    </w:r>
                  </w:p>
                </w:tc>
                <w:tc>
                  <w:tcPr>
                    <w:tcW w:w="1134" w:type="dxa"/>
                    <w:gridSpan w:val="2"/>
                  </w:tcPr>
                  <w:p>
                    <w:pPr>
                      <w:ind w:left="-57" w:right="-57"/>
                      <w:jc w:val="center"/>
                      <w:rPr>
                        <w:sz w:val="20"/>
                      </w:rPr>
                    </w:pPr>
                    <w:r>
                      <w:rPr>
                        <w:sz w:val="20"/>
                      </w:rPr>
                      <w:t>431 714</w:t>
                    </w:r>
                  </w:p>
                  <w:p>
                    <w:pPr>
                      <w:ind w:left="-57" w:right="-57"/>
                      <w:jc w:val="center"/>
                      <w:rPr>
                        <w:sz w:val="20"/>
                      </w:rPr>
                    </w:pPr>
                    <w:r>
                      <w:rPr>
                        <w:sz w:val="20"/>
                      </w:rPr>
                      <w:t>(2030 m.)</w:t>
                    </w: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trike/>
                        <w:sz w:val="20"/>
                      </w:rPr>
                    </w:pPr>
                    <w:r>
                      <w:rPr>
                        <w:sz w:val="20"/>
                      </w:rPr>
                      <w:t>31 433,580</w:t>
                    </w:r>
                  </w:p>
                </w:tc>
                <w:tc>
                  <w:tcPr>
                    <w:tcW w:w="1118" w:type="dxa"/>
                    <w:hideMark/>
                  </w:tcPr>
                  <w:p>
                    <w:pPr>
                      <w:rPr>
                        <w:sz w:val="20"/>
                      </w:rPr>
                    </w:pPr>
                    <w:r>
                      <w:rPr>
                        <w:sz w:val="20"/>
                      </w:rPr>
                      <w:t>2021–2027 m. IP (ESF+, VVL regionas)</w:t>
                    </w:r>
                  </w:p>
                </w:tc>
                <w:tc>
                  <w:tcPr>
                    <w:tcW w:w="2001" w:type="dxa"/>
                    <w:gridSpan w:val="2"/>
                  </w:tcPr>
                  <w:p>
                    <w:pPr>
                      <w:ind w:left="-57" w:right="-57"/>
                      <w:rPr>
                        <w:sz w:val="20"/>
                      </w:rPr>
                    </w:pPr>
                    <w:r>
                      <w:rPr>
                        <w:sz w:val="20"/>
                      </w:rPr>
                      <w:t>R – Dienos stacionaro atvejų skaičiaus padidėjimas lyginant su 2019 m., atvejų skaičius</w:t>
                    </w:r>
                  </w:p>
                  <w:p>
                    <w:pPr>
                      <w:ind w:right="-57"/>
                      <w:rPr>
                        <w:sz w:val="20"/>
                      </w:rPr>
                    </w:pPr>
                  </w:p>
                </w:tc>
                <w:tc>
                  <w:tcPr>
                    <w:tcW w:w="1134" w:type="dxa"/>
                    <w:gridSpan w:val="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rPr>
                    </w:pPr>
                    <w:r>
                      <w:rPr>
                        <w:sz w:val="20"/>
                        <w:lang w:val="en-US"/>
                      </w:rPr>
                      <w:t>18 757,691</w:t>
                    </w:r>
                  </w:p>
                </w:tc>
                <w:tc>
                  <w:tcPr>
                    <w:tcW w:w="1118" w:type="dxa"/>
                    <w:hideMark/>
                  </w:tcPr>
                  <w:p>
                    <w:pPr>
                      <w:rPr>
                        <w:sz w:val="20"/>
                      </w:rPr>
                    </w:pPr>
                    <w:r>
                      <w:rPr>
                        <w:sz w:val="20"/>
                      </w:rPr>
                      <w:t>2021–2027 m. IP (BF, VVL regionas)</w:t>
                    </w:r>
                  </w:p>
                </w:tc>
                <w:tc>
                  <w:tcPr>
                    <w:tcW w:w="2001" w:type="dxa"/>
                    <w:gridSpan w:val="2"/>
                    <w:hideMark/>
                  </w:tcPr>
                  <w:p>
                    <w:pPr>
                      <w:ind w:left="-57" w:right="-57"/>
                      <w:rPr>
                        <w:sz w:val="20"/>
                      </w:rPr>
                    </w:pPr>
                    <w:r>
                      <w:rPr>
                        <w:sz w:val="20"/>
                      </w:rPr>
                      <w:t xml:space="preserve">R </w:t>
                    </w:r>
                    <w:r>
                      <w:rPr>
                        <w:szCs w:val="24"/>
                      </w:rPr>
                      <w:t>–</w:t>
                    </w:r>
                    <w:r>
                      <w:rPr>
                        <w:sz w:val="20"/>
                      </w:rPr>
                      <w:t xml:space="preserve"> Dienos chirurgijos atvejų skaičiaus padidėjimas lyginant su 2019 m., atvejų skaičius</w:t>
                    </w:r>
                  </w:p>
                </w:tc>
                <w:tc>
                  <w:tcPr>
                    <w:tcW w:w="1134" w:type="dxa"/>
                    <w:gridSpan w:val="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8 000</w:t>
                    </w:r>
                  </w:p>
                </w:tc>
                <w:tc>
                  <w:tcPr>
                    <w:tcW w:w="1118" w:type="dxa"/>
                    <w:hideMark/>
                  </w:tcPr>
                  <w:p>
                    <w:pPr>
                      <w:rPr>
                        <w:sz w:val="20"/>
                      </w:rPr>
                    </w:pPr>
                    <w:r>
                      <w:rPr>
                        <w:sz w:val="20"/>
                      </w:rPr>
                      <w:t>VB</w:t>
                    </w:r>
                  </w:p>
                </w:tc>
                <w:tc>
                  <w:tcPr>
                    <w:tcW w:w="2001" w:type="dxa"/>
                    <w:gridSpan w:val="2"/>
                    <w:hideMark/>
                  </w:tcPr>
                  <w:p>
                    <w:pPr>
                      <w:ind w:left="-57" w:right="-57"/>
                      <w:rPr>
                        <w:sz w:val="20"/>
                      </w:rPr>
                    </w:pPr>
                    <w:r>
                      <w:rPr>
                        <w:sz w:val="20"/>
                      </w:rPr>
                      <w:t xml:space="preserve">R </w:t>
                    </w:r>
                    <w:r>
                      <w:rPr>
                        <w:szCs w:val="24"/>
                      </w:rPr>
                      <w:t>–</w:t>
                    </w:r>
                    <w:r>
                      <w:rPr>
                        <w:sz w:val="20"/>
                      </w:rPr>
                      <w:t xml:space="preserve"> Aktyviojo gydymo lovų užimtumas, proc.</w:t>
                    </w:r>
                  </w:p>
                </w:tc>
                <w:tc>
                  <w:tcPr>
                    <w:tcW w:w="1134" w:type="dxa"/>
                    <w:gridSpan w:val="2"/>
                    <w:hideMark/>
                  </w:tcPr>
                  <w:p>
                    <w:pPr>
                      <w:ind w:left="-57" w:right="-57"/>
                      <w:jc w:val="center"/>
                      <w:rPr>
                        <w:sz w:val="20"/>
                      </w:rPr>
                    </w:pPr>
                    <w:r>
                      <w:rPr>
                        <w:sz w:val="20"/>
                      </w:rPr>
                      <w:t>82</w:t>
                    </w:r>
                  </w:p>
                  <w:p>
                    <w:pPr>
                      <w:ind w:right="-57"/>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699" w:type="dxa"/>
                    <w:vMerge w:val="restart"/>
                  </w:tcPr>
                  <w:p>
                    <w:pPr>
                      <w:rPr>
                        <w:sz w:val="20"/>
                      </w:rPr>
                    </w:pPr>
                    <w:r>
                      <w:rPr>
                        <w:sz w:val="20"/>
                      </w:rPr>
                      <w:t>R</w:t>
                    </w:r>
                  </w:p>
                </w:tc>
                <w:tc>
                  <w:tcPr>
                    <w:tcW w:w="1985" w:type="dxa"/>
                    <w:vMerge w:val="restart"/>
                  </w:tcPr>
                  <w:p>
                    <w:pPr>
                      <w:rPr>
                        <w:sz w:val="20"/>
                      </w:rPr>
                    </w:pPr>
                    <w:r>
                      <w:rPr>
                        <w:sz w:val="20"/>
                      </w:rPr>
                      <w:t>-</w:t>
                    </w:r>
                  </w:p>
                </w:tc>
                <w:tc>
                  <w:tcPr>
                    <w:tcW w:w="829" w:type="dxa"/>
                    <w:gridSpan w:val="3"/>
                    <w:vMerge w:val="restart"/>
                  </w:tcPr>
                  <w:p>
                    <w:pPr>
                      <w:rPr>
                        <w:sz w:val="20"/>
                      </w:rPr>
                    </w:pPr>
                    <w:r>
                      <w:rPr>
                        <w:sz w:val="20"/>
                      </w:rPr>
                      <w:t>-</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w:t>
                    </w:r>
                  </w:p>
                </w:tc>
                <w:tc>
                  <w:tcPr>
                    <w:tcW w:w="1167" w:type="dxa"/>
                    <w:gridSpan w:val="2"/>
                    <w:vMerge w:val="restart"/>
                  </w:tcPr>
                  <w:p>
                    <w:pPr>
                      <w:rPr>
                        <w:sz w:val="20"/>
                      </w:rPr>
                    </w:pPr>
                    <w:r>
                      <w:rPr>
                        <w:sz w:val="20"/>
                      </w:rPr>
                      <w:t>-</w:t>
                    </w:r>
                  </w:p>
                </w:tc>
                <w:tc>
                  <w:tcPr>
                    <w:tcW w:w="1118" w:type="dxa"/>
                    <w:vMerge w:val="restart"/>
                  </w:tcPr>
                  <w:p>
                    <w:pPr>
                      <w:rPr>
                        <w:sz w:val="20"/>
                      </w:rPr>
                    </w:pPr>
                    <w:r>
                      <w:rPr>
                        <w:sz w:val="20"/>
                      </w:rPr>
                      <w:t>-</w:t>
                    </w:r>
                  </w:p>
                </w:tc>
                <w:tc>
                  <w:tcPr>
                    <w:tcW w:w="2001" w:type="dxa"/>
                    <w:gridSpan w:val="2"/>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134"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Sprendimo dėl reguliavimo, investavimo ir komunikacijos veiksmų, siekiant sukurti tvarų sveikatos priežiūros įstaigų tinklą, priėmimas</w:t>
                    </w:r>
                  </w:p>
                </w:tc>
                <w:tc>
                  <w:tcPr>
                    <w:tcW w:w="1134"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Patvirtintas atnaujintas Šeimos medicinos plėtros 2016–2025 m. veiksmų planas</w:t>
                    </w:r>
                  </w:p>
                </w:tc>
                <w:tc>
                  <w:tcPr>
                    <w:tcW w:w="1134"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920"/>
                </w:trPr>
                <w:tc>
                  <w:tcPr>
                    <w:tcW w:w="2130"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5 700,000</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5 700,000</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86"/>
                </w:trPr>
                <w:tc>
                  <w:tcPr>
                    <w:tcW w:w="2130"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7 603,764</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7 603,764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20"/>
                </w:trPr>
                <w:tc>
                  <w:tcPr>
                    <w:tcW w:w="2130"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rPr>
                    </w:pPr>
                    <w:r>
                      <w:rPr>
                        <w:sz w:val="20"/>
                      </w:rPr>
                      <w:t>26 963,273</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jc w:val="center"/>
                      <w:rPr>
                        <w:sz w:val="20"/>
                      </w:rPr>
                    </w:pPr>
                    <w:r>
                      <w:rPr>
                        <w:sz w:val="20"/>
                      </w:rPr>
                      <w:t>4 758,224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 xml:space="preserve">(2029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1120"/>
                </w:trPr>
                <w:tc>
                  <w:tcPr>
                    <w:tcW w:w="2130"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lang w:val="en-US"/>
                      </w:rPr>
                    </w:pPr>
                    <w:r>
                      <w:rPr>
                        <w:sz w:val="20"/>
                        <w:lang w:val="en-US"/>
                      </w:rPr>
                      <w:t>47 896,731</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 w:val="20"/>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8 452,365</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 w:val="20"/>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 w:val="20"/>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03"/>
                </w:trPr>
                <w:tc>
                  <w:tcPr>
                    <w:tcW w:w="12758" w:type="dxa"/>
                    <w:gridSpan w:val="20"/>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9" w:type="dxa"/>
                    <w:vMerge w:val="restart"/>
                    <w:tcBorders>
                      <w:left w:val="single" w:sz="4" w:space="0" w:color="auto"/>
                      <w:right w:val="single" w:sz="4" w:space="0" w:color="auto"/>
                    </w:tcBorders>
                  </w:tcPr>
                  <w:p>
                    <w:pPr>
                      <w:rPr>
                        <w:color w:val="000000"/>
                        <w:sz w:val="20"/>
                      </w:rPr>
                    </w:pPr>
                  </w:p>
                </w:tc>
              </w:tr>
              <w:tr>
                <w:trPr>
                  <w:trHeight w:val="557"/>
                </w:trPr>
                <w:tc>
                  <w:tcPr>
                    <w:tcW w:w="12758" w:type="dxa"/>
                    <w:gridSpan w:val="20"/>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5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6.9. ASPĮ išlaidų, patirtų įgyvendinant pertvarką, kompensavimas</w:t>
                    </w:r>
                  </w:p>
                </w:tc>
                <w:tc>
                  <w:tcPr>
                    <w:tcW w:w="699" w:type="dxa"/>
                  </w:tcPr>
                  <w:p>
                    <w:pPr>
                      <w:rPr>
                        <w:sz w:val="20"/>
                      </w:rPr>
                    </w:pPr>
                    <w:r>
                      <w:rPr>
                        <w:sz w:val="20"/>
                      </w:rPr>
                      <w:t>I</w:t>
                    </w:r>
                  </w:p>
                </w:tc>
                <w:tc>
                  <w:tcPr>
                    <w:tcW w:w="1985" w:type="dxa"/>
                  </w:tcPr>
                  <w:p>
                    <w:pPr>
                      <w:rPr>
                        <w:sz w:val="20"/>
                      </w:rPr>
                    </w:pPr>
                    <w:r>
                      <w:rPr>
                        <w:sz w:val="20"/>
                      </w:rPr>
                      <w:t>ASPĮ</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rPr>
                    </w:pPr>
                    <w:r>
                      <w:rPr>
                        <w:sz w:val="20"/>
                        <w:lang w:val="en-US"/>
                      </w:rPr>
                      <w:t>8 000</w:t>
                    </w:r>
                  </w:p>
                </w:tc>
                <w:tc>
                  <w:tcPr>
                    <w:tcW w:w="1118" w:type="dxa"/>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134" w:type="dxa"/>
                    <w:gridSpan w:val="2"/>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30"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2 523,178</w:t>
                    </w:r>
                  </w:p>
                  <w:p>
                    <w:pPr>
                      <w:rPr>
                        <w:sz w:val="20"/>
                        <w:lang w:val="en-US"/>
                      </w:rPr>
                    </w:pPr>
                  </w:p>
                </w:tc>
                <w:tc>
                  <w:tcPr>
                    <w:tcW w:w="1118" w:type="dxa"/>
                  </w:tcPr>
                  <w:p>
                    <w:pPr>
                      <w:rPr>
                        <w:sz w:val="20"/>
                      </w:rPr>
                    </w:pPr>
                    <w:r>
                      <w:rPr>
                        <w:sz w:val="20"/>
                      </w:rPr>
                      <w:t>2021–2027 m. IP (ERPF)</w:t>
                    </w: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2 523,178</w:t>
                    </w:r>
                  </w:p>
                </w:tc>
                <w:tc>
                  <w:tcPr>
                    <w:tcW w:w="1118" w:type="dxa"/>
                  </w:tcPr>
                  <w:p>
                    <w:pPr>
                      <w:rPr>
                        <w:sz w:val="20"/>
                      </w:rPr>
                    </w:pPr>
                    <w:r>
                      <w:rPr>
                        <w:sz w:val="20"/>
                      </w:rPr>
                      <w:t>2021–2027 m. IP (BF)</w:t>
                    </w: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025"/>
                </w:trPr>
                <w:tc>
                  <w:tcPr>
                    <w:tcW w:w="2130"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699" w:type="dxa"/>
                    <w:vMerge w:val="restart"/>
                  </w:tcPr>
                  <w:p>
                    <w:pPr>
                      <w:rPr>
                        <w:sz w:val="20"/>
                      </w:rPr>
                    </w:pPr>
                    <w:r>
                      <w:rPr>
                        <w:sz w:val="20"/>
                      </w:rPr>
                      <w:t>I</w:t>
                    </w:r>
                  </w:p>
                  <w:p>
                    <w:pPr>
                      <w:rPr>
                        <w:sz w:val="20"/>
                      </w:rPr>
                    </w:pP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p>
                    <w:pPr>
                      <w:rPr>
                        <w:sz w:val="20"/>
                      </w:rPr>
                    </w:pPr>
                  </w:p>
                </w:tc>
                <w:tc>
                  <w:tcPr>
                    <w:tcW w:w="1014" w:type="dxa"/>
                    <w:gridSpan w:val="3"/>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167" w:type="dxa"/>
                    <w:gridSpan w:val="2"/>
                  </w:tcPr>
                  <w:p>
                    <w:pPr>
                      <w:rPr>
                        <w:sz w:val="20"/>
                        <w:lang w:val="en-US"/>
                      </w:rPr>
                    </w:pPr>
                    <w:r>
                      <w:rPr>
                        <w:sz w:val="20"/>
                        <w:lang w:val="en-US"/>
                      </w:rPr>
                      <w:t>12 710,597</w:t>
                    </w:r>
                  </w:p>
                </w:tc>
                <w:tc>
                  <w:tcPr>
                    <w:tcW w:w="1118" w:type="dxa"/>
                  </w:tcPr>
                  <w:p>
                    <w:pPr>
                      <w:rPr>
                        <w:sz w:val="20"/>
                      </w:rPr>
                    </w:pPr>
                    <w:r>
                      <w:rPr>
                        <w:sz w:val="20"/>
                      </w:rPr>
                      <w:t>2021–2027 m. IP (ERPF)</w:t>
                    </w:r>
                  </w:p>
                  <w:p>
                    <w:pPr>
                      <w:rPr>
                        <w:sz w:val="20"/>
                      </w:rPr>
                    </w:pP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97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2 243,047</w:t>
                    </w:r>
                  </w:p>
                  <w:p>
                    <w:pPr>
                      <w:rPr>
                        <w:sz w:val="20"/>
                      </w:rPr>
                    </w:pPr>
                  </w:p>
                </w:tc>
                <w:tc>
                  <w:tcPr>
                    <w:tcW w:w="1118" w:type="dxa"/>
                  </w:tcPr>
                  <w:p>
                    <w:pPr>
                      <w:rPr>
                        <w:sz w:val="20"/>
                      </w:rPr>
                    </w:pPr>
                    <w:r>
                      <w:rPr>
                        <w:sz w:val="20"/>
                      </w:rPr>
                      <w:t>2021–2027 m. IP (BF)</w:t>
                    </w:r>
                  </w:p>
                  <w:p>
                    <w:pPr>
                      <w:rPr>
                        <w:sz w:val="20"/>
                      </w:rPr>
                    </w:pP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14"/>
                </w:trPr>
                <w:tc>
                  <w:tcPr>
                    <w:tcW w:w="2130"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699" w:type="dxa"/>
                  </w:tcPr>
                  <w:p>
                    <w:pPr>
                      <w:rPr>
                        <w:sz w:val="22"/>
                        <w:szCs w:val="22"/>
                      </w:rPr>
                    </w:pPr>
                    <w:r>
                      <w:rPr>
                        <w:sz w:val="20"/>
                      </w:rPr>
                      <w:t>I</w:t>
                    </w:r>
                  </w:p>
                </w:tc>
                <w:tc>
                  <w:tcPr>
                    <w:tcW w:w="1985" w:type="dxa"/>
                  </w:tcPr>
                  <w:p>
                    <w:pPr>
                      <w:rPr>
                        <w:sz w:val="22"/>
                        <w:szCs w:val="22"/>
                      </w:rPr>
                    </w:pPr>
                    <w:r>
                      <w:rPr>
                        <w:sz w:val="20"/>
                      </w:rPr>
                      <w:t>ASPĮ</w:t>
                    </w:r>
                  </w:p>
                </w:tc>
                <w:tc>
                  <w:tcPr>
                    <w:tcW w:w="829" w:type="dxa"/>
                    <w:gridSpan w:val="3"/>
                  </w:tcPr>
                  <w:p>
                    <w:pPr>
                      <w:rPr>
                        <w:sz w:val="22"/>
                        <w:szCs w:val="22"/>
                      </w:rPr>
                    </w:pPr>
                    <w:r>
                      <w:rPr>
                        <w:sz w:val="20"/>
                      </w:rPr>
                      <w:t>P</w:t>
                    </w:r>
                  </w:p>
                </w:tc>
                <w:tc>
                  <w:tcPr>
                    <w:tcW w:w="1014" w:type="dxa"/>
                    <w:gridSpan w:val="3"/>
                  </w:tcPr>
                  <w:p>
                    <w:pPr>
                      <w:rPr>
                        <w:sz w:val="22"/>
                        <w:szCs w:val="22"/>
                      </w:rPr>
                    </w:pPr>
                    <w:r>
                      <w:rPr>
                        <w:sz w:val="20"/>
                      </w:rPr>
                      <w:t>Taip</w:t>
                    </w:r>
                  </w:p>
                </w:tc>
                <w:tc>
                  <w:tcPr>
                    <w:tcW w:w="681" w:type="dxa"/>
                    <w:gridSpan w:val="3"/>
                  </w:tcPr>
                  <w:p>
                    <w:pPr>
                      <w:rPr>
                        <w:sz w:val="22"/>
                        <w:szCs w:val="22"/>
                      </w:rPr>
                    </w:pPr>
                    <w:r>
                      <w:rPr>
                        <w:sz w:val="20"/>
                      </w:rPr>
                      <w:t>D</w:t>
                    </w:r>
                  </w:p>
                </w:tc>
                <w:tc>
                  <w:tcPr>
                    <w:tcW w:w="1167" w:type="dxa"/>
                    <w:gridSpan w:val="2"/>
                  </w:tcPr>
                  <w:p>
                    <w:pPr>
                      <w:rPr>
                        <w:sz w:val="22"/>
                        <w:szCs w:val="22"/>
                        <w:lang w:val="en-US"/>
                      </w:rPr>
                    </w:pPr>
                    <w:r>
                      <w:rPr>
                        <w:sz w:val="20"/>
                      </w:rPr>
                      <w:t>6 000</w:t>
                    </w:r>
                  </w:p>
                </w:tc>
                <w:tc>
                  <w:tcPr>
                    <w:tcW w:w="1118" w:type="dxa"/>
                  </w:tcPr>
                  <w:p>
                    <w:pPr>
                      <w:rPr>
                        <w:sz w:val="22"/>
                        <w:szCs w:val="22"/>
                      </w:rPr>
                    </w:pPr>
                    <w:r>
                      <w:rPr>
                        <w:sz w:val="20"/>
                      </w:rPr>
                      <w:t>VB</w:t>
                    </w:r>
                  </w:p>
                </w:tc>
                <w:tc>
                  <w:tcPr>
                    <w:tcW w:w="2001" w:type="dxa"/>
                    <w:gridSpan w:val="2"/>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134"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9"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7.5. Integruotų psichikos sveikatos paslaugų bei modelių išbandymas ir diegimas,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LMB</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3 544,845</w:t>
                    </w:r>
                  </w:p>
                </w:tc>
                <w:tc>
                  <w:tcPr>
                    <w:tcW w:w="1118"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right w:val="single" w:sz="4" w:space="0" w:color="auto"/>
                    </w:tcBorders>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right w:val="single" w:sz="4" w:space="0" w:color="auto"/>
                    </w:tcBorders>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30" w:type="dxa"/>
                    <w:gridSpan w:val="2"/>
                    <w:vMerge/>
                    <w:tcBorders>
                      <w:left w:val="single" w:sz="4" w:space="0" w:color="auto"/>
                      <w:right w:val="single" w:sz="4" w:space="0" w:color="auto"/>
                    </w:tcBorders>
                  </w:tcPr>
                  <w:p>
                    <w:pPr>
                      <w:rPr>
                        <w:sz w:val="20"/>
                      </w:rPr>
                    </w:pPr>
                  </w:p>
                </w:tc>
                <w:tc>
                  <w:tcPr>
                    <w:tcW w:w="699" w:type="dxa"/>
                    <w:vMerge/>
                    <w:tcBorders>
                      <w:left w:val="single" w:sz="4" w:space="0" w:color="auto"/>
                      <w:right w:val="single" w:sz="4" w:space="0" w:color="auto"/>
                    </w:tcBorders>
                  </w:tcPr>
                  <w:p>
                    <w:pPr>
                      <w:rPr>
                        <w:sz w:val="20"/>
                      </w:rPr>
                    </w:pPr>
                  </w:p>
                </w:tc>
                <w:tc>
                  <w:tcPr>
                    <w:tcW w:w="1985" w:type="dxa"/>
                    <w:vMerge/>
                    <w:tcBorders>
                      <w:left w:val="single" w:sz="4" w:space="0" w:color="auto"/>
                      <w:right w:val="single" w:sz="4" w:space="0" w:color="auto"/>
                    </w:tcBorders>
                  </w:tcPr>
                  <w:p>
                    <w:pPr>
                      <w:rPr>
                        <w:sz w:val="20"/>
                      </w:rPr>
                    </w:pPr>
                  </w:p>
                </w:tc>
                <w:tc>
                  <w:tcPr>
                    <w:tcW w:w="829" w:type="dxa"/>
                    <w:gridSpan w:val="3"/>
                    <w:vMerge/>
                    <w:tcBorders>
                      <w:left w:val="single" w:sz="4" w:space="0" w:color="auto"/>
                      <w:right w:val="single" w:sz="4" w:space="0" w:color="auto"/>
                    </w:tcBorders>
                  </w:tcPr>
                  <w:p>
                    <w:pPr>
                      <w:rPr>
                        <w:sz w:val="20"/>
                      </w:rPr>
                    </w:pPr>
                  </w:p>
                </w:tc>
                <w:tc>
                  <w:tcPr>
                    <w:tcW w:w="1014" w:type="dxa"/>
                    <w:gridSpan w:val="3"/>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625, 561</w:t>
                    </w:r>
                  </w:p>
                </w:tc>
                <w:tc>
                  <w:tcPr>
                    <w:tcW w:w="1118" w:type="dxa"/>
                    <w:tcBorders>
                      <w:left w:val="single" w:sz="4" w:space="0" w:color="auto"/>
                      <w:right w:val="single" w:sz="4" w:space="0" w:color="auto"/>
                    </w:tcBorders>
                  </w:tcPr>
                  <w:p>
                    <w:pPr>
                      <w:rPr>
                        <w:sz w:val="20"/>
                      </w:rPr>
                    </w:pPr>
                    <w:r>
                      <w:rPr>
                        <w:sz w:val="20"/>
                      </w:rPr>
                      <w:t>2021–2027 m. IP (BF)</w:t>
                    </w:r>
                  </w:p>
                </w:tc>
                <w:tc>
                  <w:tcPr>
                    <w:tcW w:w="2001" w:type="dxa"/>
                    <w:gridSpan w:val="2"/>
                    <w:tcBorders>
                      <w:left w:val="single" w:sz="4" w:space="0" w:color="auto"/>
                      <w:right w:val="single" w:sz="4" w:space="0" w:color="auto"/>
                    </w:tcBorders>
                  </w:tcPr>
                  <w:p>
                    <w:pPr>
                      <w:ind w:left="-57" w:right="-57"/>
                      <w:rPr>
                        <w:color w:val="000000"/>
                        <w:sz w:val="20"/>
                      </w:rPr>
                    </w:pPr>
                    <w:r>
                      <w:rPr>
                        <w:sz w:val="20"/>
                      </w:rPr>
                      <w:t>R – Pacientų pasitenkinimas gautomis paslaugomis, proc.</w:t>
                    </w:r>
                  </w:p>
                </w:tc>
                <w:tc>
                  <w:tcPr>
                    <w:tcW w:w="1134" w:type="dxa"/>
                    <w:gridSpan w:val="2"/>
                    <w:tcBorders>
                      <w:left w:val="single" w:sz="4" w:space="0" w:color="auto"/>
                      <w:righ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699" w:type="dxa"/>
                    <w:shd w:val="clear" w:color="auto" w:fill="F2F2F2" w:themeFill="background1" w:themeFillShade="F2"/>
                  </w:tcPr>
                  <w:p>
                    <w:pPr>
                      <w:rPr>
                        <w:sz w:val="20"/>
                      </w:rPr>
                    </w:pPr>
                    <w:r>
                      <w:rPr>
                        <w:sz w:val="20"/>
                      </w:rPr>
                      <w:t>-</w:t>
                    </w:r>
                  </w:p>
                </w:tc>
                <w:tc>
                  <w:tcPr>
                    <w:tcW w:w="1985" w:type="dxa"/>
                    <w:shd w:val="clear" w:color="auto" w:fill="F2F2F2" w:themeFill="background1" w:themeFillShade="F2"/>
                  </w:tcPr>
                  <w:p>
                    <w:pPr>
                      <w:rPr>
                        <w:sz w:val="20"/>
                      </w:rPr>
                    </w:pPr>
                    <w:r>
                      <w:rPr>
                        <w:sz w:val="20"/>
                      </w:rPr>
                      <w:t>-</w:t>
                    </w:r>
                  </w:p>
                </w:tc>
                <w:tc>
                  <w:tcPr>
                    <w:tcW w:w="829" w:type="dxa"/>
                    <w:gridSpan w:val="3"/>
                    <w:shd w:val="clear" w:color="auto" w:fill="F2F2F2" w:themeFill="background1" w:themeFillShade="F2"/>
                  </w:tcPr>
                  <w:p>
                    <w:pPr>
                      <w:rPr>
                        <w:sz w:val="20"/>
                      </w:rPr>
                    </w:pPr>
                    <w:r>
                      <w:rPr>
                        <w:sz w:val="20"/>
                      </w:rPr>
                      <w:t>-</w:t>
                    </w:r>
                  </w:p>
                </w:tc>
                <w:tc>
                  <w:tcPr>
                    <w:tcW w:w="1014" w:type="dxa"/>
                    <w:gridSpan w:val="3"/>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167" w:type="dxa"/>
                    <w:gridSpan w:val="2"/>
                    <w:shd w:val="clear" w:color="auto" w:fill="F2F2F2" w:themeFill="background1" w:themeFillShade="F2"/>
                  </w:tcPr>
                  <w:p>
                    <w:pPr>
                      <w:rPr>
                        <w:sz w:val="20"/>
                        <w:lang w:val="en-US"/>
                      </w:rPr>
                    </w:pPr>
                    <w:r>
                      <w:rPr>
                        <w:b/>
                        <w:bCs/>
                        <w:sz w:val="20"/>
                      </w:rPr>
                      <w:t>7 000</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w:t>
                    </w:r>
                  </w:p>
                </w:tc>
                <w:tc>
                  <w:tcPr>
                    <w:tcW w:w="1134"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tcPr>
                  <w:p>
                    <w:pPr>
                      <w:rPr>
                        <w:sz w:val="20"/>
                      </w:rPr>
                    </w:pPr>
                    <w:r>
                      <w:rPr>
                        <w:sz w:val="20"/>
                      </w:rPr>
                      <w:t>8.1. Pavėžėjimo paslaugų organizavimą ir teikimą reglamentuojančių teisės aktų parengimas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134"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9"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30" w:type="dxa"/>
                    <w:gridSpan w:val="2"/>
                    <w:vMerge w:val="restart"/>
                  </w:tcPr>
                  <w:p>
                    <w:pPr>
                      <w:rPr>
                        <w:sz w:val="20"/>
                      </w:rPr>
                    </w:pPr>
                    <w:r>
                      <w:rPr>
                        <w:sz w:val="20"/>
                      </w:rPr>
                      <w:t>8.2. Bandomojo pavėžėjimo paslaugų teikimo projekto įgyvendinimas</w:t>
                    </w:r>
                  </w:p>
                </w:tc>
                <w:tc>
                  <w:tcPr>
                    <w:tcW w:w="699" w:type="dxa"/>
                    <w:vMerge w:val="restart"/>
                  </w:tcPr>
                  <w:p>
                    <w:pPr>
                      <w:rPr>
                        <w:sz w:val="20"/>
                      </w:rPr>
                    </w:pPr>
                    <w:r>
                      <w:rPr>
                        <w:sz w:val="20"/>
                      </w:rPr>
                      <w:t>M</w:t>
                    </w:r>
                  </w:p>
                </w:tc>
                <w:tc>
                  <w:tcPr>
                    <w:tcW w:w="1985" w:type="dxa"/>
                    <w:vMerge w:val="restart"/>
                  </w:tcPr>
                  <w:p>
                    <w:pPr>
                      <w:rPr>
                        <w:sz w:val="20"/>
                      </w:rPr>
                    </w:pPr>
                    <w:r>
                      <w:rPr>
                        <w:sz w:val="20"/>
                      </w:rPr>
                      <w:t>V</w:t>
                    </w:r>
                    <w:r>
                      <w:rPr>
                        <w:sz w:val="18"/>
                        <w:szCs w:val="18"/>
                      </w:rPr>
                      <w:t>šĮ Kauno miesto greitosios medicinos pagalbos stotis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lang w:val="en-US"/>
                      </w:rPr>
                    </w:pPr>
                    <w:r>
                      <w:rPr>
                        <w:sz w:val="20"/>
                        <w:lang w:val="en-US"/>
                      </w:rPr>
                      <w:t>7 000</w:t>
                    </w:r>
                  </w:p>
                </w:tc>
                <w:tc>
                  <w:tcPr>
                    <w:tcW w:w="1118" w:type="dxa"/>
                    <w:vMerge w:val="restart"/>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134"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134"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20"/>
                </w:trPr>
                <w:tc>
                  <w:tcPr>
                    <w:tcW w:w="2130" w:type="dxa"/>
                    <w:gridSpan w:val="2"/>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699" w:type="dxa"/>
                    <w:vMerge w:val="restart"/>
                    <w:tcMar>
                      <w:left w:w="105" w:type="dxa"/>
                      <w:right w:w="105" w:type="dxa"/>
                    </w:tcMar>
                  </w:tcPr>
                  <w:p>
                    <w:pPr>
                      <w:rPr>
                        <w:color w:val="000000"/>
                        <w:sz w:val="20"/>
                      </w:rPr>
                    </w:pPr>
                    <w:r>
                      <w:rPr>
                        <w:color w:val="000000"/>
                        <w:sz w:val="20"/>
                      </w:rPr>
                      <w:t>-</w:t>
                    </w:r>
                  </w:p>
                </w:tc>
                <w:tc>
                  <w:tcPr>
                    <w:tcW w:w="2099" w:type="dxa"/>
                    <w:gridSpan w:val="2"/>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5"/>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sz w:val="4"/>
                        <w:szCs w:val="4"/>
                      </w:rPr>
                    </w:pPr>
                  </w:p>
                  <w:p>
                    <w:pPr>
                      <w:spacing w:afterLines="40" w:after="96"/>
                      <w:jc w:val="center"/>
                      <w:rPr>
                        <w:color w:val="000000"/>
                        <w:sz w:val="20"/>
                      </w:rPr>
                    </w:pPr>
                    <w:r>
                      <w:rPr>
                        <w:color w:val="000000"/>
                        <w:sz w:val="20"/>
                      </w:rPr>
                      <w:t>53 902,535</w:t>
                    </w:r>
                  </w:p>
                </w:tc>
                <w:tc>
                  <w:tcPr>
                    <w:tcW w:w="1118" w:type="dxa"/>
                    <w:tcMar>
                      <w:left w:w="105" w:type="dxa"/>
                      <w:right w:w="105" w:type="dxa"/>
                    </w:tcMar>
                  </w:tcPr>
                  <w:p>
                    <w:pPr>
                      <w:rPr>
                        <w:color w:val="000000"/>
                        <w:sz w:val="20"/>
                      </w:rPr>
                    </w:pPr>
                    <w:r>
                      <w:rPr>
                        <w:color w:val="000000"/>
                        <w:sz w:val="20"/>
                      </w:rPr>
                      <w:t xml:space="preserve">- </w:t>
                    </w:r>
                  </w:p>
                </w:tc>
                <w:tc>
                  <w:tcPr>
                    <w:tcW w:w="2001" w:type="dxa"/>
                    <w:gridSpan w:val="2"/>
                    <w:vMerge w:val="restart"/>
                    <w:tcMar>
                      <w:left w:w="105" w:type="dxa"/>
                      <w:right w:w="105" w:type="dxa"/>
                    </w:tcMar>
                  </w:tcPr>
                  <w:p>
                    <w:pPr>
                      <w:ind w:left="-57" w:right="-57"/>
                      <w:rPr>
                        <w:color w:val="000000"/>
                        <w:sz w:val="20"/>
                      </w:rPr>
                    </w:pPr>
                    <w:r>
                      <w:rPr>
                        <w:color w:val="000000"/>
                        <w:sz w:val="20"/>
                      </w:rPr>
                      <w:t>-</w:t>
                    </w:r>
                  </w:p>
                </w:tc>
                <w:tc>
                  <w:tcPr>
                    <w:tcW w:w="1001" w:type="dxa"/>
                    <w:vMerge w:val="restart"/>
                    <w:tcMar>
                      <w:left w:w="105" w:type="dxa"/>
                      <w:right w:w="105" w:type="dxa"/>
                    </w:tcMar>
                  </w:tcPr>
                  <w:p>
                    <w:pPr>
                      <w:ind w:left="-57" w:right="-57"/>
                      <w:jc w:val="center"/>
                      <w:rPr>
                        <w:color w:val="000000"/>
                        <w:sz w:val="20"/>
                      </w:rPr>
                    </w:pPr>
                    <w:r>
                      <w:rPr>
                        <w:color w:val="000000"/>
                        <w:sz w:val="20"/>
                      </w:rPr>
                      <w:t>-</w:t>
                    </w:r>
                  </w:p>
                </w:tc>
                <w:tc>
                  <w:tcPr>
                    <w:tcW w:w="1125" w:type="dxa"/>
                    <w:gridSpan w:val="2"/>
                    <w:vMerge w:val="restart"/>
                    <w:tcMar>
                      <w:left w:w="105" w:type="dxa"/>
                      <w:right w:w="105" w:type="dxa"/>
                    </w:tcMar>
                  </w:tcPr>
                  <w:p>
                    <w:pPr>
                      <w:rPr>
                        <w:color w:val="000000"/>
                        <w:sz w:val="20"/>
                      </w:rPr>
                    </w:pPr>
                    <w:r>
                      <w:rPr>
                        <w:color w:val="000000"/>
                        <w:sz w:val="20"/>
                      </w:rPr>
                      <w:t>-</w:t>
                    </w:r>
                  </w:p>
                </w:tc>
                <w:tc>
                  <w:tcPr>
                    <w:tcW w:w="1279" w:type="dxa"/>
                    <w:vMerge w:val="restart"/>
                    <w:tcMar>
                      <w:left w:w="105" w:type="dxa"/>
                      <w:right w:w="105" w:type="dxa"/>
                    </w:tcMar>
                    <w:vAlign w:val="center"/>
                  </w:tcPr>
                  <w:p>
                    <w:pPr>
                      <w:ind w:firstLine="53"/>
                      <w:rPr>
                        <w:color w:val="000000"/>
                        <w:sz w:val="20"/>
                      </w:rPr>
                    </w:pPr>
                  </w:p>
                </w:tc>
              </w:tr>
              <w:tr>
                <w:trPr>
                  <w:trHeight w:val="765"/>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 Sostinės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(BF, Sostinės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 VVL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6 028,243</w:t>
                    </w:r>
                  </w:p>
                </w:tc>
                <w:tc>
                  <w:tcPr>
                    <w:tcW w:w="1118" w:type="dxa"/>
                    <w:tcMar>
                      <w:left w:w="105" w:type="dxa"/>
                      <w:right w:w="105" w:type="dxa"/>
                    </w:tcMar>
                  </w:tcPr>
                  <w:p>
                    <w:pPr>
                      <w:rPr>
                        <w:color w:val="000000"/>
                        <w:sz w:val="20"/>
                      </w:rPr>
                    </w:pPr>
                    <w:r>
                      <w:rPr>
                        <w:color w:val="000000"/>
                        <w:sz w:val="20"/>
                      </w:rPr>
                      <w:t>2021–2027 m. IP (BF, VVL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699" w:type="dxa"/>
                    <w:tcMar>
                      <w:left w:w="105" w:type="dxa"/>
                      <w:right w:w="105" w:type="dxa"/>
                    </w:tcMar>
                  </w:tcPr>
                  <w:p>
                    <w:pPr>
                      <w:rPr>
                        <w:color w:val="000000"/>
                        <w:sz w:val="20"/>
                      </w:rPr>
                    </w:pPr>
                    <w:r>
                      <w:rPr>
                        <w:color w:val="000000"/>
                        <w:sz w:val="20"/>
                      </w:rPr>
                      <w:t>R</w:t>
                    </w:r>
                  </w:p>
                </w:tc>
                <w:tc>
                  <w:tcPr>
                    <w:tcW w:w="2099" w:type="dxa"/>
                    <w:gridSpan w:val="2"/>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5"/>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color w:val="000000"/>
                        <w:sz w:val="20"/>
                      </w:rPr>
                    </w:pPr>
                    <w:r>
                      <w:rPr>
                        <w:color w:val="000000"/>
                        <w:sz w:val="20"/>
                        <w:lang w:val="en-US"/>
                      </w:rPr>
                      <w:t>-</w:t>
                    </w:r>
                  </w:p>
                </w:tc>
                <w:tc>
                  <w:tcPr>
                    <w:tcW w:w="1118" w:type="dxa"/>
                    <w:tcMar>
                      <w:left w:w="105" w:type="dxa"/>
                      <w:right w:w="105" w:type="dxa"/>
                    </w:tcMar>
                  </w:tcPr>
                  <w:p>
                    <w:pPr>
                      <w:rPr>
                        <w:color w:val="000000"/>
                        <w:sz w:val="20"/>
                      </w:rPr>
                    </w:pPr>
                    <w:r>
                      <w:rPr>
                        <w:color w:val="000000"/>
                        <w:sz w:val="20"/>
                      </w:rPr>
                      <w:t>-</w:t>
                    </w:r>
                  </w:p>
                </w:tc>
                <w:tc>
                  <w:tcPr>
                    <w:tcW w:w="2001" w:type="dxa"/>
                    <w:gridSpan w:val="2"/>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01"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25" w:type="dxa"/>
                    <w:gridSpan w:val="2"/>
                    <w:tcMar>
                      <w:left w:w="105" w:type="dxa"/>
                      <w:right w:w="105" w:type="dxa"/>
                    </w:tcMar>
                  </w:tcPr>
                  <w:p>
                    <w:pPr>
                      <w:jc w:val="center"/>
                      <w:rPr>
                        <w:color w:val="000000"/>
                        <w:sz w:val="20"/>
                      </w:rPr>
                    </w:pPr>
                    <w:r>
                      <w:rPr>
                        <w:color w:val="000000"/>
                        <w:sz w:val="20"/>
                      </w:rPr>
                      <w:t>-</w:t>
                    </w:r>
                  </w:p>
                </w:tc>
                <w:tc>
                  <w:tcPr>
                    <w:tcW w:w="1279" w:type="dxa"/>
                    <w:tcMar>
                      <w:left w:w="105" w:type="dxa"/>
                      <w:right w:w="105" w:type="dxa"/>
                    </w:tcMar>
                  </w:tcPr>
                  <w:p>
                    <w:pPr>
                      <w:jc w:val="center"/>
                      <w:rPr>
                        <w:color w:val="000000"/>
                        <w:sz w:val="20"/>
                      </w:rPr>
                    </w:pPr>
                    <w:r>
                      <w:rPr>
                        <w:color w:val="000000"/>
                        <w:sz w:val="20"/>
                      </w:rPr>
                      <w:t>SAM</w:t>
                    </w:r>
                  </w:p>
                </w:tc>
              </w:tr>
              <w:tr>
                <w:trPr>
                  <w:trHeight w:val="1290"/>
                </w:trPr>
                <w:tc>
                  <w:tcPr>
                    <w:tcW w:w="2130" w:type="dxa"/>
                    <w:gridSpan w:val="2"/>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25" w:type="dxa"/>
                    <w:gridSpan w:val="2"/>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jc w:val="center"/>
                      <w:rPr>
                        <w:color w:val="000000"/>
                        <w:sz w:val="20"/>
                      </w:rPr>
                    </w:pPr>
                    <w:r>
                      <w:rPr>
                        <w:color w:val="000000"/>
                        <w:sz w:val="20"/>
                      </w:rPr>
                      <w:t>SAM</w:t>
                    </w:r>
                  </w:p>
                </w:tc>
              </w:tr>
              <w:tr>
                <w:trPr>
                  <w:trHeight w:val="93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restart"/>
                    <w:tcMar>
                      <w:left w:w="105" w:type="dxa"/>
                      <w:right w:w="105" w:type="dxa"/>
                    </w:tcMar>
                  </w:tcPr>
                  <w:p>
                    <w:pPr>
                      <w:jc w:val="center"/>
                      <w:rPr>
                        <w:color w:val="000000"/>
                        <w:sz w:val="20"/>
                      </w:rPr>
                    </w:pPr>
                    <w:r>
                      <w:rPr>
                        <w:color w:val="000000"/>
                        <w:sz w:val="20"/>
                      </w:rPr>
                      <w:t>6 857,123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93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ign w:val="center"/>
                  </w:tcPr>
                  <w:p/>
                </w:tc>
                <w:tc>
                  <w:tcPr>
                    <w:tcW w:w="1118" w:type="dxa"/>
                    <w:vMerge/>
                    <w:vAlign w:val="center"/>
                  </w:tc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645"/>
                </w:trPr>
                <w:tc>
                  <w:tcPr>
                    <w:tcW w:w="2130" w:type="dxa"/>
                    <w:gridSpan w:val="2"/>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645"/>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restart"/>
                    <w:tcMar>
                      <w:left w:w="105" w:type="dxa"/>
                      <w:right w:w="105" w:type="dxa"/>
                    </w:tcMar>
                  </w:tcPr>
                  <w:p>
                    <w:pPr>
                      <w:jc w:val="center"/>
                      <w:rPr>
                        <w:color w:val="000000"/>
                        <w:sz w:val="20"/>
                      </w:rPr>
                    </w:pPr>
                    <w:r>
                      <w:rPr>
                        <w:color w:val="000000"/>
                        <w:sz w:val="20"/>
                      </w:rPr>
                      <w:t>6 028, 243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ign w:val="center"/>
                  </w:tcPr>
                  <w:p/>
                </w:tc>
                <w:tc>
                  <w:tcPr>
                    <w:tcW w:w="1118" w:type="dxa"/>
                    <w:vMerge/>
                    <w:vAlign w:val="center"/>
                  </w:tc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25" w:type="dxa"/>
                    <w:gridSpan w:val="2"/>
                    <w:vMerge/>
                    <w:vAlign w:val="center"/>
                  </w:tcPr>
                  <w:p/>
                </w:tc>
                <w:tc>
                  <w:tcPr>
                    <w:tcW w:w="1279" w:type="dxa"/>
                    <w:vMerge/>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24 906,182</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21 170,255</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3 735,927</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10.1. Sveikatos žmogiškųjų išteklių valdymo efektyvumo didinimas,</w:t>
                    </w:r>
                    <w:r>
                      <w:rPr>
                        <w:szCs w:val="24"/>
                      </w:rPr>
                      <w:t xml:space="preserve"> </w:t>
                    </w:r>
                    <w:r>
                      <w:rPr>
                        <w:sz w:val="20"/>
                      </w:rPr>
                      <w:t>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M</w:t>
                    </w:r>
                  </w:p>
                  <w:p>
                    <w:pPr>
                      <w:ind w:firstLine="53"/>
                    </w:pP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SAM</w:t>
                    </w:r>
                  </w:p>
                  <w:p>
                    <w:pPr>
                      <w:ind w:firstLine="53"/>
                    </w:pP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p>
                    <w:pPr>
                      <w:ind w:firstLine="53"/>
                    </w:pP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275,385</w:t>
                    </w:r>
                  </w:p>
                  <w:p>
                    <w:pPr>
                      <w:ind w:firstLine="53"/>
                    </w:pPr>
                  </w:p>
                  <w:p>
                    <w:pPr>
                      <w:ind w:firstLine="53"/>
                    </w:pPr>
                  </w:p>
                  <w:p>
                    <w:pPr>
                      <w:ind w:firstLine="53"/>
                    </w:pPr>
                  </w:p>
                  <w:p>
                    <w:pPr>
                      <w:ind w:firstLine="53"/>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2021–2027 m. IP (ESF+)</w:t>
                    </w:r>
                  </w:p>
                  <w:p>
                    <w:pPr>
                      <w:ind w:firstLine="53"/>
                    </w:pP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48,597</w:t>
                    </w: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 xml:space="preserve">2021–2027 m.  IP (BF)</w:t>
                    </w:r>
                  </w:p>
                  <w:p>
                    <w:pPr>
                      <w:ind w:firstLine="53"/>
                    </w:pP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30"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tc>
                <w:tc>
                  <w:tcPr>
                    <w:tcW w:w="699" w:type="dxa"/>
                    <w:vMerge w:val="restart"/>
                    <w:tcBorders>
                      <w:top w:val="single" w:sz="4" w:space="0" w:color="auto"/>
                      <w:left w:val="single" w:sz="4" w:space="0" w:color="auto"/>
                      <w:right w:val="single" w:sz="4" w:space="0" w:color="auto"/>
                    </w:tcBorders>
                  </w:tcPr>
                  <w:p>
                    <w:r>
                      <w:rPr>
                        <w:sz w:val="20"/>
                      </w:rPr>
                      <w:t>I</w:t>
                    </w:r>
                  </w:p>
                  <w:p>
                    <w:pPr>
                      <w:ind w:firstLine="53"/>
                      <w:rPr>
                        <w:sz w:val="20"/>
                      </w:rPr>
                    </w:pPr>
                  </w:p>
                </w:tc>
                <w:tc>
                  <w:tcPr>
                    <w:tcW w:w="1985" w:type="dxa"/>
                    <w:vMerge w:val="restart"/>
                    <w:tcBorders>
                      <w:top w:val="single" w:sz="4" w:space="0" w:color="auto"/>
                      <w:left w:val="single" w:sz="4" w:space="0" w:color="auto"/>
                      <w:right w:val="single" w:sz="4" w:space="0" w:color="auto"/>
                    </w:tcBorders>
                  </w:tcPr>
                  <w:p>
                    <w:r>
                      <w:rPr>
                        <w:sz w:val="20"/>
                      </w:rPr>
                      <w:t>SAM</w:t>
                    </w:r>
                  </w:p>
                  <w:p>
                    <w:pPr>
                      <w:ind w:firstLine="53"/>
                      <w:rPr>
                        <w:sz w:val="20"/>
                      </w:rPr>
                    </w:pPr>
                  </w:p>
                </w:tc>
                <w:tc>
                  <w:tcPr>
                    <w:tcW w:w="829" w:type="dxa"/>
                    <w:gridSpan w:val="3"/>
                    <w:vMerge w:val="restart"/>
                    <w:tcBorders>
                      <w:top w:val="single" w:sz="4" w:space="0" w:color="auto"/>
                      <w:left w:val="single" w:sz="4" w:space="0" w:color="auto"/>
                      <w:right w:val="single" w:sz="4" w:space="0" w:color="auto"/>
                    </w:tcBorders>
                  </w:tcPr>
                  <w:p>
                    <w:r>
                      <w:rPr>
                        <w:sz w:val="20"/>
                      </w:rPr>
                      <w:t>P</w:t>
                    </w:r>
                  </w:p>
                  <w:p>
                    <w:pPr>
                      <w:ind w:firstLine="53"/>
                      <w:rPr>
                        <w:sz w:val="20"/>
                      </w:rPr>
                    </w:pPr>
                  </w:p>
                </w:tc>
                <w:tc>
                  <w:tcPr>
                    <w:tcW w:w="1006" w:type="dxa"/>
                    <w:gridSpan w:val="2"/>
                    <w:vMerge w:val="restart"/>
                    <w:tcBorders>
                      <w:top w:val="single" w:sz="4" w:space="0" w:color="auto"/>
                      <w:left w:val="single" w:sz="4" w:space="0" w:color="auto"/>
                      <w:right w:val="single" w:sz="4" w:space="0" w:color="auto"/>
                    </w:tcBorders>
                  </w:tcPr>
                  <w:p>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r>
                      <w:rPr>
                        <w:sz w:val="20"/>
                      </w:rPr>
                      <w:t>D</w:t>
                    </w:r>
                  </w:p>
                  <w:p>
                    <w:pPr>
                      <w:ind w:firstLine="53"/>
                      <w:rPr>
                        <w:sz w:val="20"/>
                      </w:rPr>
                    </w:pPr>
                  </w:p>
                </w:tc>
                <w:tc>
                  <w:tcPr>
                    <w:tcW w:w="1167" w:type="dxa"/>
                    <w:gridSpan w:val="2"/>
                    <w:tcBorders>
                      <w:top w:val="single" w:sz="4" w:space="0" w:color="auto"/>
                      <w:left w:val="single" w:sz="4" w:space="0" w:color="auto"/>
                      <w:bottom w:val="single" w:sz="4" w:space="0" w:color="auto"/>
                      <w:right w:val="single" w:sz="4" w:space="0" w:color="auto"/>
                    </w:tcBorders>
                  </w:tcPr>
                  <w:p>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tc>
                <w:tc>
                  <w:tcPr>
                    <w:tcW w:w="1118" w:type="dxa"/>
                    <w:tcBorders>
                      <w:top w:val="single" w:sz="4" w:space="0" w:color="auto"/>
                      <w:left w:val="single" w:sz="4" w:space="0" w:color="auto"/>
                      <w:bottom w:val="single" w:sz="4" w:space="0" w:color="auto"/>
                      <w:right w:val="single" w:sz="4" w:space="0" w:color="auto"/>
                    </w:tcBorders>
                  </w:tcPr>
                  <w:p>
                    <w:r>
                      <w:rPr>
                        <w:sz w:val="20"/>
                      </w:rPr>
                      <w:t xml:space="preserve">2021–2027 m. IP (ESF+) </w:t>
                    </w:r>
                  </w:p>
                  <w:p>
                    <w:pPr>
                      <w:ind w:firstLine="53"/>
                      <w:rPr>
                        <w:sz w:val="20"/>
                      </w:rPr>
                    </w:pPr>
                  </w:p>
                  <w:p>
                    <w:pPr>
                      <w:rPr>
                        <w:sz w:val="20"/>
                      </w:rPr>
                    </w:pPr>
                  </w:p>
                  <w:p>
                    <w:pPr>
                      <w:rPr>
                        <w:sz w:val="20"/>
                      </w:rPr>
                    </w:pPr>
                  </w:p>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r>
                      <w:rPr>
                        <w:sz w:val="20"/>
                      </w:rPr>
                      <w:t>CPVA</w:t>
                    </w:r>
                  </w:p>
                  <w:p>
                    <w:pPr>
                      <w:ind w:firstLine="53"/>
                    </w:pPr>
                  </w:p>
                  <w:p>
                    <w:pPr>
                      <w:ind w:firstLine="53"/>
                    </w:pPr>
                  </w:p>
                  <w:p>
                    <w:pPr>
                      <w:ind w:firstLine="53"/>
                    </w:pPr>
                  </w:p>
                </w:tc>
                <w:tc>
                  <w:tcPr>
                    <w:tcW w:w="1279"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tc>
                <w:tc>
                  <w:tcPr>
                    <w:tcW w:w="111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bottom w:val="single" w:sz="4" w:space="0" w:color="auto"/>
                      <w:right w:val="single" w:sz="4" w:space="0" w:color="auto"/>
                    </w:tcBorders>
                    <w:vAlign w:val="center"/>
                  </w:tcPr>
                  <w:p/>
                </w:tc>
                <w:tc>
                  <w:tcPr>
                    <w:tcW w:w="1118" w:type="dxa"/>
                    <w:vMerge w:val="restart"/>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699" w:type="dxa"/>
                    <w:vMerge/>
                    <w:tcBorders>
                      <w:left w:val="single" w:sz="4" w:space="0" w:color="auto"/>
                      <w:right w:val="single" w:sz="4" w:space="0" w:color="auto"/>
                    </w:tcBorders>
                    <w:tcMar>
                      <w:left w:w="108" w:type="dxa"/>
                      <w:right w:w="108" w:type="dxa"/>
                    </w:tcMar>
                  </w:tcPr>
                  <w:p/>
                </w:tc>
                <w:tc>
                  <w:tcPr>
                    <w:tcW w:w="1985" w:type="dxa"/>
                    <w:vMerge/>
                    <w:tcBorders>
                      <w:left w:val="single" w:sz="4" w:space="0" w:color="auto"/>
                      <w:right w:val="single" w:sz="4" w:space="0" w:color="auto"/>
                    </w:tcBorders>
                    <w:tcMar>
                      <w:left w:w="108" w:type="dxa"/>
                      <w:right w:w="108" w:type="dxa"/>
                    </w:tcMar>
                  </w:tcPr>
                  <w:p/>
                </w:tc>
                <w:tc>
                  <w:tcPr>
                    <w:tcW w:w="829" w:type="dxa"/>
                    <w:gridSpan w:val="3"/>
                    <w:vMerge/>
                    <w:tcBorders>
                      <w:left w:val="single" w:sz="4" w:space="0" w:color="auto"/>
                      <w:right w:val="single" w:sz="4" w:space="0" w:color="auto"/>
                    </w:tcBorders>
                    <w:tcMar>
                      <w:left w:w="108" w:type="dxa"/>
                      <w:right w:w="108" w:type="dxa"/>
                    </w:tcMar>
                  </w:tcPr>
                  <w:p/>
                </w:tc>
                <w:tc>
                  <w:tcPr>
                    <w:tcW w:w="1006" w:type="dxa"/>
                    <w:gridSpan w:val="2"/>
                    <w:vMerge/>
                    <w:tcBorders>
                      <w:left w:val="single" w:sz="4" w:space="0" w:color="auto"/>
                      <w:right w:val="single" w:sz="4" w:space="0" w:color="auto"/>
                    </w:tcBorders>
                    <w:tcMar>
                      <w:left w:w="108" w:type="dxa"/>
                      <w:right w:w="108" w:type="dxa"/>
                    </w:tcMar>
                  </w:tcPr>
                  <w:p/>
                </w:tc>
                <w:tc>
                  <w:tcPr>
                    <w:tcW w:w="689" w:type="dxa"/>
                    <w:gridSpan w:val="4"/>
                    <w:vMerge/>
                    <w:tcBorders>
                      <w:left w:val="single" w:sz="4" w:space="0" w:color="auto"/>
                      <w:right w:val="single" w:sz="4" w:space="0" w:color="auto"/>
                    </w:tcBorders>
                    <w:tcMar>
                      <w:left w:w="108" w:type="dxa"/>
                      <w:right w:w="108" w:type="dxa"/>
                    </w:tcMar>
                  </w:tcPr>
                  <w:p/>
                </w:tc>
                <w:tc>
                  <w:tcPr>
                    <w:tcW w:w="1167"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1118" w:type="dxa"/>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tc>
                <w:tc>
                  <w:tcPr>
                    <w:tcW w:w="1279"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bottom w:val="single" w:sz="4" w:space="0" w:color="auto"/>
                      <w:right w:val="single" w:sz="4" w:space="0" w:color="auto"/>
                    </w:tcBorders>
                    <w:vAlign w:val="center"/>
                  </w:tcPr>
                  <w:p/>
                </w:tc>
                <w:tc>
                  <w:tcPr>
                    <w:tcW w:w="1985" w:type="dxa"/>
                    <w:vMerge/>
                    <w:tcBorders>
                      <w:left w:val="single" w:sz="4" w:space="0" w:color="auto"/>
                      <w:bottom w:val="single" w:sz="4" w:space="0" w:color="auto"/>
                      <w:right w:val="single" w:sz="4" w:space="0" w:color="auto"/>
                    </w:tcBorders>
                    <w:vAlign w:val="center"/>
                  </w:tcPr>
                  <w:p/>
                </w:tc>
                <w:tc>
                  <w:tcPr>
                    <w:tcW w:w="829" w:type="dxa"/>
                    <w:gridSpan w:val="3"/>
                    <w:vMerge/>
                    <w:tcBorders>
                      <w:left w:val="single" w:sz="4" w:space="0" w:color="auto"/>
                      <w:bottom w:val="single" w:sz="4" w:space="0" w:color="auto"/>
                      <w:right w:val="single" w:sz="4" w:space="0" w:color="auto"/>
                    </w:tcBorders>
                    <w:vAlign w:val="center"/>
                  </w:tcPr>
                  <w:p/>
                </w:tc>
                <w:tc>
                  <w:tcPr>
                    <w:tcW w:w="1006" w:type="dxa"/>
                    <w:gridSpan w:val="2"/>
                    <w:vMerge/>
                    <w:tcBorders>
                      <w:left w:val="single" w:sz="4" w:space="0" w:color="auto"/>
                      <w:bottom w:val="single" w:sz="4" w:space="0" w:color="auto"/>
                      <w:right w:val="single" w:sz="4" w:space="0" w:color="auto"/>
                    </w:tcBorders>
                    <w:vAlign w:val="center"/>
                  </w:tcPr>
                  <w:p/>
                </w:tc>
                <w:tc>
                  <w:tcPr>
                    <w:tcW w:w="689" w:type="dxa"/>
                    <w:gridSpan w:val="4"/>
                    <w:vMerge/>
                    <w:tcBorders>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tc>
                <w:tc>
                  <w:tcPr>
                    <w:tcW w:w="1279"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10.3.</w:t>
                    </w:r>
                    <w:r>
                      <w:rPr>
                        <w:sz w:val="20"/>
                      </w:rPr>
                      <w:t xml:space="preserve"> .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Savivaldybių administracijos</w:t>
                    </w:r>
                    <w:r>
                      <w:rPr>
                        <w:strike/>
                        <w:color w:val="000000"/>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167" w:type="dxa"/>
                    <w:gridSpan w:val="2"/>
                    <w:tcMar>
                      <w:left w:w="108" w:type="dxa"/>
                      <w:right w:w="108" w:type="dxa"/>
                    </w:tcMar>
                  </w:tcPr>
                  <w:p>
                    <w:pPr>
                      <w:jc w:val="center"/>
                      <w:rPr>
                        <w:sz w:val="20"/>
                      </w:rPr>
                    </w:pPr>
                    <w:r>
                      <w:rPr>
                        <w:sz w:val="20"/>
                      </w:rPr>
                      <w:t>14 807,119</w:t>
                    </w:r>
                  </w:p>
                  <w:p>
                    <w:pPr>
                      <w:ind w:firstLine="62"/>
                    </w:pPr>
                  </w:p>
                </w:tc>
                <w:tc>
                  <w:tcPr>
                    <w:tcW w:w="1118" w:type="dxa"/>
                    <w:tcMar>
                      <w:left w:w="108" w:type="dxa"/>
                      <w:right w:w="108" w:type="dxa"/>
                    </w:tcMar>
                  </w:tcPr>
                  <w:p>
                    <w:pPr>
                      <w:ind w:firstLine="53"/>
                    </w:pPr>
                    <w:r>
                      <w:rPr>
                        <w:sz w:val="20"/>
                      </w:rPr>
                      <w:t>2021–2027 m. IP (ESF+)</w:t>
                    </w:r>
                  </w:p>
                </w:tc>
                <w:tc>
                  <w:tcPr>
                    <w:tcW w:w="2001" w:type="dxa"/>
                    <w:gridSpan w:val="2"/>
                    <w:tcMar>
                      <w:left w:w="108" w:type="dxa"/>
                      <w:right w:w="108" w:type="dxa"/>
                    </w:tcMar>
                  </w:tcPr>
                  <w:p>
                    <w:r>
                      <w:rPr>
                        <w:sz w:val="20"/>
                      </w:rPr>
                      <w:t xml:space="preserve">P – Asmenys, dalyvavę kvalifikacijos įgijimo veiklose, asmenys </w:t>
                    </w:r>
                  </w:p>
                </w:tc>
                <w:tc>
                  <w:tcPr>
                    <w:tcW w:w="1134" w:type="dxa"/>
                    <w:gridSpan w:val="2"/>
                    <w:tcMar>
                      <w:left w:w="108" w:type="dxa"/>
                      <w:right w:w="108" w:type="dxa"/>
                    </w:tcMar>
                  </w:tcPr>
                  <w:p>
                    <w:pPr>
                      <w:jc w:val="center"/>
                      <w:rPr>
                        <w:sz w:val="20"/>
                      </w:rPr>
                    </w:pPr>
                    <w:r>
                      <w:rPr>
                        <w:sz w:val="20"/>
                      </w:rPr>
                      <w:t>240</w:t>
                    </w:r>
                  </w:p>
                  <w:p>
                    <w:pPr>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restart"/>
                    <w:tcMar>
                      <w:left w:w="108" w:type="dxa"/>
                      <w:right w:w="108" w:type="dxa"/>
                    </w:tcMar>
                  </w:tcPr>
                  <w:p>
                    <w:pPr>
                      <w:ind w:firstLine="62"/>
                    </w:pPr>
                    <w:r>
                      <w:rPr>
                        <w:sz w:val="20"/>
                      </w:rPr>
                      <w:t>2 613,021</w:t>
                    </w:r>
                  </w:p>
                </w:tc>
                <w:tc>
                  <w:tcPr>
                    <w:tcW w:w="1118" w:type="dxa"/>
                    <w:vMerge w:val="restart"/>
                    <w:tcMar>
                      <w:left w:w="108" w:type="dxa"/>
                      <w:right w:w="108" w:type="dxa"/>
                    </w:tcMar>
                  </w:tcPr>
                  <w:p>
                    <w:pPr>
                      <w:rPr>
                        <w:sz w:val="20"/>
                      </w:rPr>
                    </w:pPr>
                    <w:r>
                      <w:rPr>
                        <w:sz w:val="20"/>
                      </w:rPr>
                      <w:t>2021–2027 m. IP (BF)</w:t>
                    </w:r>
                  </w:p>
                  <w:p>
                    <w:pPr>
                      <w:ind w:firstLine="53"/>
                    </w:pPr>
                  </w:p>
                </w:tc>
                <w:tc>
                  <w:tcPr>
                    <w:tcW w:w="2001" w:type="dxa"/>
                    <w:gridSpan w:val="2"/>
                    <w:tcMar>
                      <w:left w:w="108" w:type="dxa"/>
                      <w:right w:w="108" w:type="dxa"/>
                    </w:tcMar>
                  </w:tcPr>
                  <w:p>
                    <w:r>
                      <w:rPr>
                        <w:sz w:val="20"/>
                      </w:rPr>
                      <w:t xml:space="preserve">R – Asmenų, kurie po dalyvavimo veiklose įgijo  kvalifikaciją, dalis, proc.</w:t>
                    </w:r>
                  </w:p>
                </w:tc>
                <w:tc>
                  <w:tcPr>
                    <w:tcW w:w="1134" w:type="dxa"/>
                    <w:gridSpan w:val="2"/>
                    <w:tcMar>
                      <w:left w:w="108" w:type="dxa"/>
                      <w:right w:w="108" w:type="dxa"/>
                    </w:tcMar>
                  </w:tcPr>
                  <w:p>
                    <w:pPr>
                      <w:jc w:val="center"/>
                      <w:rPr>
                        <w:sz w:val="20"/>
                      </w:rPr>
                    </w:pPr>
                    <w:r>
                      <w:rPr>
                        <w:sz w:val="20"/>
                      </w:rPr>
                      <w:t>80</w:t>
                    </w:r>
                  </w:p>
                  <w:p>
                    <w:pPr>
                      <w:jc w:val="center"/>
                      <w:rPr>
                        <w:sz w:val="20"/>
                      </w:rPr>
                    </w:pPr>
                    <w:r>
                      <w:rPr>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ign w:val="center"/>
                  </w:tcPr>
                  <w:p/>
                </w:tc>
                <w:tc>
                  <w:tcPr>
                    <w:tcW w:w="1118" w:type="dxa"/>
                    <w:vMerge/>
                    <w:vAlign w:val="center"/>
                  </w:tcPr>
                  <w:p/>
                </w:tc>
                <w:tc>
                  <w:tcPr>
                    <w:tcW w:w="2001" w:type="dxa"/>
                    <w:gridSpan w:val="2"/>
                    <w:tcMar>
                      <w:left w:w="108" w:type="dxa"/>
                      <w:right w:w="108" w:type="dxa"/>
                    </w:tcMar>
                  </w:tcPr>
                  <w:p>
                    <w:r>
                      <w:rPr>
                        <w:sz w:val="20"/>
                      </w:rPr>
                      <w:t>P – Specialistai, dalyvavę kvalifikacijos tobulinimo ar perkvalifikavimo veiklose, asmenys</w:t>
                    </w:r>
                  </w:p>
                </w:tc>
                <w:tc>
                  <w:tcPr>
                    <w:tcW w:w="1134" w:type="dxa"/>
                    <w:gridSpan w:val="2"/>
                    <w:tcMar>
                      <w:left w:w="108" w:type="dxa"/>
                      <w:right w:w="108" w:type="dxa"/>
                    </w:tcMar>
                  </w:tcPr>
                  <w:p>
                    <w:pPr>
                      <w:jc w:val="center"/>
                      <w:rPr>
                        <w:sz w:val="20"/>
                      </w:rPr>
                    </w:pPr>
                    <w:r>
                      <w:rPr>
                        <w:sz w:val="20"/>
                      </w:rPr>
                      <w:t>10</w:t>
                    </w:r>
                  </w:p>
                  <w:p>
                    <w:pPr>
                      <w:jc w:val="center"/>
                      <w:rPr>
                        <w:sz w:val="20"/>
                      </w:rPr>
                    </w:pPr>
                    <w:r>
                      <w:rPr>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ign w:val="center"/>
                  </w:tcPr>
                  <w:p/>
                </w:tc>
                <w:tc>
                  <w:tcPr>
                    <w:tcW w:w="1118" w:type="dxa"/>
                    <w:vMerge/>
                    <w:vAlign w:val="center"/>
                  </w:tcPr>
                  <w:p/>
                </w:tc>
                <w:tc>
                  <w:tcPr>
                    <w:tcW w:w="2001" w:type="dxa"/>
                    <w:gridSpan w:val="2"/>
                    <w:tcMar>
                      <w:left w:w="108" w:type="dxa"/>
                      <w:right w:w="108" w:type="dxa"/>
                    </w:tcMar>
                  </w:tcPr>
                  <w:p>
                    <w:r>
                      <w:rPr>
                        <w:sz w:val="20"/>
                      </w:rPr>
                      <w:t>R – Specialistų, kurie po dalyvavimo veiklose įgijo ar patobulino kvalifikaciją, dalis, proc.</w:t>
                    </w:r>
                  </w:p>
                </w:tc>
                <w:tc>
                  <w:tcPr>
                    <w:tcW w:w="1134" w:type="dxa"/>
                    <w:gridSpan w:val="2"/>
                    <w:tcMar>
                      <w:left w:w="108" w:type="dxa"/>
                      <w:right w:w="108" w:type="dxa"/>
                    </w:tcMar>
                  </w:tcPr>
                  <w:p>
                    <w:pPr>
                      <w:jc w:val="center"/>
                      <w:rPr>
                        <w:sz w:val="20"/>
                      </w:rPr>
                    </w:pPr>
                    <w:r>
                      <w:rPr>
                        <w:sz w:val="20"/>
                      </w:rPr>
                      <w:t>90</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ign w:val="center"/>
                  </w:tcPr>
                  <w:p/>
                </w:tc>
                <w:tc>
                  <w:tcPr>
                    <w:tcW w:w="1118" w:type="dxa"/>
                    <w:vMerge/>
                    <w:vAlign w:val="center"/>
                  </w:tcPr>
                  <w:p/>
                </w:tc>
                <w:tc>
                  <w:tcPr>
                    <w:tcW w:w="2001" w:type="dxa"/>
                    <w:gridSpan w:val="2"/>
                    <w:tcMar>
                      <w:left w:w="108" w:type="dxa"/>
                      <w:right w:w="108" w:type="dxa"/>
                    </w:tcMar>
                  </w:tcPr>
                  <w:p>
                    <w:r>
                      <w:rPr>
                        <w:sz w:val="20"/>
                      </w:rPr>
                      <w:t>P – Sveikatos priežiūros įstaigos, įgyvendinusios sveikatos priežiūros specialistų įgalinimo, pritraukimo ir išlaikymo projektus, skaičius</w:t>
                    </w:r>
                  </w:p>
                </w:tc>
                <w:tc>
                  <w:tcPr>
                    <w:tcW w:w="1134" w:type="dxa"/>
                    <w:gridSpan w:val="2"/>
                    <w:tcMar>
                      <w:left w:w="108" w:type="dxa"/>
                      <w:right w:w="108" w:type="dxa"/>
                    </w:tcMar>
                  </w:tcPr>
                  <w:p>
                    <w:pPr>
                      <w:jc w:val="center"/>
                      <w:rPr>
                        <w:sz w:val="20"/>
                      </w:rPr>
                    </w:pPr>
                    <w:r>
                      <w:rPr>
                        <w:sz w:val="20"/>
                      </w:rPr>
                      <w:t>98</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ign w:val="center"/>
                  </w:tcPr>
                  <w:p/>
                </w:tc>
                <w:tc>
                  <w:tcPr>
                    <w:tcW w:w="1118" w:type="dxa"/>
                    <w:vMerge/>
                    <w:vAlign w:val="center"/>
                  </w:tcPr>
                  <w:p/>
                </w:tc>
                <w:tc>
                  <w:tcPr>
                    <w:tcW w:w="2001" w:type="dxa"/>
                    <w:gridSpan w:val="2"/>
                    <w:tcMar>
                      <w:left w:w="108" w:type="dxa"/>
                      <w:right w:w="108" w:type="dxa"/>
                    </w:tcMar>
                  </w:tcPr>
                  <w:p>
                    <w:r>
                      <w:rPr>
                        <w:sz w:val="20"/>
                      </w:rPr>
                      <w:t>R – Sveikatos priežiūros specialistų, kurie po dalyvavimo veiklose mažiausiai 2 metus dirbo sveikatos priežiūros įstaigose, dalis, proc.</w:t>
                    </w:r>
                  </w:p>
                </w:tc>
                <w:tc>
                  <w:tcPr>
                    <w:tcW w:w="1134" w:type="dxa"/>
                    <w:gridSpan w:val="2"/>
                    <w:tcMar>
                      <w:left w:w="108" w:type="dxa"/>
                      <w:right w:w="108" w:type="dxa"/>
                    </w:tcMar>
                  </w:tcPr>
                  <w:p>
                    <w:pPr>
                      <w:jc w:val="center"/>
                      <w:rPr>
                        <w:sz w:val="20"/>
                      </w:rPr>
                    </w:pPr>
                    <w:r>
                      <w:rPr>
                        <w:sz w:val="20"/>
                      </w:rPr>
                      <w:t>80</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10.4.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 VASPVT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2 550,00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P – Specialistai, dalyvavę kvalifikacijos tobulinimo ar perkvalifikavimo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val="restart"/>
                    <w:tcBorders>
                      <w:top w:val="single" w:sz="4" w:space="0" w:color="auto"/>
                      <w:left w:val="single" w:sz="4" w:space="0" w:color="auto"/>
                      <w:right w:val="single" w:sz="4" w:space="0" w:color="auto"/>
                    </w:tcBorders>
                    <w:vAlign w:val="center"/>
                  </w:tcPr>
                  <w:p>
                    <w:r>
                      <w:rPr>
                        <w:sz w:val="20"/>
                      </w:rPr>
                      <w:t>10.5. Sveikatos priežiūros specialistų rengimas, pritraukimas, Vidurio ir vakarų Lietuvos regionas</w:t>
                    </w:r>
                  </w:p>
                </w:tc>
                <w:tc>
                  <w:tcPr>
                    <w:tcW w:w="699" w:type="dxa"/>
                    <w:vMerge w:val="restart"/>
                    <w:tcBorders>
                      <w:top w:val="single" w:sz="4" w:space="0" w:color="auto"/>
                      <w:left w:val="single" w:sz="4" w:space="0" w:color="auto"/>
                      <w:right w:val="single" w:sz="4" w:space="0" w:color="auto"/>
                    </w:tcBorders>
                    <w:vAlign w:val="center"/>
                  </w:tcPr>
                  <w:p>
                    <w:r>
                      <w:rPr>
                        <w:sz w:val="20"/>
                      </w:rPr>
                      <w:t>I</w:t>
                    </w:r>
                  </w:p>
                </w:tc>
                <w:tc>
                  <w:tcPr>
                    <w:tcW w:w="1985" w:type="dxa"/>
                    <w:vMerge w:val="restart"/>
                    <w:tcBorders>
                      <w:top w:val="single" w:sz="4" w:space="0" w:color="auto"/>
                      <w:left w:val="single" w:sz="4" w:space="0" w:color="auto"/>
                      <w:right w:val="single" w:sz="4" w:space="0" w:color="auto"/>
                    </w:tcBorders>
                    <w:vAlign w:val="center"/>
                  </w:tcPr>
                  <w:p>
                    <w:r>
                      <w:rPr>
                        <w:sz w:val="20"/>
                      </w:rPr>
                      <w:t xml:space="preserve">GMP tarnyba </w:t>
                    </w:r>
                  </w:p>
                </w:tc>
                <w:tc>
                  <w:tcPr>
                    <w:tcW w:w="829" w:type="dxa"/>
                    <w:gridSpan w:val="3"/>
                    <w:vMerge w:val="restart"/>
                    <w:tcBorders>
                      <w:top w:val="single" w:sz="4" w:space="0" w:color="auto"/>
                      <w:left w:val="single" w:sz="4" w:space="0" w:color="auto"/>
                      <w:right w:val="single" w:sz="4" w:space="0" w:color="auto"/>
                    </w:tcBorders>
                    <w:vAlign w:val="center"/>
                  </w:tcPr>
                  <w:p>
                    <w:r>
                      <w:rPr>
                        <w:sz w:val="20"/>
                      </w:rPr>
                      <w:t>P</w:t>
                    </w:r>
                  </w:p>
                </w:tc>
                <w:tc>
                  <w:tcPr>
                    <w:tcW w:w="1006" w:type="dxa"/>
                    <w:gridSpan w:val="2"/>
                    <w:vMerge w:val="restart"/>
                    <w:tcBorders>
                      <w:top w:val="single" w:sz="4" w:space="0" w:color="auto"/>
                      <w:left w:val="single" w:sz="4" w:space="0" w:color="auto"/>
                      <w:right w:val="single" w:sz="4" w:space="0" w:color="auto"/>
                    </w:tcBorders>
                    <w:vAlign w:val="center"/>
                  </w:tcPr>
                  <w:p>
                    <w:r>
                      <w:rPr>
                        <w:sz w:val="20"/>
                      </w:rPr>
                      <w:t>Taip</w:t>
                    </w:r>
                  </w:p>
                </w:tc>
                <w:tc>
                  <w:tcPr>
                    <w:tcW w:w="689" w:type="dxa"/>
                    <w:gridSpan w:val="4"/>
                    <w:vMerge w:val="restart"/>
                    <w:tcBorders>
                      <w:top w:val="single" w:sz="4" w:space="0" w:color="auto"/>
                      <w:left w:val="single" w:sz="4" w:space="0" w:color="auto"/>
                      <w:right w:val="single" w:sz="4" w:space="0" w:color="auto"/>
                    </w:tcBorders>
                    <w:vAlign w:val="center"/>
                  </w:tcPr>
                  <w:p>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sz w:val="20"/>
                      </w:rPr>
                    </w:pPr>
                    <w:r>
                      <w:rPr>
                        <w:sz w:val="20"/>
                      </w:rPr>
                      <w:t>423,831</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2021–2027 m. IP (ESF+)</w:t>
                    </w: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 xml:space="preserve">P – Asmenys, dalyvavę kvalifikacijos įgijimo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84</w:t>
                    </w:r>
                  </w:p>
                  <w:p>
                    <w:pPr>
                      <w:jc w:val="center"/>
                      <w:rPr>
                        <w:color w:val="000000"/>
                        <w:sz w:val="20"/>
                      </w:rPr>
                    </w:pPr>
                    <w:r>
                      <w:rPr>
                        <w:sz w:val="20"/>
                      </w:rPr>
                      <w:t>(2029 m.)</w:t>
                    </w:r>
                  </w:p>
                </w:tc>
                <w:tc>
                  <w:tcPr>
                    <w:tcW w:w="992" w:type="dxa"/>
                    <w:vMerge w:val="restart"/>
                    <w:tcBorders>
                      <w:top w:val="single" w:sz="4" w:space="0" w:color="auto"/>
                      <w:left w:val="single" w:sz="4" w:space="0" w:color="auto"/>
                      <w:right w:val="single" w:sz="4" w:space="0" w:color="auto"/>
                    </w:tcBorders>
                    <w:vAlign w:val="center"/>
                  </w:tcPr>
                  <w:p>
                    <w:r>
                      <w:rPr>
                        <w:sz w:val="20"/>
                      </w:rPr>
                      <w:t>CPVA</w:t>
                    </w:r>
                  </w:p>
                </w:tc>
                <w:tc>
                  <w:tcPr>
                    <w:tcW w:w="1279" w:type="dxa"/>
                    <w:vMerge w:val="restart"/>
                    <w:tcBorders>
                      <w:top w:val="single" w:sz="4" w:space="0" w:color="auto"/>
                      <w:left w:val="single" w:sz="4" w:space="0" w:color="auto"/>
                    </w:tcBorders>
                    <w:vAlign w:val="center"/>
                  </w:tcPr>
                  <w:p>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right w:val="single" w:sz="4" w:space="0" w:color="auto"/>
                    </w:tcBorders>
                    <w:tcMar>
                      <w:left w:w="108" w:type="dxa"/>
                      <w:right w:w="108" w:type="dxa"/>
                    </w:tcMar>
                  </w:tcPr>
                  <w:p>
                    <w:pPr>
                      <w:rPr>
                        <w:sz w:val="20"/>
                      </w:rPr>
                    </w:pPr>
                    <w:r>
                      <w:rPr>
                        <w:sz w:val="20"/>
                      </w:rPr>
                      <w:t>74,794</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 xml:space="preserve">R – Asmenų, kurie po dalyvavimo veiklose įgijo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80</w:t>
                    </w:r>
                  </w:p>
                  <w:p>
                    <w:pPr>
                      <w:jc w:val="center"/>
                      <w:rPr>
                        <w:color w:val="000000"/>
                        <w:sz w:val="20"/>
                      </w:rP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vMerge/>
                    <w:tcBorders>
                      <w:left w:val="single" w:sz="4" w:space="0" w:color="auto"/>
                      <w:right w:val="single" w:sz="4" w:space="0" w:color="auto"/>
                    </w:tcBorders>
                    <w:tcMar>
                      <w:left w:w="108" w:type="dxa"/>
                      <w:right w:w="108" w:type="dxa"/>
                    </w:tcMar>
                  </w:tcPr>
                  <w:p>
                    <w:pPr>
                      <w:rPr>
                        <w:sz w:val="20"/>
                      </w:rPr>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P –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1</w:t>
                    </w:r>
                  </w:p>
                  <w:p>
                    <w:pPr>
                      <w:jc w:val="center"/>
                      <w:rPr>
                        <w:color w:val="000000"/>
                        <w:sz w:val="20"/>
                      </w:rP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bottom w:val="single" w:sz="4" w:space="0" w:color="auto"/>
                      <w:right w:val="single" w:sz="4" w:space="0" w:color="auto"/>
                    </w:tcBorders>
                    <w:vAlign w:val="center"/>
                  </w:tcPr>
                  <w:p/>
                </w:tc>
                <w:tc>
                  <w:tcPr>
                    <w:tcW w:w="699" w:type="dxa"/>
                    <w:vMerge/>
                    <w:tcBorders>
                      <w:left w:val="single" w:sz="4" w:space="0" w:color="auto"/>
                      <w:bottom w:val="single" w:sz="4" w:space="0" w:color="auto"/>
                      <w:right w:val="single" w:sz="4" w:space="0" w:color="auto"/>
                    </w:tcBorders>
                    <w:vAlign w:val="center"/>
                  </w:tcPr>
                  <w:p/>
                </w:tc>
                <w:tc>
                  <w:tcPr>
                    <w:tcW w:w="1985" w:type="dxa"/>
                    <w:vMerge/>
                    <w:tcBorders>
                      <w:left w:val="single" w:sz="4" w:space="0" w:color="auto"/>
                      <w:bottom w:val="single" w:sz="4" w:space="0" w:color="auto"/>
                      <w:right w:val="single" w:sz="4" w:space="0" w:color="auto"/>
                    </w:tcBorders>
                    <w:vAlign w:val="center"/>
                  </w:tcPr>
                  <w:p/>
                </w:tc>
                <w:tc>
                  <w:tcPr>
                    <w:tcW w:w="829" w:type="dxa"/>
                    <w:gridSpan w:val="3"/>
                    <w:vMerge/>
                    <w:tcBorders>
                      <w:left w:val="single" w:sz="4" w:space="0" w:color="auto"/>
                      <w:bottom w:val="single" w:sz="4" w:space="0" w:color="auto"/>
                      <w:right w:val="single" w:sz="4" w:space="0" w:color="auto"/>
                    </w:tcBorders>
                    <w:vAlign w:val="center"/>
                  </w:tcPr>
                  <w:p/>
                </w:tc>
                <w:tc>
                  <w:tcPr>
                    <w:tcW w:w="1006" w:type="dxa"/>
                    <w:gridSpan w:val="2"/>
                    <w:vMerge/>
                    <w:tcBorders>
                      <w:left w:val="single" w:sz="4" w:space="0" w:color="auto"/>
                      <w:bottom w:val="single" w:sz="4" w:space="0" w:color="auto"/>
                      <w:right w:val="single" w:sz="4" w:space="0" w:color="auto"/>
                    </w:tcBorders>
                    <w:vAlign w:val="center"/>
                  </w:tcPr>
                  <w:p/>
                </w:tc>
                <w:tc>
                  <w:tcPr>
                    <w:tcW w:w="689" w:type="dxa"/>
                    <w:gridSpan w:val="4"/>
                    <w:vMerge/>
                    <w:tcBorders>
                      <w:left w:val="single" w:sz="4" w:space="0" w:color="auto"/>
                      <w:bottom w:val="single" w:sz="4" w:space="0" w:color="auto"/>
                      <w:right w:val="single" w:sz="4" w:space="0" w:color="auto"/>
                    </w:tcBorders>
                    <w:vAlign w:val="center"/>
                  </w:tcPr>
                  <w:p/>
                </w:tc>
                <w:tc>
                  <w:tcPr>
                    <w:tcW w:w="1167" w:type="dxa"/>
                    <w:gridSpan w:val="2"/>
                    <w:vMerge/>
                    <w:tcBorders>
                      <w:left w:val="single" w:sz="4" w:space="0" w:color="auto"/>
                      <w:bottom w:val="single" w:sz="4" w:space="0" w:color="auto"/>
                      <w:right w:val="single" w:sz="4" w:space="0" w:color="auto"/>
                    </w:tcBorders>
                    <w:tcMar>
                      <w:left w:w="108" w:type="dxa"/>
                      <w:right w:w="108" w:type="dxa"/>
                    </w:tcMar>
                  </w:tcPr>
                  <w:p>
                    <w:pPr>
                      <w:rPr>
                        <w:sz w:val="20"/>
                      </w:rPr>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R –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80</w:t>
                    </w:r>
                  </w:p>
                  <w:p>
                    <w:pPr>
                      <w:jc w:val="center"/>
                      <w:rPr>
                        <w:color w:val="000000"/>
                        <w:sz w:val="20"/>
                      </w:rPr>
                    </w:pPr>
                    <w:r>
                      <w:rPr>
                        <w:sz w:val="20"/>
                      </w:rPr>
                      <w:t>(2029 m.)</w:t>
                    </w:r>
                  </w:p>
                </w:tc>
                <w:tc>
                  <w:tcPr>
                    <w:tcW w:w="992" w:type="dxa"/>
                    <w:vMerge/>
                    <w:tcBorders>
                      <w:left w:val="single" w:sz="4" w:space="0" w:color="auto"/>
                      <w:bottom w:val="single" w:sz="4" w:space="0" w:color="auto"/>
                      <w:right w:val="single" w:sz="4" w:space="0" w:color="auto"/>
                    </w:tcBorders>
                    <w:vAlign w:val="center"/>
                  </w:tcPr>
                  <w:p/>
                </w:tc>
                <w:tc>
                  <w:tcPr>
                    <w:tcW w:w="1279" w:type="dxa"/>
                    <w:vMerge/>
                    <w:tcBorders>
                      <w:left w:val="single" w:sz="4" w:space="0" w:color="auto"/>
                      <w:bottom w:val="single" w:sz="4" w:space="0" w:color="auto"/>
                    </w:tcBorders>
                    <w:vAlign w:val="center"/>
                  </w:tc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30" w:type="dxa"/>
                    <w:gridSpan w:val="2"/>
                  </w:tcPr>
                  <w:p>
                    <w:pPr>
                      <w:rPr>
                        <w:sz w:val="20"/>
                      </w:rPr>
                    </w:pPr>
                    <w:r>
                      <w:rPr>
                        <w:sz w:val="20"/>
                      </w:rPr>
                      <w:t xml:space="preserve">11.1. Sveikatos priežiūros  specialistų kvalifikaciją ir darbo sąlygas tobulinančių teisės aktų 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right="-57"/>
                      <w:rPr>
                        <w:sz w:val="20"/>
                      </w:rPr>
                    </w:pPr>
                    <w:r>
                      <w:rPr>
                        <w:sz w:val="20"/>
                      </w:rPr>
                      <w:t>P – Įsigalioję teisės aktai dėl sveikatos priežiūros specialistų darbo sąlygų gerinimo ir profesinės kvalifikacijos tobulinimo, kompl.</w:t>
                    </w:r>
                  </w:p>
                </w:tc>
                <w:tc>
                  <w:tcPr>
                    <w:tcW w:w="1134" w:type="dxa"/>
                    <w:gridSpan w:val="2"/>
                  </w:tcPr>
                  <w:p>
                    <w:pPr>
                      <w:ind w:left="-57" w:right="-57"/>
                      <w:jc w:val="center"/>
                      <w:rPr>
                        <w:sz w:val="20"/>
                      </w:rPr>
                    </w:pPr>
                    <w:r>
                      <w:rPr>
                        <w:sz w:val="20"/>
                      </w:rPr>
                      <w:t>1</w:t>
                    </w:r>
                  </w:p>
                  <w:p>
                    <w:pPr>
                      <w:ind w:left="-57" w:right="-57"/>
                      <w:jc w:val="center"/>
                      <w:rPr>
                        <w:sz w:val="20"/>
                      </w:rPr>
                    </w:pPr>
                    <w:r>
                      <w:rPr>
                        <w:sz w:val="20"/>
                      </w:rPr>
                      <w:t>(2023 m. II ketv.)</w:t>
                    </w:r>
                  </w:p>
                </w:tc>
                <w:tc>
                  <w:tcPr>
                    <w:tcW w:w="992" w:type="dxa"/>
                  </w:tcPr>
                  <w:p>
                    <w:pPr>
                      <w:rPr>
                        <w:sz w:val="20"/>
                      </w:rPr>
                    </w:pPr>
                    <w:r>
                      <w:rPr>
                        <w:sz w:val="20"/>
                      </w:rPr>
                      <w:t>-</w:t>
                    </w: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943"/>
                </w:trPr>
                <w:tc>
                  <w:tcPr>
                    <w:tcW w:w="2130" w:type="dxa"/>
                    <w:gridSpan w:val="2"/>
                    <w:vMerge w:val="restart"/>
                    <w:hideMark/>
                  </w:tcPr>
                  <w:p>
                    <w:pPr>
                      <w:rPr>
                        <w:sz w:val="20"/>
                      </w:rPr>
                    </w:pPr>
                    <w:r>
                      <w:rPr>
                        <w:sz w:val="20"/>
                      </w:rPr>
                      <w:t>11.2. Sveikatos priežiūros  specialistų kvalifikacijos tobulinimas, Vidurio ir vakarų Lietuvos regionas</w:t>
                    </w:r>
                  </w:p>
                </w:tc>
                <w:tc>
                  <w:tcPr>
                    <w:tcW w:w="699" w:type="dxa"/>
                    <w:vMerge w:val="restart"/>
                    <w:hideMark/>
                  </w:tcPr>
                  <w:p>
                    <w:pPr>
                      <w:rPr>
                        <w:sz w:val="20"/>
                      </w:rPr>
                    </w:pPr>
                    <w:r>
                      <w:rPr>
                        <w:sz w:val="20"/>
                      </w:rPr>
                      <w:t>I</w:t>
                    </w:r>
                  </w:p>
                </w:tc>
                <w:tc>
                  <w:tcPr>
                    <w:tcW w:w="1985" w:type="dxa"/>
                    <w:vMerge w:val="restart"/>
                    <w:hideMark/>
                  </w:tcPr>
                  <w:p>
                    <w:pPr>
                      <w:rPr>
                        <w:sz w:val="20"/>
                      </w:rPr>
                    </w:pPr>
                    <w:r>
                      <w:rPr>
                        <w:sz w:val="20"/>
                      </w:rPr>
                      <w:t>SAM</w:t>
                    </w:r>
                  </w:p>
                </w:tc>
                <w:tc>
                  <w:tcPr>
                    <w:tcW w:w="829" w:type="dxa"/>
                    <w:gridSpan w:val="3"/>
                    <w:vMerge w:val="restart"/>
                    <w:hideMark/>
                  </w:tcPr>
                  <w:p>
                    <w:pPr>
                      <w:rPr>
                        <w:sz w:val="20"/>
                      </w:rPr>
                    </w:pPr>
                    <w:r>
                      <w:rPr>
                        <w:sz w:val="20"/>
                      </w:rPr>
                      <w:t>P</w:t>
                    </w:r>
                  </w:p>
                </w:tc>
                <w:tc>
                  <w:tcPr>
                    <w:tcW w:w="1014" w:type="dxa"/>
                    <w:gridSpan w:val="3"/>
                    <w:vMerge w:val="restart"/>
                    <w:hideMark/>
                  </w:tcPr>
                  <w:p>
                    <w:pPr>
                      <w:rPr>
                        <w:sz w:val="20"/>
                      </w:rPr>
                    </w:pPr>
                    <w:r>
                      <w:rPr>
                        <w:sz w:val="20"/>
                      </w:rPr>
                      <w:t>Taip</w:t>
                    </w:r>
                  </w:p>
                </w:tc>
                <w:tc>
                  <w:tcPr>
                    <w:tcW w:w="681" w:type="dxa"/>
                    <w:gridSpan w:val="3"/>
                    <w:vMerge w:val="restart"/>
                    <w:hideMark/>
                  </w:tcPr>
                  <w:p>
                    <w:pPr>
                      <w:rPr>
                        <w:sz w:val="20"/>
                      </w:rPr>
                    </w:pPr>
                    <w:r>
                      <w:rPr>
                        <w:sz w:val="20"/>
                      </w:rPr>
                      <w:t>D</w:t>
                    </w:r>
                  </w:p>
                </w:tc>
                <w:tc>
                  <w:tcPr>
                    <w:tcW w:w="1167" w:type="dxa"/>
                    <w:gridSpan w:val="2"/>
                  </w:tcPr>
                  <w:p>
                    <w:pPr>
                      <w:ind w:firstLine="62"/>
                      <w:rPr>
                        <w:sz w:val="20"/>
                      </w:rPr>
                    </w:pPr>
                  </w:p>
                  <w:p>
                    <w:pPr>
                      <w:rPr>
                        <w:sz w:val="20"/>
                      </w:rPr>
                    </w:pPr>
                    <w:r>
                      <w:rPr>
                        <w:sz w:val="20"/>
                      </w:rPr>
                      <w:t>716,118</w:t>
                    </w:r>
                  </w:p>
                  <w:p>
                    <w:pPr>
                      <w:rPr>
                        <w:sz w:val="20"/>
                      </w:rPr>
                    </w:pPr>
                  </w:p>
                </w:tc>
                <w:tc>
                  <w:tcPr>
                    <w:tcW w:w="1118" w:type="dxa"/>
                    <w:hideMark/>
                  </w:tcPr>
                  <w:p>
                    <w:pPr>
                      <w:rPr>
                        <w:sz w:val="20"/>
                      </w:rPr>
                    </w:pPr>
                    <w:r>
                      <w:rPr>
                        <w:sz w:val="20"/>
                      </w:rPr>
                      <w:t>2021–2027 m. IP (ESF+)</w:t>
                    </w:r>
                  </w:p>
                </w:tc>
                <w:tc>
                  <w:tcPr>
                    <w:tcW w:w="2001" w:type="dxa"/>
                    <w:gridSpan w:val="2"/>
                    <w:vMerge w:val="restart"/>
                    <w:hideMark/>
                  </w:tcPr>
                  <w:p>
                    <w:pPr>
                      <w:rPr>
                        <w:sz w:val="20"/>
                      </w:rPr>
                    </w:pPr>
                    <w:r>
                      <w:rPr>
                        <w:sz w:val="20"/>
                      </w:rPr>
                      <w:t>P – Specialistai, dalyvavę kvalifikacijos tobulinimo ar perkvalifikavimo veiklose, asmenys</w:t>
                    </w:r>
                  </w:p>
                </w:tc>
                <w:tc>
                  <w:tcPr>
                    <w:tcW w:w="1134" w:type="dxa"/>
                    <w:gridSpan w:val="2"/>
                    <w:vMerge w:val="restart"/>
                  </w:tcPr>
                  <w:p>
                    <w:pPr>
                      <w:rPr>
                        <w:sz w:val="20"/>
                      </w:rPr>
                    </w:pPr>
                  </w:p>
                  <w:p>
                    <w:pPr>
                      <w:rPr>
                        <w:sz w:val="20"/>
                      </w:rPr>
                    </w:pPr>
                    <w:r>
                      <w:rPr>
                        <w:sz w:val="20"/>
                      </w:rPr>
                      <w:t>3 200</w:t>
                    </w:r>
                  </w:p>
                  <w:p>
                    <w:pPr>
                      <w:rPr>
                        <w:sz w:val="20"/>
                      </w:rPr>
                    </w:pPr>
                    <w:r>
                      <w:rPr>
                        <w:sz w:val="20"/>
                      </w:rPr>
                      <w:t>(2029 m.)</w:t>
                    </w:r>
                  </w:p>
                  <w:p>
                    <w:pPr>
                      <w:ind w:firstLine="62"/>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restart"/>
                  </w:tcPr>
                  <w:p>
                    <w:pPr>
                      <w:ind w:firstLine="62"/>
                      <w:rPr>
                        <w:sz w:val="20"/>
                      </w:rPr>
                    </w:pPr>
                  </w:p>
                  <w:p>
                    <w:pPr>
                      <w:rPr>
                        <w:sz w:val="20"/>
                      </w:rPr>
                    </w:pPr>
                    <w:r>
                      <w:rPr>
                        <w:sz w:val="20"/>
                      </w:rPr>
                      <w:t>126,374</w:t>
                    </w:r>
                  </w:p>
                  <w:p>
                    <w:pPr>
                      <w:rPr>
                        <w:sz w:val="20"/>
                        <w:highlight w:val="green"/>
                      </w:rPr>
                    </w:pPr>
                  </w:p>
                </w:tc>
                <w:tc>
                  <w:tcPr>
                    <w:tcW w:w="1118" w:type="dxa"/>
                    <w:vMerge w:val="restart"/>
                  </w:tcPr>
                  <w:p>
                    <w:pPr>
                      <w:rPr>
                        <w:sz w:val="20"/>
                      </w:rPr>
                    </w:pPr>
                    <w:r>
                      <w:rPr>
                        <w:sz w:val="20"/>
                      </w:rPr>
                      <w:t>2021–2027 m. IP (BF)</w:t>
                    </w:r>
                  </w:p>
                  <w:p>
                    <w:pPr>
                      <w:rPr>
                        <w:sz w:val="20"/>
                      </w:rPr>
                    </w:pPr>
                  </w:p>
                </w:tc>
                <w:tc>
                  <w:tcPr>
                    <w:tcW w:w="2001" w:type="dxa"/>
                    <w:gridSpan w:val="2"/>
                    <w:vMerge/>
                    <w:vAlign w:val="center"/>
                    <w:hideMark/>
                  </w:tcPr>
                  <w:p>
                    <w:pPr>
                      <w:rPr>
                        <w:sz w:val="20"/>
                      </w:rPr>
                    </w:pPr>
                  </w:p>
                </w:tc>
                <w:tc>
                  <w:tcPr>
                    <w:tcW w:w="1134" w:type="dxa"/>
                    <w:gridSpan w:val="2"/>
                    <w:vMerge/>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ign w:val="center"/>
                    <w:hideMark/>
                  </w:tcPr>
                  <w:p>
                    <w:pPr>
                      <w:rPr>
                        <w:sz w:val="20"/>
                        <w:highlight w:val="green"/>
                      </w:rPr>
                    </w:pPr>
                  </w:p>
                </w:tc>
                <w:tc>
                  <w:tcPr>
                    <w:tcW w:w="1118" w:type="dxa"/>
                    <w:vMerge/>
                    <w:vAlign w:val="center"/>
                    <w:hideMark/>
                  </w:tcPr>
                  <w:p>
                    <w:pPr>
                      <w:rPr>
                        <w:sz w:val="20"/>
                      </w:rPr>
                    </w:pPr>
                  </w:p>
                </w:tc>
                <w:tc>
                  <w:tcPr>
                    <w:tcW w:w="2001" w:type="dxa"/>
                    <w:gridSpan w:val="2"/>
                    <w:hideMark/>
                  </w:tcPr>
                  <w:p>
                    <w:pPr>
                      <w:ind w:left="-57" w:right="-57"/>
                      <w:rPr>
                        <w:sz w:val="20"/>
                      </w:rPr>
                    </w:pPr>
                    <w:r>
                      <w:rPr>
                        <w:sz w:val="20"/>
                      </w:rPr>
                      <w:t>R – Specialistų, kurie po dalyvavimo veiklose įgijo ar patobulino kvalifikaciją, dalis proc.</w:t>
                    </w:r>
                  </w:p>
                </w:tc>
                <w:tc>
                  <w:tcPr>
                    <w:tcW w:w="1134" w:type="dxa"/>
                    <w:gridSpan w:val="2"/>
                  </w:tcPr>
                  <w:p>
                    <w:pPr>
                      <w:rPr>
                        <w:sz w:val="20"/>
                      </w:rPr>
                    </w:pPr>
                    <w:r>
                      <w:rPr>
                        <w:sz w:val="20"/>
                      </w:rPr>
                      <w:t>90</w:t>
                    </w:r>
                  </w:p>
                  <w:p>
                    <w:pP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11.3. Sveikatos priežiūros specialistų kvalifikacijos tobulinimas</w:t>
                    </w:r>
                  </w:p>
                </w:tc>
                <w:tc>
                  <w:tcPr>
                    <w:tcW w:w="699" w:type="dxa"/>
                  </w:tcPr>
                  <w:p>
                    <w:pPr>
                      <w:rPr>
                        <w:sz w:val="20"/>
                      </w:rPr>
                    </w:pPr>
                    <w:r>
                      <w:rPr>
                        <w:sz w:val="20"/>
                      </w:rPr>
                      <w:t>I</w:t>
                    </w:r>
                  </w:p>
                </w:tc>
                <w:tc>
                  <w:tcPr>
                    <w:tcW w:w="1985" w:type="dxa"/>
                  </w:tcPr>
                  <w:p>
                    <w:pPr>
                      <w:rPr>
                        <w:sz w:val="20"/>
                      </w:rPr>
                    </w:pPr>
                    <w:r>
                      <w:rPr>
                        <w:sz w:val="20"/>
                      </w:rPr>
                      <w:t>SAM</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lang w:val="en-US"/>
                      </w:rPr>
                    </w:pPr>
                    <w:r>
                      <w:rPr>
                        <w:sz w:val="20"/>
                        <w:lang w:val="en-US"/>
                      </w:rPr>
                      <w:t>5 000</w:t>
                    </w:r>
                  </w:p>
                  <w:p>
                    <w:pPr>
                      <w:rPr>
                        <w:sz w:val="20"/>
                        <w:lang w:val="en-US"/>
                      </w:rPr>
                    </w:pPr>
                  </w:p>
                </w:tc>
                <w:tc>
                  <w:tcPr>
                    <w:tcW w:w="1118" w:type="dxa"/>
                  </w:tcPr>
                  <w:p>
                    <w:pPr>
                      <w:ind w:left="-57" w:right="-57"/>
                      <w:rPr>
                        <w:sz w:val="20"/>
                      </w:rPr>
                    </w:pPr>
                    <w:r>
                      <w:rPr>
                        <w:sz w:val="20"/>
                      </w:rPr>
                      <w:t>VB</w:t>
                    </w:r>
                  </w:p>
                </w:tc>
                <w:tc>
                  <w:tcPr>
                    <w:tcW w:w="2001" w:type="dxa"/>
                    <w:gridSpan w:val="2"/>
                  </w:tcPr>
                  <w:p>
                    <w:pPr>
                      <w:ind w:left="-57" w:right="-57"/>
                      <w:rPr>
                        <w:sz w:val="20"/>
                      </w:rPr>
                    </w:pPr>
                    <w:r>
                      <w:rPr>
                        <w:sz w:val="20"/>
                      </w:rPr>
                      <w:t>P – Specialistai, dalyvavę kvalifikacijos tobulinimo veiklose, asmenys</w:t>
                    </w:r>
                  </w:p>
                </w:tc>
                <w:tc>
                  <w:tcPr>
                    <w:tcW w:w="1134" w:type="dxa"/>
                    <w:gridSpan w:val="2"/>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restart"/>
                  </w:tcPr>
                  <w:p>
                    <w:pPr>
                      <w:rPr>
                        <w:sz w:val="20"/>
                      </w:rPr>
                    </w:pPr>
                    <w:r>
                      <w:rPr>
                        <w:sz w:val="20"/>
                      </w:rPr>
                      <w:t>11.4. Ilgalaikės priežiūros paslaugas teikiančių specialistų parengimas</w:t>
                    </w:r>
                  </w:p>
                </w:tc>
                <w:tc>
                  <w:tcPr>
                    <w:tcW w:w="699" w:type="dxa"/>
                    <w:vMerge w:val="restart"/>
                  </w:tcPr>
                  <w:p>
                    <w:pPr>
                      <w:rPr>
                        <w:sz w:val="20"/>
                      </w:rPr>
                    </w:pPr>
                    <w:r>
                      <w:rPr>
                        <w:sz w:val="20"/>
                      </w:rPr>
                      <w:t>I</w:t>
                    </w:r>
                  </w:p>
                </w:tc>
                <w:tc>
                  <w:tcPr>
                    <w:tcW w:w="1985" w:type="dxa"/>
                    <w:vMerge w:val="restart"/>
                  </w:tcPr>
                  <w:p>
                    <w:pPr>
                      <w:rPr>
                        <w:sz w:val="20"/>
                      </w:rPr>
                    </w:pPr>
                    <w:r>
                      <w:rPr>
                        <w:sz w:val="20"/>
                      </w:rPr>
                      <w:t>SAM</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2 100</w:t>
                    </w:r>
                  </w:p>
                  <w:p>
                    <w:pPr>
                      <w:rPr>
                        <w:sz w:val="20"/>
                        <w:lang w:val="en-US"/>
                      </w:rPr>
                    </w:pPr>
                  </w:p>
                </w:tc>
                <w:tc>
                  <w:tcPr>
                    <w:tcW w:w="1118" w:type="dxa"/>
                  </w:tcPr>
                  <w:p>
                    <w:pPr>
                      <w:ind w:left="-57" w:right="-57"/>
                      <w:rPr>
                        <w:sz w:val="20"/>
                      </w:rPr>
                    </w:pPr>
                    <w:r>
                      <w:rPr>
                        <w:sz w:val="20"/>
                      </w:rPr>
                      <w:t>EGADP</w:t>
                    </w:r>
                  </w:p>
                  <w:p>
                    <w:pPr>
                      <w:ind w:left="-57" w:right="-57"/>
                      <w:rPr>
                        <w:sz w:val="20"/>
                      </w:rPr>
                    </w:pPr>
                  </w:p>
                </w:tc>
                <w:tc>
                  <w:tcPr>
                    <w:tcW w:w="2001" w:type="dxa"/>
                    <w:gridSpan w:val="2"/>
                    <w:vMerge w:val="restart"/>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1134" w:type="dxa"/>
                    <w:gridSpan w:val="2"/>
                    <w:vMerge w:val="restart"/>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440</w:t>
                    </w:r>
                  </w:p>
                </w:tc>
                <w:tc>
                  <w:tcPr>
                    <w:tcW w:w="1118" w:type="dxa"/>
                  </w:tcPr>
                  <w:p>
                    <w:pPr>
                      <w:rPr>
                        <w:sz w:val="20"/>
                      </w:rPr>
                    </w:pPr>
                    <w:r>
                      <w:rPr>
                        <w:sz w:val="20"/>
                      </w:rPr>
                      <w:t>PVM iš VB</w:t>
                    </w:r>
                  </w:p>
                </w:tc>
                <w:tc>
                  <w:tcPr>
                    <w:tcW w:w="2001" w:type="dxa"/>
                    <w:gridSpan w:val="2"/>
                    <w:vMerge/>
                    <w:tcBorders>
                      <w:bottom w:val="single" w:sz="4" w:space="0" w:color="auto"/>
                    </w:tcBorders>
                    <w:shd w:val="clear" w:color="auto" w:fill="FFFFFF" w:themeFill="background1"/>
                  </w:tcPr>
                  <w:p>
                    <w:pPr>
                      <w:ind w:left="-57" w:right="-57"/>
                      <w:rPr>
                        <w:sz w:val="20"/>
                      </w:rPr>
                    </w:pPr>
                  </w:p>
                </w:tc>
                <w:tc>
                  <w:tcPr>
                    <w:tcW w:w="1134" w:type="dxa"/>
                    <w:gridSpan w:val="2"/>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rPr>
                        <w:sz w:val="20"/>
                      </w:rPr>
                    </w:pPr>
                    <w:r>
                      <w:rPr>
                        <w:iCs/>
                        <w:sz w:val="20"/>
                      </w:rPr>
                      <w:t>11.5. Sveikatos priežiūros srityje dirbančių specialistų kvalifikacijos tobulinimas (pirminė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rPr>
                        <w:sz w:val="20"/>
                      </w:rPr>
                    </w:pPr>
                    <w:r>
                      <w:rPr>
                        <w:sz w:val="20"/>
                      </w:rPr>
                      <w:t>SAM, VU, LSMU, GMP 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3 589,903</w:t>
                    </w:r>
                  </w:p>
                  <w:p>
                    <w:pPr>
                      <w:jc w:val="center"/>
                      <w:rPr>
                        <w:sz w:val="20"/>
                      </w:rPr>
                    </w:pPr>
                  </w:p>
                </w:tc>
                <w:tc>
                  <w:tcPr>
                    <w:tcW w:w="1118" w:type="dxa"/>
                  </w:tcPr>
                  <w:p>
                    <w:pPr>
                      <w:jc w:val="center"/>
                      <w:rPr>
                        <w:sz w:val="20"/>
                      </w:rPr>
                    </w:pPr>
                    <w:r>
                      <w:rPr>
                        <w:sz w:val="20"/>
                      </w:rPr>
                      <w:t>2021–2027 m. 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jc w:val="center"/>
                      <w:rPr>
                        <w:sz w:val="20"/>
                      </w:rPr>
                    </w:pPr>
                    <w:r>
                      <w:rPr>
                        <w:sz w:val="20"/>
                        <w:lang w:val="en-US"/>
                      </w:rPr>
                      <w:t>8 623</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jc w:val="center"/>
                      <w:rPr>
                        <w:sz w:val="20"/>
                      </w:rPr>
                    </w:pPr>
                  </w:p>
                </w:tc>
                <w:tc>
                  <w:tcPr>
                    <w:tcW w:w="1014" w:type="dxa"/>
                    <w:gridSpan w:val="3"/>
                    <w:vMerge/>
                    <w:vAlign w:val="center"/>
                  </w:tcPr>
                  <w:p>
                    <w:pPr>
                      <w:jc w:val="center"/>
                      <w:rPr>
                        <w:sz w:val="20"/>
                      </w:rPr>
                    </w:pPr>
                  </w:p>
                </w:tc>
                <w:tc>
                  <w:tcPr>
                    <w:tcW w:w="681" w:type="dxa"/>
                    <w:gridSpan w:val="3"/>
                    <w:vMerge/>
                    <w:vAlign w:val="center"/>
                  </w:tcPr>
                  <w:p>
                    <w:pPr>
                      <w:jc w:val="center"/>
                      <w:rPr>
                        <w:sz w:val="20"/>
                      </w:rPr>
                    </w:pPr>
                  </w:p>
                </w:tc>
                <w:tc>
                  <w:tcPr>
                    <w:tcW w:w="1167" w:type="dxa"/>
                    <w:gridSpan w:val="2"/>
                  </w:tcPr>
                  <w:p>
                    <w:pPr>
                      <w:jc w:val="center"/>
                      <w:rPr>
                        <w:sz w:val="20"/>
                      </w:rPr>
                    </w:pPr>
                  </w:p>
                  <w:p>
                    <w:pPr>
                      <w:jc w:val="center"/>
                      <w:rPr>
                        <w:sz w:val="20"/>
                      </w:rPr>
                    </w:pPr>
                  </w:p>
                  <w:p>
                    <w:pPr>
                      <w:jc w:val="center"/>
                      <w:rPr>
                        <w:sz w:val="20"/>
                      </w:rPr>
                    </w:pPr>
                    <w:r>
                      <w:rPr>
                        <w:sz w:val="20"/>
                      </w:rPr>
                      <w:t>633,512</w:t>
                    </w:r>
                  </w:p>
                  <w:p>
                    <w:pPr>
                      <w:jc w:val="center"/>
                      <w:rPr>
                        <w:sz w:val="20"/>
                      </w:rPr>
                    </w:pPr>
                  </w:p>
                </w:tc>
                <w:tc>
                  <w:tcPr>
                    <w:tcW w:w="1118" w:type="dxa"/>
                  </w:tcPr>
                  <w:p>
                    <w:pPr>
                      <w:jc w:val="center"/>
                      <w:rPr>
                        <w:sz w:val="20"/>
                      </w:rPr>
                    </w:pPr>
                    <w:r>
                      <w:rPr>
                        <w:sz w:val="20"/>
                      </w:rPr>
                      <w:t>2021–2027 m. IP (BF)</w:t>
                    </w:r>
                  </w:p>
                  <w:p>
                    <w:pPr>
                      <w:jc w:val="center"/>
                      <w:rPr>
                        <w:sz w:val="20"/>
                      </w:rPr>
                    </w:pPr>
                  </w:p>
                </w:tc>
                <w:tc>
                  <w:tcPr>
                    <w:tcW w:w="2001" w:type="dxa"/>
                    <w:gridSpan w:val="2"/>
                    <w:vAlign w:val="center"/>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ind w:left="113" w:right="113"/>
                      <w:rPr>
                        <w:sz w:val="20"/>
                      </w:rPr>
                    </w:pPr>
                    <w:r>
                      <w:rPr>
                        <w:iCs/>
                        <w:sz w:val="20"/>
                      </w:rPr>
                      <w:t>11.6. Sveikatos priežiūros srityje dirbančių specialistų kvalifikacijos tobulinimas (specializuota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ind w:firstLine="124"/>
                      <w:rPr>
                        <w:sz w:val="20"/>
                      </w:rPr>
                    </w:pPr>
                    <w:r>
                      <w:rPr>
                        <w:sz w:val="20"/>
                      </w:rPr>
                      <w:t xml:space="preserve">SAM, VU, </w:t>
                    </w:r>
                  </w:p>
                  <w:p>
                    <w:pPr>
                      <w:ind w:firstLine="124"/>
                      <w:rPr>
                        <w:sz w:val="20"/>
                      </w:rPr>
                    </w:pPr>
                    <w:r>
                      <w:rPr>
                        <w:sz w:val="20"/>
                      </w:rPr>
                      <w:t xml:space="preserve">LSMU, </w:t>
                    </w:r>
                  </w:p>
                  <w:p>
                    <w:pPr>
                      <w:ind w:firstLine="124"/>
                      <w:rPr>
                        <w:sz w:val="20"/>
                      </w:rPr>
                    </w:pPr>
                    <w:r>
                      <w:rPr>
                        <w:sz w:val="20"/>
                      </w:rPr>
                      <w:t xml:space="preserve">GMP </w:t>
                    </w:r>
                  </w:p>
                  <w:p>
                    <w:pPr>
                      <w:ind w:firstLine="124"/>
                      <w:rPr>
                        <w:sz w:val="20"/>
                      </w:rPr>
                    </w:pPr>
                    <w:r>
                      <w:rPr>
                        <w:sz w:val="20"/>
                      </w:rPr>
                      <w:t>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4 321,940</w:t>
                    </w:r>
                  </w:p>
                </w:tc>
                <w:tc>
                  <w:tcPr>
                    <w:tcW w:w="1118" w:type="dxa"/>
                  </w:tcPr>
                  <w:p>
                    <w:pPr>
                      <w:jc w:val="center"/>
                      <w:rPr>
                        <w:sz w:val="20"/>
                      </w:rPr>
                    </w:pPr>
                    <w:r>
                      <w:rPr>
                        <w:sz w:val="20"/>
                      </w:rPr>
                      <w:t>2021–2027 m.</w:t>
                    </w:r>
                  </w:p>
                  <w:p>
                    <w:pPr>
                      <w:jc w:val="center"/>
                      <w:rPr>
                        <w:sz w:val="20"/>
                      </w:rPr>
                    </w:pPr>
                    <w:r>
                      <w:rPr>
                        <w:sz w:val="20"/>
                      </w:rPr>
                      <w:t>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ind w:firstLine="62"/>
                      <w:jc w:val="center"/>
                      <w:rPr>
                        <w:sz w:val="20"/>
                      </w:rPr>
                    </w:pPr>
                  </w:p>
                  <w:p>
                    <w:pPr>
                      <w:jc w:val="center"/>
                      <w:rPr>
                        <w:sz w:val="20"/>
                      </w:rPr>
                    </w:pPr>
                    <w:r>
                      <w:rPr>
                        <w:sz w:val="20"/>
                      </w:rPr>
                      <w:t>10 307</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Cs w:val="24"/>
                      </w:rPr>
                    </w:pPr>
                  </w:p>
                </w:tc>
                <w:tc>
                  <w:tcPr>
                    <w:tcW w:w="699" w:type="dxa"/>
                    <w:vMerge/>
                    <w:vAlign w:val="center"/>
                  </w:tcPr>
                  <w:p>
                    <w:pPr>
                      <w:rPr>
                        <w:szCs w:val="24"/>
                      </w:rPr>
                    </w:pPr>
                  </w:p>
                </w:tc>
                <w:tc>
                  <w:tcPr>
                    <w:tcW w:w="1985" w:type="dxa"/>
                    <w:vMerge/>
                    <w:vAlign w:val="center"/>
                  </w:tcPr>
                  <w:p>
                    <w:pPr>
                      <w:rPr>
                        <w:szCs w:val="24"/>
                      </w:rPr>
                    </w:pPr>
                  </w:p>
                </w:tc>
                <w:tc>
                  <w:tcPr>
                    <w:tcW w:w="829" w:type="dxa"/>
                    <w:gridSpan w:val="3"/>
                    <w:vMerge/>
                    <w:vAlign w:val="center"/>
                  </w:tcPr>
                  <w:p>
                    <w:pPr>
                      <w:rPr>
                        <w:szCs w:val="24"/>
                      </w:rPr>
                    </w:pPr>
                  </w:p>
                </w:tc>
                <w:tc>
                  <w:tcPr>
                    <w:tcW w:w="1014" w:type="dxa"/>
                    <w:gridSpan w:val="3"/>
                    <w:vMerge/>
                    <w:vAlign w:val="center"/>
                  </w:tcPr>
                  <w:p>
                    <w:pPr>
                      <w:rPr>
                        <w:szCs w:val="24"/>
                      </w:rPr>
                    </w:pPr>
                  </w:p>
                </w:tc>
                <w:tc>
                  <w:tcPr>
                    <w:tcW w:w="681" w:type="dxa"/>
                    <w:gridSpan w:val="3"/>
                    <w:vMerge/>
                    <w:vAlign w:val="center"/>
                  </w:tcPr>
                  <w:p>
                    <w:pPr>
                      <w:rPr>
                        <w:szCs w:val="24"/>
                      </w:rPr>
                    </w:pPr>
                  </w:p>
                </w:tc>
                <w:tc>
                  <w:tcPr>
                    <w:tcW w:w="1167" w:type="dxa"/>
                    <w:gridSpan w:val="2"/>
                  </w:tcPr>
                  <w:p>
                    <w:pPr>
                      <w:jc w:val="center"/>
                      <w:rPr>
                        <w:sz w:val="20"/>
                      </w:rPr>
                    </w:pPr>
                  </w:p>
                  <w:p>
                    <w:pPr>
                      <w:jc w:val="center"/>
                      <w:rPr>
                        <w:sz w:val="20"/>
                      </w:rPr>
                    </w:pPr>
                  </w:p>
                  <w:p>
                    <w:pPr>
                      <w:jc w:val="center"/>
                      <w:rPr>
                        <w:sz w:val="20"/>
                      </w:rPr>
                    </w:pPr>
                    <w:r>
                      <w:rPr>
                        <w:sz w:val="20"/>
                      </w:rPr>
                      <w:t>762,695</w:t>
                    </w:r>
                  </w:p>
                </w:tc>
                <w:tc>
                  <w:tcPr>
                    <w:tcW w:w="1118" w:type="dxa"/>
                  </w:tcPr>
                  <w:p>
                    <w:pPr>
                      <w:jc w:val="center"/>
                      <w:rPr>
                        <w:sz w:val="20"/>
                      </w:rPr>
                    </w:pPr>
                    <w:r>
                      <w:rPr>
                        <w:sz w:val="20"/>
                      </w:rPr>
                      <w:t>2021–2027 m.</w:t>
                    </w:r>
                  </w:p>
                  <w:p>
                    <w:pPr>
                      <w:jc w:val="center"/>
                      <w:rPr>
                        <w:sz w:val="20"/>
                      </w:rPr>
                    </w:pPr>
                    <w:r>
                      <w:rPr>
                        <w:sz w:val="20"/>
                      </w:rPr>
                      <w:t>IP (BF)</w:t>
                    </w:r>
                  </w:p>
                  <w:p>
                    <w:pPr>
                      <w:jc w:val="center"/>
                      <w:rPr>
                        <w:sz w:val="20"/>
                      </w:rPr>
                    </w:pPr>
                  </w:p>
                </w:tc>
                <w:tc>
                  <w:tcPr>
                    <w:tcW w:w="2001" w:type="dxa"/>
                    <w:gridSpan w:val="2"/>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699" w:type="dxa"/>
                    <w:vMerge w:val="restart"/>
                    <w:shd w:val="clear" w:color="auto" w:fill="F2F2F2" w:themeFill="background1" w:themeFillShade="F2"/>
                  </w:tcPr>
                  <w:p>
                    <w:pPr>
                      <w:rPr>
                        <w:sz w:val="20"/>
                      </w:rPr>
                    </w:pPr>
                    <w:r>
                      <w:rPr>
                        <w:sz w:val="20"/>
                      </w:rPr>
                      <w:t>M</w:t>
                    </w:r>
                  </w:p>
                </w:tc>
                <w:tc>
                  <w:tcPr>
                    <w:tcW w:w="1985" w:type="dxa"/>
                    <w:vMerge w:val="restart"/>
                    <w:shd w:val="clear" w:color="auto" w:fill="F2F2F2" w:themeFill="background1" w:themeFillShade="F2"/>
                  </w:tcPr>
                  <w:p>
                    <w:pPr>
                      <w:rPr>
                        <w:sz w:val="20"/>
                      </w:rPr>
                    </w:pPr>
                    <w:r>
                      <w:rPr>
                        <w:sz w:val="20"/>
                      </w:rPr>
                      <w:t>SAM</w:t>
                    </w:r>
                  </w:p>
                </w:tc>
                <w:tc>
                  <w:tcPr>
                    <w:tcW w:w="829" w:type="dxa"/>
                    <w:gridSpan w:val="3"/>
                    <w:vMerge w:val="restart"/>
                    <w:shd w:val="clear" w:color="auto" w:fill="F2F2F2" w:themeFill="background1" w:themeFillShade="F2"/>
                  </w:tcPr>
                  <w:p>
                    <w:pPr>
                      <w:rPr>
                        <w:sz w:val="20"/>
                      </w:rPr>
                    </w:pPr>
                    <w:r>
                      <w:rPr>
                        <w:sz w:val="20"/>
                      </w:rPr>
                      <w:t>P</w:t>
                    </w:r>
                  </w:p>
                </w:tc>
                <w:tc>
                  <w:tcPr>
                    <w:tcW w:w="1014" w:type="dxa"/>
                    <w:gridSpan w:val="3"/>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167" w:type="dxa"/>
                    <w:gridSpan w:val="2"/>
                    <w:vMerge w:val="restart"/>
                    <w:shd w:val="clear" w:color="auto" w:fill="F2F2F2" w:themeFill="background1" w:themeFillShade="F2"/>
                  </w:tcPr>
                  <w:p>
                    <w:pPr>
                      <w:rPr>
                        <w:b/>
                        <w:bCs/>
                        <w:sz w:val="20"/>
                        <w:lang w:val="en-US"/>
                      </w:rPr>
                    </w:pPr>
                    <w:r>
                      <w:rPr>
                        <w:b/>
                        <w:bCs/>
                        <w:sz w:val="20"/>
                        <w:lang w:val="en-US"/>
                      </w:rPr>
                      <w:t>1750</w:t>
                    </w:r>
                  </w:p>
                </w:tc>
                <w:tc>
                  <w:tcPr>
                    <w:tcW w:w="1118" w:type="dxa"/>
                    <w:vMerge w:val="restart"/>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134"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vMerge/>
                    <w:shd w:val="clear" w:color="auto" w:fill="F2F2F2" w:themeFill="background1" w:themeFillShade="F2"/>
                  </w:tcPr>
                  <w:p>
                    <w:pPr>
                      <w:rPr>
                        <w:b/>
                        <w:bCs/>
                        <w:sz w:val="20"/>
                        <w:lang w:val="en-US"/>
                      </w:rPr>
                    </w:pPr>
                  </w:p>
                </w:tc>
                <w:tc>
                  <w:tcPr>
                    <w:tcW w:w="1118" w:type="dxa"/>
                    <w:vMerge/>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134"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30" w:type="dxa"/>
                    <w:gridSpan w:val="2"/>
                    <w:vMerge w:val="restart"/>
                  </w:tcPr>
                  <w:p>
                    <w:pPr>
                      <w:rPr>
                        <w:sz w:val="20"/>
                      </w:rPr>
                    </w:pPr>
                    <w:r>
                      <w:rPr>
                        <w:b/>
                        <w:bCs/>
                        <w:sz w:val="20"/>
                      </w:rPr>
                      <w:t>13. Programos „Motinos ir vaiko sveikata bei gerovė“ įgyvendinimas</w:t>
                    </w:r>
                  </w:p>
                </w:tc>
                <w:tc>
                  <w:tcPr>
                    <w:tcW w:w="699" w:type="dxa"/>
                    <w:vMerge w:val="restart"/>
                  </w:tcPr>
                  <w:p>
                    <w:pPr>
                      <w:rPr>
                        <w:sz w:val="20"/>
                      </w:rPr>
                    </w:pPr>
                    <w:r>
                      <w:rPr>
                        <w:sz w:val="20"/>
                      </w:rPr>
                      <w:t>I</w:t>
                    </w:r>
                  </w:p>
                </w:tc>
                <w:tc>
                  <w:tcPr>
                    <w:tcW w:w="1985" w:type="dxa"/>
                    <w:vMerge w:val="restart"/>
                  </w:tcPr>
                  <w:p>
                    <w:pPr>
                      <w:rPr>
                        <w:sz w:val="20"/>
                      </w:rPr>
                    </w:pPr>
                    <w:r>
                      <w:rPr>
                        <w:sz w:val="20"/>
                      </w:rPr>
                      <w:t>Lietuvos sveikatos mokslų universiteto ligoninė Kauno klinikos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Ne</w:t>
                    </w:r>
                  </w:p>
                </w:tc>
                <w:tc>
                  <w:tcPr>
                    <w:tcW w:w="681" w:type="dxa"/>
                    <w:gridSpan w:val="3"/>
                    <w:vMerge w:val="restart"/>
                  </w:tcPr>
                  <w:p>
                    <w:pPr>
                      <w:jc w:val="center"/>
                      <w:rPr>
                        <w:sz w:val="20"/>
                      </w:rPr>
                    </w:pPr>
                    <w:r>
                      <w:rPr>
                        <w:sz w:val="20"/>
                      </w:rPr>
                      <w:t>D</w:t>
                    </w:r>
                  </w:p>
                </w:tc>
                <w:tc>
                  <w:tcPr>
                    <w:tcW w:w="1167" w:type="dxa"/>
                    <w:gridSpan w:val="2"/>
                    <w:tcBorders>
                      <w:bottom w:val="single" w:sz="4" w:space="0" w:color="auto"/>
                    </w:tcBorders>
                  </w:tcPr>
                  <w:p>
                    <w:pPr>
                      <w:rPr>
                        <w:b/>
                        <w:bCs/>
                        <w:sz w:val="20"/>
                      </w:rPr>
                    </w:pPr>
                    <w:r>
                      <w:rPr>
                        <w:b/>
                        <w:bCs/>
                        <w:sz w:val="20"/>
                      </w:rPr>
                      <w:t>34 219,646</w:t>
                    </w:r>
                  </w:p>
                </w:tc>
                <w:tc>
                  <w:tcPr>
                    <w:tcW w:w="1118" w:type="dxa"/>
                    <w:tcBorders>
                      <w:bottom w:val="single" w:sz="4" w:space="0" w:color="auto"/>
                    </w:tcBorders>
                  </w:tcPr>
                  <w:p>
                    <w:pPr>
                      <w:rPr>
                        <w:sz w:val="20"/>
                      </w:rPr>
                    </w:pPr>
                    <w:r>
                      <w:rPr>
                        <w:sz w:val="20"/>
                      </w:rPr>
                      <w:t>-</w:t>
                    </w:r>
                  </w:p>
                </w:tc>
                <w:tc>
                  <w:tcPr>
                    <w:tcW w:w="2001" w:type="dxa"/>
                    <w:gridSpan w:val="2"/>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134" w:type="dxa"/>
                    <w:gridSpan w:val="2"/>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9"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tcPr>
                  <w:p>
                    <w:pPr>
                      <w:rPr>
                        <w:sz w:val="20"/>
                      </w:rPr>
                    </w:pPr>
                    <w:r>
                      <w:rPr>
                        <w:sz w:val="20"/>
                      </w:rPr>
                      <w:t>29 086,699</w:t>
                    </w:r>
                  </w:p>
                </w:tc>
                <w:tc>
                  <w:tcPr>
                    <w:tcW w:w="1118" w:type="dxa"/>
                  </w:tcPr>
                  <w:p>
                    <w:pPr>
                      <w:rPr>
                        <w:sz w:val="20"/>
                      </w:rPr>
                    </w:pPr>
                    <w:r>
                      <w:rPr>
                        <w:sz w:val="20"/>
                      </w:rPr>
                      <w:t>AŠĮFP</w:t>
                    </w:r>
                  </w:p>
                </w:tc>
                <w:tc>
                  <w:tcPr>
                    <w:tcW w:w="2001" w:type="dxa"/>
                    <w:gridSpan w:val="2"/>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134" w:type="dxa"/>
                    <w:gridSpan w:val="2"/>
                  </w:tcPr>
                  <w:p>
                    <w:pPr>
                      <w:jc w:val="center"/>
                      <w:rPr>
                        <w:sz w:val="20"/>
                      </w:rPr>
                    </w:pPr>
                    <w:r>
                      <w:rPr>
                        <w:sz w:val="20"/>
                      </w:rPr>
                      <w:t>257 220 (2029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val="restart"/>
                  </w:tcPr>
                  <w:p>
                    <w:pPr>
                      <w:rPr>
                        <w:sz w:val="20"/>
                      </w:rPr>
                    </w:pPr>
                    <w:r>
                      <w:rPr>
                        <w:sz w:val="20"/>
                      </w:rPr>
                      <w:t>5 132,947</w:t>
                    </w:r>
                  </w:p>
                </w:tc>
                <w:tc>
                  <w:tcPr>
                    <w:tcW w:w="1118" w:type="dxa"/>
                    <w:vMerge w:val="restart"/>
                  </w:tcPr>
                  <w:p>
                    <w:pPr>
                      <w:rPr>
                        <w:sz w:val="20"/>
                      </w:rPr>
                    </w:pPr>
                    <w:r>
                      <w:rPr>
                        <w:sz w:val="20"/>
                      </w:rPr>
                      <w:t>AŠĮFP</w:t>
                    </w:r>
                  </w:p>
                  <w:p>
                    <w:pPr>
                      <w:rPr>
                        <w:sz w:val="20"/>
                      </w:rPr>
                    </w:pPr>
                    <w:r>
                      <w:rPr>
                        <w:sz w:val="20"/>
                      </w:rPr>
                      <w:t>(BF)</w:t>
                    </w:r>
                  </w:p>
                </w:tc>
                <w:tc>
                  <w:tcPr>
                    <w:tcW w:w="2001" w:type="dxa"/>
                    <w:gridSpan w:val="2"/>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134" w:type="dxa"/>
                    <w:gridSpan w:val="2"/>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134" w:type="dxa"/>
                    <w:gridSpan w:val="2"/>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134" w:type="dxa"/>
                    <w:gridSpan w:val="2"/>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P – Sukurti paslaugų teikimo metodikos ir organizacinių procesų aprašai, vnt.</w:t>
                    </w:r>
                  </w:p>
                </w:tc>
                <w:tc>
                  <w:tcPr>
                    <w:tcW w:w="1134" w:type="dxa"/>
                    <w:gridSpan w:val="2"/>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P – Sveikatos priežiūros specialistai, dalyvavę programos „Motinos ir vaiko sveikata ir gerovė“ kvalifikacijos tobulinimo veiklose, asmenys</w:t>
                    </w:r>
                  </w:p>
                </w:tc>
                <w:tc>
                  <w:tcPr>
                    <w:tcW w:w="1134" w:type="dxa"/>
                    <w:gridSpan w:val="2"/>
                  </w:tcPr>
                  <w:p>
                    <w:pPr>
                      <w:jc w:val="center"/>
                      <w:rPr>
                        <w:sz w:val="20"/>
                      </w:rPr>
                    </w:pPr>
                    <w:r>
                      <w:rPr>
                        <w:sz w:val="20"/>
                      </w:rPr>
                      <w:t>10 990 (2029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134" w:type="dxa"/>
                    <w:gridSpan w:val="2"/>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134" w:type="dxa"/>
                    <w:gridSpan w:val="2"/>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f9ae418c711f1a552c76556910e9c">
                <w:r w:rsidRPr="00532B9F">
                  <w:rPr>
                    <w:rFonts w:ascii="Times New Roman" w:eastAsia="MS Mincho" w:hAnsi="Times New Roman"/>
                    <w:sz w:val="20"/>
                    <w:i/>
                    <w:iCs/>
                    <w:color w:val="0000FF" w:themeColor="hyperlink"/>
                    <w:u w:val="single"/>
                  </w:rPr>
                  <w:t>V-208</w:t>
                </w:r>
              </w:fldSimple>
              <w:r>
                <w:rPr>
                  <w:rFonts w:ascii="Times New Roman" w:eastAsia="MS Mincho" w:hAnsi="Times New Roman"/>
                  <w:sz w:val="20"/>
                  <w:i/>
                  <w:iCs/>
                </w:rPr>
                <w:t>,
2026-03-05,
paskelbta TAR 2026-03-05, i. k. 2026-03635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701316453d11f180c9c618618421ed">
                <w:r w:rsidRPr="00532B9F">
                  <w:rPr>
                    <w:rFonts w:ascii="Times New Roman" w:eastAsia="MS Mincho" w:hAnsi="Times New Roman"/>
                    <w:sz w:val="20"/>
                    <w:i/>
                    <w:iCs/>
                    <w:color w:val="0000FF" w:themeColor="hyperlink"/>
                    <w:u w:val="single"/>
                  </w:rPr>
                  <w:t>V-452</w:t>
                </w:r>
              </w:fldSimple>
              <w:r>
                <w:rPr>
                  <w:rFonts w:ascii="Times New Roman" w:eastAsia="MS Mincho" w:hAnsi="Times New Roman"/>
                  <w:sz w:val="20"/>
                  <w:i/>
                  <w:iCs/>
                </w:rPr>
                <w:t>,
2026-04-30,
paskelbta TAR 2026-05-03, i. k. 2026-07248            </w:t>
              </w:r>
            </w:p>
            <w:p/>
          </w:sdtContent>
        </w:sdt>
        <w:sdt>
          <w:sdtPr>
            <w:alias w:val="pabaiga"/>
            <w:tag w:val="part_0a803e9b38de41efa81b2f43b2912e53"/>
            <w:lock w:val="sdtLocked"/>
            <w:richText/>
          </w:sdtPr>
          <w:sdtContent>
            <w:p>
              <w:pPr>
                <w:shd w:val="clear" w:color="000000" w:fill="auto"/>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e9484ecc011f09cfce49e7aeb76fe">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2026-01-08,
paskelbta TAR 2026-01-08, i. k. 2026-00269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(V-469)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7a8074066911f1b465ab875bcad79f">
            <w:r w:rsidRPr="00532B9F">
              <w:rPr>
                <w:rFonts w:ascii="Times New Roman" w:eastAsia="MS Mincho" w:hAnsi="Times New Roman"/>
                <w:sz w:val="20"/>
                <w:i/>
                <w:iCs/>
                <w:color w:val="0000FF" w:themeColor="hyperlink"/>
                <w:u w:val="single"/>
              </w:rPr>
              <w:t>V-115</w:t>
            </w:r>
          </w:fldSimple>
          <w:r>
            <w:rPr>
              <w:rFonts w:ascii="Times New Roman" w:eastAsia="MS Mincho" w:hAnsi="Times New Roman"/>
              <w:sz w:val="20"/>
              <w:i/>
              <w:iCs/>
            </w:rPr>
            <w:t>,
2026-02-10,
paskelbta TAR 2026-02-10, i. k. 2026-02056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(V-232)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1bf1d4211411f1a552c76556910e9c">
            <w:r w:rsidRPr="00532B9F">
              <w:rPr>
                <w:rFonts w:ascii="Times New Roman" w:eastAsia="MS Mincho" w:hAnsi="Times New Roman"/>
                <w:sz w:val="20"/>
                <w:i/>
                <w:iCs/>
                <w:color w:val="0000FF" w:themeColor="hyperlink"/>
                <w:u w:val="single"/>
              </w:rPr>
              <w:t>V-232</w:t>
            </w:r>
          </w:fldSimple>
          <w:r>
            <w:rPr>
              <w:rFonts w:ascii="Times New Roman" w:eastAsia="MS Mincho" w:hAnsi="Times New Roman"/>
              <w:sz w:val="20"/>
              <w:i/>
              <w:iCs/>
            </w:rPr>
            <w:t>,
2026-03-16,
paskelbta TAR 2026-03-16, i. k. 2026-04073        </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(V-469)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(V-469)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Priedas Nr. 30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aeb191066911f1b465ab875bcad79f">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2026-02-10,
paskelbta TAR 2026-02-10, i. k. 2026-02057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33 priedas (V-37)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1f9e1f29011f09cfce49e7aeb76fe">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2026-01-16,
paskelbta TAR 2026-01-16, i. k. 2026-00540        </w:t>
          </w:r>
        </w:p>
        <w:p/>
        <w:p>
          <w:pPr>
            <w:pStyle w:val="PlainText"/>
            <w:rPr>
              <w:rFonts w:ascii="Times New Roman" w:eastAsia="MS Mincho" w:hAnsi="Times New Roman"/>
              <w:sz w:val="20"/>
              <w:iCs/>
            </w:rPr>
          </w:pPr>
          <w:r>
            <w:rPr>
              <w:rFonts w:ascii="Times New Roman" w:eastAsia="MS Mincho" w:hAnsi="Times New Roman"/>
              <w:sz w:val="20"/>
              <w:iCs/>
            </w:rPr>
            <w:t>34 priedas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a840c50711f0bf10920ce8b0026c">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2025-11-19,
paskelbta TAR 2025-11-19, i. k. 2025-19267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35 priedas (V-197)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
          <w:pPr>
            <w:pStyle w:val="PlainText"/>
            <w:rPr>
              <w:rFonts w:ascii="Times New Roman" w:eastAsia="MS Mincho" w:hAnsi="Times New Roman"/>
              <w:sz w:val="20"/>
              <w:iCs/>
            </w:rPr>
          </w:pPr>
          <w:r>
            <w:rPr>
              <w:rFonts w:ascii="Times New Roman" w:eastAsia="MS Mincho" w:hAnsi="Times New Roman"/>
              <w:sz w:val="20"/>
              <w:iCs/>
            </w:rPr>
            <w:t>36 priedas  (V-430)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55e056421f11f180c9c618618421ed">
            <w:r w:rsidRPr="00532B9F">
              <w:rPr>
                <w:rFonts w:ascii="Times New Roman" w:eastAsia="MS Mincho" w:hAnsi="Times New Roman"/>
                <w:sz w:val="20"/>
                <w:i/>
                <w:iCs/>
                <w:color w:val="0000FF" w:themeColor="hyperlink"/>
                <w:u w:val="single"/>
              </w:rPr>
              <w:t>V-430</w:t>
            </w:r>
          </w:fldSimple>
          <w:r>
            <w:rPr>
              <w:rFonts w:ascii="Times New Roman" w:eastAsia="MS Mincho" w:hAnsi="Times New Roman"/>
              <w:sz w:val="20"/>
              <w:i/>
              <w:iCs/>
            </w:rPr>
            <w:t>,
2026-04-27,
paskelbta TAR 2026-04-27, i. k. 2026-06854        </w:t>
          </w:r>
        </w:p>
        <w:p/>
        <w:p>
          <w:pPr>
            <w:pStyle w:val="PlainText"/>
            <w:rPr>
              <w:rFonts w:ascii="Times New Roman" w:eastAsia="MS Mincho" w:hAnsi="Times New Roman"/>
              <w:sz w:val="20"/>
              <w:iCs/>
            </w:rPr>
          </w:pPr>
          <w:r>
            <w:rPr>
              <w:rFonts w:ascii="Times New Roman" w:eastAsia="MS Mincho" w:hAnsi="Times New Roman"/>
              <w:sz w:val="20"/>
              <w:iCs/>
            </w:rPr>
            <w:t>37 priedas (V-442)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p>
          <w:pPr>
            <w:pStyle w:val="PlainText"/>
            <w:rPr>
              <w:rFonts w:ascii="Times New Roman" w:eastAsia="MS Mincho" w:hAnsi="Times New Roman"/>
              <w:sz w:val="20"/>
              <w:iCs/>
            </w:rPr>
          </w:pPr>
          <w:r>
            <w:rPr>
              <w:rFonts w:ascii="Times New Roman" w:eastAsia="MS Mincho" w:hAnsi="Times New Roman"/>
              <w:sz w:val="20"/>
              <w:iCs/>
            </w:rPr>
            <w:t>38 priedas (V-452)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701316453d11f180c9c618618421ed">
            <w:r w:rsidRPr="00532B9F">
              <w:rPr>
                <w:rFonts w:ascii="Times New Roman" w:eastAsia="MS Mincho" w:hAnsi="Times New Roman"/>
                <w:sz w:val="20"/>
                <w:i/>
                <w:iCs/>
                <w:color w:val="0000FF" w:themeColor="hyperlink"/>
                <w:u w:val="single"/>
              </w:rPr>
              <w:t>V-452</w:t>
            </w:r>
          </w:fldSimple>
          <w:r>
            <w:rPr>
              <w:rFonts w:ascii="Times New Roman" w:eastAsia="MS Mincho" w:hAnsi="Times New Roman"/>
              <w:sz w:val="20"/>
              <w:i/>
              <w:iCs/>
            </w:rPr>
            <w:t>,
2026-04-30,
paskelbta TAR 2026-05-03, i. k. 2026-07248        </w:t>
          </w:r>
        </w:p>
        <w:p/>
        <w:p>
          <w:pPr>
            <w:pStyle w:val="PlainText"/>
            <w:rPr>
              <w:rFonts w:ascii="Times New Roman" w:eastAsia="MS Mincho" w:hAnsi="Times New Roman"/>
              <w:sz w:val="20"/>
              <w:iCs/>
            </w:rPr>
          </w:pPr>
          <w:r>
            <w:rPr>
              <w:rFonts w:ascii="Times New Roman" w:eastAsia="MS Mincho" w:hAnsi="Times New Roman"/>
              <w:sz w:val="20"/>
              <w:iCs/>
            </w:rPr>
            <w:t>39 priedas (V-452)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701316453d11f180c9c618618421ed">
            <w:r w:rsidRPr="00532B9F">
              <w:rPr>
                <w:rFonts w:ascii="Times New Roman" w:eastAsia="MS Mincho" w:hAnsi="Times New Roman"/>
                <w:sz w:val="20"/>
                <w:i/>
                <w:iCs/>
                <w:color w:val="0000FF" w:themeColor="hyperlink"/>
                <w:u w:val="single"/>
              </w:rPr>
              <w:t>V-452</w:t>
            </w:r>
          </w:fldSimple>
          <w:r>
            <w:rPr>
              <w:rFonts w:ascii="Times New Roman" w:eastAsia="MS Mincho" w:hAnsi="Times New Roman"/>
              <w:sz w:val="20"/>
              <w:i/>
              <w:iCs/>
            </w:rPr>
            <w:t>,
2026-04-30,
paskelbta TAR 2026-05-03, i. k. 2026-07248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4a840c50711f0bf10920ce8b0026c">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2025-11-19,
paskelbta TAR 2025-11-19, i. k. 2025-19267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0e9484ecc011f09cfce49e7aeb76fe">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2026-01-08,
paskelbta TAR 2026-01-08, i. k. 2026-00269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1f9e1f29011f09cfce49e7aeb76fe">
            <w:r w:rsidRPr="00532B9F">
              <w:rPr>
                <w:rFonts w:ascii="Times New Roman" w:eastAsia="MS Mincho" w:hAnsi="Times New Roman"/>
                <w:sz w:val="20"/>
                <w:iCs/>
                <w:color w:val="0000FF" w:themeColor="hyperlink"/>
                <w:u w:val="single"/>
              </w:rPr>
              <w:t>V-37</w:t>
            </w:r>
          </w:fldSimple>
          <w:r>
            <w:rPr>
              <w:rFonts w:ascii="Times New Roman" w:eastAsia="MS Mincho" w:hAnsi="Times New Roman"/>
              <w:sz w:val="20"/>
              <w:iCs/>
            </w:rPr>
            <w:t>,
2026-01-16,
paskelbta TAR 2026-01-16, i. k. 2026-00540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cb9676fc1411f09a18eb2f15b49eee">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2026-01-28,
paskelbta TAR 2026-01-28, i. k. 2026-01141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fe5c86013111f1b96ed27de6271e6a">
            <w:r w:rsidRPr="00532B9F">
              <w:rPr>
                <w:rFonts w:ascii="Times New Roman" w:eastAsia="MS Mincho" w:hAnsi="Times New Roman"/>
                <w:sz w:val="20"/>
                <w:iCs/>
                <w:color w:val="0000FF" w:themeColor="hyperlink"/>
                <w:u w:val="single"/>
              </w:rPr>
              <w:t>V-80</w:t>
            </w:r>
          </w:fldSimple>
          <w:r>
            <w:rPr>
              <w:rFonts w:ascii="Times New Roman" w:eastAsia="MS Mincho" w:hAnsi="Times New Roman"/>
              <w:sz w:val="20"/>
              <w:iCs/>
            </w:rPr>
            <w:t>,
2026-02-03,
paskelbta TAR 2026-02-03, i. k. 2026-01663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aeb191066911f1b465ab875bcad79f">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2026-02-10,
paskelbta TAR 2026-02-10, i. k. 2026-02057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7a8074066911f1b465ab875bcad79f">
            <w:r w:rsidRPr="00532B9F">
              <w:rPr>
                <w:rFonts w:ascii="Times New Roman" w:eastAsia="MS Mincho" w:hAnsi="Times New Roman"/>
                <w:sz w:val="20"/>
                <w:iCs/>
                <w:color w:val="0000FF" w:themeColor="hyperlink"/>
                <w:u w:val="single"/>
              </w:rPr>
              <w:t>V-115</w:t>
            </w:r>
          </w:fldSimple>
          <w:r>
            <w:rPr>
              <w:rFonts w:ascii="Times New Roman" w:eastAsia="MS Mincho" w:hAnsi="Times New Roman"/>
              <w:sz w:val="20"/>
              <w:iCs/>
            </w:rPr>
            <w:t>,
2026-02-10,
paskelbta TAR 2026-02-10, i. k. 2026-02056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fd475118c611f1a552c76556910e9c">
            <w:r w:rsidRPr="00532B9F">
              <w:rPr>
                <w:rFonts w:ascii="Times New Roman" w:eastAsia="MS Mincho" w:hAnsi="Times New Roman"/>
                <w:sz w:val="20"/>
                <w:iCs/>
                <w:color w:val="0000FF" w:themeColor="hyperlink"/>
                <w:u w:val="single"/>
              </w:rPr>
              <w:t>V-197</w:t>
            </w:r>
          </w:fldSimple>
          <w:r>
            <w:rPr>
              <w:rFonts w:ascii="Times New Roman" w:eastAsia="MS Mincho" w:hAnsi="Times New Roman"/>
              <w:sz w:val="20"/>
              <w:iCs/>
            </w:rPr>
            <w:t>,
2026-03-05,
paskelbta TAR 2026-03-05, i. k. 2026-03631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ef9ae418c711f1a552c76556910e9c">
            <w:r w:rsidRPr="00532B9F">
              <w:rPr>
                <w:rFonts w:ascii="Times New Roman" w:eastAsia="MS Mincho" w:hAnsi="Times New Roman"/>
                <w:sz w:val="20"/>
                <w:iCs/>
                <w:color w:val="0000FF" w:themeColor="hyperlink"/>
                <w:u w:val="single"/>
              </w:rPr>
              <w:t>V-208</w:t>
            </w:r>
          </w:fldSimple>
          <w:r>
            <w:rPr>
              <w:rFonts w:ascii="Times New Roman" w:eastAsia="MS Mincho" w:hAnsi="Times New Roman"/>
              <w:sz w:val="20"/>
              <w:iCs/>
            </w:rPr>
            <w:t>,
2026-03-05,
paskelbta TAR 2026-03-05, i. k. 2026-03635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1bf1d4211411f1a552c76556910e9c">
            <w:r w:rsidRPr="00532B9F">
              <w:rPr>
                <w:rFonts w:ascii="Times New Roman" w:eastAsia="MS Mincho" w:hAnsi="Times New Roman"/>
                <w:sz w:val="20"/>
                <w:iCs/>
                <w:color w:val="0000FF" w:themeColor="hyperlink"/>
                <w:u w:val="single"/>
              </w:rPr>
              <w:t>V-232</w:t>
            </w:r>
          </w:fldSimple>
          <w:r>
            <w:rPr>
              <w:rFonts w:ascii="Times New Roman" w:eastAsia="MS Mincho" w:hAnsi="Times New Roman"/>
              <w:sz w:val="20"/>
              <w:iCs/>
            </w:rPr>
            <w:t>,
2026-03-16,
paskelbta TAR 2026-03-16, i. k. 2026-04073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225131242a11f1a552c76556910e9c">
            <w:r w:rsidRPr="00532B9F">
              <w:rPr>
                <w:rFonts w:ascii="Times New Roman" w:eastAsia="MS Mincho" w:hAnsi="Times New Roman"/>
                <w:sz w:val="20"/>
                <w:iCs/>
                <w:color w:val="0000FF" w:themeColor="hyperlink"/>
                <w:u w:val="single"/>
              </w:rPr>
              <w:t>V-246</w:t>
            </w:r>
          </w:fldSimple>
          <w:r>
            <w:rPr>
              <w:rFonts w:ascii="Times New Roman" w:eastAsia="MS Mincho" w:hAnsi="Times New Roman"/>
              <w:sz w:val="20"/>
              <w:iCs/>
            </w:rPr>
            <w:t>,
2026-03-20,
paskelbta TAR 2026-03-20, i. k. 2026-04384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55e056421f11f180c9c618618421ed">
            <w:r w:rsidRPr="00532B9F">
              <w:rPr>
                <w:rFonts w:ascii="Times New Roman" w:eastAsia="MS Mincho" w:hAnsi="Times New Roman"/>
                <w:sz w:val="20"/>
                <w:iCs/>
                <w:color w:val="0000FF" w:themeColor="hyperlink"/>
                <w:u w:val="single"/>
              </w:rPr>
              <w:t>V-430</w:t>
            </w:r>
          </w:fldSimple>
          <w:r>
            <w:rPr>
              <w:rFonts w:ascii="Times New Roman" w:eastAsia="MS Mincho" w:hAnsi="Times New Roman"/>
              <w:sz w:val="20"/>
              <w:iCs/>
            </w:rPr>
            <w:t>,
2026-04-27,
paskelbta TAR 2026-04-27, i. k. 2026-06854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ca296643fc11f180c9c618618421ed">
            <w:r w:rsidRPr="00532B9F">
              <w:rPr>
                <w:rFonts w:ascii="Times New Roman" w:eastAsia="MS Mincho" w:hAnsi="Times New Roman"/>
                <w:sz w:val="20"/>
                <w:iCs/>
                <w:color w:val="0000FF" w:themeColor="hyperlink"/>
                <w:u w:val="single"/>
              </w:rPr>
              <w:t>V-442</w:t>
            </w:r>
          </w:fldSimple>
          <w:r>
            <w:rPr>
              <w:rFonts w:ascii="Times New Roman" w:eastAsia="MS Mincho" w:hAnsi="Times New Roman"/>
              <w:sz w:val="20"/>
              <w:iCs/>
            </w:rPr>
            <w:t>,
2026-04-29,
paskelbta TAR 2026-04-30, i. k. 2026-07116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701316453d11f180c9c618618421ed">
            <w:r w:rsidRPr="00532B9F">
              <w:rPr>
                <w:rFonts w:ascii="Times New Roman" w:eastAsia="MS Mincho" w:hAnsi="Times New Roman"/>
                <w:sz w:val="20"/>
                <w:iCs/>
                <w:color w:val="0000FF" w:themeColor="hyperlink"/>
                <w:u w:val="single"/>
              </w:rPr>
              <w:t>V-452</w:t>
            </w:r>
          </w:fldSimple>
          <w:r>
            <w:rPr>
              <w:rFonts w:ascii="Times New Roman" w:eastAsia="MS Mincho" w:hAnsi="Times New Roman"/>
              <w:sz w:val="20"/>
              <w:iCs/>
            </w:rPr>
            <w:t>,
2026-04-30,
paskelbta TAR 2026-05-03, i. k. 2026-07248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17fb514d6a11f180c9c618618421ed">
            <w:r w:rsidRPr="00532B9F">
              <w:rPr>
                <w:rFonts w:ascii="Times New Roman" w:eastAsia="MS Mincho" w:hAnsi="Times New Roman"/>
                <w:sz w:val="20"/>
                <w:iCs/>
                <w:color w:val="0000FF" w:themeColor="hyperlink"/>
                <w:u w:val="single"/>
              </w:rPr>
              <w:t>V-469</w:t>
            </w:r>
          </w:fldSimple>
          <w:r>
            <w:rPr>
              <w:rFonts w:ascii="Times New Roman" w:eastAsia="MS Mincho" w:hAnsi="Times New Roman"/>
              <w:sz w:val="20"/>
              <w:iCs/>
            </w:rPr>
            <w:t>,
2026-05-11,
paskelbta TAR 2026-05-12, i. k. 2026-07927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t>5</w:t>
    </w: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42</w:t>
    </w:r>
    <w:r>
      <w:rPr>
        <w:szCs w:val="24"/>
      </w:rPr>
      <w:fldChar w:fldCharType="end"/>
    </w:r>
  </w:p>
  <w:p>
    <w:pPr>
      <w:tabs>
        <w:tab w:val="center" w:pos="4153"/>
        <w:tab w:val="right" w:pos="8306"/>
      </w:tabs>
      <w:rPr>
        <w:szCs w:val="24"/>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40</w:t>
    </w:r>
    <w:r>
      <w:rPr>
        <w:szCs w:val="24"/>
      </w:rPr>
      <w:fldChar w:fldCharType="end"/>
    </w:r>
  </w:p>
  <w:p>
    <w:pPr>
      <w:tabs>
        <w:tab w:val="center" w:pos="4153"/>
        <w:tab w:val="right" w:pos="8306"/>
      </w:tabs>
      <w:rPr>
        <w:szCs w:val="24"/>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29</w:t>
    </w:r>
    <w:r>
      <w:rPr>
        <w:szCs w:val="24"/>
      </w:rPr>
      <w:fldChar w:fldCharType="end"/>
    </w:r>
  </w:p>
  <w:p>
    <w:pPr>
      <w:tabs>
        <w:tab w:val="center" w:pos="4153"/>
        <w:tab w:val="right" w:pos="8306"/>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66</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52</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43</w:t>
    </w:r>
    <w:r>
      <w:rPr>
        <w:szCs w:val="24"/>
      </w:rPr>
      <w:fldChar w:fldCharType="end"/>
    </w:r>
  </w:p>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63</w:t>
    </w:r>
    <w:r>
      <w:rPr>
        <w:szCs w:val="24"/>
      </w:rPr>
      <w:fldChar w:fldCharType="end"/>
    </w:r>
  </w:p>
  <w:p>
    <w:pPr>
      <w:tabs>
        <w:tab w:val="center" w:pos="4153"/>
        <w:tab w:val="right" w:pos="8306"/>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41</w:t>
    </w:r>
    <w:r>
      <w:rPr>
        <w:szCs w:val="24"/>
      </w:rPr>
      <w:fldChar w:fldCharType="end"/>
    </w:r>
  </w:p>
  <w:p>
    <w:pPr>
      <w:tabs>
        <w:tab w:val="center" w:pos="4153"/>
        <w:tab w:val="right" w:pos="8306"/>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F95355E"/>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3.xml"/>
  <Relationship Id="rId10" Type="http://schemas.openxmlformats.org/officeDocument/2006/relationships/customXml" Target="../customXml/item4.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73.png"/>
  <Relationship Id="rId19" Type="http://schemas.openxmlformats.org/officeDocument/2006/relationships/oleObject" Target="embeddings/oleObject173.bin"/>
  <Relationship Id="rId2" Type="http://schemas.openxmlformats.org/officeDocument/2006/relationships/header" Target="header104.xml"/>
  <Relationship Id="rId20" Type="http://schemas.openxmlformats.org/officeDocument/2006/relationships/header" Target="header133.xml"/>
  <Relationship Id="rId21" Type="http://schemas.openxmlformats.org/officeDocument/2006/relationships/header" Target="header134.xml"/>
  <Relationship Id="rId22" Type="http://schemas.openxmlformats.org/officeDocument/2006/relationships/footer" Target="footer133.xml"/>
  <Relationship Id="rId23" Type="http://schemas.openxmlformats.org/officeDocument/2006/relationships/footer" Target="footer134.xml"/>
  <Relationship Id="rId24" Type="http://schemas.openxmlformats.org/officeDocument/2006/relationships/header" Target="header135.xml"/>
  <Relationship Id="rId25" Type="http://schemas.openxmlformats.org/officeDocument/2006/relationships/footer" Target="footer135.xml"/>
  <Relationship Id="rId26" Type="http://schemas.openxmlformats.org/officeDocument/2006/relationships/header" Target="header247.xml"/>
  <Relationship Id="rId27" Type="http://schemas.openxmlformats.org/officeDocument/2006/relationships/header" Target="header248.xml"/>
  <Relationship Id="rId28" Type="http://schemas.openxmlformats.org/officeDocument/2006/relationships/footer" Target="footer247.xml"/>
  <Relationship Id="rId29" Type="http://schemas.openxmlformats.org/officeDocument/2006/relationships/footer" Target="footer248.xml"/>
  <Relationship Id="rId3" Type="http://schemas.openxmlformats.org/officeDocument/2006/relationships/footer" Target="footer103.xml"/>
  <Relationship Id="rId30" Type="http://schemas.openxmlformats.org/officeDocument/2006/relationships/header" Target="header249.xml"/>
  <Relationship Id="rId31" Type="http://schemas.openxmlformats.org/officeDocument/2006/relationships/footer" Target="footer249.xml"/>
  <Relationship Id="rId32" Type="http://schemas.openxmlformats.org/officeDocument/2006/relationships/customXml" Target="../customXml/item5.xml"/>
  <Relationship Id="rId4" Type="http://schemas.openxmlformats.org/officeDocument/2006/relationships/footer" Target="footer104.xml"/>
  <Relationship Id="rId5" Type="http://schemas.openxmlformats.org/officeDocument/2006/relationships/header" Target="header105.xml"/>
  <Relationship Id="rId6" Type="http://schemas.openxmlformats.org/officeDocument/2006/relationships/footer" Target="footer10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SelectedStyle="\APASixthEditionOfficeOnline.xsl" StyleName="APA" Version="6"/>
</file>

<file path=customXml/item5.xml><?xml version="1.0" encoding="utf-8"?>
<Parts xmlns="http://lrs.lt/TAIS/DocParts">
  <Part Type="pagrindine" DocPartId="f8c1caabe0df49e198502b4b17034264" PartId="89fe12cc6ea84e22b1e345857d1f054f">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7e00c1bea6e04480a31e94ac6c847bc9">
    <Part Type="skyrius" Nr="1" Title="PLĖTROS PROGRAMOS PAŽANGOS PRIEMONĖS SIEKIAMI REZULTATAI" DocPartId="b924309999714986a1f663aef95b7db6" PartId="74861fdf2a104d89b2f634fea31dc90b"/>
    <Part Type="skyrius" Nr="2" Title="PLĖTROS PROGRAMOS PAŽANGOS PRIEMONĖS FINANSAVIMO ŠALTINIAI" DocPartId="142dd9faf7a84d91b4f244595a84d08d" PartId="9660108a9abb403fbff4a371950d0d5a"/>
    <Part Type="skyrius" Nr="3" Title="PLĖTROS PROGRAMOS PAŽANGOS PRIEMONĖS VEIKLŲ SUVESTINĖ" DocPartId="c918111ff85046029314a093ade416dc" PartId="6ce86d16a2d240909008c1fe41b9a0ba"/>
    <Part Type="pabaiga" DocPartId="848b03eee26b4c708a50289e0035c65b" PartId="0a803e9b38de41efa81b2f43b2912e5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metadata/propertie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s>
</ds:datastoreItem>
</file>

<file path=customXml/itemProps4.xml><?xml version="1.0" encoding="utf-8"?>
<ds:datastoreItem xmlns:ds="http://schemas.openxmlformats.org/officeDocument/2006/customXml" ds:itemID="{F566033F-293C-4A04-842A-F9C6CD20E5B2}">
  <ds:schemaRefs>
    <ds:schemaRef ds:uri="http://schemas.openxmlformats.org/officeDocument/2006/bibliography"/>
  </ds:schemaRefs>
</ds:datastoreItem>
</file>

<file path=customXml/itemProps5.xml><?xml version="1.0" encoding="utf-8"?>
<ds:datastoreItem xmlns:ds="http://schemas.openxmlformats.org/officeDocument/2006/customXml" ds:itemID="{CDAEF440-2F28-4EA2-9EAB-4E6C35E0FA9D}">
  <ds:schemaRefs>
    <ds:schemaRef ds:uri="http://lrs.lt/TAIS/DocParts"/>
  </ds:schemaRefs>
</ds:datastoreItem>
</file>

<file path=customXml/itemProps6.xml><?xml version="1.0" encoding="utf-8"?>
<ds:datastoreItem xmlns:ds="http://schemas.openxmlformats.org/officeDocument/2006/customXml" ds:itemID="{C58E3A7F-DEB1-42D3-A124-C048D56170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250</TotalTime>
  <Pages>42</Pages>
  <Words>37839</Words>
  <Characters>21569</Characters>
  <Application>Microsoft Office Word</Application>
  <DocSecurity>0</DocSecurity>
  <Lines>179</Lines>
  <Paragraphs>118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59290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2026-05-13T11:54:00Z</dcterms:modified>
  <revision>113</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