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22329b89f244108695965e4cfd3b9d"/>
        <w:lock w:val="sdtLocked"/>
        <w:richText/>
      </w:sdtPr>
      <w:sdtContent>
        <w:p>
          <w:pPr>
            <w:jc w:val="both"/>
            <w:rPr>
              <w:rFonts w:ascii="Arial" w:hAnsi="Arial"/>
            </w:rPr>
          </w:pPr>
          <w:r>
            <w:rPr>
              <w:rFonts w:ascii="Arial" w:hAnsi="Arial"/>
              <w:b/>
              <w:i/>
            </w:rPr>
            <w:t>Suvestinė redakcija nuo 2024-05-21 iki 2024-05-28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0474860178f4e4f9ced136949b89ae6"/>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0474860178f4e4f9ced136949b89ae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6e29fa4098441be9ec7d546552ad5c7"/>
            <w:lock w:val="sdtLocked"/>
            <w:richText/>
          </w:sdtPr>
          <w:sdtContent>
            <w:p>
              <w:pPr>
                <w:tabs>
                  <w:tab w:val="left" w:pos="1985"/>
                </w:tabs>
                <w:jc w:val="center"/>
                <w:rPr>
                  <w:b/>
                  <w:bCs/>
                  <w:sz w:val="22"/>
                  <w:szCs w:val="22"/>
                </w:rPr>
              </w:pPr>
              <w:sdt>
                <w:sdtPr>
                  <w:alias w:val="Numeris"/>
                  <w:tag w:val="nr_c6e29fa4098441be9ec7d546552ad5c7"/>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6e29fa4098441be9ec7d546552ad5c7"/>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418" w:type="dxa"/>
                    <w:vMerge w:val="restart"/>
                    <w:shd w:val="clear" w:color="auto" w:fill="DBE5F1" w:themeFill="accent1" w:themeFillTint="33"/>
                    <w:vAlign w:val="center"/>
                  </w:tcPr>
                  <w:p>
                    <w:pPr>
                      <w:jc w:val="center"/>
                      <w:rPr>
                        <w:b/>
                        <w:sz w:val="20"/>
                      </w:rPr>
                    </w:pPr>
                    <w:r>
                      <w:rPr>
                        <w:b/>
                        <w:sz w:val="20"/>
                      </w:rPr>
                      <w:t>Rodiklio kodas</w:t>
                    </w:r>
                  </w:p>
                </w:tc>
                <w:tc>
                  <w:tcPr>
                    <w:tcW w:w="1134" w:type="dxa"/>
                    <w:vMerge w:val="restart"/>
                    <w:shd w:val="clear" w:color="auto" w:fill="DBE5F1" w:themeFill="accent1" w:themeFillTint="33"/>
                  </w:tcPr>
                  <w:p>
                    <w:pPr>
                      <w:jc w:val="center"/>
                      <w:rPr>
                        <w:b/>
                        <w:sz w:val="20"/>
                      </w:rPr>
                    </w:pPr>
                    <w:r>
                      <w:rPr>
                        <w:b/>
                        <w:sz w:val="20"/>
                      </w:rPr>
                      <w:t>Rodiklio tipas (rezultato / produkto)</w:t>
                    </w:r>
                  </w:p>
                </w:tc>
                <w:tc>
                  <w:tcPr>
                    <w:tcW w:w="2693" w:type="dxa"/>
                    <w:vMerge w:val="restart"/>
                    <w:shd w:val="clear" w:color="auto" w:fill="DBE5F1" w:themeFill="accent1" w:themeFillTint="33"/>
                    <w:vAlign w:val="center"/>
                  </w:tcPr>
                  <w:p>
                    <w:pPr>
                      <w:jc w:val="both"/>
                      <w:rPr>
                        <w:b/>
                        <w:sz w:val="20"/>
                      </w:rPr>
                    </w:pPr>
                    <w:r>
                      <w:rPr>
                        <w:b/>
                        <w:sz w:val="20"/>
                      </w:rPr>
                      <w:t>Rodiklio pavadinimas</w:t>
                    </w:r>
                  </w:p>
                </w:tc>
                <w:tc>
                  <w:tcPr>
                    <w:tcW w:w="1134" w:type="dxa"/>
                    <w:vMerge w:val="restart"/>
                    <w:shd w:val="clear" w:color="auto" w:fill="DBE5F1" w:themeFill="accent1" w:themeFillTint="33"/>
                    <w:vAlign w:val="center"/>
                  </w:tcPr>
                  <w:p>
                    <w:pPr>
                      <w:jc w:val="center"/>
                      <w:rPr>
                        <w:b/>
                        <w:sz w:val="20"/>
                      </w:rPr>
                    </w:pPr>
                    <w:r>
                      <w:rPr>
                        <w:b/>
                        <w:sz w:val="20"/>
                      </w:rPr>
                      <w:t>Matavimo vienetas</w:t>
                    </w:r>
                  </w:p>
                </w:tc>
                <w:tc>
                  <w:tcPr>
                    <w:tcW w:w="1134" w:type="dxa"/>
                    <w:vMerge w:val="restart"/>
                    <w:shd w:val="clear" w:color="auto" w:fill="DBE5F1" w:themeFill="accent1" w:themeFillTint="33"/>
                  </w:tcPr>
                  <w:p>
                    <w:pPr>
                      <w:jc w:val="center"/>
                      <w:rPr>
                        <w:b/>
                        <w:sz w:val="20"/>
                      </w:rPr>
                    </w:pPr>
                    <w:r>
                      <w:rPr>
                        <w:b/>
                        <w:sz w:val="20"/>
                      </w:rPr>
                      <w:t>Pradinė rodiklio reikšmė (metai)</w:t>
                    </w:r>
                  </w:p>
                </w:tc>
                <w:tc>
                  <w:tcPr>
                    <w:tcW w:w="2127" w:type="dxa"/>
                    <w:gridSpan w:val="2"/>
                    <w:shd w:val="clear" w:color="auto" w:fill="DBE5F1" w:themeFill="accent1" w:themeFillTint="33"/>
                  </w:tcPr>
                  <w:p>
                    <w:pPr>
                      <w:jc w:val="center"/>
                      <w:rPr>
                        <w:b/>
                        <w:sz w:val="20"/>
                      </w:rPr>
                    </w:pPr>
                    <w:r>
                      <w:rPr>
                        <w:b/>
                        <w:sz w:val="20"/>
                      </w:rPr>
                      <w:t>Siektinos rodiklio reikšmės</w:t>
                    </w:r>
                  </w:p>
                </w:tc>
                <w:tc>
                  <w:tcPr>
                    <w:tcW w:w="1417" w:type="dxa"/>
                    <w:shd w:val="clear" w:color="auto" w:fill="DBE5F1" w:themeFill="accent1" w:themeFillTint="33"/>
                  </w:tcPr>
                  <w:p>
                    <w:pPr>
                      <w:rPr>
                        <w:b/>
                        <w:sz w:val="20"/>
                      </w:rPr>
                    </w:pPr>
                  </w:p>
                </w:tc>
              </w:tr>
              <w:tr>
                <w:trPr>
                  <w:trHeight w:val="852"/>
                </w:trPr>
                <w:tc>
                  <w:tcPr>
                    <w:tcW w:w="1418"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2693" w:type="dxa"/>
                    <w:vMerge/>
                    <w:shd w:val="clear" w:color="auto" w:fill="DBE5F1" w:themeFill="accent1" w:themeFillTint="33"/>
                    <w:vAlign w:val="center"/>
                  </w:tcPr>
                  <w:p>
                    <w:pPr>
                      <w:spacing w:line="276" w:lineRule="auto"/>
                      <w:jc w:val="both"/>
                      <w:rPr>
                        <w:b/>
                        <w:sz w:val="20"/>
                      </w:rPr>
                    </w:pPr>
                  </w:p>
                </w:tc>
                <w:tc>
                  <w:tcPr>
                    <w:tcW w:w="1134"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992" w:type="dxa"/>
                    <w:shd w:val="clear" w:color="auto" w:fill="DBE5F1" w:themeFill="accent1" w:themeFillTint="33"/>
                  </w:tcPr>
                  <w:p>
                    <w:pPr>
                      <w:jc w:val="center"/>
                      <w:rPr>
                        <w:b/>
                        <w:sz w:val="20"/>
                      </w:rPr>
                    </w:pPr>
                    <w:r>
                      <w:rPr>
                        <w:b/>
                        <w:sz w:val="20"/>
                      </w:rPr>
                      <w:t>Tarpinė reikšmė 2025 m.</w:t>
                    </w:r>
                  </w:p>
                </w:tc>
                <w:tc>
                  <w:tcPr>
                    <w:tcW w:w="1135"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417"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418" w:type="dxa"/>
                    <w:shd w:val="clear" w:color="auto" w:fill="DBE5F1" w:themeFill="accent1" w:themeFillTint="33"/>
                    <w:vAlign w:val="center"/>
                  </w:tcPr>
                  <w:p>
                    <w:pPr>
                      <w:spacing w:line="276" w:lineRule="auto"/>
                      <w:jc w:val="center"/>
                      <w:rPr>
                        <w:b/>
                        <w:sz w:val="20"/>
                      </w:rPr>
                    </w:pPr>
                    <w:r>
                      <w:rPr>
                        <w:b/>
                        <w:sz w:val="20"/>
                      </w:rPr>
                      <w:t>1</w:t>
                    </w:r>
                  </w:p>
                </w:tc>
                <w:tc>
                  <w:tcPr>
                    <w:tcW w:w="1134" w:type="dxa"/>
                    <w:shd w:val="clear" w:color="auto" w:fill="DBE5F1" w:themeFill="accent1" w:themeFillTint="33"/>
                  </w:tcPr>
                  <w:p>
                    <w:pPr>
                      <w:spacing w:line="276" w:lineRule="auto"/>
                      <w:jc w:val="center"/>
                      <w:rPr>
                        <w:b/>
                        <w:sz w:val="20"/>
                      </w:rPr>
                    </w:pPr>
                    <w:r>
                      <w:rPr>
                        <w:b/>
                        <w:sz w:val="20"/>
                      </w:rPr>
                      <w:t>2</w:t>
                    </w:r>
                  </w:p>
                </w:tc>
                <w:tc>
                  <w:tcPr>
                    <w:tcW w:w="2693" w:type="dxa"/>
                    <w:shd w:val="clear" w:color="auto" w:fill="DBE5F1" w:themeFill="accent1" w:themeFillTint="33"/>
                    <w:vAlign w:val="center"/>
                  </w:tcPr>
                  <w:p>
                    <w:pPr>
                      <w:spacing w:line="276" w:lineRule="auto"/>
                      <w:jc w:val="center"/>
                      <w:rPr>
                        <w:b/>
                        <w:sz w:val="20"/>
                      </w:rPr>
                    </w:pPr>
                    <w:r>
                      <w:rPr>
                        <w:b/>
                        <w:sz w:val="20"/>
                      </w:rPr>
                      <w:t>3</w:t>
                    </w:r>
                  </w:p>
                </w:tc>
                <w:tc>
                  <w:tcPr>
                    <w:tcW w:w="1134" w:type="dxa"/>
                    <w:shd w:val="clear" w:color="auto" w:fill="DBE5F1" w:themeFill="accent1" w:themeFillTint="33"/>
                    <w:vAlign w:val="center"/>
                  </w:tcPr>
                  <w:p>
                    <w:pPr>
                      <w:spacing w:line="276" w:lineRule="auto"/>
                      <w:jc w:val="center"/>
                      <w:rPr>
                        <w:b/>
                        <w:sz w:val="20"/>
                      </w:rPr>
                    </w:pPr>
                    <w:r>
                      <w:rPr>
                        <w:b/>
                        <w:sz w:val="20"/>
                      </w:rPr>
                      <w:t>4</w:t>
                    </w:r>
                  </w:p>
                </w:tc>
                <w:tc>
                  <w:tcPr>
                    <w:tcW w:w="1134" w:type="dxa"/>
                    <w:shd w:val="clear" w:color="auto" w:fill="DBE5F1" w:themeFill="accent1" w:themeFillTint="33"/>
                  </w:tcPr>
                  <w:p>
                    <w:pPr>
                      <w:spacing w:line="276" w:lineRule="auto"/>
                      <w:jc w:val="center"/>
                      <w:rPr>
                        <w:b/>
                        <w:sz w:val="20"/>
                      </w:rPr>
                    </w:pPr>
                    <w:r>
                      <w:rPr>
                        <w:b/>
                        <w:sz w:val="20"/>
                      </w:rPr>
                      <w:t>5</w:t>
                    </w:r>
                  </w:p>
                </w:tc>
                <w:tc>
                  <w:tcPr>
                    <w:tcW w:w="992" w:type="dxa"/>
                    <w:shd w:val="clear" w:color="auto" w:fill="DBE5F1" w:themeFill="accent1" w:themeFillTint="33"/>
                  </w:tcPr>
                  <w:p>
                    <w:pPr>
                      <w:jc w:val="center"/>
                      <w:rPr>
                        <w:b/>
                        <w:sz w:val="20"/>
                      </w:rPr>
                    </w:pPr>
                    <w:r>
                      <w:rPr>
                        <w:b/>
                        <w:sz w:val="20"/>
                      </w:rPr>
                      <w:t>6</w:t>
                    </w:r>
                  </w:p>
                </w:tc>
                <w:tc>
                  <w:tcPr>
                    <w:tcW w:w="1135" w:type="dxa"/>
                    <w:shd w:val="clear" w:color="auto" w:fill="DBE5F1" w:themeFill="accent1" w:themeFillTint="33"/>
                  </w:tcPr>
                  <w:p>
                    <w:pPr>
                      <w:jc w:val="center"/>
                      <w:rPr>
                        <w:b/>
                        <w:sz w:val="20"/>
                      </w:rPr>
                    </w:pPr>
                    <w:r>
                      <w:rPr>
                        <w:b/>
                        <w:sz w:val="20"/>
                      </w:rPr>
                      <w:t>7</w:t>
                    </w:r>
                  </w:p>
                </w:tc>
                <w:tc>
                  <w:tcPr>
                    <w:tcW w:w="1417" w:type="dxa"/>
                    <w:shd w:val="clear" w:color="auto" w:fill="DBE5F1" w:themeFill="accent1" w:themeFillTint="33"/>
                  </w:tcPr>
                  <w:p>
                    <w:pPr>
                      <w:spacing w:line="276" w:lineRule="auto"/>
                      <w:jc w:val="center"/>
                      <w:rPr>
                        <w:b/>
                        <w:sz w:val="20"/>
                      </w:rPr>
                    </w:pPr>
                    <w:r>
                      <w:rPr>
                        <w:b/>
                        <w:sz w:val="20"/>
                      </w:rPr>
                      <w:t>8</w:t>
                    </w:r>
                  </w:p>
                </w:tc>
              </w:tr>
              <w:tr>
                <w:trPr>
                  <w:trHeight w:val="330"/>
                </w:trPr>
                <w:tc>
                  <w:tcPr>
                    <w:tcW w:w="1418" w:type="dxa"/>
                    <w:shd w:val="clear" w:color="auto" w:fill="FFFFFF" w:themeFill="background1"/>
                  </w:tcPr>
                  <w:p>
                    <w:pPr>
                      <w:rPr>
                        <w:color w:val="FFFFFF"/>
                        <w:sz w:val="20"/>
                      </w:rPr>
                    </w:pPr>
                    <w:r>
                      <w:rPr>
                        <w:sz w:val="20"/>
                      </w:rPr>
                      <w:t>R-11-002-02-11-01-01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Išvengiamų hospitalizacijų skaičius </w:t>
                    </w:r>
                  </w:p>
                </w:tc>
                <w:tc>
                  <w:tcPr>
                    <w:tcW w:w="1134" w:type="dxa"/>
                    <w:shd w:val="clear" w:color="auto" w:fill="FFFFFF" w:themeFill="background1"/>
                  </w:tcPr>
                  <w:p>
                    <w:pPr>
                      <w:jc w:val="center"/>
                      <w:rPr>
                        <w:color w:val="FFFFFF"/>
                        <w:sz w:val="20"/>
                      </w:rPr>
                    </w:pPr>
                    <w:r>
                      <w:rPr>
                        <w:sz w:val="20"/>
                      </w:rPr>
                      <w:t>Skaičius 1000 gyventojų</w:t>
                    </w:r>
                  </w:p>
                </w:tc>
                <w:tc>
                  <w:tcPr>
                    <w:tcW w:w="1134"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17</w:t>
                    </w:r>
                  </w:p>
                </w:tc>
                <w:tc>
                  <w:tcPr>
                    <w:tcW w:w="1135"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417"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418" w:type="dxa"/>
                    <w:shd w:val="clear" w:color="auto" w:fill="FFFFFF" w:themeFill="background1"/>
                  </w:tcPr>
                  <w:p>
                    <w:pPr>
                      <w:rPr>
                        <w:color w:val="FFFFFF"/>
                        <w:sz w:val="20"/>
                      </w:rPr>
                    </w:pPr>
                    <w:r>
                      <w:rPr>
                        <w:sz w:val="20"/>
                      </w:rPr>
                      <w:t>R-11-002-02-11-01-02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134" w:type="dxa"/>
                    <w:shd w:val="clear" w:color="auto" w:fill="FFFFFF" w:themeFill="background1"/>
                  </w:tcPr>
                  <w:p>
                    <w:pPr>
                      <w:jc w:val="center"/>
                      <w:rPr>
                        <w:color w:val="FFFFFF"/>
                        <w:sz w:val="20"/>
                      </w:rPr>
                    </w:pPr>
                    <w:r>
                      <w:rPr>
                        <w:sz w:val="20"/>
                      </w:rPr>
                      <w:t>Santykis</w:t>
                    </w:r>
                  </w:p>
                </w:tc>
                <w:tc>
                  <w:tcPr>
                    <w:tcW w:w="1134"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 xml:space="preserve">60/40 </w:t>
                    </w:r>
                  </w:p>
                  <w:p>
                    <w:pPr>
                      <w:jc w:val="center"/>
                      <w:rPr>
                        <w:color w:val="FFFFFF"/>
                        <w:sz w:val="20"/>
                      </w:rPr>
                    </w:pPr>
                  </w:p>
                </w:tc>
                <w:tc>
                  <w:tcPr>
                    <w:tcW w:w="1135" w:type="dxa"/>
                    <w:shd w:val="clear" w:color="auto" w:fill="FFFFFF" w:themeFill="background1"/>
                  </w:tcPr>
                  <w:p>
                    <w:pPr>
                      <w:jc w:val="center"/>
                      <w:rPr>
                        <w:sz w:val="20"/>
                      </w:rPr>
                    </w:pPr>
                    <w:r>
                      <w:rPr>
                        <w:sz w:val="20"/>
                      </w:rPr>
                      <w:t>40/60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sz w:val="20"/>
                      </w:rPr>
                    </w:pPr>
                    <w:r>
                      <w:rPr>
                        <w:sz w:val="20"/>
                      </w:rPr>
                      <w:t>R-11-002-02-11-01-03</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418" w:type="dxa"/>
                    <w:shd w:val="clear" w:color="auto" w:fill="FFFFFF" w:themeFill="background1"/>
                  </w:tcPr>
                  <w:p>
                    <w:pPr>
                      <w:rPr>
                        <w:color w:val="FFFFFF"/>
                        <w:sz w:val="20"/>
                      </w:rPr>
                    </w:pPr>
                    <w:r>
                      <w:rPr>
                        <w:sz w:val="20"/>
                      </w:rPr>
                      <w:t>R-11-002-02-11-01-04</w:t>
                    </w:r>
                  </w:p>
                </w:tc>
                <w:tc>
                  <w:tcPr>
                    <w:tcW w:w="1134" w:type="dxa"/>
                    <w:shd w:val="clear" w:color="auto" w:fill="FFFFFF" w:themeFill="background1"/>
                  </w:tcPr>
                  <w:p>
                    <w:pPr>
                      <w:rPr>
                        <w:color w:val="FFFFFF"/>
                        <w:sz w:val="20"/>
                      </w:rPr>
                    </w:pPr>
                    <w:r>
                      <w:rPr>
                        <w:sz w:val="20"/>
                      </w:rPr>
                      <w:t xml:space="preserve">Rezultato </w:t>
                    </w:r>
                  </w:p>
                </w:tc>
                <w:tc>
                  <w:tcPr>
                    <w:tcW w:w="2693" w:type="dxa"/>
                    <w:shd w:val="clear" w:color="auto" w:fill="FFFFFF" w:themeFill="background1"/>
                  </w:tcPr>
                  <w:p>
                    <w:pPr>
                      <w:rPr>
                        <w:color w:val="FFFFFF"/>
                        <w:sz w:val="20"/>
                      </w:rPr>
                    </w:pPr>
                    <w:r>
                      <w:rPr>
                        <w:sz w:val="20"/>
                      </w:rPr>
                      <w:t xml:space="preserve">Ambulatorines ilgalaikės priežiūros paslaugas gaunančių pacientų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135"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 xml:space="preserve">EGADP </w:t>
                    </w:r>
                  </w:p>
                </w:tc>
              </w:tr>
              <w:tr>
                <w:trPr>
                  <w:trHeight w:val="330"/>
                </w:trPr>
                <w:tc>
                  <w:tcPr>
                    <w:tcW w:w="1418" w:type="dxa"/>
                    <w:shd w:val="clear" w:color="auto" w:fill="FFFFFF" w:themeFill="background1"/>
                  </w:tcPr>
                  <w:p>
                    <w:pPr>
                      <w:rPr>
                        <w:color w:val="FFFFFF"/>
                        <w:sz w:val="20"/>
                      </w:rPr>
                    </w:pPr>
                    <w:r>
                      <w:rPr>
                        <w:sz w:val="20"/>
                      </w:rPr>
                      <w:t>R-11-002-02-11-01-05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11,5</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418" w:type="dxa"/>
                    <w:shd w:val="clear" w:color="auto" w:fill="FFFFFF" w:themeFill="background1"/>
                  </w:tcPr>
                  <w:p>
                    <w:pPr>
                      <w:rPr>
                        <w:color w:val="FFFFFF"/>
                        <w:sz w:val="20"/>
                      </w:rPr>
                    </w:pPr>
                    <w:r>
                      <w:rPr>
                        <w:sz w:val="20"/>
                      </w:rPr>
                      <w:t>R-11-002-02-11-01-06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418" w:type="dxa"/>
                    <w:shd w:val="clear" w:color="auto" w:fill="FFFFFF" w:themeFill="background1"/>
                  </w:tcPr>
                  <w:p>
                    <w:pPr>
                      <w:rPr>
                        <w:color w:val="FFFFFF"/>
                        <w:sz w:val="20"/>
                      </w:rPr>
                    </w:pPr>
                    <w:r>
                      <w:rPr>
                        <w:sz w:val="20"/>
                      </w:rPr>
                      <w:t>R-11-002-02-11-01-07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134" w:type="dxa"/>
                    <w:shd w:val="clear" w:color="auto" w:fill="FFFFFF" w:themeFill="background1"/>
                  </w:tcPr>
                  <w:p>
                    <w:pPr>
                      <w:jc w:val="center"/>
                      <w:rPr>
                        <w:color w:val="FFFFFF"/>
                        <w:sz w:val="20"/>
                      </w:rPr>
                    </w:pPr>
                    <w:r>
                      <w:rPr>
                        <w:sz w:val="20"/>
                      </w:rPr>
                      <w:t>Proc. nuo visų naujai diagnozuo-tų navikų</w:t>
                    </w:r>
                  </w:p>
                </w:tc>
                <w:tc>
                  <w:tcPr>
                    <w:tcW w:w="1134"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R-11-002-02-11-01-08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rPr>
                    </w:pPr>
                    <w:r>
                      <w:rPr>
                        <w:sz w:val="20"/>
                      </w:rPr>
                      <w:t>83</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R-11-002-02-11-01-09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64,8</w:t>
                    </w:r>
                  </w:p>
                  <w:p>
                    <w:pPr>
                      <w:jc w:val="center"/>
                      <w:rPr>
                        <w:color w:val="FFFFFF"/>
                        <w:sz w:val="20"/>
                      </w:rPr>
                    </w:pPr>
                  </w:p>
                </w:tc>
                <w:tc>
                  <w:tcPr>
                    <w:tcW w:w="1135" w:type="dxa"/>
                    <w:shd w:val="clear" w:color="auto" w:fill="FFFFFF" w:themeFill="background1"/>
                  </w:tcPr>
                  <w:p>
                    <w:pPr>
                      <w:jc w:val="center"/>
                      <w:rPr>
                        <w:sz w:val="20"/>
                      </w:rPr>
                    </w:pPr>
                    <w:r>
                      <w:rPr>
                        <w:sz w:val="20"/>
                      </w:rPr>
                      <w:t>67,9</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rPr>
                    </w:pPr>
                    <w:r>
                      <w:rPr>
                        <w:sz w:val="20"/>
                      </w:rPr>
                      <w:t>55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418" w:type="dxa"/>
                    <w:shd w:val="clear" w:color="auto" w:fill="FFFFFF" w:themeFill="background1"/>
                  </w:tcPr>
                  <w:p>
                    <w:pPr>
                      <w:rPr>
                        <w:color w:val="FFFFFF"/>
                        <w:sz w:val="20"/>
                      </w:rPr>
                    </w:pPr>
                    <w:r>
                      <w:rPr>
                        <w:sz w:val="20"/>
                      </w:rPr>
                      <w:t>R-11-002-02-11-01-11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59</w:t>
                    </w:r>
                  </w:p>
                  <w:p>
                    <w:pPr>
                      <w:jc w:val="center"/>
                      <w:rPr>
                        <w:color w:val="FFFFFF"/>
                        <w:sz w:val="20"/>
                      </w:rPr>
                    </w:pPr>
                  </w:p>
                </w:tc>
                <w:tc>
                  <w:tcPr>
                    <w:tcW w:w="1135" w:type="dxa"/>
                    <w:shd w:val="clear" w:color="auto" w:fill="FFFFFF" w:themeFill="background1"/>
                  </w:tcPr>
                  <w:p>
                    <w:pPr>
                      <w:jc w:val="center"/>
                      <w:rPr>
                        <w:sz w:val="20"/>
                      </w:rPr>
                    </w:pPr>
                    <w:r>
                      <w:rPr>
                        <w:sz w:val="20"/>
                      </w:rPr>
                      <w:t>62,5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134" w:type="dxa"/>
                    <w:shd w:val="clear" w:color="auto" w:fill="FFFFFF" w:themeFill="background1"/>
                  </w:tcPr>
                  <w:p>
                    <w:pPr>
                      <w:jc w:val="center"/>
                      <w:rPr>
                        <w:color w:val="FFFFFF"/>
                        <w:sz w:val="20"/>
                      </w:rPr>
                    </w:pPr>
                    <w:r>
                      <w:rPr>
                        <w:sz w:val="20"/>
                      </w:rPr>
                      <w:t>Vnt.</w:t>
                    </w:r>
                  </w:p>
                </w:tc>
                <w:tc>
                  <w:tcPr>
                    <w:tcW w:w="1134"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25</w:t>
                    </w:r>
                  </w:p>
                  <w:p>
                    <w:pPr>
                      <w:jc w:val="center"/>
                      <w:rPr>
                        <w:color w:val="FFFFFF"/>
                        <w:sz w:val="20"/>
                      </w:rPr>
                    </w:pPr>
                  </w:p>
                </w:tc>
                <w:tc>
                  <w:tcPr>
                    <w:tcW w:w="1135" w:type="dxa"/>
                    <w:shd w:val="clear" w:color="auto" w:fill="FFFFFF" w:themeFill="background1"/>
                  </w:tcPr>
                  <w:p>
                    <w:pPr>
                      <w:jc w:val="center"/>
                      <w:rPr>
                        <w:sz w:val="20"/>
                      </w:rPr>
                    </w:pPr>
                    <w:r>
                      <w:rPr>
                        <w:sz w:val="20"/>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R-11-002-02-11-01-13</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65360 </w:t>
                    </w:r>
                  </w:p>
                </w:tc>
                <w:tc>
                  <w:tcPr>
                    <w:tcW w:w="1135" w:type="dxa"/>
                    <w:shd w:val="clear" w:color="auto" w:fill="FFFFFF" w:themeFill="background1"/>
                  </w:tcPr>
                  <w:p>
                    <w:pPr>
                      <w:jc w:val="center"/>
                      <w:rPr>
                        <w:color w:val="FFFFFF"/>
                        <w:sz w:val="20"/>
                      </w:rPr>
                    </w:pPr>
                    <w:r>
                      <w:rPr>
                        <w:sz w:val="20"/>
                        <w:lang w:val="en-US"/>
                      </w:rPr>
                      <w:t xml:space="preserve">73 020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307358 </w:t>
                    </w:r>
                  </w:p>
                </w:tc>
                <w:tc>
                  <w:tcPr>
                    <w:tcW w:w="1135" w:type="dxa"/>
                    <w:shd w:val="clear" w:color="auto" w:fill="FFFFFF" w:themeFill="background1"/>
                  </w:tcPr>
                  <w:p>
                    <w:pPr>
                      <w:jc w:val="center"/>
                      <w:rPr>
                        <w:color w:val="FFFFFF"/>
                        <w:sz w:val="20"/>
                      </w:rPr>
                    </w:pPr>
                    <w:r>
                      <w:rPr>
                        <w:sz w:val="20"/>
                        <w:lang w:val="en-US"/>
                      </w:rPr>
                      <w:t xml:space="preserve">362 243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color w:val="FFFFFF"/>
                        <w:sz w:val="20"/>
                      </w:rPr>
                    </w:pPr>
                    <w:r>
                      <w:rPr>
                        <w:sz w:val="20"/>
                      </w:rPr>
                      <w:t>616 734 (2019 m.)</w:t>
                    </w:r>
                  </w:p>
                </w:tc>
                <w:tc>
                  <w:tcPr>
                    <w:tcW w:w="992" w:type="dxa"/>
                    <w:shd w:val="clear" w:color="auto" w:fill="FFFFFF" w:themeFill="background1"/>
                  </w:tcPr>
                  <w:p>
                    <w:pPr>
                      <w:jc w:val="center"/>
                      <w:rPr>
                        <w:color w:val="FFFFFF"/>
                        <w:sz w:val="20"/>
                      </w:rPr>
                    </w:pPr>
                    <w:r>
                      <w:rPr>
                        <w:sz w:val="20"/>
                      </w:rPr>
                      <w:t>515814</w:t>
                    </w:r>
                    <w:r>
                      <w:rPr>
                        <w:sz w:val="20"/>
                        <w:lang w:val="en-US"/>
                      </w:rPr>
                      <w:t xml:space="preserve"> </w:t>
                    </w:r>
                  </w:p>
                </w:tc>
                <w:tc>
                  <w:tcPr>
                    <w:tcW w:w="1135"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418" w:type="dxa"/>
                    <w:shd w:val="clear" w:color="auto" w:fill="FFFFFF" w:themeFill="background1"/>
                  </w:tcPr>
                  <w:p>
                    <w:pPr>
                      <w:rPr>
                        <w:color w:val="FFFFFF"/>
                        <w:sz w:val="20"/>
                      </w:rPr>
                    </w:pPr>
                    <w:r>
                      <w:rPr>
                        <w:sz w:val="20"/>
                      </w:rPr>
                      <w:t>R-11-002-02-11-01-16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60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418" w:type="dxa"/>
                    <w:shd w:val="clear" w:color="auto" w:fill="FFFFFF" w:themeFill="background1"/>
                  </w:tcPr>
                  <w:p>
                    <w:pPr>
                      <w:rPr>
                        <w:color w:val="FFFFFF"/>
                        <w:sz w:val="20"/>
                      </w:rPr>
                    </w:pPr>
                    <w:r>
                      <w:rPr>
                        <w:sz w:val="20"/>
                      </w:rPr>
                      <w:t>R-11-002-02-11-01-19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418" w:type="dxa"/>
                    <w:shd w:val="clear" w:color="auto" w:fill="FFFFFF" w:themeFill="background1"/>
                  </w:tcPr>
                  <w:p>
                    <w:pPr>
                      <w:rPr>
                        <w:color w:val="FFFFFF"/>
                        <w:sz w:val="20"/>
                      </w:rPr>
                    </w:pPr>
                    <w:r>
                      <w:rPr>
                        <w:sz w:val="20"/>
                      </w:rPr>
                      <w:t>R-11-002-02-11-01-20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R-11-002-02-11-01-21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134" w:type="dxa"/>
                    <w:shd w:val="clear" w:color="auto" w:fill="FFFFFF" w:themeFill="background1"/>
                  </w:tcPr>
                  <w:p>
                    <w:pPr>
                      <w:jc w:val="center"/>
                      <w:rPr>
                        <w:color w:val="FFFFFF"/>
                        <w:sz w:val="20"/>
                      </w:rPr>
                    </w:pPr>
                    <w:r>
                      <w:rPr>
                        <w:sz w:val="20"/>
                      </w:rPr>
                      <w:t>Skaičius</w:t>
                    </w:r>
                  </w:p>
                </w:tc>
                <w:tc>
                  <w:tcPr>
                    <w:tcW w:w="1134"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P-11-002-02-11-01-22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pPr>
                      <w:jc w:val="center"/>
                      <w:rPr>
                        <w:color w:val="FFFFFF"/>
                        <w:sz w:val="20"/>
                      </w:rPr>
                    </w:pPr>
                    <w:r>
                      <w:rPr>
                        <w:sz w:val="20"/>
                      </w:rPr>
                      <w:t>Subjektų skaičius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18</w:t>
                    </w:r>
                  </w:p>
                  <w:p>
                    <w:pPr>
                      <w:jc w:val="center"/>
                      <w:rPr>
                        <w:color w:val="FFFFFF"/>
                        <w:sz w:val="20"/>
                      </w:rPr>
                    </w:pPr>
                    <w:r>
                      <w:rPr>
                        <w:sz w:val="20"/>
                      </w:rPr>
                      <w:t>(2024m.)</w:t>
                    </w:r>
                  </w:p>
                </w:tc>
                <w:tc>
                  <w:tcPr>
                    <w:tcW w:w="1135" w:type="dxa"/>
                    <w:shd w:val="clear" w:color="auto" w:fill="FFFFFF" w:themeFill="background1"/>
                  </w:tcPr>
                  <w:p>
                    <w:pPr>
                      <w:jc w:val="center"/>
                      <w:rPr>
                        <w:sz w:val="20"/>
                      </w:rPr>
                    </w:pPr>
                    <w:r>
                      <w:rPr>
                        <w:sz w:val="20"/>
                      </w:rPr>
                      <w:t>199</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2021-2027 m. IP (ESF+)</w:t>
                    </w:r>
                  </w:p>
                </w:tc>
              </w:tr>
              <w:tr>
                <w:trPr>
                  <w:trHeight w:val="330"/>
                </w:trPr>
                <w:tc>
                  <w:tcPr>
                    <w:tcW w:w="1418" w:type="dxa"/>
                    <w:shd w:val="clear" w:color="auto" w:fill="FFFFFF" w:themeFill="background1"/>
                  </w:tcPr>
                  <w:p>
                    <w:pPr>
                      <w:rPr>
                        <w:color w:val="FFFFFF"/>
                        <w:sz w:val="20"/>
                      </w:rPr>
                    </w:pPr>
                    <w:r>
                      <w:rPr>
                        <w:sz w:val="20"/>
                      </w:rPr>
                      <w:t>R-11-002-02-11-01-23</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135"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36</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R-11-002-02-11-01-25</w:t>
                    </w:r>
                  </w:p>
                </w:tc>
                <w:tc>
                  <w:tcPr>
                    <w:tcW w:w="1134" w:type="dxa"/>
                    <w:shd w:val="clear" w:color="auto" w:fill="FFFFFF" w:themeFill="background1"/>
                  </w:tcPr>
                  <w:p>
                    <w:pPr>
                      <w:rPr>
                        <w:iCs/>
                        <w:sz w:val="20"/>
                      </w:rPr>
                    </w:pPr>
                    <w:r>
                      <w:rPr>
                        <w:iCs/>
                        <w:sz w:val="20"/>
                      </w:rPr>
                      <w:t xml:space="preserve">Rezultato </w:t>
                    </w:r>
                  </w:p>
                </w:tc>
                <w:tc>
                  <w:tcPr>
                    <w:tcW w:w="2693" w:type="dxa"/>
                    <w:shd w:val="clear" w:color="auto" w:fill="FFFFFF" w:themeFill="background1"/>
                  </w:tcPr>
                  <w:p>
                    <w:pPr>
                      <w:rPr>
                        <w:sz w:val="20"/>
                      </w:rPr>
                    </w:pPr>
                    <w:r>
                      <w:rPr>
                        <w:sz w:val="20"/>
                      </w:rPr>
                      <w:t xml:space="preserve">Šalies gyventojų, kuriems teikiamos su sveikata susijusios elektroninės paslaugos,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92"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135" w:type="dxa"/>
                    <w:shd w:val="clear" w:color="auto" w:fill="FFFFFF" w:themeFill="background1"/>
                  </w:tcPr>
                  <w:p>
                    <w:pPr>
                      <w:jc w:val="center"/>
                      <w:rPr>
                        <w:sz w:val="20"/>
                      </w:rPr>
                    </w:pPr>
                    <w:r>
                      <w:rPr>
                        <w:sz w:val="20"/>
                      </w:rPr>
                      <w:t>98</w:t>
                    </w:r>
                  </w:p>
                  <w:p>
                    <w:pPr>
                      <w:jc w:val="center"/>
                      <w:rPr>
                        <w:sz w:val="20"/>
                      </w:rPr>
                    </w:pP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R-11-002-02-11-01-27</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Pacientų pasitenkinimas gautomis paslaugomis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56</w:t>
                    </w:r>
                  </w:p>
                  <w:p>
                    <w:pPr>
                      <w:jc w:val="center"/>
                      <w:rPr>
                        <w:sz w:val="20"/>
                      </w:rPr>
                    </w:pPr>
                    <w:r>
                      <w:rPr>
                        <w:sz w:val="20"/>
                      </w:rPr>
                      <w:t>(2020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R-11-002-02-11-01-28</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pPr>
                      <w:jc w:val="center"/>
                      <w:rPr>
                        <w:sz w:val="20"/>
                      </w:rPr>
                    </w:pPr>
                    <w:r>
                      <w:rPr>
                        <w:sz w:val="20"/>
                      </w:rPr>
                      <w:t>Naudotojai per metus</w:t>
                    </w:r>
                  </w:p>
                </w:tc>
                <w:tc>
                  <w:tcPr>
                    <w:tcW w:w="1134"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R-11-002-02-11-01-29</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color w:val="FFFFFF"/>
                        <w:sz w:val="20"/>
                      </w:rPr>
                    </w:pPr>
                    <w:r>
                      <w:rPr>
                        <w:sz w:val="20"/>
                      </w:rPr>
                      <w:t>50 (2021 m.)</w:t>
                    </w:r>
                  </w:p>
                </w:tc>
                <w:tc>
                  <w:tcPr>
                    <w:tcW w:w="992"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135" w:type="dxa"/>
                    <w:shd w:val="clear" w:color="auto" w:fill="FFFFFF" w:themeFill="background1"/>
                  </w:tcPr>
                  <w:p>
                    <w:pPr>
                      <w:jc w:val="center"/>
                      <w:rPr>
                        <w:color w:val="FFFFFF"/>
                        <w:sz w:val="20"/>
                      </w:rPr>
                    </w:pPr>
                    <w:r>
                      <w:rPr>
                        <w:sz w:val="20"/>
                      </w:rPr>
                      <w:t>98</w:t>
                    </w: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R-11-002-02-11-01-30</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135" w:type="dxa"/>
                    <w:shd w:val="clear" w:color="auto" w:fill="FFFFFF" w:themeFill="background1"/>
                  </w:tcPr>
                  <w:p>
                    <w:pPr>
                      <w:jc w:val="center"/>
                      <w:rPr>
                        <w:sz w:val="20"/>
                      </w:rPr>
                    </w:pPr>
                    <w:r>
                      <w:rPr>
                        <w:sz w:val="20"/>
                      </w:rPr>
                      <w:t>90</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P-11-002-02-11-01-31</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Naujos arba modernizuotos sveikatos priežiūros infrastruktūros talpumas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sz w:val="20"/>
                      </w:rPr>
                    </w:pPr>
                    <w:r>
                      <w:rPr>
                        <w:sz w:val="20"/>
                      </w:rPr>
                      <w:t>0</w:t>
                    </w:r>
                  </w:p>
                  <w:p>
                    <w:pPr>
                      <w:jc w:val="center"/>
                      <w:rPr>
                        <w:color w:val="FFFFFF"/>
                        <w:sz w:val="20"/>
                      </w:rPr>
                    </w:pPr>
                  </w:p>
                </w:tc>
                <w:tc>
                  <w:tcPr>
                    <w:tcW w:w="992"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P-11-002-02-11-01-32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Greitosios medicinos pagalbos paslaugų infrastruktūros, kuriai skirta parama, pajėgumas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R-11-002-02-11-01-33</w:t>
                    </w:r>
                  </w:p>
                </w:tc>
                <w:tc>
                  <w:tcPr>
                    <w:tcW w:w="1134" w:type="dxa"/>
                    <w:shd w:val="clear" w:color="auto" w:fill="FFFFFF" w:themeFill="background1"/>
                  </w:tcPr>
                  <w:p>
                    <w:pPr>
                      <w:rPr>
                        <w:sz w:val="20"/>
                      </w:rPr>
                    </w:pPr>
                    <w:r>
                      <w:rPr>
                        <w:iCs/>
                        <w:sz w:val="20"/>
                      </w:rPr>
                      <w:t>Rezultato</w:t>
                    </w:r>
                  </w:p>
                </w:tc>
                <w:tc>
                  <w:tcPr>
                    <w:tcW w:w="2693"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134" w:type="dxa"/>
                    <w:shd w:val="clear" w:color="auto" w:fill="FFFFFF" w:themeFill="background1"/>
                  </w:tcPr>
                  <w:p>
                    <w:pPr>
                      <w:jc w:val="center"/>
                      <w:rPr>
                        <w:sz w:val="20"/>
                      </w:rPr>
                    </w:pPr>
                    <w:r>
                      <w:rPr>
                        <w:sz w:val="20"/>
                      </w:rPr>
                      <w:t>Asmenys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41"/>
                </w:trPr>
                <w:tc>
                  <w:tcPr>
                    <w:tcW w:w="1418" w:type="dxa"/>
                    <w:shd w:val="clear" w:color="auto" w:fill="FFFFFF" w:themeFill="background1"/>
                  </w:tcPr>
                  <w:p>
                    <w:pPr>
                      <w:rPr>
                        <w:sz w:val="20"/>
                      </w:rPr>
                    </w:pPr>
                    <w:r>
                      <w:rPr>
                        <w:sz w:val="20"/>
                      </w:rPr>
                      <w:t>R-11-002-02-11-01-34</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134" w:type="dxa"/>
                    <w:shd w:val="clear" w:color="auto" w:fill="FFFFFF" w:themeFill="background1"/>
                  </w:tcPr>
                  <w:p>
                    <w:pPr>
                      <w:jc w:val="center"/>
                      <w:rPr>
                        <w:sz w:val="20"/>
                      </w:rPr>
                    </w:pPr>
                    <w:r>
                      <w:rPr>
                        <w:sz w:val="20"/>
                      </w:rPr>
                      <w:t>Naudotojų skaičius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P-11-002-02-11-01-35</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P-11-002-02-11-01-36</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P-11-002-02-11-01-37</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P-11-002-02-11-01-38</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P-11-002-02-11-01-39</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P-11-002-02-11-01-40</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P-11-002-02-11-01-41</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P-11-002-02-11-01-43</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P-11-002-02-11-01-44</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P-11-002-02-11-01-45</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P-11-002-02-11-01-46</w:t>
                    </w:r>
                  </w:p>
                </w:tc>
                <w:tc>
                  <w:tcPr>
                    <w:tcW w:w="1134" w:type="dxa"/>
                    <w:shd w:val="clear" w:color="auto" w:fill="FFFFFF" w:themeFill="background1"/>
                  </w:tcPr>
                  <w:p>
                    <w:pPr>
                      <w:spacing w:line="276" w:lineRule="auto"/>
                      <w:rPr>
                        <w:sz w:val="20"/>
                      </w:rPr>
                    </w:pPr>
                    <w:r>
                      <w:rPr>
                        <w:iCs/>
                        <w:sz w:val="20"/>
                      </w:rPr>
                      <w:t>Produkto</w:t>
                    </w:r>
                  </w:p>
                </w:tc>
                <w:tc>
                  <w:tcPr>
                    <w:tcW w:w="2693"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spacing w:line="276" w:lineRule="auto"/>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spacing w:line="276" w:lineRule="auto"/>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spacing w:line="276" w:lineRule="auto"/>
                      <w:rPr>
                        <w:sz w:val="20"/>
                      </w:rPr>
                    </w:pPr>
                    <w:r>
                      <w:rPr>
                        <w:sz w:val="20"/>
                      </w:rPr>
                      <w:t xml:space="preserve">Sukurtas pažangios terapijos centras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417" w:type="dxa"/>
                    <w:shd w:val="clear" w:color="auto" w:fill="FFFFFF" w:themeFill="background1"/>
                  </w:tcPr>
                  <w:p>
                    <w:pPr>
                      <w:spacing w:line="276" w:lineRule="auto"/>
                      <w:jc w:val="center"/>
                      <w:rPr>
                        <w:iCs/>
                        <w:sz w:val="20"/>
                      </w:rPr>
                    </w:pPr>
                    <w:r>
                      <w:rPr>
                        <w:bCs/>
                        <w:sz w:val="20"/>
                      </w:rPr>
                      <w:t>EGADP</w:t>
                    </w:r>
                  </w:p>
                </w:tc>
              </w:tr>
              <w:tr>
                <w:trPr>
                  <w:trHeight w:val="889"/>
                </w:trPr>
                <w:tc>
                  <w:tcPr>
                    <w:tcW w:w="1418" w:type="dxa"/>
                    <w:shd w:val="clear" w:color="auto" w:fill="FFFFFF" w:themeFill="background1"/>
                  </w:tcPr>
                  <w:p>
                    <w:pPr>
                      <w:rPr>
                        <w:sz w:val="20"/>
                      </w:rPr>
                    </w:pPr>
                    <w:r>
                      <w:rPr>
                        <w:sz w:val="20"/>
                      </w:rPr>
                      <w:t>P-11-002-02-11-01-48</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color w:val="000000"/>
                        <w:sz w:val="20"/>
                        <w:lang w:eastAsia="lt-LT"/>
                      </w:rPr>
                      <w:t xml:space="preserve">Patvirtinti teisės aktai dėl genomo tyrimų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P-11-002-02-11-01-49</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jc w:val="both"/>
                      <w:rPr>
                        <w:sz w:val="20"/>
                      </w:rPr>
                    </w:pPr>
                    <w:r>
                      <w:rPr>
                        <w:sz w:val="20"/>
                      </w:rPr>
                      <w:t xml:space="preserve">Atliktų viso žmogaus genomo sekos nustatymo tyrimų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135"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P-11-002-02-11-01-50</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P-11-002-02-11-01-51</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rPr>
                      <w:t xml:space="preserve">Įsigalioję teisės aktai, reglamentuojantys pakartotinį  sveikatos duomenų naudojimą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P-11-002-02-11-01-53</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Sveikatos priežiūros specialistų kompetencijų platformos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sz w:val="20"/>
                      </w:rPr>
                    </w:pPr>
                    <w:r>
                      <w:rPr>
                        <w:sz w:val="20"/>
                      </w:rPr>
                      <w:t>EGADP</w:t>
                    </w:r>
                  </w:p>
                </w:tc>
              </w:tr>
              <w:tr>
                <w:trPr>
                  <w:trHeight w:val="330"/>
                </w:trPr>
                <w:tc>
                  <w:tcPr>
                    <w:tcW w:w="1418" w:type="dxa"/>
                    <w:shd w:val="clear" w:color="auto" w:fill="FFFFFF" w:themeFill="background1"/>
                  </w:tcPr>
                  <w:p>
                    <w:pPr>
                      <w:rPr>
                        <w:sz w:val="20"/>
                      </w:rPr>
                    </w:pPr>
                    <w:r>
                      <w:rPr>
                        <w:sz w:val="20"/>
                      </w:rPr>
                      <w:t>P-11-002-02-11-01-54</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P-11-002-02-11-01-55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Atliktų sveikatos sektoriaus analizių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6</w:t>
                    </w:r>
                  </w:p>
                  <w:p>
                    <w:pPr>
                      <w:jc w:val="center"/>
                      <w:rPr>
                        <w:sz w:val="20"/>
                      </w:rPr>
                    </w:pPr>
                    <w:r>
                      <w:rPr>
                        <w:sz w:val="20"/>
                      </w:rPr>
                      <w:t>(2022 m.)</w:t>
                    </w:r>
                  </w:p>
                </w:tc>
                <w:tc>
                  <w:tcPr>
                    <w:tcW w:w="1135"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417"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Tikslinių grupių asmenys, gavę naujas ar patobulintas psichikos sveikatos priežiūros paslaugas</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1 050</w:t>
                    </w:r>
                  </w:p>
                  <w:p>
                    <w:pPr>
                      <w:jc w:val="center"/>
                      <w:rPr>
                        <w:sz w:val="20"/>
                        <w:lang w:val="en-US"/>
                      </w:rPr>
                    </w:pPr>
                    <w:r>
                      <w:rPr>
                        <w:sz w:val="20"/>
                      </w:rPr>
                      <w:t>(2024 m.)</w:t>
                    </w:r>
                  </w:p>
                </w:tc>
                <w:tc>
                  <w:tcPr>
                    <w:tcW w:w="1135" w:type="dxa"/>
                    <w:shd w:val="clear" w:color="auto" w:fill="FFFFFF" w:themeFill="background1"/>
                  </w:tcPr>
                  <w:p>
                    <w:pPr>
                      <w:jc w:val="center"/>
                      <w:rPr>
                        <w:sz w:val="20"/>
                      </w:rPr>
                    </w:pPr>
                    <w:r>
                      <w:rPr>
                        <w:sz w:val="20"/>
                      </w:rPr>
                      <w:t>10 500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ar perkvalifikavimo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900</w:t>
                    </w:r>
                  </w:p>
                  <w:p>
                    <w:pPr>
                      <w:jc w:val="center"/>
                      <w:rPr>
                        <w:sz w:val="20"/>
                      </w:rPr>
                    </w:pPr>
                    <w:r>
                      <w:rPr>
                        <w:sz w:val="20"/>
                      </w:rPr>
                      <w:t>(2024 m.)</w:t>
                    </w:r>
                  </w:p>
                </w:tc>
                <w:tc>
                  <w:tcPr>
                    <w:tcW w:w="1135"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Asmenys, dalyvavę kvalifikacijos įgijimo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0</w:t>
                    </w:r>
                  </w:p>
                  <w:p>
                    <w:pPr>
                      <w:jc w:val="center"/>
                      <w:rPr>
                        <w:sz w:val="20"/>
                      </w:rPr>
                    </w:pPr>
                    <w:r>
                      <w:rPr>
                        <w:sz w:val="20"/>
                      </w:rPr>
                      <w:t>(2024 m.)</w:t>
                    </w:r>
                  </w:p>
                </w:tc>
                <w:tc>
                  <w:tcPr>
                    <w:tcW w:w="1135"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Sukurtas ir išbandytas pacientų pavėžėjimo paslaugų teikimo modelis</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R-11-002-02-11-01-62</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Suteiktų pavėžėjimo paslaugų skaičius pagal bandomąjį pavėžėjimo paslaugų teikimo modelį</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R-11-002-02-11-01-63</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Asmenų, kurie po dalyvavimo veiklose įgijo kvalifikaciją, dalis</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17</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418" w:type="dxa"/>
                    <w:shd w:val="clear" w:color="auto" w:fill="FFFFFF" w:themeFill="background1"/>
                  </w:tcPr>
                  <w:p>
                    <w:pPr>
                      <w:spacing w:line="276" w:lineRule="auto"/>
                      <w:rPr>
                        <w:sz w:val="20"/>
                      </w:rPr>
                    </w:pPr>
                    <w:r>
                      <w:rPr>
                        <w:sz w:val="20"/>
                      </w:rPr>
                      <w:t>P-11-002-02-11-01-64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5 000</w:t>
                    </w:r>
                  </w:p>
                  <w:p>
                    <w:pPr>
                      <w:jc w:val="center"/>
                      <w:rPr>
                        <w:sz w:val="20"/>
                      </w:rPr>
                    </w:pPr>
                    <w:r>
                      <w:rPr>
                        <w:sz w:val="20"/>
                      </w:rPr>
                      <w:t>(2024 m.)</w:t>
                    </w:r>
                  </w:p>
                </w:tc>
                <w:tc>
                  <w:tcPr>
                    <w:tcW w:w="1135"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R-11-002-02-11-01-65</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418" w:type="dxa"/>
                    <w:shd w:val="clear" w:color="auto" w:fill="FFFFFF" w:themeFill="background1"/>
                  </w:tcPr>
                  <w:p>
                    <w:pPr>
                      <w:spacing w:line="276" w:lineRule="auto"/>
                      <w:rPr>
                        <w:sz w:val="20"/>
                      </w:rPr>
                    </w:pPr>
                    <w:r>
                      <w:rPr>
                        <w:sz w:val="20"/>
                      </w:rPr>
                      <w:t>P-11-002-02-11-01-66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Modernizuotų asmens sveikatos priežiūros įstaigų skaičius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13</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P-11-002-02-11-01-67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Struktūrinius sveikatos priežiūros paslaugų teikimo pokyčius įgyvendinusių ASPĮ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250</w:t>
                    </w:r>
                  </w:p>
                </w:tc>
                <w:tc>
                  <w:tcPr>
                    <w:tcW w:w="1417"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Baigtas mažiausiai 1 000 ilgalaikės priežiūros specialistų mokymas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417"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reformos komunikacijos strategija</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417" w:type="dxa"/>
                    <w:shd w:val="clear" w:color="auto" w:fill="FFFFFF" w:themeFill="background1"/>
                  </w:tcPr>
                  <w:p>
                    <w:pPr>
                      <w:spacing w:line="276" w:lineRule="auto"/>
                      <w:jc w:val="center"/>
                      <w:rPr>
                        <w:bCs/>
                        <w:sz w:val="20"/>
                      </w:rPr>
                    </w:pPr>
                    <w:r>
                      <w:rPr>
                        <w:sz w:val="20"/>
                      </w:rPr>
                      <w:t>VB</w:t>
                    </w:r>
                  </w:p>
                </w:tc>
              </w:tr>
              <w:tr>
                <w:trPr>
                  <w:trHeight w:val="330"/>
                </w:trPr>
                <w:tc>
                  <w:tcPr>
                    <w:tcW w:w="1418" w:type="dxa"/>
                    <w:shd w:val="clear" w:color="auto" w:fill="FFFFFF" w:themeFill="background1"/>
                  </w:tcPr>
                  <w:p>
                    <w:pPr>
                      <w:spacing w:line="276" w:lineRule="auto"/>
                      <w:rPr>
                        <w:sz w:val="20"/>
                      </w:rPr>
                    </w:pPr>
                    <w:r>
                      <w:rPr>
                        <w:sz w:val="20"/>
                      </w:rPr>
                      <w:t>P-11-002-02-11-01-72</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P-11-002-02-11-01-73</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reglamentuojantys, pavėžėjimo paslaugų teikimo ir organizavimo reikalavimus</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P-11-002-02-11-01-74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veiklose</w:t>
                    </w:r>
                  </w:p>
                </w:tc>
                <w:tc>
                  <w:tcPr>
                    <w:tcW w:w="1134" w:type="dxa"/>
                    <w:shd w:val="clear" w:color="auto" w:fill="FFFFFF" w:themeFill="background1"/>
                  </w:tcPr>
                  <w:p>
                    <w:pPr>
                      <w:spacing w:line="276" w:lineRule="auto"/>
                      <w:jc w:val="center"/>
                      <w:rPr>
                        <w:sz w:val="20"/>
                      </w:rPr>
                    </w:pPr>
                    <w:r>
                      <w:rPr>
                        <w:iCs/>
                        <w:sz w:val="20"/>
                      </w:rPr>
                      <w:t>Asmenys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18 000</w:t>
                    </w:r>
                  </w:p>
                </w:tc>
                <w:tc>
                  <w:tcPr>
                    <w:tcW w:w="1417"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418" w:type="dxa"/>
                    <w:shd w:val="clear" w:color="auto" w:fill="FFFFFF" w:themeFill="background1"/>
                  </w:tcPr>
                  <w:p>
                    <w:pPr>
                      <w:spacing w:line="276" w:lineRule="auto"/>
                      <w:rPr>
                        <w:sz w:val="20"/>
                      </w:rPr>
                    </w:pPr>
                    <w:r>
                      <w:rPr>
                        <w:sz w:val="20"/>
                      </w:rPr>
                      <w:t>P-11-002-02-11-01-75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 xml:space="preserve">Patvirtintas atnaujintas Šeimos medicinos plėtros 2016–2025 m. veiksmų planas </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ind w:firstLine="53"/>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P-11-002-02-11-01-77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 xml:space="preserve">n/d </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Patvirtintas 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P-11-002-02-11-01-80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2e6fe45b0484486aa4f0b6b9c2395e81"/>
            <w:lock w:val="sdtLocked"/>
            <w:richText/>
          </w:sdtPr>
          <w:sdtContent>
            <w:p>
              <w:pPr>
                <w:jc w:val="center"/>
                <w:rPr>
                  <w:b/>
                  <w:sz w:val="22"/>
                  <w:szCs w:val="22"/>
                </w:rPr>
              </w:pPr>
              <w:sdt>
                <w:sdtPr>
                  <w:alias w:val="Numeris"/>
                  <w:tag w:val="nr_2e6fe45b0484486aa4f0b6b9c2395e81"/>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2e6fe45b0484486aa4f0b6b9c2395e81"/>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Pr/>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98344aaf225b4db3ada54a019e0ea59c"/>
            <w:lock w:val="sdtLocked"/>
            <w:richText/>
          </w:sdtPr>
          <w:sdtContent>
            <w:p>
              <w:pPr>
                <w:ind w:left="-284"/>
                <w:jc w:val="center"/>
                <w:rPr>
                  <w:b/>
                  <w:bCs/>
                </w:rPr>
              </w:pPr>
              <w:sdt>
                <w:sdtPr>
                  <w:alias w:val="Numeris"/>
                  <w:tag w:val="nr_98344aaf225b4db3ada54a019e0ea59c"/>
                  <w:lock w:val="sdtLocked"/>
                  <w:richText/>
                </w:sdtPr>
                <w:sdtContent>
                  <w:r>
                    <w:rPr>
                      <w:b/>
                      <w:bCs/>
                    </w:rPr>
                    <w:t>III</w:t>
                  </w:r>
                </w:sdtContent>
              </w:sdt>
              <w:r>
                <w:rPr>
                  <w:b/>
                  <w:bCs/>
                </w:rPr>
                <w:t xml:space="preserve"> SKYRIUS</w:t>
              </w:r>
            </w:p>
            <w:p>
              <w:pPr>
                <w:jc w:val="center"/>
                <w:rPr>
                  <w:b/>
                  <w:bCs/>
                </w:rPr>
              </w:pPr>
              <w:sdt>
                <w:sdtPr>
                  <w:alias w:val="Pavadinimas"/>
                  <w:tag w:val="title_98344aaf225b4db3ada54a019e0ea59c"/>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1020"/>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10 540</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10 500</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vAlign w:val="center"/>
                  </w:tcPr>
                  <w:p>
                    <w:pPr>
                      <w:rPr>
                        <w:color w:val="000000"/>
                        <w:sz w:val="20"/>
                      </w:rPr>
                    </w:pPr>
                  </w:p>
                </w:tc>
              </w:tr>
              <w:tr>
                <w:trPr>
                  <w:trHeight w:val="128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6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lang w:val="en-US"/>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lang w:val="en-US"/>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 xml:space="preserve">Vidurio ir vakarų Lietuvos regionas </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(2024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1509"/>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tabs>
                        <w:tab w:val="left" w:pos="184"/>
                        <w:tab w:val="center" w:pos="317"/>
                      </w:tabs>
                      <w:ind w:left="-57" w:right="-57"/>
                      <w:jc w:val="center"/>
                      <w:rPr>
                        <w:sz w:val="20"/>
                        <w:lang w:val="en-US"/>
                      </w:rPr>
                    </w:pPr>
                    <w:r>
                      <w:rPr>
                        <w:sz w:val="20"/>
                      </w:rPr>
                      <w:t>6</w:t>
                    </w:r>
                  </w:p>
                  <w:p>
                    <w:pPr>
                      <w:ind w:left="-57" w:right="-57"/>
                      <w:jc w:val="center"/>
                      <w:rPr>
                        <w:sz w:val="20"/>
                      </w:rPr>
                    </w:pPr>
                    <w:r>
                      <w:rPr>
                        <w:sz w:val="20"/>
                      </w:rPr>
                      <w:t>(2029 m.)</w:t>
                    </w: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(V-572)</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(V-572)</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(V-572)</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V-572)</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(V-572)</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(V-572)</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(V-572)</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(V-572)</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(V-572)</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(V-572)</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transpor5 (V-572)</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(V-572)</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(V-572)</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(V-572)</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70.png"/>
  <Relationship Id="rId18" Type="http://schemas.openxmlformats.org/officeDocument/2006/relationships/oleObject" Target="embeddings/oleObject70.bin"/>
  <Relationship Id="rId19" Type="http://schemas.openxmlformats.org/officeDocument/2006/relationships/header" Target="header10.xml"/>
  <Relationship Id="rId2" Type="http://schemas.openxmlformats.org/officeDocument/2006/relationships/header" Target="header5.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c722329b89f244108695965e4cfd3b9d">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0474860178f4e4f9ced136949b89ae6">
    <Part Type="skyrius" Nr="1" Title="PLĖTROS PROGRAMOS PAŽANGOS PRIEMONĖS SIEKIAMI REZULTATAI" DocPartId="e80e9b157a5a4ed1972c3b4a13590405" PartId="c6e29fa4098441be9ec7d546552ad5c7"/>
    <Part Type="skyrius" Nr="2" Title="PLĖTROS PROGRAMOS PAŽANGOS PRIEMONĖS FINANSAVIMO ŠALTINIAI" DocPartId="fdb43120fd5945b0b28f372d3638606d" PartId="2e6fe45b0484486aa4f0b6b9c2395e81"/>
    <Part Type="skyrius" Nr="3" Title="PLĖTROS PROGRAMOS PAŽANGOS PRIEMONĖS VEIKLŲ SUVESTINĖ" DocPartId="1bddb33c08254707be163cb39811516b" PartId="98344aaf225b4db3ada54a019e0ea59c"/>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73E7D32-ADB0-4BFE-8EAE-177F6B3A0255}">
  <ds:schemaRefs>
    <ds:schemaRef ds:uri="http://lrs.lt/TAIS/DocParts"/>
  </ds:schemaRefs>
</ds:datastoreItem>
</file>

<file path=docProps/app.xml><?xml version="1.0" encoding="utf-8"?>
<Properties xmlns="http://schemas.openxmlformats.org/officeDocument/2006/extended-properties">
  <Template>Normal.dotm</Template>
  <TotalTime>25</TotalTime>
  <Pages>32</Pages>
  <Words>6822</Words>
  <Characters>43902</Characters>
  <Application>Microsoft Office Word</Application>
  <DocSecurity>0</DocSecurity>
  <Lines>365</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2024-05-22T08:50:00Z</dcterms:modified>
  <revision>44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