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fbe7822d34e747e2a3c85f1a862b5105"/>
        <w:lock w:val="sdtLocked"/>
        <w:richText/>
      </w:sdtPr>
      <w:sdtContent>
        <w:p>
          <w:pPr>
            <w:jc w:val="both"/>
            <w:rPr>
              <w:rFonts w:ascii="Times New Roman" w:hAnsi="Times New Roman"/>
            </w:rPr>
          </w:pPr>
          <w:r>
            <w:rPr>
              <w:rFonts w:ascii="Times New Roman" w:hAnsi="Times New Roman"/>
              <w:b/>
              <w:i/>
            </w:rPr>
            <w:t>Suvestinė redakcija nuo 2025-05-13 iki 2025-05-21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43.85pt" o:ole="" fillcolor="window">
                <v:imagedata r:id="rId12" o:title=""/>
              </v:shape>
              <o:OLEObject Type="Embed" ProgID="Word.Picture.8" ShapeID="_x0000_i1025" DrawAspect="Content" ObjectID="_0000000001" r:id="rId13"/>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b30ab63848c54765864e9b4d7813cc3a"/>
        <w:lock w:val="sdtLocked"/>
        <w:richText/>
      </w:sdtPr>
      <w:sdtContent>
        <w:p>
          <w:pPr>
            <w:ind w:left="6521"/>
            <w:sectPr>
              <w:headerReference w:type="even" r:id="rId14"/>
              <w:headerReference w:type="default" r:id="rId15"/>
              <w:footerReference w:type="even" r:id="rId16"/>
              <w:footerReference w:type="default" r:id="rId17"/>
              <w:headerReference w:type="first" r:id="rId18"/>
              <w:footerReference w:type="first" r:id="rId19"/>
              <w:pgSz w:w="11906" w:h="16838" w:code="9"/>
              <w:pgMar w:top="851" w:right="567" w:bottom="1134" w:left="992" w:header="567" w:footer="567" w:gutter="0"/>
              <w:pgNumType w:start="1"/>
              <w:cols w:space="1296"/>
              <w:titlePg/>
              <w:docGrid w:linePitch="360"/>
            </w:sectPr>
          </w:pPr>
        </w:p>
        <w:p>
          <w:pPr>
            <w:ind w:left="6521"/>
            <w:rPr>
              <w:sz w:val="22"/>
              <w:szCs w:val="22"/>
            </w:rPr>
          </w:pPr>
          <w:r>
            <w:rPr>
              <w:sz w:val="22"/>
              <w:szCs w:val="22"/>
            </w:rPr>
            <w:t>PATVIRTINTA</w:t>
          </w:r>
        </w:p>
        <w:p>
          <w:pPr>
            <w:ind w:left="6521"/>
            <w:rPr>
              <w:sz w:val="22"/>
              <w:szCs w:val="22"/>
            </w:rPr>
          </w:pPr>
          <w:r>
            <w:rPr>
              <w:sz w:val="22"/>
              <w:szCs w:val="22"/>
            </w:rPr>
            <w:t>Lietuvos Respublikos sveikatos apsaugos ministro 2022 m. gegužės 20 d. įsakymu</w:t>
          </w:r>
        </w:p>
        <w:p>
          <w:pPr>
            <w:ind w:left="6521"/>
            <w:rPr>
              <w:sz w:val="22"/>
              <w:szCs w:val="22"/>
            </w:rPr>
          </w:pPr>
          <w:r>
            <w:rPr>
              <w:sz w:val="22"/>
              <w:szCs w:val="22"/>
            </w:rPr>
            <w:t>Nr. V-988</w:t>
          </w:r>
        </w:p>
        <w:p>
          <w:pPr>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jc w:val="center"/>
            <w:rPr>
              <w:b/>
              <w:szCs w:val="24"/>
            </w:rPr>
          </w:pPr>
        </w:p>
        <w:p>
          <w:pPr>
            <w:jc w:val="center"/>
            <w:rPr>
              <w:b/>
              <w:sz w:val="22"/>
              <w:szCs w:val="22"/>
              <w:lang w:eastAsia="lt-LT"/>
            </w:rPr>
          </w:pPr>
          <w:sdt>
            <w:sdtPr>
              <w:alias w:val="Pavadinimas"/>
              <w:tag w:val="title_b30ab63848c54765864e9b4d7813cc3a"/>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jc w:val="center"/>
            <w:rPr>
              <w:b/>
              <w:sz w:val="22"/>
              <w:szCs w:val="22"/>
              <w:lang w:eastAsia="lt-LT"/>
            </w:rPr>
          </w:pPr>
        </w:p>
        <w:sdt>
          <w:sdtPr>
            <w:alias w:val="skyrius"/>
            <w:tag w:val="part_3cd88d542e3c4ac994befb62ec5e09b1"/>
            <w:lock w:val="sdtLocked"/>
            <w:richText/>
          </w:sdtPr>
          <w:sdtContent>
            <w:p>
              <w:pPr>
                <w:tabs>
                  <w:tab w:val="left" w:pos="1985"/>
                </w:tabs>
                <w:jc w:val="center"/>
                <w:rPr>
                  <w:b/>
                  <w:bCs/>
                  <w:sz w:val="22"/>
                  <w:szCs w:val="22"/>
                </w:rPr>
              </w:pPr>
              <w:sdt>
                <w:sdtPr>
                  <w:alias w:val="Numeris"/>
                  <w:tag w:val="nr_3cd88d542e3c4ac994befb62ec5e09b1"/>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3cd88d542e3c4ac994befb62ec5e09b1"/>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1079" w:type="dxa"/>
                    <w:shd w:val="clear" w:color="auto" w:fill="FFFFFF" w:themeFill="background1"/>
                  </w:tcPr>
                  <w:p>
                    <w:pPr>
                      <w:rPr>
                        <w:iCs/>
                        <w:sz w:val="20"/>
                      </w:rPr>
                    </w:pPr>
                    <w:r>
                      <w:rPr>
                        <w:iCs/>
                        <w:sz w:val="20"/>
                      </w:rPr>
                      <w:t xml:space="preserve">Rezultato </w:t>
                    </w:r>
                  </w:p>
                </w:tc>
                <w:tc>
                  <w:tcPr>
                    <w:tcW w:w="2541" w:type="dxa"/>
                    <w:shd w:val="clear" w:color="auto" w:fill="FFFFFF" w:themeFill="background1"/>
                  </w:tcPr>
                  <w:p>
                    <w:pPr>
                      <w:rPr>
                        <w:sz w:val="20"/>
                      </w:rPr>
                    </w:pPr>
                    <w:r>
                      <w:rPr>
                        <w:sz w:val="20"/>
                      </w:rPr>
                      <w:t xml:space="preserve">Šalies gyventojų, kuriems teikiamos su sveikata susijusios elektroninės paslaugos,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30</w:t>
                    </w:r>
                  </w:p>
                  <w:p>
                    <w:pPr>
                      <w:jc w:val="center"/>
                      <w:rPr>
                        <w:sz w:val="20"/>
                      </w:rPr>
                    </w:pPr>
                    <w:r>
                      <w:rPr>
                        <w:sz w:val="20"/>
                      </w:rPr>
                      <w:t>(2021 m.)</w:t>
                    </w:r>
                  </w:p>
                  <w:p>
                    <w:pPr>
                      <w:jc w:val="center"/>
                      <w:rPr>
                        <w:sz w:val="20"/>
                      </w:rPr>
                    </w:pPr>
                  </w:p>
                </w:tc>
                <w:tc>
                  <w:tcPr>
                    <w:tcW w:w="945" w:type="dxa"/>
                    <w:shd w:val="clear" w:color="auto" w:fill="FFFFFF" w:themeFill="background1"/>
                  </w:tcPr>
                  <w:p>
                    <w:pPr>
                      <w:jc w:val="center"/>
                      <w:rPr>
                        <w:sz w:val="20"/>
                      </w:rPr>
                    </w:pPr>
                    <w:r>
                      <w:rPr>
                        <w:sz w:val="20"/>
                      </w:rPr>
                      <w:t>60</w:t>
                    </w:r>
                  </w:p>
                  <w:p>
                    <w:pPr>
                      <w:jc w:val="center"/>
                      <w:rPr>
                        <w:sz w:val="20"/>
                      </w:rPr>
                    </w:pPr>
                    <w:r>
                      <w:rPr>
                        <w:sz w:val="20"/>
                      </w:rPr>
                      <w:t>(2025 m. IV ketv.)</w:t>
                    </w:r>
                  </w:p>
                  <w:p>
                    <w:pPr>
                      <w:jc w:val="center"/>
                      <w:rPr>
                        <w:sz w:val="20"/>
                      </w:rPr>
                    </w:pPr>
                  </w:p>
                </w:tc>
                <w:tc>
                  <w:tcPr>
                    <w:tcW w:w="1079" w:type="dxa"/>
                    <w:shd w:val="clear" w:color="auto" w:fill="FFFFFF" w:themeFill="background1"/>
                  </w:tcPr>
                  <w:p>
                    <w:pPr>
                      <w:jc w:val="center"/>
                      <w:rPr>
                        <w:sz w:val="20"/>
                      </w:rPr>
                    </w:pPr>
                    <w:r>
                      <w:rPr>
                        <w:sz w:val="20"/>
                      </w:rPr>
                      <w:t>98</w:t>
                    </w:r>
                  </w:p>
                  <w:p>
                    <w:pPr>
                      <w:jc w:val="center"/>
                      <w:rPr>
                        <w:sz w:val="20"/>
                      </w:rPr>
                    </w:pP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1 818 000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Ambulatorinių ir stacionarinių asmens sveikatos priežiūros įstaigų, naudojančių e. sveikatos produktus,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color w:val="FFFFFF"/>
                        <w:sz w:val="20"/>
                      </w:rPr>
                    </w:pPr>
                    <w:r>
                      <w:rPr>
                        <w:sz w:val="20"/>
                      </w:rPr>
                      <w:t>50 (2021 m.)</w:t>
                    </w:r>
                  </w:p>
                </w:tc>
                <w:tc>
                  <w:tcPr>
                    <w:tcW w:w="945" w:type="dxa"/>
                    <w:shd w:val="clear" w:color="auto" w:fill="FFFFFF" w:themeFill="background1"/>
                  </w:tcPr>
                  <w:p>
                    <w:pPr>
                      <w:jc w:val="center"/>
                      <w:rPr>
                        <w:sz w:val="20"/>
                      </w:rPr>
                    </w:pPr>
                    <w:r>
                      <w:rPr>
                        <w:sz w:val="20"/>
                      </w:rPr>
                      <w:t>60</w:t>
                    </w:r>
                  </w:p>
                  <w:p>
                    <w:pPr>
                      <w:jc w:val="center"/>
                      <w:rPr>
                        <w:sz w:val="20"/>
                      </w:rPr>
                    </w:pPr>
                    <w:r>
                      <w:rPr>
                        <w:sz w:val="20"/>
                      </w:rPr>
                      <w:t>(2023 m. IV ketv.)</w:t>
                    </w:r>
                  </w:p>
                  <w:p>
                    <w:pPr>
                      <w:jc w:val="center"/>
                      <w:rPr>
                        <w:sz w:val="20"/>
                      </w:rPr>
                    </w:pPr>
                    <w:r>
                      <w:rPr>
                        <w:sz w:val="20"/>
                      </w:rPr>
                      <w:t>70</w:t>
                    </w:r>
                  </w:p>
                  <w:p>
                    <w:pPr>
                      <w:jc w:val="center"/>
                      <w:rPr>
                        <w:color w:val="FFFFFF"/>
                        <w:sz w:val="20"/>
                      </w:rPr>
                    </w:pPr>
                    <w:r>
                      <w:rPr>
                        <w:sz w:val="20"/>
                      </w:rPr>
                      <w:t>(2025 m. IV ketv.)</w:t>
                    </w:r>
                  </w:p>
                </w:tc>
                <w:tc>
                  <w:tcPr>
                    <w:tcW w:w="1079" w:type="dxa"/>
                    <w:shd w:val="clear" w:color="auto" w:fill="FFFFFF" w:themeFill="background1"/>
                  </w:tcPr>
                  <w:p>
                    <w:pPr>
                      <w:jc w:val="center"/>
                      <w:rPr>
                        <w:color w:val="FFFFFF"/>
                        <w:sz w:val="20"/>
                      </w:rPr>
                    </w:pPr>
                    <w:r>
                      <w:rPr>
                        <w:sz w:val="20"/>
                      </w:rPr>
                      <w:t>98</w:t>
                    </w: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p>
                    <w:pPr>
                      <w:jc w:val="center"/>
                      <w:rPr>
                        <w:color w:val="FFFFFF"/>
                        <w:sz w:val="20"/>
                      </w:rPr>
                    </w:pPr>
                  </w:p>
                </w:tc>
                <w:tc>
                  <w:tcPr>
                    <w:tcW w:w="945" w:type="dxa"/>
                    <w:shd w:val="clear" w:color="auto" w:fill="FFFFFF" w:themeFill="background1"/>
                  </w:tcPr>
                  <w:p>
                    <w:pPr>
                      <w:jc w:val="center"/>
                      <w:rPr>
                        <w:sz w:val="20"/>
                      </w:rPr>
                    </w:pPr>
                    <w:r>
                      <w:rPr>
                        <w:sz w:val="20"/>
                      </w:rPr>
                      <w:t>426 000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2 138 000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sz w:val="20"/>
                      </w:rPr>
                      <w:t xml:space="preserve">Modernizuotų sveikatos priežiūros įstaigų, įskaitant infekcinių ligų klasterio kompetencijos </w:t>
                    </w:r>
                    <w:r>
                      <w:rPr>
                        <w:color w:val="000000"/>
                        <w:sz w:val="20"/>
                      </w:rPr>
                      <w:t xml:space="preserve">centrus,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 xml:space="preserve">Modernizuotos ligoninių skubiosios medicinos pagalbos ir reanimacijos bei intensyviosios terapijos skyrių sveikatos priežiūros infrastruktūros objektų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sz w:val="20"/>
                      </w:rPr>
                    </w:pPr>
                    <w:r>
                      <w:rPr>
                        <w:bCs/>
                        <w:sz w:val="20"/>
                      </w:rPr>
                      <w:t>AŠĮFP</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sdtContent>
        </w:sdt>
        <w:sdt>
          <w:sdtPr>
            <w:alias w:val="skyrius"/>
            <w:tag w:val="part_1106cf607dad4a3e9b69a66cb720f4d0"/>
            <w:lock w:val="sdtLocked"/>
            <w:richText/>
          </w:sdtPr>
          <w:sdtContent>
            <w:p>
              <w:pPr>
                <w:ind w:left="1080" w:hanging="360"/>
                <w:jc w:val="center"/>
                <w:rPr>
                  <w:b/>
                  <w:bCs/>
                  <w:color w:val="000000"/>
                  <w:szCs w:val="24"/>
                </w:rPr>
              </w:pPr>
              <w:sdt>
                <w:sdtPr>
                  <w:alias w:val="Numeris"/>
                  <w:tag w:val="nr_1106cf607dad4a3e9b69a66cb720f4d0"/>
                  <w:lock w:val="sdtLocked"/>
                  <w:richText/>
                </w:sdtPr>
                <w:sdtContent>
                  <w:r>
                    <w:rPr>
                      <w:b/>
                      <w:bCs/>
                      <w:color w:val="000000"/>
                      <w:szCs w:val="24"/>
                    </w:rPr>
                    <w:t>II</w:t>
                  </w:r>
                </w:sdtContent>
              </w:sdt>
              <w:r>
                <w:rPr>
                  <w:b/>
                  <w:bCs/>
                  <w:color w:val="000000"/>
                  <w:szCs w:val="24"/>
                </w:rPr>
                <w:t xml:space="preserve"> SKYRIUS</w:t>
              </w:r>
            </w:p>
            <w:p>
              <w:pPr>
                <w:ind w:left="1080" w:hanging="360"/>
                <w:jc w:val="center"/>
                <w:rPr>
                  <w:b/>
                  <w:bCs/>
                  <w:color w:val="000000"/>
                  <w:szCs w:val="24"/>
                </w:rPr>
              </w:pPr>
              <w:sdt>
                <w:sdtPr>
                  <w:alias w:val="Pavadinimas"/>
                  <w:tag w:val="title_1106cf607dad4a3e9b69a66cb720f4d0"/>
                  <w:lock w:val="sdtLocked"/>
                  <w:richText/>
                </w:sdtPr>
                <w:sdtContent>
                  <w:r>
                    <w:rPr>
                      <w:b/>
                      <w:bCs/>
                      <w:color w:val="000000"/>
                      <w:szCs w:val="24"/>
                    </w:rPr>
                    <w:t>PLĖTROS PROGRAMOS PAŽANGOS PRIEMONĖS FINANSAVIMO ŠALTINIAI</w:t>
                  </w:r>
                </w:sdtContent>
              </w:sdt>
            </w:p>
            <w:p>
              <w:pPr>
                <w:ind w:left="851"/>
                <w:jc w:val="center"/>
                <w:rPr>
                  <w:color w:val="000000"/>
                  <w:szCs w:val="24"/>
                </w:rPr>
              </w:pPr>
            </w:p>
            <w:tbl>
              <w:tblPr>
                <w:tblW w:w="10773" w:type="dxa"/>
                <w:tblLayout w:type="fixed"/>
                <w:tblCellMar>
                  <w:left w:w="30" w:type="dxa"/>
                  <w:right w:w="30" w:type="dxa"/>
                </w:tblCellMar>
                <w:tblLook w:val="04A0" w:firstRow="1" w:lastRow="0" w:firstColumn="1" w:lastColumn="0" w:noHBand="0" w:noVBand="1"/>
              </w:tblPr>
              <w:tblGrid>
                <w:gridCol w:w="7822"/>
                <w:gridCol w:w="2951"/>
              </w:tblGrid>
              <w:tr>
                <w:trPr>
                  <w:cantSplit/>
                  <w:trHeight w:val="557"/>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hideMark/>
                  </w:tcPr>
                  <w:p>
                    <w:pPr>
                      <w:jc w:val="center"/>
                      <w:rPr>
                        <w:b/>
                        <w:sz w:val="20"/>
                      </w:rPr>
                    </w:pPr>
                    <w:r>
                      <w:rPr>
                        <w:b/>
                        <w:sz w:val="20"/>
                      </w:rPr>
                      <w:t>Finansavimo apimtis ir šaltiniai</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15" w:hanging="15"/>
                      <w:jc w:val="center"/>
                      <w:rPr>
                        <w:b/>
                        <w:sz w:val="20"/>
                      </w:rPr>
                    </w:pPr>
                    <w:r>
                      <w:rPr>
                        <w:b/>
                        <w:sz w:val="20"/>
                      </w:rPr>
                      <w:t>Lėšų poreikis (tūkst. eurų)</w:t>
                    </w:r>
                  </w:p>
                </w:tc>
              </w:tr>
              <w:tr>
                <w:trPr>
                  <w:cantSplit/>
                  <w:trHeight w:val="272"/>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jc w:val="center"/>
                      <w:rPr>
                        <w:b/>
                        <w:sz w:val="20"/>
                      </w:rPr>
                    </w:pPr>
                    <w:r>
                      <w:rPr>
                        <w:b/>
                        <w:sz w:val="20"/>
                      </w:rPr>
                      <w:t>1</w:t>
                    </w:r>
                  </w:p>
                </w:tc>
                <w:tc>
                  <w:tcPr>
                    <w:tcW w:w="2835" w:type="dxa"/>
                    <w:tcBorders>
                      <w:top w:val="single" w:sz="4" w:space="0" w:color="auto"/>
                      <w:left w:val="single" w:sz="4" w:space="0" w:color="auto"/>
                      <w:right w:val="single" w:sz="4" w:space="0" w:color="auto"/>
                    </w:tcBorders>
                    <w:shd w:val="clear" w:color="auto" w:fill="D9E2F3"/>
                  </w:tcPr>
                  <w:p>
                    <w:pPr>
                      <w:ind w:left="15" w:hanging="15"/>
                      <w:jc w:val="center"/>
                      <w:rPr>
                        <w:b/>
                        <w:sz w:val="20"/>
                      </w:rPr>
                    </w:pPr>
                    <w:r>
                      <w:rPr>
                        <w:b/>
                        <w:sz w:val="20"/>
                      </w:rPr>
                      <w:t>2</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r>
                      <w:rPr>
                        <w:b/>
                        <w:sz w:val="20"/>
                      </w:rPr>
                      <w:t>111 199,719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1.1.1.1.1. Valstybės biudžeto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54 919,719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1.1.1.1.2. Valstybės biudžeto lėšos, skirtos apmokėti bendrai finansuojamų iš ES fondų lėšų projektų netinkamam finansuoti iš ES fondų lėšų pirkimo ir (arba) importo PVM</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56 280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1.2. Europos Sąjungos ir kitos tarptautinės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 xml:space="preserve">85 781,753 </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Cs/>
                        <w:sz w:val="20"/>
                      </w:rPr>
                    </w:pPr>
                    <w:r>
                      <w:rPr>
                        <w:bCs/>
                        <w:sz w:val="20"/>
                      </w:rPr>
                      <w:t>1.2.2.8.1. 2021–2027 m. ES struktūrinių fondų bendrojo finansavimo lėšos, Sostinės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1.2.2.8.1. 2021–2027 m. ES struktūrinių fondų bendrojo finansavimo lėšos, Vidurio ir vakarų Lietuvos regionas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47 677,773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1.2.3.1.68. Antrojo Šveicarijos įnašo finansinės paramos bendrojo finansavimo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5 132,947</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1.3. Europos Sąjungos ir kita tarptautinė finansinė parama</w:t>
                    </w:r>
                  </w:p>
                </w:tc>
                <w:tc>
                  <w:tcPr>
                    <w:tcW w:w="2835" w:type="dxa"/>
                    <w:tcBorders>
                      <w:top w:val="single" w:sz="4" w:space="0" w:color="auto"/>
                      <w:left w:val="single" w:sz="4" w:space="0" w:color="auto"/>
                      <w:bottom w:val="single" w:sz="4" w:space="0" w:color="auto"/>
                      <w:right w:val="single" w:sz="4" w:space="0" w:color="auto"/>
                    </w:tcBorders>
                  </w:tcPr>
                  <w:p>
                    <w:pPr>
                      <w:jc w:val="center"/>
                      <w:rPr>
                        <w:b/>
                        <w:bCs/>
                        <w:sz w:val="20"/>
                      </w:rPr>
                    </w:pPr>
                    <w:r>
                      <w:rPr>
                        <w:b/>
                        <w:bCs/>
                        <w:sz w:val="20"/>
                      </w:rPr>
                      <w:t>600 231,779</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Vidurio ir vakarų Lietuvos regionas (Europos socialinis fondas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88 047,443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sz w:val="20"/>
                      </w:rPr>
                      <w:t>1.3.2.8.1. 2021–2027 m. ES struktūrinių fondų lėšos,</w:t>
                    </w:r>
                    <w:r>
                      <w:t xml:space="preserve"> </w:t>
                    </w:r>
                    <w:r>
                      <w:rPr>
                        <w:sz w:val="20"/>
                      </w:rPr>
                      <w:t>Sostinės regionas (Europos regioninės plėtros fondas)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32 971,033</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1.3.2.8.1. 2021–2027 m. ES struktūrinių fondų lėšos,</w:t>
                    </w:r>
                    <w:r>
                      <w:t xml:space="preserve"> </w:t>
                    </w:r>
                    <w:r>
                      <w:rPr>
                        <w:sz w:val="20"/>
                      </w:rPr>
                      <w:t>Vidurio ir vakarų Lietuvos regionas (Europos regioninės plėtros fondas)</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182 126,604</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 xml:space="preserve">1.3.3.1.57. Ekonomikos gaivinimo ir atsparumo didinimo priemonės lėšos </w:t>
                    </w:r>
                  </w:p>
                </w:tc>
                <w:tc>
                  <w:tcPr>
                    <w:tcW w:w="2835" w:type="dxa"/>
                    <w:tcBorders>
                      <w:top w:val="single" w:sz="4" w:space="0" w:color="auto"/>
                      <w:left w:val="single" w:sz="4" w:space="0" w:color="auto"/>
                      <w:bottom w:val="single" w:sz="4" w:space="0" w:color="auto"/>
                      <w:right w:val="single" w:sz="4" w:space="0" w:color="auto"/>
                    </w:tcBorders>
                  </w:tcPr>
                  <w:p>
                    <w:pPr>
                      <w:jc w:val="center"/>
                      <w:rPr>
                        <w:bCs/>
                        <w:sz w:val="20"/>
                      </w:rPr>
                    </w:pPr>
                    <w:r>
                      <w:rPr>
                        <w:bCs/>
                        <w:sz w:val="20"/>
                      </w:rPr>
                      <w:t>268 000</w:t>
                    </w: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1.3.3.1.68. Antrojo Šveicarijos įnašo finansinės paramos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r>
                      <w:rPr>
                        <w:sz w:val="20"/>
                      </w:rPr>
                      <w:t>29 086,699</w:t>
                    </w:r>
                  </w:p>
                </w:tc>
              </w:tr>
              <w:tr>
                <w:trPr>
                  <w:cantSplit/>
                  <w:trHeight w:val="228"/>
                </w:trPr>
                <w:tc>
                  <w:tcPr>
                    <w:tcW w:w="7513" w:type="dxa"/>
                    <w:tcBorders>
                      <w:top w:val="single" w:sz="4" w:space="0" w:color="auto"/>
                      <w:left w:val="single" w:sz="4" w:space="0" w:color="auto"/>
                      <w:bottom w:val="single" w:sz="4" w:space="0" w:color="auto"/>
                      <w:right w:val="single" w:sz="4" w:space="0" w:color="auto"/>
                    </w:tcBorders>
                    <w:vAlign w:val="center"/>
                  </w:tcPr>
                  <w:p>
                    <w:pPr>
                      <w:spacing w:line="276" w:lineRule="auto"/>
                      <w:ind w:left="1276" w:hanging="1276"/>
                      <w:jc w:val="both"/>
                      <w:rPr>
                        <w:b/>
                        <w:i/>
                        <w:iCs/>
                        <w:sz w:val="20"/>
                      </w:rPr>
                    </w:pPr>
                    <w:r>
                      <w:rPr>
                        <w:b/>
                        <w:sz w:val="20"/>
                      </w:rPr>
                      <w:t>1.4.</w:t>
                    </w:r>
                    <w:r>
                      <w:rPr>
                        <w:b/>
                        <w:i/>
                        <w:iCs/>
                        <w:sz w:val="20"/>
                      </w:rPr>
                      <w:t xml:space="preserve"> </w:t>
                    </w:r>
                    <w:r>
                      <w:rPr>
                        <w:b/>
                        <w:sz w:val="20"/>
                      </w:rPr>
                      <w:t>Biudžetinių įstaigų pajamų įmokos ir kitos pajamos</w:t>
                    </w:r>
                    <w:r>
                      <w:rPr>
                        <w:b/>
                        <w:i/>
                        <w:iCs/>
                        <w:sz w:val="20"/>
                      </w:rPr>
                      <w:t xml:space="preserve"> </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b/>
                        <w:sz w:val="20"/>
                      </w:rPr>
                    </w:pPr>
                    <w:r>
                      <w:rPr>
                        <w:b/>
                        <w:sz w:val="20"/>
                      </w:rPr>
                      <w:t>2. Kitos lėšos</w:t>
                    </w:r>
                  </w:p>
                </w:tc>
                <w:tc>
                  <w:tcPr>
                    <w:tcW w:w="2835" w:type="dxa"/>
                    <w:tcBorders>
                      <w:top w:val="single" w:sz="4" w:space="0" w:color="auto"/>
                      <w:left w:val="single" w:sz="4" w:space="0" w:color="auto"/>
                      <w:bottom w:val="single" w:sz="4" w:space="0" w:color="auto"/>
                      <w:right w:val="single" w:sz="4" w:space="0" w:color="auto"/>
                    </w:tcBorders>
                  </w:tcPr>
                  <w:p>
                    <w:pPr>
                      <w:jc w:val="center"/>
                      <w:rPr>
                        <w:b/>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2.1.Savivaldybių biudžetų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2.2. Privačios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2.3. Kitos viešosios lėšos</w:t>
                    </w:r>
                  </w:p>
                </w:tc>
                <w:tc>
                  <w:tcPr>
                    <w:tcW w:w="2835" w:type="dxa"/>
                    <w:tcBorders>
                      <w:top w:val="single" w:sz="4" w:space="0" w:color="auto"/>
                      <w:left w:val="single" w:sz="4" w:space="0" w:color="auto"/>
                      <w:bottom w:val="single" w:sz="4" w:space="0" w:color="auto"/>
                      <w:right w:val="single" w:sz="4" w:space="0" w:color="auto"/>
                    </w:tcBorders>
                  </w:tcPr>
                  <w:p>
                    <w:pPr>
                      <w:jc w:val="center"/>
                      <w:rPr>
                        <w:sz w:val="20"/>
                      </w:rPr>
                    </w:pPr>
                  </w:p>
                </w:tc>
              </w:tr>
              <w:tr>
                <w:trPr>
                  <w:cantSplit/>
                  <w:trHeight w:val="16"/>
                </w:trPr>
                <w:tc>
                  <w:tcPr>
                    <w:tcW w:w="7513" w:type="dxa"/>
                    <w:tcBorders>
                      <w:top w:val="single" w:sz="4" w:space="0" w:color="auto"/>
                      <w:left w:val="single" w:sz="4" w:space="0" w:color="auto"/>
                      <w:bottom w:val="single" w:sz="4" w:space="0" w:color="auto"/>
                      <w:right w:val="single" w:sz="4" w:space="0" w:color="auto"/>
                    </w:tcBorders>
                    <w:shd w:val="clear" w:color="auto" w:fill="D9E2F3"/>
                    <w:vAlign w:val="center"/>
                  </w:tcPr>
                  <w:p>
                    <w:pPr>
                      <w:rPr>
                        <w:b/>
                        <w:sz w:val="20"/>
                      </w:rPr>
                    </w:pPr>
                    <w:r>
                      <w:rPr>
                        <w:b/>
                        <w:sz w:val="20"/>
                      </w:rPr>
                      <w:t>IŠ VISO:</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pPr>
                      <w:ind w:left="720" w:hanging="360"/>
                      <w:jc w:val="center"/>
                      <w:rPr>
                        <w:b/>
                        <w:sz w:val="20"/>
                        <w:lang w:val="en-US"/>
                      </w:rPr>
                    </w:pPr>
                    <w:r>
                      <w:rPr>
                        <w:b/>
                        <w:sz w:val="20"/>
                        <w:lang w:val="en-US"/>
                      </w:rPr>
                      <w:t>797</w:t>
                      <w:tab/>
                    </w:r>
                    <w:r>
                      <w:rPr>
                        <w:b/>
                        <w:sz w:val="20"/>
                      </w:rPr>
                      <w:t>213,251“</w:t>
                    </w:r>
                  </w:p>
                </w:tc>
              </w:tr>
            </w:tbl>
            <w:p>
              <w:pPr>
                <w:tabs>
                  <w:tab w:val="left" w:pos="1134"/>
                </w:tabs>
                <w:ind w:left="851"/>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sdtContent>
        </w:sdt>
        <w:sdt>
          <w:sdtPr>
            <w:alias w:val="skyrius"/>
            <w:tag w:val="part_88926ed82c0f4680bef77166df1dc7c9"/>
            <w:lock w:val="sdtLocked"/>
            <w:richText/>
          </w:sdtPr>
          <w:sdtContent>
            <w:p>
              <w:pPr>
                <w:ind w:left="-284"/>
                <w:jc w:val="center"/>
                <w:sectPr>
                  <w:headerReference w:type="even" r:id="rId20"/>
                  <w:headerReference w:type="default" r:id="rId21"/>
                  <w:footerReference w:type="even" r:id="rId22"/>
                  <w:footerReference w:type="default" r:id="rId23"/>
                  <w:headerReference w:type="first" r:id="rId24"/>
                  <w:footerReference w:type="first" r:id="rId25"/>
                  <w:pgSz w:w="11906" w:h="16838" w:code="9"/>
                  <w:pgMar w:top="1701" w:right="567" w:bottom="1134" w:left="709" w:header="1134" w:footer="1134" w:gutter="0"/>
                  <w:cols w:space="1296"/>
                  <w:titlePg/>
                  <w:docGrid w:linePitch="326"/>
                </w:sectPr>
              </w:pPr>
            </w:p>
            <w:p>
              <w:pPr>
                <w:ind w:left="-284"/>
                <w:jc w:val="center"/>
                <w:rPr>
                  <w:b/>
                  <w:bCs/>
                </w:rPr>
              </w:pPr>
              <w:sdt>
                <w:sdtPr>
                  <w:alias w:val="Numeris"/>
                  <w:tag w:val="nr_88926ed82c0f4680bef77166df1dc7c9"/>
                  <w:lock w:val="sdtLocked"/>
                  <w:richText/>
                </w:sdtPr>
                <w:sdtContent>
                  <w:r>
                    <w:rPr>
                      <w:b/>
                      <w:bCs/>
                    </w:rPr>
                    <w:t>III</w:t>
                  </w:r>
                </w:sdtContent>
              </w:sdt>
              <w:r>
                <w:rPr>
                  <w:b/>
                  <w:bCs/>
                </w:rPr>
                <w:t xml:space="preserve"> SKYRIUS</w:t>
              </w:r>
            </w:p>
            <w:p>
              <w:pPr>
                <w:jc w:val="center"/>
                <w:rPr>
                  <w:b/>
                  <w:bCs/>
                </w:rPr>
              </w:pPr>
              <w:sdt>
                <w:sdtPr>
                  <w:alias w:val="Pavadinimas"/>
                  <w:tag w:val="title_88926ed82c0f4680bef77166df1dc7c9"/>
                  <w:lock w:val="sdtLocked"/>
                  <w:richText/>
                </w:sdtPr>
                <w:sdtContent>
                  <w:r>
                    <w:rPr>
                      <w:b/>
                      <w:bCs/>
                    </w:rPr>
                    <w:t>PLĖTROS PROGRAMOS PAŽANGOS PRIEMONĖS VEIKLŲ SUVESTINĖ</w:t>
                  </w:r>
                </w:sdtContent>
              </w:sdt>
            </w:p>
            <w:p>
              <w:pPr>
                <w:jc w:val="center"/>
                <w:rPr>
                  <w:b/>
                  <w:bCs/>
                </w:rPr>
              </w:pP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1559"/>
                <w:gridCol w:w="709"/>
                <w:gridCol w:w="992"/>
                <w:gridCol w:w="709"/>
                <w:gridCol w:w="1276"/>
                <w:gridCol w:w="992"/>
                <w:gridCol w:w="2551"/>
                <w:gridCol w:w="851"/>
                <w:gridCol w:w="992"/>
                <w:gridCol w:w="1276"/>
              </w:tblGrid>
              <w:tr>
                <w:trPr>
                  <w:trHeight w:val="1425"/>
                </w:trPr>
                <w:tc>
                  <w:tcPr>
                    <w:tcW w:w="2410"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70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55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70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70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27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551"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851"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410"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551"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851"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410"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55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551"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410"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55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551"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851"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410" w:type="dxa"/>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55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551" w:type="dxa"/>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851"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410"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70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55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0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551"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851"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410" w:type="dxa"/>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559"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992"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410" w:type="dxa"/>
                    <w:vMerge/>
                    <w:tcBorders>
                      <w:left w:val="single" w:sz="4" w:space="0" w:color="auto"/>
                      <w:bottom w:val="single" w:sz="4" w:space="0" w:color="auto"/>
                      <w:right w:val="single" w:sz="4" w:space="0" w:color="auto"/>
                    </w:tcBorders>
                  </w:tcPr>
                  <w:p>
                    <w:pPr>
                      <w:ind w:left="-57" w:right="-57"/>
                      <w:rPr>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1559" w:type="dxa"/>
                    <w:vMerge/>
                    <w:tcBorders>
                      <w:left w:val="single" w:sz="4" w:space="0" w:color="auto"/>
                      <w:bottom w:val="single" w:sz="4" w:space="0" w:color="auto"/>
                      <w:right w:val="single" w:sz="4" w:space="0" w:color="auto"/>
                    </w:tcBorders>
                  </w:tcPr>
                  <w:p>
                    <w:pPr>
                      <w:ind w:left="-57" w:right="-57"/>
                      <w:jc w:val="center"/>
                      <w:rPr>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410" w:type="dxa"/>
                    <w:vMerge/>
                    <w:tcBorders>
                      <w:left w:val="single" w:sz="4" w:space="0" w:color="auto"/>
                      <w:right w:val="single" w:sz="4" w:space="0" w:color="auto"/>
                    </w:tcBorders>
                    <w:shd w:val="clear" w:color="auto" w:fill="FFFFFF" w:themeFill="background1"/>
                  </w:tcPr>
                  <w:p>
                    <w:pPr>
                      <w:ind w:left="-57" w:right="-57"/>
                      <w:rPr>
                        <w:iCs/>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55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551"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851" w:type="dxa"/>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410" w:type="dxa"/>
                    <w:vMerge/>
                    <w:tcBorders>
                      <w:left w:val="single" w:sz="4" w:space="0" w:color="auto"/>
                      <w:right w:val="single" w:sz="4" w:space="0" w:color="auto"/>
                    </w:tcBorders>
                    <w:shd w:val="clear" w:color="auto" w:fill="FFFFFF" w:themeFill="background1"/>
                  </w:tcPr>
                  <w:p>
                    <w:pPr>
                      <w:ind w:left="-57" w:right="-57"/>
                      <w:rPr>
                        <w:iCs/>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55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551" w:type="dxa"/>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851" w:type="dxa"/>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410" w:type="dxa"/>
                    <w:vMerge/>
                    <w:tcBorders>
                      <w:left w:val="single" w:sz="4" w:space="0" w:color="auto"/>
                      <w:right w:val="single" w:sz="4" w:space="0" w:color="auto"/>
                    </w:tcBorders>
                    <w:shd w:val="clear" w:color="auto" w:fill="FFFFFF" w:themeFill="background1"/>
                  </w:tcPr>
                  <w:p>
                    <w:pPr>
                      <w:ind w:left="-57" w:right="-57"/>
                      <w:rPr>
                        <w:iCs/>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55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70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551" w:type="dxa"/>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851" w:type="dxa"/>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6"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410" w:type="dxa"/>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559"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276" w:type="dxa"/>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992"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551"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851" w:type="dxa"/>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410" w:type="dxa"/>
                    <w:vMerge/>
                    <w:tcBorders>
                      <w:left w:val="single" w:sz="4" w:space="0" w:color="auto"/>
                      <w:bottom w:val="single" w:sz="4" w:space="0" w:color="auto"/>
                      <w:right w:val="single" w:sz="4" w:space="0" w:color="auto"/>
                    </w:tcBorders>
                  </w:tcPr>
                  <w:p>
                    <w:pPr>
                      <w:ind w:left="-57" w:right="-57"/>
                      <w:rPr>
                        <w:iCs/>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1559"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709"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jc w:val="center"/>
                      <w:rPr>
                        <w:color w:val="000000"/>
                        <w:sz w:val="20"/>
                      </w:rPr>
                    </w:pPr>
                  </w:p>
                </w:tc>
                <w:tc>
                  <w:tcPr>
                    <w:tcW w:w="992" w:type="dxa"/>
                    <w:vMerge/>
                    <w:tcBorders>
                      <w:left w:val="single" w:sz="4" w:space="0" w:color="auto"/>
                      <w:bottom w:val="single" w:sz="4" w:space="0" w:color="auto"/>
                      <w:right w:val="single" w:sz="4" w:space="0" w:color="auto"/>
                    </w:tcBorders>
                  </w:tcPr>
                  <w:p>
                    <w:pPr>
                      <w:jc w:val="center"/>
                      <w:rPr>
                        <w:color w:val="000000"/>
                        <w:sz w:val="20"/>
                      </w:rPr>
                    </w:pPr>
                  </w:p>
                </w:tc>
                <w:tc>
                  <w:tcPr>
                    <w:tcW w:w="2551" w:type="dxa"/>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851" w:type="dxa"/>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6"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410" w:type="dxa"/>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559"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992"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276" w:type="dxa"/>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992"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551"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851"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6"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410" w:type="dxa"/>
                    <w:vMerge/>
                    <w:tcBorders>
                      <w:left w:val="single" w:sz="4" w:space="0" w:color="auto"/>
                      <w:right w:val="single" w:sz="4" w:space="0" w:color="auto"/>
                    </w:tcBorders>
                  </w:tcPr>
                  <w:p>
                    <w:pPr>
                      <w:ind w:left="-57" w:right="-57"/>
                      <w:rPr>
                        <w:iCs/>
                        <w:sz w:val="20"/>
                      </w:rPr>
                    </w:pPr>
                  </w:p>
                </w:tc>
                <w:tc>
                  <w:tcPr>
                    <w:tcW w:w="709" w:type="dxa"/>
                    <w:vMerge/>
                    <w:tcBorders>
                      <w:left w:val="single" w:sz="4" w:space="0" w:color="auto"/>
                      <w:right w:val="single" w:sz="4" w:space="0" w:color="auto"/>
                    </w:tcBorders>
                  </w:tcPr>
                  <w:p>
                    <w:pPr>
                      <w:ind w:left="-57" w:right="-57"/>
                      <w:jc w:val="center"/>
                      <w:rPr>
                        <w:color w:val="000000"/>
                        <w:sz w:val="20"/>
                      </w:rPr>
                    </w:pPr>
                  </w:p>
                </w:tc>
                <w:tc>
                  <w:tcPr>
                    <w:tcW w:w="1559" w:type="dxa"/>
                    <w:vMerge/>
                    <w:tcBorders>
                      <w:left w:val="single" w:sz="4" w:space="0" w:color="auto"/>
                      <w:right w:val="single" w:sz="4" w:space="0" w:color="auto"/>
                    </w:tcBorders>
                  </w:tcPr>
                  <w:p>
                    <w:pPr>
                      <w:ind w:left="-57" w:right="-57"/>
                      <w:jc w:val="center"/>
                      <w:rPr>
                        <w:color w:val="FF0000"/>
                        <w:sz w:val="20"/>
                      </w:rPr>
                    </w:pPr>
                  </w:p>
                </w:tc>
                <w:tc>
                  <w:tcPr>
                    <w:tcW w:w="709" w:type="dxa"/>
                    <w:vMerge/>
                    <w:tcBorders>
                      <w:left w:val="single" w:sz="4" w:space="0" w:color="auto"/>
                      <w:right w:val="single" w:sz="4" w:space="0" w:color="auto"/>
                    </w:tcBorders>
                  </w:tcPr>
                  <w:p>
                    <w:pPr>
                      <w:ind w:left="-57" w:right="-57"/>
                      <w:jc w:val="center"/>
                      <w:rPr>
                        <w:color w:val="000000"/>
                        <w:sz w:val="20"/>
                      </w:rPr>
                    </w:pPr>
                  </w:p>
                </w:tc>
                <w:tc>
                  <w:tcPr>
                    <w:tcW w:w="992" w:type="dxa"/>
                    <w:vMerge/>
                    <w:tcBorders>
                      <w:left w:val="single" w:sz="4" w:space="0" w:color="auto"/>
                      <w:right w:val="single" w:sz="4" w:space="0" w:color="auto"/>
                    </w:tcBorders>
                  </w:tcPr>
                  <w:p>
                    <w:pPr>
                      <w:ind w:left="-57" w:right="-57"/>
                      <w:jc w:val="center"/>
                      <w:rPr>
                        <w:color w:val="000000"/>
                        <w:sz w:val="20"/>
                      </w:rPr>
                    </w:pPr>
                  </w:p>
                </w:tc>
                <w:tc>
                  <w:tcPr>
                    <w:tcW w:w="709" w:type="dxa"/>
                    <w:vMerge/>
                    <w:tcBorders>
                      <w:left w:val="single" w:sz="4" w:space="0" w:color="auto"/>
                      <w:right w:val="single" w:sz="4" w:space="0" w:color="auto"/>
                    </w:tcBorders>
                  </w:tcPr>
                  <w:p>
                    <w:pPr>
                      <w:ind w:left="-57" w:right="-57"/>
                      <w:jc w:val="center"/>
                      <w:rPr>
                        <w:color w:val="000000"/>
                        <w:sz w:val="20"/>
                      </w:rPr>
                    </w:pPr>
                  </w:p>
                </w:tc>
                <w:tc>
                  <w:tcPr>
                    <w:tcW w:w="1276" w:type="dxa"/>
                    <w:tcBorders>
                      <w:left w:val="single" w:sz="4" w:space="0" w:color="auto"/>
                      <w:right w:val="single" w:sz="4" w:space="0" w:color="auto"/>
                    </w:tcBorders>
                  </w:tcPr>
                  <w:p>
                    <w:pPr>
                      <w:ind w:left="-57" w:right="-57"/>
                      <w:jc w:val="center"/>
                      <w:rPr>
                        <w:sz w:val="20"/>
                      </w:rPr>
                    </w:pPr>
                    <w:r>
                      <w:rPr>
                        <w:sz w:val="20"/>
                      </w:rPr>
                      <w:t>740</w:t>
                    </w:r>
                  </w:p>
                </w:tc>
                <w:tc>
                  <w:tcPr>
                    <w:tcW w:w="992"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551" w:type="dxa"/>
                    <w:vMerge/>
                    <w:tcBorders>
                      <w:left w:val="single" w:sz="4" w:space="0" w:color="auto"/>
                      <w:right w:val="single" w:sz="4" w:space="0" w:color="auto"/>
                    </w:tcBorders>
                    <w:shd w:val="clear" w:color="auto" w:fill="auto"/>
                  </w:tcPr>
                  <w:p>
                    <w:pPr>
                      <w:ind w:left="-57" w:right="-57"/>
                      <w:rPr>
                        <w:sz w:val="20"/>
                      </w:rPr>
                    </w:pPr>
                  </w:p>
                </w:tc>
                <w:tc>
                  <w:tcPr>
                    <w:tcW w:w="851" w:type="dxa"/>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410" w:type="dxa"/>
                    <w:vMerge/>
                    <w:tcBorders>
                      <w:left w:val="single" w:sz="4" w:space="0" w:color="auto"/>
                      <w:bottom w:val="single" w:sz="4" w:space="0" w:color="auto"/>
                      <w:right w:val="single" w:sz="4" w:space="0" w:color="auto"/>
                    </w:tcBorders>
                  </w:tcPr>
                  <w:p>
                    <w:pPr>
                      <w:ind w:left="-57" w:right="-57"/>
                      <w:rPr>
                        <w:iCs/>
                        <w:sz w:val="20"/>
                      </w:rPr>
                    </w:pPr>
                  </w:p>
                </w:tc>
                <w:tc>
                  <w:tcPr>
                    <w:tcW w:w="70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559"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70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70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276" w:type="dxa"/>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551" w:type="dxa"/>
                    <w:vMerge/>
                    <w:tcBorders>
                      <w:left w:val="single" w:sz="4" w:space="0" w:color="auto"/>
                      <w:bottom w:val="single" w:sz="4" w:space="0" w:color="auto"/>
                      <w:right w:val="single" w:sz="4" w:space="0" w:color="auto"/>
                    </w:tcBorders>
                    <w:shd w:val="clear" w:color="auto" w:fill="auto"/>
                  </w:tcPr>
                  <w:p>
                    <w:pPr>
                      <w:ind w:left="-57" w:right="-57"/>
                      <w:rPr>
                        <w:sz w:val="20"/>
                      </w:rPr>
                    </w:pPr>
                  </w:p>
                </w:tc>
                <w:tc>
                  <w:tcPr>
                    <w:tcW w:w="851" w:type="dxa"/>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6"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410"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pPr>
                      <w:jc w:val="center"/>
                      <w:rPr>
                        <w:b/>
                        <w:bCs/>
                        <w:color w:val="000000"/>
                        <w:sz w:val="20"/>
                      </w:rPr>
                    </w:pPr>
                    <w:r>
                      <w:rPr>
                        <w:b/>
                        <w:bCs/>
                        <w:color w:val="000000"/>
                        <w:sz w:val="20"/>
                      </w:rPr>
                      <w:t>2. Pasirengimo grėsmėms stiprinimas</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w:t>
                    </w:r>
                  </w:p>
                </w:tc>
                <w:tc>
                  <w:tcPr>
                    <w:tcW w:w="1559"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b/>
                        <w:bCs/>
                        <w:color w:val="000000"/>
                        <w:sz w:val="20"/>
                      </w:rPr>
                    </w:pPr>
                    <w:r>
                      <w:rPr>
                        <w:b/>
                        <w:bCs/>
                        <w:color w:val="000000"/>
                        <w:sz w:val="20"/>
                      </w:rPr>
                      <w:t>253 823,507</w:t>
                    </w:r>
                  </w:p>
                  <w:p>
                    <w:pPr>
                      <w:rPr>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sz w:val="20"/>
                      </w:rPr>
                    </w:pPr>
                    <w:r>
                      <w:rPr>
                        <w:sz w:val="20"/>
                      </w:rPr>
                      <w:t>-</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r>
                      <w:rPr>
                        <w:color w:val="000000"/>
                        <w:sz w:val="20"/>
                      </w:rPr>
                      <w:t>R – Mirštamumas nuo miokardo infarkto per 30 dienų nuo hospitalizacijos,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r>
                      <w:rPr>
                        <w:color w:val="000000"/>
                        <w:sz w:val="20"/>
                      </w:rPr>
                      <w:t>9</w:t>
                    </w:r>
                  </w:p>
                  <w:p>
                    <w:pPr>
                      <w:ind w:left="-57" w:right="-57"/>
                      <w:jc w:val="center"/>
                      <w:rPr>
                        <w:color w:val="000000"/>
                        <w:sz w:val="20"/>
                      </w:rPr>
                    </w:pPr>
                    <w:r>
                      <w:rPr>
                        <w:color w:val="000000"/>
                        <w:sz w:val="20"/>
                      </w:rPr>
                      <w:t>(2030 m.)</w:t>
                    </w:r>
                  </w:p>
                  <w:p>
                    <w:pPr>
                      <w:ind w:left="-57" w:right="-57"/>
                      <w:jc w:val="center"/>
                      <w:rPr>
                        <w:color w:val="000000"/>
                        <w:sz w:val="20"/>
                      </w:rPr>
                    </w:pPr>
                  </w:p>
                  <w:p>
                    <w:pPr>
                      <w:ind w:left="-57" w:right="-57"/>
                      <w:jc w:val="center"/>
                      <w:rPr>
                        <w:color w:val="000000"/>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w:t>
                    </w:r>
                  </w:p>
                </w:tc>
              </w:tr>
              <w:tr>
                <w:trPr>
                  <w:trHeight w:val="414"/>
                </w:trPr>
                <w:tc>
                  <w:tcPr>
                    <w:tcW w:w="2410" w:type="dxa"/>
                    <w:vMerge/>
                    <w:tcBorders>
                      <w:left w:val="single" w:sz="4" w:space="0" w:color="auto"/>
                      <w:right w:val="single" w:sz="4" w:space="0" w:color="auto"/>
                    </w:tcBorders>
                    <w:shd w:val="clear" w:color="auto" w:fill="F2F2F2" w:themeFill="background1" w:themeFillShade="F2"/>
                    <w:vAlign w:val="center"/>
                  </w:tcPr>
                  <w:p>
                    <w:pPr>
                      <w:jc w:val="center"/>
                      <w:rPr>
                        <w:b/>
                        <w:bCs/>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55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p>
                  <w:p>
                    <w:pPr>
                      <w:jc w:val="center"/>
                      <w:rPr>
                        <w:color w:val="000000"/>
                        <w:sz w:val="20"/>
                      </w:rPr>
                    </w:pPr>
                    <w:r>
                      <w:rPr>
                        <w:color w:val="000000"/>
                        <w:sz w:val="20"/>
                      </w:rPr>
                      <w:t>148 153,509</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sz w:val="20"/>
                      </w:rPr>
                    </w:pPr>
                    <w:r>
                      <w:rPr>
                        <w:sz w:val="20"/>
                      </w:rPr>
                      <w:t>EGADP</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r>
                      <w:rPr>
                        <w:color w:val="000000"/>
                        <w:sz w:val="20"/>
                      </w:rPr>
                      <w:t>R – Mirštamumas nuo išeminio galvos smegenų insulto per 30 dienų po hospitalizacijos,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r>
                      <w:rPr>
                        <w:color w:val="000000"/>
                        <w:sz w:val="20"/>
                      </w:rPr>
                      <w:t>12</w:t>
                    </w:r>
                  </w:p>
                  <w:p>
                    <w:pPr>
                      <w:ind w:left="-57" w:right="-57"/>
                      <w:jc w:val="center"/>
                      <w:rPr>
                        <w:color w:val="000000"/>
                        <w:sz w:val="20"/>
                      </w:rPr>
                    </w:pPr>
                    <w:r>
                      <w:rPr>
                        <w:color w:val="000000"/>
                        <w:sz w:val="20"/>
                      </w:rPr>
                      <w:t>(2030 m.)</w:t>
                    </w:r>
                  </w:p>
                </w:tc>
                <w:tc>
                  <w:tcPr>
                    <w:tcW w:w="992"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r>
              <w:tr>
                <w:trPr>
                  <w:trHeight w:val="414"/>
                </w:trPr>
                <w:tc>
                  <w:tcPr>
                    <w:tcW w:w="2410" w:type="dxa"/>
                    <w:vMerge/>
                    <w:tcBorders>
                      <w:left w:val="single" w:sz="4" w:space="0" w:color="auto"/>
                      <w:right w:val="single" w:sz="4" w:space="0" w:color="auto"/>
                    </w:tcBorders>
                    <w:shd w:val="clear" w:color="auto" w:fill="F2F2F2" w:themeFill="background1" w:themeFillShade="F2"/>
                    <w:vAlign w:val="center"/>
                  </w:tcPr>
                  <w:p>
                    <w:pPr>
                      <w:jc w:val="center"/>
                      <w:rPr>
                        <w:b/>
                        <w:bCs/>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55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p>
                  <w:p>
                    <w:pPr>
                      <w:jc w:val="center"/>
                      <w:rPr>
                        <w:color w:val="000000"/>
                        <w:sz w:val="20"/>
                      </w:rPr>
                    </w:pPr>
                    <w:r>
                      <w:rPr>
                        <w:color w:val="000000"/>
                        <w:sz w:val="20"/>
                      </w:rPr>
                      <w:t>31 111,338</w:t>
                    </w:r>
                  </w:p>
                  <w:p>
                    <w:pPr>
                      <w:jc w:val="center"/>
                      <w:rPr>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sz w:val="20"/>
                      </w:rPr>
                    </w:pPr>
                    <w:r>
                      <w:rPr>
                        <w:sz w:val="20"/>
                      </w:rPr>
                      <w:t>PVM iš VB</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r>
                      <w:rPr>
                        <w:color w:val="000000"/>
                        <w:sz w:val="20"/>
                      </w:rPr>
                      <w:t>R – Efektyvių organų donorų skaičius 1 mln. gyventojų</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r>
                      <w:rPr>
                        <w:color w:val="000000"/>
                        <w:sz w:val="20"/>
                      </w:rPr>
                      <w:t>30</w:t>
                    </w:r>
                  </w:p>
                  <w:p>
                    <w:pPr>
                      <w:ind w:left="-57" w:right="-57"/>
                      <w:jc w:val="center"/>
                      <w:rPr>
                        <w:color w:val="000000"/>
                        <w:sz w:val="20"/>
                      </w:rPr>
                    </w:pPr>
                    <w:r>
                      <w:rPr>
                        <w:color w:val="000000"/>
                        <w:sz w:val="20"/>
                      </w:rPr>
                      <w:t>(2030 m.)</w:t>
                    </w:r>
                  </w:p>
                </w:tc>
                <w:tc>
                  <w:tcPr>
                    <w:tcW w:w="992"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r>
              <w:tr>
                <w:trPr>
                  <w:trHeight w:val="414"/>
                </w:trPr>
                <w:tc>
                  <w:tcPr>
                    <w:tcW w:w="2410" w:type="dxa"/>
                    <w:vMerge/>
                    <w:tcBorders>
                      <w:left w:val="single" w:sz="4" w:space="0" w:color="auto"/>
                      <w:right w:val="single" w:sz="4" w:space="0" w:color="auto"/>
                    </w:tcBorders>
                    <w:shd w:val="clear" w:color="auto" w:fill="F2F2F2" w:themeFill="background1" w:themeFillShade="F2"/>
                    <w:vAlign w:val="center"/>
                  </w:tcPr>
                  <w:p>
                    <w:pPr>
                      <w:jc w:val="center"/>
                      <w:rPr>
                        <w:b/>
                        <w:bCs/>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55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9 133,595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sz w:val="20"/>
                      </w:rPr>
                    </w:pPr>
                    <w:r>
                      <w:rPr>
                        <w:sz w:val="20"/>
                      </w:rPr>
                      <w:t>2021–2027 m. IP (ERPF, Sostinės regionas)</w:t>
                    </w:r>
                  </w:p>
                </w:tc>
                <w:tc>
                  <w:tcPr>
                    <w:tcW w:w="25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r>
                      <w:rPr>
                        <w:color w:val="000000"/>
                        <w:sz w:val="20"/>
                      </w:rPr>
                      <w:t xml:space="preserve">R – Aktyviojo gydymo sveikatos priežiūros įstaigose nustatytų invazinių </w:t>
                    </w:r>
                    <w:r>
                      <w:rPr>
                        <w:i/>
                        <w:iCs/>
                        <w:color w:val="000000"/>
                        <w:sz w:val="20"/>
                      </w:rPr>
                      <w:t>Klebsiella pneumoniae</w:t>
                    </w:r>
                    <w:r>
                      <w:rPr>
                        <w:color w:val="000000"/>
                        <w:sz w:val="20"/>
                      </w:rPr>
                      <w:t xml:space="preserve">, atsparių  trečios kartos cefalosporinams, dalis (EARS-Net duomenimis), proc.</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r>
                      <w:rPr>
                        <w:color w:val="000000"/>
                        <w:sz w:val="20"/>
                      </w:rPr>
                      <w:t>30</w:t>
                    </w:r>
                  </w:p>
                  <w:p>
                    <w:pPr>
                      <w:ind w:left="-57" w:right="-57"/>
                      <w:jc w:val="center"/>
                      <w:rPr>
                        <w:color w:val="000000"/>
                        <w:sz w:val="20"/>
                      </w:rPr>
                    </w:pPr>
                    <w:r>
                      <w:rPr>
                        <w:color w:val="000000"/>
                        <w:sz w:val="20"/>
                      </w:rPr>
                      <w:t>(2030 m.)</w:t>
                    </w:r>
                  </w:p>
                </w:tc>
                <w:tc>
                  <w:tcPr>
                    <w:tcW w:w="992"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r>
              <w:tr>
                <w:trPr>
                  <w:trHeight w:val="414"/>
                </w:trPr>
                <w:tc>
                  <w:tcPr>
                    <w:tcW w:w="2410" w:type="dxa"/>
                    <w:vMerge/>
                    <w:tcBorders>
                      <w:left w:val="single" w:sz="4" w:space="0" w:color="auto"/>
                      <w:right w:val="single" w:sz="4" w:space="0" w:color="auto"/>
                    </w:tcBorders>
                    <w:shd w:val="clear" w:color="auto" w:fill="F2F2F2" w:themeFill="background1" w:themeFillShade="F2"/>
                    <w:vAlign w:val="center"/>
                  </w:tcPr>
                  <w:p>
                    <w:pPr>
                      <w:jc w:val="center"/>
                      <w:rPr>
                        <w:b/>
                        <w:bCs/>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55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9 133,595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sz w:val="20"/>
                      </w:rPr>
                    </w:pPr>
                    <w:r>
                      <w:rPr>
                        <w:sz w:val="20"/>
                      </w:rPr>
                      <w:t xml:space="preserve">2021–2027 m. IP (BF, Sostinės regionas) </w:t>
                    </w:r>
                  </w:p>
                </w:tc>
                <w:tc>
                  <w:tcPr>
                    <w:tcW w:w="2551" w:type="dxa"/>
                    <w:vMerge/>
                    <w:tcBorders>
                      <w:left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p>
                </w:tc>
                <w:tc>
                  <w:tcPr>
                    <w:tcW w:w="851" w:type="dxa"/>
                    <w:vMerge/>
                    <w:tcBorders>
                      <w:left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r>
              <w:tr>
                <w:trPr>
                  <w:trHeight w:val="414"/>
                </w:trPr>
                <w:tc>
                  <w:tcPr>
                    <w:tcW w:w="2410" w:type="dxa"/>
                    <w:vMerge/>
                    <w:tcBorders>
                      <w:left w:val="single" w:sz="4" w:space="0" w:color="auto"/>
                      <w:right w:val="single" w:sz="4" w:space="0" w:color="auto"/>
                    </w:tcBorders>
                    <w:shd w:val="clear" w:color="auto" w:fill="F2F2F2" w:themeFill="background1" w:themeFillShade="F2"/>
                    <w:vAlign w:val="center"/>
                  </w:tcPr>
                  <w:p>
                    <w:pPr>
                      <w:jc w:val="center"/>
                      <w:rPr>
                        <w:b/>
                        <w:bCs/>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55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47 847,749</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sz w:val="20"/>
                      </w:rPr>
                    </w:pPr>
                    <w:r>
                      <w:rPr>
                        <w:sz w:val="20"/>
                      </w:rPr>
                      <w:t>2021–2027 m. IP (ERPF,</w:t>
                    </w:r>
                  </w:p>
                  <w:p>
                    <w:pPr>
                      <w:jc w:val="center"/>
                      <w:rPr>
                        <w:sz w:val="20"/>
                      </w:rPr>
                    </w:pPr>
                    <w:r>
                      <w:rPr>
                        <w:sz w:val="20"/>
                      </w:rPr>
                      <w:t>Vidurio ir vakarų Lietuvos (toliau – VVL) regionas)</w:t>
                    </w:r>
                  </w:p>
                </w:tc>
                <w:tc>
                  <w:tcPr>
                    <w:tcW w:w="2551" w:type="dxa"/>
                    <w:vMerge/>
                    <w:tcBorders>
                      <w:left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p>
                </w:tc>
                <w:tc>
                  <w:tcPr>
                    <w:tcW w:w="851" w:type="dxa"/>
                    <w:vMerge/>
                    <w:tcBorders>
                      <w:left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jc w:val="center"/>
                      <w:rPr>
                        <w:color w:val="000000"/>
                        <w:sz w:val="20"/>
                      </w:rPr>
                    </w:pPr>
                  </w:p>
                </w:tc>
              </w:tr>
              <w:tr>
                <w:trPr>
                  <w:trHeight w:val="414"/>
                </w:trPr>
                <w:tc>
                  <w:tcPr>
                    <w:tcW w:w="2410" w:type="dxa"/>
                    <w:vMerge/>
                    <w:tcBorders>
                      <w:left w:val="single" w:sz="4" w:space="0" w:color="auto"/>
                      <w:bottom w:val="single" w:sz="4" w:space="0" w:color="auto"/>
                      <w:right w:val="single" w:sz="4" w:space="0" w:color="auto"/>
                    </w:tcBorders>
                    <w:shd w:val="clear" w:color="auto" w:fill="F2F2F2" w:themeFill="background1" w:themeFillShade="F2"/>
                    <w:vAlign w:val="center"/>
                  </w:tcPr>
                  <w:p>
                    <w:pPr>
                      <w:jc w:val="center"/>
                      <w:rPr>
                        <w:b/>
                        <w:bCs/>
                        <w:color w:val="000000"/>
                        <w:sz w:val="20"/>
                      </w:rPr>
                    </w:pPr>
                  </w:p>
                </w:tc>
                <w:tc>
                  <w:tcPr>
                    <w:tcW w:w="709" w:type="dxa"/>
                    <w:vMerge/>
                    <w:tcBorders>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559" w:type="dxa"/>
                    <w:vMerge/>
                    <w:tcBorders>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709" w:type="dxa"/>
                    <w:vMerge/>
                    <w:tcBorders>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r>
                      <w:rPr>
                        <w:color w:val="000000"/>
                        <w:sz w:val="20"/>
                      </w:rPr>
                      <w:t>8 443,721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jc w:val="center"/>
                      <w:rPr>
                        <w:sz w:val="20"/>
                      </w:rPr>
                    </w:pPr>
                    <w:r>
                      <w:rPr>
                        <w:sz w:val="20"/>
                      </w:rPr>
                      <w:t xml:space="preserve">2021–2027 m. IP (BF, VVL regionas) </w:t>
                    </w:r>
                  </w:p>
                </w:tc>
                <w:tc>
                  <w:tcPr>
                    <w:tcW w:w="2551" w:type="dxa"/>
                    <w:vMerge/>
                    <w:tcBorders>
                      <w:left w:val="single" w:sz="4" w:space="0" w:color="auto"/>
                      <w:bottom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p>
                </w:tc>
                <w:tc>
                  <w:tcPr>
                    <w:tcW w:w="851" w:type="dxa"/>
                    <w:vMerge/>
                    <w:tcBorders>
                      <w:left w:val="single" w:sz="4" w:space="0" w:color="auto"/>
                      <w:bottom w:val="single" w:sz="4" w:space="0" w:color="auto"/>
                      <w:right w:val="single" w:sz="4" w:space="0" w:color="auto"/>
                    </w:tcBorders>
                    <w:shd w:val="clear" w:color="auto" w:fill="F2F2F2" w:themeFill="background1" w:themeFillShade="F2"/>
                    <w:vAlign w:val="center"/>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p>
                </w:tc>
                <w:tc>
                  <w:tcPr>
                    <w:tcW w:w="1276" w:type="dxa"/>
                    <w:vMerge/>
                    <w:tcBorders>
                      <w:left w:val="single" w:sz="4" w:space="0" w:color="auto"/>
                      <w:bottom w:val="single" w:sz="4" w:space="0" w:color="auto"/>
                      <w:right w:val="single" w:sz="4" w:space="0" w:color="auto"/>
                    </w:tcBorders>
                    <w:shd w:val="clear" w:color="auto" w:fill="F2F2F2" w:themeFill="background1" w:themeFillShade="F2"/>
                    <w:vAlign w:val="center"/>
                  </w:tcPr>
                  <w:p>
                    <w:pPr>
                      <w:jc w:val="center"/>
                      <w:rPr>
                        <w:color w:val="000000"/>
                        <w:sz w:val="20"/>
                      </w:rPr>
                    </w:pPr>
                  </w:p>
                </w:tc>
              </w:tr>
              <w:tr>
                <w:trPr>
                  <w:trHeight w:val="2126"/>
                </w:trPr>
                <w:tc>
                  <w:tcPr>
                    <w:tcW w:w="2410" w:type="dxa"/>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70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559"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992"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276" w:type="dxa"/>
                    <w:vMerge w:val="restart"/>
                    <w:tcBorders>
                      <w:top w:val="single" w:sz="4" w:space="0" w:color="auto"/>
                      <w:left w:val="single" w:sz="4" w:space="0" w:color="auto"/>
                      <w:right w:val="single" w:sz="4" w:space="0" w:color="auto"/>
                    </w:tcBorders>
                  </w:tcPr>
                  <w:p>
                    <w:pPr>
                      <w:jc w:val="center"/>
                      <w:rPr>
                        <w:sz w:val="20"/>
                      </w:rPr>
                    </w:pPr>
                    <w:r>
                      <w:rPr>
                        <w:sz w:val="20"/>
                      </w:rPr>
                      <w:t>-</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6"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410" w:type="dxa"/>
                    <w:vMerge/>
                    <w:tcBorders>
                      <w:left w:val="single" w:sz="4" w:space="0" w:color="auto"/>
                      <w:right w:val="single" w:sz="4" w:space="0" w:color="auto"/>
                    </w:tcBorders>
                    <w:vAlign w:val="center"/>
                    <w:hideMark/>
                  </w:tcPr>
                  <w:p>
                    <w:pPr>
                      <w:rPr>
                        <w:color w:val="000000"/>
                        <w:sz w:val="20"/>
                      </w:rPr>
                    </w:pPr>
                  </w:p>
                </w:tc>
                <w:tc>
                  <w:tcPr>
                    <w:tcW w:w="709" w:type="dxa"/>
                    <w:vMerge/>
                    <w:tcBorders>
                      <w:left w:val="single" w:sz="4" w:space="0" w:color="auto"/>
                      <w:right w:val="single" w:sz="4" w:space="0" w:color="auto"/>
                    </w:tcBorders>
                    <w:vAlign w:val="center"/>
                  </w:tcPr>
                  <w:p>
                    <w:pPr>
                      <w:ind w:left="-57" w:right="-57"/>
                      <w:rPr>
                        <w:iCs/>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sz w:val="20"/>
                      </w:rPr>
                      <w:t xml:space="preserve">P  – Įsigaliojęs sveikatos priežiūros įstaigų bendradarbiavimo gerinimo ir infrastruktūros pritaikymo ekstremaliosioms situacijoms modernizavimo veiksmų planas, vnt. </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875"/>
                </w:trPr>
                <w:tc>
                  <w:tcPr>
                    <w:tcW w:w="2410" w:type="dxa"/>
                    <w:vMerge/>
                    <w:tcBorders>
                      <w:left w:val="single" w:sz="4" w:space="0" w:color="auto"/>
                      <w:right w:val="single" w:sz="4" w:space="0" w:color="auto"/>
                    </w:tcBorders>
                    <w:vAlign w:val="center"/>
                    <w:hideMark/>
                  </w:tcPr>
                  <w:p>
                    <w:pPr>
                      <w:rPr>
                        <w:color w:val="000000"/>
                        <w:sz w:val="20"/>
                      </w:rPr>
                    </w:pPr>
                  </w:p>
                </w:tc>
                <w:tc>
                  <w:tcPr>
                    <w:tcW w:w="709" w:type="dxa"/>
                    <w:vMerge/>
                    <w:tcBorders>
                      <w:left w:val="single" w:sz="4" w:space="0" w:color="auto"/>
                      <w:right w:val="single" w:sz="4" w:space="0" w:color="auto"/>
                    </w:tcBorders>
                    <w:vAlign w:val="center"/>
                  </w:tcPr>
                  <w:p>
                    <w:pPr>
                      <w:ind w:left="-57" w:right="-57"/>
                      <w:rPr>
                        <w:iCs/>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ind w:left="-57" w:right="-57"/>
                      <w:jc w:val="center"/>
                      <w:rPr>
                        <w:color w:val="000000"/>
                        <w:sz w:val="20"/>
                      </w:rPr>
                    </w:pPr>
                  </w:p>
                </w:tc>
                <w:tc>
                  <w:tcPr>
                    <w:tcW w:w="992" w:type="dxa"/>
                    <w:vMerge/>
                    <w:tcBorders>
                      <w:left w:val="single" w:sz="4" w:space="0" w:color="auto"/>
                      <w:right w:val="single" w:sz="4" w:space="0" w:color="auto"/>
                    </w:tcBorders>
                    <w:vAlign w:val="center"/>
                  </w:tcPr>
                  <w:p>
                    <w:pPr>
                      <w:ind w:left="-57" w:right="-57"/>
                      <w:jc w:val="cente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w:t>
                    </w:r>
                    <w:r>
                      <w:rPr>
                        <w:sz w:val="20"/>
                        <w:lang w:eastAsia="lt-LT"/>
                      </w:rPr>
                      <w:t xml:space="preserve">Nustatyti infekcinių ligų centrų infrastruktūros reikalavimai, </w:t>
                    </w:r>
                    <w:r>
                      <w:rPr>
                        <w:color w:val="000000"/>
                        <w:sz w:val="20"/>
                      </w:rPr>
                      <w:t>kompl.</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410" w:type="dxa"/>
                    <w:vMerge/>
                    <w:tcBorders>
                      <w:left w:val="single" w:sz="4" w:space="0" w:color="auto"/>
                      <w:right w:val="single" w:sz="4" w:space="0" w:color="auto"/>
                    </w:tcBorders>
                    <w:vAlign w:val="center"/>
                    <w:hideMark/>
                  </w:tcPr>
                  <w:p>
                    <w:pPr>
                      <w:rPr>
                        <w:color w:val="000000"/>
                        <w:sz w:val="20"/>
                      </w:rPr>
                    </w:pPr>
                  </w:p>
                </w:tc>
                <w:tc>
                  <w:tcPr>
                    <w:tcW w:w="709" w:type="dxa"/>
                    <w:vMerge/>
                    <w:tcBorders>
                      <w:left w:val="single" w:sz="4" w:space="0" w:color="auto"/>
                      <w:right w:val="single" w:sz="4" w:space="0" w:color="auto"/>
                    </w:tcBorders>
                    <w:vAlign w:val="center"/>
                  </w:tcPr>
                  <w:p>
                    <w:pPr>
                      <w:ind w:left="-57" w:right="-57"/>
                      <w:rPr>
                        <w:iCs/>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sz w:val="20"/>
                      </w:rPr>
                      <w:t xml:space="preserve">P – </w:t>
                    </w:r>
                    <w:r>
                      <w:rPr>
                        <w:sz w:val="20"/>
                        <w:lang w:eastAsia="lt-LT"/>
                      </w:rPr>
                      <w:t>Nustatyti ligoninių skubiosios medicinos pagalbos, reanimacijos ir intensyviosios terapijos skyrių infrastruktūros reikalavimai, kompl.</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414"/>
                </w:trPr>
                <w:tc>
                  <w:tcPr>
                    <w:tcW w:w="2410"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ind w:left="-57" w:right="-57"/>
                      <w:rPr>
                        <w:iCs/>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w:t>
                    </w:r>
                    <w:r>
                      <w:rPr>
                        <w:sz w:val="20"/>
                        <w:lang w:eastAsia="lt-LT"/>
                      </w:rPr>
                      <w:t xml:space="preserve">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87"/>
                </w:trPr>
                <w:tc>
                  <w:tcPr>
                    <w:tcW w:w="2410" w:type="dxa"/>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70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559" w:type="dxa"/>
                    <w:vMerge w:val="restart"/>
                    <w:tcBorders>
                      <w:top w:val="single" w:sz="4" w:space="0" w:color="auto"/>
                      <w:left w:val="single" w:sz="4" w:space="0" w:color="auto"/>
                      <w:right w:val="single" w:sz="4" w:space="0" w:color="auto"/>
                    </w:tcBorders>
                  </w:tcPr>
                  <w:p>
                    <w:pPr>
                      <w:rPr>
                        <w:sz w:val="20"/>
                      </w:rPr>
                    </w:pPr>
                    <w:r>
                      <w:rPr>
                        <w:sz w:val="20"/>
                      </w:rPr>
                      <w:t>ASPĮ</w:t>
                    </w:r>
                  </w:p>
                </w:tc>
                <w:tc>
                  <w:tcPr>
                    <w:tcW w:w="709" w:type="dxa"/>
                    <w:vMerge w:val="restart"/>
                    <w:tcBorders>
                      <w:top w:val="single" w:sz="4" w:space="0" w:color="auto"/>
                      <w:left w:val="single" w:sz="4" w:space="0" w:color="auto"/>
                      <w:right w:val="single" w:sz="4" w:space="0" w:color="auto"/>
                    </w:tcBorders>
                  </w:tcPr>
                  <w:p>
                    <w:pPr>
                      <w:rPr>
                        <w:sz w:val="20"/>
                      </w:rPr>
                    </w:pPr>
                    <w:r>
                      <w:rPr>
                        <w:sz w:val="20"/>
                      </w:rPr>
                      <w:t>P</w:t>
                    </w:r>
                  </w:p>
                </w:tc>
                <w:tc>
                  <w:tcPr>
                    <w:tcW w:w="992" w:type="dxa"/>
                    <w:vMerge w:val="restart"/>
                    <w:tcBorders>
                      <w:top w:val="single" w:sz="4" w:space="0" w:color="auto"/>
                      <w:left w:val="single" w:sz="4" w:space="0" w:color="auto"/>
                      <w:right w:val="single" w:sz="4" w:space="0" w:color="auto"/>
                    </w:tcBorders>
                  </w:tcPr>
                  <w:p>
                    <w:pP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tcPr>
                  <w:p>
                    <w:pPr>
                      <w:rPr>
                        <w:sz w:val="20"/>
                      </w:rPr>
                    </w:pPr>
                    <w:r>
                      <w:rPr>
                        <w:sz w:val="20"/>
                      </w:rPr>
                      <w:t>124 153,509</w:t>
                    </w:r>
                  </w:p>
                  <w:p>
                    <w:pPr>
                      <w:rPr>
                        <w:sz w:val="20"/>
                      </w:rPr>
                    </w:pP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EGADP</w:t>
                    </w:r>
                  </w:p>
                </w:tc>
                <w:tc>
                  <w:tcPr>
                    <w:tcW w:w="2551"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851"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6"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497"/>
                </w:trPr>
                <w:tc>
                  <w:tcPr>
                    <w:tcW w:w="2410"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559" w:type="dxa"/>
                    <w:vMerge/>
                    <w:tcBorders>
                      <w:left w:val="single" w:sz="4" w:space="0" w:color="auto"/>
                      <w:right w:val="single" w:sz="4" w:space="0" w:color="auto"/>
                    </w:tcBorders>
                    <w:vAlign w:val="center"/>
                  </w:tcPr>
                  <w:p>
                    <w:pPr>
                      <w:rPr>
                        <w:sz w:val="20"/>
                      </w:rPr>
                    </w:pPr>
                  </w:p>
                </w:tc>
                <w:tc>
                  <w:tcPr>
                    <w:tcW w:w="709" w:type="dxa"/>
                    <w:vMerge/>
                    <w:tcBorders>
                      <w:left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sz w:val="20"/>
                      </w:rPr>
                    </w:pPr>
                  </w:p>
                </w:tc>
                <w:tc>
                  <w:tcPr>
                    <w:tcW w:w="709" w:type="dxa"/>
                    <w:vMerge/>
                    <w:tcBorders>
                      <w:left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rPr>
                        <w:sz w:val="20"/>
                      </w:rPr>
                    </w:pPr>
                    <w:r>
                      <w:rPr>
                        <w:sz w:val="20"/>
                      </w:rPr>
                      <w:t>26 071,338</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551" w:type="dxa"/>
                    <w:vMerge/>
                    <w:tcBorders>
                      <w:left w:val="single" w:sz="4" w:space="0" w:color="auto"/>
                      <w:bottom w:val="single" w:sz="4" w:space="0" w:color="auto"/>
                      <w:right w:val="single" w:sz="4" w:space="0" w:color="auto"/>
                    </w:tcBorders>
                    <w:shd w:val="clear" w:color="auto" w:fill="auto"/>
                  </w:tcPr>
                  <w:p>
                    <w:pPr>
                      <w:ind w:left="-57" w:right="-57"/>
                      <w:rPr>
                        <w:sz w:val="20"/>
                      </w:rPr>
                    </w:pPr>
                  </w:p>
                </w:tc>
                <w:tc>
                  <w:tcPr>
                    <w:tcW w:w="851" w:type="dxa"/>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87"/>
                </w:trPr>
                <w:tc>
                  <w:tcPr>
                    <w:tcW w:w="2410" w:type="dxa"/>
                    <w:vMerge/>
                    <w:tcBorders>
                      <w:left w:val="single" w:sz="4" w:space="0" w:color="auto"/>
                      <w:bottom w:val="single" w:sz="4" w:space="0" w:color="auto"/>
                      <w:right w:val="single" w:sz="4" w:space="0" w:color="auto"/>
                    </w:tcBorders>
                    <w:vAlign w:val="center"/>
                  </w:tcPr>
                  <w:p>
                    <w:pPr>
                      <w:rPr>
                        <w:color w:val="000000"/>
                        <w:sz w:val="20"/>
                      </w:rPr>
                    </w:pPr>
                  </w:p>
                </w:tc>
                <w:tc>
                  <w:tcPr>
                    <w:tcW w:w="709" w:type="dxa"/>
                    <w:vMerge/>
                    <w:tcBorders>
                      <w:left w:val="single" w:sz="4" w:space="0" w:color="auto"/>
                      <w:bottom w:val="single" w:sz="4" w:space="0" w:color="auto"/>
                      <w:right w:val="single" w:sz="4" w:space="0" w:color="auto"/>
                    </w:tcBorders>
                    <w:vAlign w:val="center"/>
                  </w:tcPr>
                  <w:p>
                    <w:pPr>
                      <w:rPr>
                        <w:color w:val="000000"/>
                        <w:sz w:val="20"/>
                      </w:rPr>
                    </w:pPr>
                  </w:p>
                </w:tc>
                <w:tc>
                  <w:tcPr>
                    <w:tcW w:w="1559" w:type="dxa"/>
                    <w:vMerge/>
                    <w:tcBorders>
                      <w:left w:val="single" w:sz="4" w:space="0" w:color="auto"/>
                      <w:bottom w:val="single" w:sz="4" w:space="0" w:color="auto"/>
                      <w:right w:val="single" w:sz="4" w:space="0" w:color="auto"/>
                    </w:tcBorders>
                    <w:vAlign w:val="center"/>
                  </w:tcPr>
                  <w:p>
                    <w:pPr>
                      <w:rPr>
                        <w:sz w:val="20"/>
                      </w:rPr>
                    </w:pPr>
                  </w:p>
                </w:tc>
                <w:tc>
                  <w:tcPr>
                    <w:tcW w:w="709" w:type="dxa"/>
                    <w:vMerge/>
                    <w:tcBorders>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bottom w:val="single" w:sz="4" w:space="0" w:color="auto"/>
                      <w:right w:val="single" w:sz="4" w:space="0" w:color="auto"/>
                    </w:tcBorders>
                    <w:vAlign w:val="center"/>
                  </w:tcPr>
                  <w:p>
                    <w:pPr>
                      <w:rPr>
                        <w:sz w:val="20"/>
                      </w:rPr>
                    </w:pPr>
                  </w:p>
                </w:tc>
                <w:tc>
                  <w:tcPr>
                    <w:tcW w:w="709" w:type="dxa"/>
                    <w:vMerge/>
                    <w:tcBorders>
                      <w:left w:val="single" w:sz="4" w:space="0" w:color="auto"/>
                      <w:bottom w:val="single" w:sz="4" w:space="0" w:color="auto"/>
                      <w:right w:val="single" w:sz="4" w:space="0" w:color="auto"/>
                    </w:tcBorders>
                    <w:vAlign w:val="center"/>
                  </w:tcPr>
                  <w:p>
                    <w:pPr>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410" w:type="dxa"/>
                    <w:vMerge w:val="restart"/>
                    <w:tcBorders>
                      <w:top w:val="single" w:sz="4" w:space="0" w:color="auto"/>
                      <w:left w:val="single" w:sz="4" w:space="0" w:color="auto"/>
                      <w:right w:val="single" w:sz="4" w:space="0" w:color="auto"/>
                    </w:tcBorders>
                  </w:tcPr>
                  <w:p>
                    <w:pPr>
                      <w:ind w:left="-57" w:right="-57"/>
                      <w:rPr>
                        <w:iCs/>
                        <w:sz w:val="20"/>
                      </w:rPr>
                    </w:pPr>
                    <w:r>
                      <w:rPr>
                        <w:iCs/>
                        <w:sz w:val="20"/>
                      </w:rPr>
                      <w:t>2.3. Regioninių sveikatos priežiūros įstaigų infrastruktūros modernizavimas</w:t>
                    </w:r>
                  </w:p>
                </w:tc>
                <w:tc>
                  <w:tcPr>
                    <w:tcW w:w="70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559"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276" w:type="dxa"/>
                    <w:tcBorders>
                      <w:top w:val="single" w:sz="4" w:space="0" w:color="auto"/>
                      <w:left w:val="single" w:sz="4" w:space="0" w:color="auto"/>
                      <w:right w:val="single" w:sz="4" w:space="0" w:color="auto"/>
                    </w:tcBorders>
                  </w:tcPr>
                  <w:p>
                    <w:pPr>
                      <w:ind w:left="-57" w:right="-57"/>
                      <w:jc w:val="center"/>
                      <w:rPr>
                        <w:sz w:val="20"/>
                      </w:rPr>
                    </w:pPr>
                    <w:r>
                      <w:rPr>
                        <w:sz w:val="20"/>
                      </w:rPr>
                      <w:t>24 000</w:t>
                    </w:r>
                  </w:p>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551"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Modernizuotos ligoninių skubiosios medicinos pagalbos ir reanimacijos bei intensyviosios terapijos skyrių sveikatos priežiūros infrastruktūros objektų skaičius, vnt.</w:t>
                    </w:r>
                  </w:p>
                </w:tc>
                <w:tc>
                  <w:tcPr>
                    <w:tcW w:w="851"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CPVA</w:t>
                    </w:r>
                  </w:p>
                </w:tc>
                <w:tc>
                  <w:tcPr>
                    <w:tcW w:w="1276"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801"/>
                </w:trPr>
                <w:tc>
                  <w:tcPr>
                    <w:tcW w:w="2410" w:type="dxa"/>
                    <w:vMerge/>
                    <w:tcBorders>
                      <w:top w:val="single" w:sz="4" w:space="0" w:color="auto"/>
                      <w:left w:val="single" w:sz="4" w:space="0" w:color="auto"/>
                      <w:bottom w:val="single" w:sz="4" w:space="0" w:color="auto"/>
                      <w:right w:val="single" w:sz="4" w:space="0" w:color="auto"/>
                    </w:tcBorders>
                  </w:tcPr>
                  <w:p>
                    <w:pPr>
                      <w:ind w:left="-57" w:right="-57"/>
                      <w:rPr>
                        <w:iCs/>
                        <w:sz w:val="20"/>
                      </w:rPr>
                    </w:pPr>
                  </w:p>
                </w:tc>
                <w:tc>
                  <w:tcPr>
                    <w:tcW w:w="709" w:type="dxa"/>
                    <w:vMerge/>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p>
                </w:tc>
                <w:tc>
                  <w:tcPr>
                    <w:tcW w:w="1559" w:type="dxa"/>
                    <w:vMerge/>
                    <w:tcBorders>
                      <w:top w:val="single" w:sz="4" w:space="0" w:color="auto"/>
                      <w:left w:val="single" w:sz="4" w:space="0" w:color="auto"/>
                      <w:bottom w:val="single" w:sz="4" w:space="0" w:color="auto"/>
                      <w:right w:val="single" w:sz="4" w:space="0" w:color="auto"/>
                    </w:tcBorders>
                  </w:tcPr>
                  <w:p>
                    <w:pPr>
                      <w:ind w:left="-57" w:right="-57"/>
                      <w:jc w:val="center"/>
                      <w:rPr>
                        <w:sz w:val="20"/>
                      </w:rPr>
                    </w:pPr>
                  </w:p>
                </w:tc>
                <w:tc>
                  <w:tcPr>
                    <w:tcW w:w="709" w:type="dxa"/>
                    <w:vMerge/>
                    <w:tcBorders>
                      <w:top w:val="single" w:sz="4" w:space="0" w:color="auto"/>
                      <w:left w:val="single" w:sz="4" w:space="0" w:color="auto"/>
                      <w:bottom w:val="single" w:sz="4" w:space="0" w:color="auto"/>
                      <w:right w:val="single" w:sz="4" w:space="0" w:color="auto"/>
                    </w:tcBorders>
                  </w:tcPr>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tcPr>
                  <w:p>
                    <w:pPr>
                      <w:ind w:left="-57" w:right="-57"/>
                      <w:jc w:val="center"/>
                      <w:rPr>
                        <w:sz w:val="20"/>
                      </w:rPr>
                    </w:pPr>
                  </w:p>
                </w:tc>
                <w:tc>
                  <w:tcPr>
                    <w:tcW w:w="709" w:type="dxa"/>
                    <w:vMerge/>
                    <w:tcBorders>
                      <w:top w:val="single" w:sz="4" w:space="0" w:color="auto"/>
                      <w:left w:val="single" w:sz="4" w:space="0" w:color="auto"/>
                      <w:bottom w:val="single" w:sz="4" w:space="0" w:color="auto"/>
                      <w:right w:val="single" w:sz="4" w:space="0" w:color="auto"/>
                    </w:tcBorders>
                  </w:tcPr>
                  <w:p>
                    <w:pPr>
                      <w:ind w:left="-57" w:right="-57"/>
                      <w:jc w:val="cente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color w:val="000000"/>
                        <w:sz w:val="20"/>
                      </w:rPr>
                      <w:t>5 040</w:t>
                    </w:r>
                  </w:p>
                </w:tc>
                <w:tc>
                  <w:tcPr>
                    <w:tcW w:w="992"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color w:val="000000"/>
                        <w:sz w:val="20"/>
                      </w:rPr>
                      <w:t>PVM iš VB</w:t>
                    </w:r>
                  </w:p>
                </w:tc>
                <w:tc>
                  <w:tcPr>
                    <w:tcW w:w="2551" w:type="dxa"/>
                    <w:vMerge/>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p>
                </w:tc>
                <w:tc>
                  <w:tcPr>
                    <w:tcW w:w="1276" w:type="dxa"/>
                    <w:vMerge/>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p>
                </w:tc>
              </w:tr>
              <w:tr>
                <w:trPr>
                  <w:trHeight w:val="719"/>
                </w:trPr>
                <w:tc>
                  <w:tcPr>
                    <w:tcW w:w="2410" w:type="dxa"/>
                    <w:vMerge/>
                    <w:tcBorders>
                      <w:left w:val="single" w:sz="4" w:space="0" w:color="auto"/>
                      <w:right w:val="single" w:sz="4" w:space="0" w:color="auto"/>
                    </w:tcBorders>
                    <w:vAlign w:val="center"/>
                    <w:hideMark/>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559"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851" w:type="dxa"/>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right w:val="single" w:sz="4" w:space="0" w:color="auto"/>
                    </w:tcBorders>
                    <w:vAlign w:val="center"/>
                    <w:hideMark/>
                  </w:tcPr>
                  <w:p>
                    <w:pPr>
                      <w:rPr>
                        <w:color w:val="000000"/>
                        <w:sz w:val="20"/>
                      </w:rPr>
                    </w:pPr>
                  </w:p>
                </w:tc>
                <w:tc>
                  <w:tcPr>
                    <w:tcW w:w="1276" w:type="dxa"/>
                    <w:vMerge/>
                    <w:tcBorders>
                      <w:left w:val="single" w:sz="4" w:space="0" w:color="auto"/>
                      <w:right w:val="single" w:sz="4" w:space="0" w:color="auto"/>
                    </w:tcBorders>
                    <w:vAlign w:val="center"/>
                    <w:hideMark/>
                  </w:tcPr>
                  <w:p>
                    <w:pPr>
                      <w:rPr>
                        <w:color w:val="000000"/>
                        <w:sz w:val="20"/>
                      </w:rPr>
                    </w:pPr>
                  </w:p>
                </w:tc>
              </w:tr>
              <w:tr>
                <w:trPr>
                  <w:trHeight w:val="1025"/>
                </w:trPr>
                <w:tc>
                  <w:tcPr>
                    <w:tcW w:w="2410" w:type="dxa"/>
                    <w:vMerge w:val="restart"/>
                  </w:tcPr>
                  <w:p>
                    <w:pPr>
                      <w:rPr>
                        <w:sz w:val="20"/>
                      </w:rPr>
                    </w:pPr>
                    <w:r>
                      <w:rPr>
                        <w:sz w:val="20"/>
                      </w:rPr>
                      <w:t>2.4 Regionų ir savivaldybių sveikatos priežiūros įstaigų  infrastruktūros modernizavimas, Sostinės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p>
                    <w:pPr>
                      <w:rPr>
                        <w:sz w:val="20"/>
                      </w:rPr>
                    </w:pP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Borders>
                      <w:left w:val="single" w:sz="4" w:space="0" w:color="auto"/>
                      <w:bottom w:val="single" w:sz="4" w:space="0" w:color="auto"/>
                      <w:right w:val="single" w:sz="4" w:space="0" w:color="auto"/>
                    </w:tcBorders>
                    <w:shd w:val="clear" w:color="auto" w:fill="auto"/>
                  </w:tcPr>
                  <w:p>
                    <w:pPr>
                      <w:rPr>
                        <w:sz w:val="20"/>
                      </w:rPr>
                    </w:pPr>
                    <w:r>
                      <w:rPr>
                        <w:color w:val="000000"/>
                        <w:sz w:val="20"/>
                      </w:rPr>
                      <w:t>9 133,595</w:t>
                    </w:r>
                  </w:p>
                </w:tc>
                <w:tc>
                  <w:tcPr>
                    <w:tcW w:w="992" w:type="dxa"/>
                  </w:tcPr>
                  <w:p>
                    <w:pPr>
                      <w:rPr>
                        <w:sz w:val="20"/>
                      </w:rPr>
                    </w:pPr>
                    <w:r>
                      <w:rPr>
                        <w:sz w:val="20"/>
                      </w:rPr>
                      <w:t>2021–2027 m. IP (ERPF)</w:t>
                    </w:r>
                  </w:p>
                  <w:p>
                    <w:pPr>
                      <w:rPr>
                        <w:sz w:val="20"/>
                      </w:rPr>
                    </w:pPr>
                  </w:p>
                </w:tc>
                <w:tc>
                  <w:tcPr>
                    <w:tcW w:w="2551"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851" w:type="dxa"/>
                    <w:shd w:val="clear" w:color="auto" w:fill="auto"/>
                  </w:tcPr>
                  <w:p>
                    <w:pPr>
                      <w:ind w:left="-57" w:right="-57"/>
                      <w:jc w:val="center"/>
                      <w:rPr>
                        <w:sz w:val="20"/>
                      </w:rPr>
                    </w:pPr>
                    <w:r>
                      <w:rPr>
                        <w:sz w:val="20"/>
                      </w:rPr>
                      <w:t>96 410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983"/>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Pr>
                  <w:p>
                    <w:pPr>
                      <w:rPr>
                        <w:color w:val="000000"/>
                        <w:sz w:val="20"/>
                      </w:rPr>
                    </w:pPr>
                  </w:p>
                </w:tc>
                <w:tc>
                  <w:tcPr>
                    <w:tcW w:w="709" w:type="dxa"/>
                    <w:vMerge/>
                  </w:tcPr>
                  <w:p>
                    <w:pPr>
                      <w:rPr>
                        <w:color w:val="000000"/>
                        <w:sz w:val="20"/>
                      </w:rPr>
                    </w:pPr>
                  </w:p>
                </w:tc>
                <w:tc>
                  <w:tcPr>
                    <w:tcW w:w="1276" w:type="dxa"/>
                    <w:tcBorders>
                      <w:left w:val="single" w:sz="4" w:space="0" w:color="auto"/>
                      <w:bottom w:val="single" w:sz="4" w:space="0" w:color="auto"/>
                      <w:right w:val="single" w:sz="4" w:space="0" w:color="auto"/>
                    </w:tcBorders>
                    <w:shd w:val="clear" w:color="auto" w:fill="auto"/>
                  </w:tcPr>
                  <w:p>
                    <w:pPr>
                      <w:rPr>
                        <w:color w:val="000000"/>
                        <w:sz w:val="20"/>
                      </w:rPr>
                    </w:pPr>
                    <w:r>
                      <w:rPr>
                        <w:color w:val="000000"/>
                        <w:sz w:val="20"/>
                      </w:rPr>
                      <w:t>9 133,595</w:t>
                    </w:r>
                  </w:p>
                </w:tc>
                <w:tc>
                  <w:tcPr>
                    <w:tcW w:w="992" w:type="dxa"/>
                  </w:tcPr>
                  <w:p>
                    <w:pPr>
                      <w:rPr>
                        <w:sz w:val="20"/>
                      </w:rPr>
                    </w:pPr>
                    <w:r>
                      <w:rPr>
                        <w:sz w:val="20"/>
                      </w:rPr>
                      <w:t>2021–2027 m. IP (BF)</w:t>
                    </w:r>
                  </w:p>
                </w:tc>
                <w:tc>
                  <w:tcPr>
                    <w:tcW w:w="2551"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851" w:type="dxa"/>
                    <w:shd w:val="clear" w:color="auto" w:fill="auto"/>
                  </w:tcPr>
                  <w:p>
                    <w:pPr>
                      <w:ind w:left="-57" w:right="-57"/>
                      <w:jc w:val="center"/>
                      <w:rPr>
                        <w:sz w:val="20"/>
                      </w:rPr>
                    </w:pPr>
                    <w:r>
                      <w:rPr>
                        <w:sz w:val="20"/>
                      </w:rPr>
                      <w:t>91 590</w:t>
                    </w:r>
                  </w:p>
                  <w:p>
                    <w:pPr>
                      <w:ind w:left="-57" w:right="-57"/>
                      <w:jc w:val="center"/>
                      <w:rPr>
                        <w:sz w:val="20"/>
                      </w:rPr>
                    </w:pPr>
                    <w:r>
                      <w:rPr>
                        <w:sz w:val="20"/>
                      </w:rPr>
                      <w:t>(2029 m.)</w:t>
                    </w: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1023"/>
                </w:trPr>
                <w:tc>
                  <w:tcPr>
                    <w:tcW w:w="2410" w:type="dxa"/>
                    <w:vMerge w:val="restart"/>
                  </w:tcPr>
                  <w:p>
                    <w:pPr>
                      <w:rPr>
                        <w:sz w:val="20"/>
                      </w:rPr>
                    </w:pPr>
                    <w:r>
                      <w:rPr>
                        <w:sz w:val="20"/>
                      </w:rPr>
                      <w:t>2.5. Regionų ir savivaldybių sveikatos priežiūros įstaigų  infrastruktūros modernizavimas,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p>
                    <w:pPr>
                      <w:rPr>
                        <w:sz w:val="20"/>
                      </w:rPr>
                    </w:pP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shd w:val="clear" w:color="auto" w:fill="auto"/>
                  </w:tcPr>
                  <w:p>
                    <w:pPr>
                      <w:rPr>
                        <w:sz w:val="20"/>
                      </w:rPr>
                    </w:pPr>
                    <w:r>
                      <w:rPr>
                        <w:sz w:val="20"/>
                      </w:rPr>
                      <w:t>44 022,749</w:t>
                    </w:r>
                  </w:p>
                </w:tc>
                <w:tc>
                  <w:tcPr>
                    <w:tcW w:w="992" w:type="dxa"/>
                  </w:tcPr>
                  <w:p>
                    <w:pPr>
                      <w:rPr>
                        <w:sz w:val="20"/>
                      </w:rPr>
                    </w:pPr>
                    <w:r>
                      <w:rPr>
                        <w:sz w:val="20"/>
                      </w:rPr>
                      <w:t>2021–2027 m. IP (ERPF)</w:t>
                    </w:r>
                  </w:p>
                </w:tc>
                <w:tc>
                  <w:tcPr>
                    <w:tcW w:w="2551" w:type="dxa"/>
                    <w:shd w:val="clear" w:color="auto" w:fill="auto"/>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851" w:type="dxa"/>
                    <w:shd w:val="clear" w:color="auto" w:fill="auto"/>
                  </w:tcPr>
                  <w:p>
                    <w:pPr>
                      <w:ind w:left="-57" w:right="-57"/>
                      <w:jc w:val="center"/>
                      <w:rPr>
                        <w:sz w:val="20"/>
                      </w:rPr>
                    </w:pPr>
                    <w:r>
                      <w:rPr>
                        <w:sz w:val="20"/>
                      </w:rPr>
                      <w:t>295 640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shd w:val="clear" w:color="auto" w:fill="auto"/>
                  </w:tcPr>
                  <w:p>
                    <w:pPr>
                      <w:rPr>
                        <w:sz w:val="20"/>
                      </w:rPr>
                    </w:pPr>
                    <w:r>
                      <w:rPr>
                        <w:sz w:val="20"/>
                      </w:rPr>
                      <w:t>7 768,721</w:t>
                    </w:r>
                  </w:p>
                </w:tc>
                <w:tc>
                  <w:tcPr>
                    <w:tcW w:w="992" w:type="dxa"/>
                  </w:tcPr>
                  <w:p>
                    <w:pPr>
                      <w:rPr>
                        <w:sz w:val="20"/>
                      </w:rPr>
                    </w:pPr>
                    <w:r>
                      <w:rPr>
                        <w:sz w:val="20"/>
                      </w:rPr>
                      <w:t>2021–2027 m. IP (BF)</w:t>
                    </w: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851" w:type="dxa"/>
                    <w:shd w:val="clear" w:color="auto" w:fill="auto"/>
                  </w:tcPr>
                  <w:p>
                    <w:pPr>
                      <w:ind w:left="-57" w:right="-57"/>
                      <w:jc w:val="center"/>
                      <w:rPr>
                        <w:sz w:val="20"/>
                      </w:rPr>
                    </w:pPr>
                    <w:r>
                      <w:rPr>
                        <w:sz w:val="20"/>
                      </w:rPr>
                      <w:t>280 860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60"/>
                </w:trPr>
                <w:tc>
                  <w:tcPr>
                    <w:tcW w:w="2410" w:type="dxa"/>
                    <w:vMerge w:val="restart"/>
                  </w:tcPr>
                  <w:p>
                    <w:pPr>
                      <w:rPr>
                        <w:sz w:val="20"/>
                      </w:rPr>
                    </w:pPr>
                    <w:r>
                      <w:rPr>
                        <w:sz w:val="20"/>
                      </w:rPr>
                      <w:t>2.6. Skubios telemedicinos paslaugų diegimas,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rPr>
                    </w:pPr>
                    <w:r>
                      <w:rPr>
                        <w:sz w:val="20"/>
                      </w:rPr>
                      <w:t>3 825</w:t>
                    </w:r>
                  </w:p>
                  <w:p>
                    <w:pPr>
                      <w:rPr>
                        <w:sz w:val="20"/>
                      </w:rPr>
                    </w:pPr>
                  </w:p>
                </w:tc>
                <w:tc>
                  <w:tcPr>
                    <w:tcW w:w="992" w:type="dxa"/>
                  </w:tcPr>
                  <w:p>
                    <w:pPr>
                      <w:rPr>
                        <w:sz w:val="20"/>
                      </w:rPr>
                    </w:pPr>
                    <w:r>
                      <w:rPr>
                        <w:sz w:val="20"/>
                      </w:rPr>
                      <w:t>2021–2027 m. IP (ERPF)</w:t>
                    </w:r>
                  </w:p>
                </w:tc>
                <w:tc>
                  <w:tcPr>
                    <w:tcW w:w="2551" w:type="dxa"/>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Pr>
                  <w:p>
                    <w:pPr>
                      <w:rPr>
                        <w:color w:val="000000"/>
                        <w:sz w:val="20"/>
                      </w:rPr>
                    </w:pPr>
                  </w:p>
                </w:tc>
                <w:tc>
                  <w:tcPr>
                    <w:tcW w:w="709" w:type="dxa"/>
                    <w:vMerge/>
                  </w:tcPr>
                  <w:p>
                    <w:pPr>
                      <w:rPr>
                        <w:color w:val="000000"/>
                        <w:sz w:val="20"/>
                      </w:rPr>
                    </w:pPr>
                  </w:p>
                </w:tc>
                <w:tc>
                  <w:tcPr>
                    <w:tcW w:w="1276" w:type="dxa"/>
                    <w:vMerge w:val="restart"/>
                  </w:tcPr>
                  <w:p>
                    <w:pPr>
                      <w:rPr>
                        <w:sz w:val="20"/>
                      </w:rPr>
                    </w:pPr>
                    <w:r>
                      <w:rPr>
                        <w:sz w:val="20"/>
                      </w:rPr>
                      <w:t>675</w:t>
                    </w:r>
                  </w:p>
                  <w:p>
                    <w:pPr>
                      <w:rPr>
                        <w:color w:val="000000"/>
                        <w:sz w:val="20"/>
                      </w:rPr>
                    </w:pPr>
                  </w:p>
                </w:tc>
                <w:tc>
                  <w:tcPr>
                    <w:tcW w:w="992" w:type="dxa"/>
                    <w:vMerge w:val="restart"/>
                  </w:tcPr>
                  <w:p>
                    <w:pPr>
                      <w:rPr>
                        <w:color w:val="000000"/>
                        <w:sz w:val="20"/>
                      </w:rPr>
                    </w:pPr>
                    <w:r>
                      <w:rPr>
                        <w:sz w:val="20"/>
                      </w:rPr>
                      <w:t>2021–2027 m. IP (BF)</w:t>
                    </w:r>
                  </w:p>
                </w:tc>
                <w:tc>
                  <w:tcPr>
                    <w:tcW w:w="2551" w:type="dxa"/>
                    <w:vMerge/>
                  </w:tcPr>
                  <w:p>
                    <w:pPr>
                      <w:ind w:left="-57" w:right="-57"/>
                      <w:rPr>
                        <w:color w:val="FF0000"/>
                        <w:sz w:val="20"/>
                      </w:rPr>
                    </w:pPr>
                  </w:p>
                </w:tc>
                <w:tc>
                  <w:tcPr>
                    <w:tcW w:w="851" w:type="dxa"/>
                    <w:vMerge/>
                    <w:shd w:val="clear" w:color="auto" w:fill="auto"/>
                  </w:tcPr>
                  <w:p>
                    <w:pPr>
                      <w:ind w:left="-57" w:right="-57"/>
                      <w:jc w:val="center"/>
                      <w:rPr>
                        <w:color w:val="FF0000"/>
                        <w:sz w:val="20"/>
                      </w:rPr>
                    </w:pPr>
                  </w:p>
                </w:tc>
                <w:tc>
                  <w:tcPr>
                    <w:tcW w:w="992" w:type="dxa"/>
                    <w:vMerge/>
                  </w:tcPr>
                  <w:p>
                    <w:pPr>
                      <w:rPr>
                        <w:color w:val="000000"/>
                        <w:sz w:val="20"/>
                      </w:rPr>
                    </w:pPr>
                  </w:p>
                </w:tc>
                <w:tc>
                  <w:tcPr>
                    <w:tcW w:w="1276" w:type="dxa"/>
                    <w:vMerge/>
                    <w:tcBorders>
                      <w:left w:val="single" w:sz="4" w:space="0" w:color="auto"/>
                      <w:right w:val="single" w:sz="4" w:space="0" w:color="auto"/>
                    </w:tcBorders>
                  </w:tcPr>
                  <w:p>
                    <w:pPr>
                      <w:rPr>
                        <w:color w:val="000000"/>
                        <w:sz w:val="20"/>
                      </w:rPr>
                    </w:pPr>
                  </w:p>
                </w:tc>
              </w:tr>
              <w:tr>
                <w:trPr>
                  <w:trHeight w:val="970"/>
                </w:trPr>
                <w:tc>
                  <w:tcPr>
                    <w:tcW w:w="2410" w:type="dxa"/>
                    <w:vMerge/>
                    <w:vAlign w:val="center"/>
                  </w:tcPr>
                  <w:p>
                    <w:pPr>
                      <w:rPr>
                        <w:color w:val="000000"/>
                        <w:sz w:val="20"/>
                      </w:rPr>
                    </w:pPr>
                  </w:p>
                </w:tc>
                <w:tc>
                  <w:tcPr>
                    <w:tcW w:w="709" w:type="dxa"/>
                    <w:vMerge/>
                    <w:vAlign w:val="center"/>
                  </w:tcPr>
                  <w:p>
                    <w:pPr>
                      <w:rPr>
                        <w:color w:val="000000"/>
                        <w:sz w:val="20"/>
                      </w:rPr>
                    </w:pPr>
                  </w:p>
                </w:tc>
                <w:tc>
                  <w:tcPr>
                    <w:tcW w:w="1559" w:type="dxa"/>
                    <w:vMerge/>
                    <w:vAlign w:val="center"/>
                  </w:tcPr>
                  <w:p>
                    <w:pPr>
                      <w:rPr>
                        <w:color w:val="000000"/>
                        <w:sz w:val="20"/>
                      </w:rPr>
                    </w:pPr>
                  </w:p>
                </w:tc>
                <w:tc>
                  <w:tcPr>
                    <w:tcW w:w="709" w:type="dxa"/>
                    <w:vMerge/>
                    <w:vAlign w:val="center"/>
                  </w:tcPr>
                  <w:p>
                    <w:pPr>
                      <w:rPr>
                        <w:color w:val="000000"/>
                        <w:sz w:val="20"/>
                      </w:rPr>
                    </w:pPr>
                  </w:p>
                </w:tc>
                <w:tc>
                  <w:tcPr>
                    <w:tcW w:w="992" w:type="dxa"/>
                    <w:vMerge/>
                    <w:vAlign w:val="center"/>
                  </w:tcPr>
                  <w:p>
                    <w:pPr>
                      <w:rPr>
                        <w:color w:val="000000"/>
                        <w:sz w:val="20"/>
                      </w:rPr>
                    </w:pPr>
                  </w:p>
                </w:tc>
                <w:tc>
                  <w:tcPr>
                    <w:tcW w:w="709" w:type="dxa"/>
                    <w:vMerge/>
                    <w:vAlign w:val="center"/>
                  </w:tcPr>
                  <w:p>
                    <w:pPr>
                      <w:rPr>
                        <w:color w:val="000000"/>
                        <w:sz w:val="20"/>
                      </w:rPr>
                    </w:pPr>
                  </w:p>
                </w:tc>
                <w:tc>
                  <w:tcPr>
                    <w:tcW w:w="1276" w:type="dxa"/>
                    <w:vMerge/>
                    <w:vAlign w:val="center"/>
                  </w:tcPr>
                  <w:p>
                    <w:pPr>
                      <w:rPr>
                        <w:color w:val="000000"/>
                        <w:sz w:val="20"/>
                      </w:rPr>
                    </w:pPr>
                  </w:p>
                </w:tc>
                <w:tc>
                  <w:tcPr>
                    <w:tcW w:w="992" w:type="dxa"/>
                    <w:vMerge/>
                    <w:vAlign w:val="center"/>
                  </w:tcPr>
                  <w:p>
                    <w:pPr>
                      <w:rPr>
                        <w:color w:val="000000"/>
                        <w:sz w:val="20"/>
                      </w:rPr>
                    </w:pPr>
                  </w:p>
                </w:tc>
                <w:tc>
                  <w:tcPr>
                    <w:tcW w:w="2551" w:type="dxa"/>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851" w:type="dxa"/>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709" w:type="dxa"/>
                    <w:vMerge w:val="restart"/>
                    <w:shd w:val="clear" w:color="auto" w:fill="F2F2F2" w:themeFill="background1" w:themeFillShade="F2"/>
                  </w:tcPr>
                  <w:p>
                    <w:pPr>
                      <w:rPr>
                        <w:color w:val="000000"/>
                        <w:sz w:val="20"/>
                      </w:rPr>
                    </w:pPr>
                    <w:r>
                      <w:rPr>
                        <w:sz w:val="20"/>
                      </w:rPr>
                      <w:t>-</w:t>
                    </w:r>
                  </w:p>
                </w:tc>
                <w:tc>
                  <w:tcPr>
                    <w:tcW w:w="1559" w:type="dxa"/>
                    <w:vMerge w:val="restart"/>
                    <w:shd w:val="clear" w:color="auto" w:fill="F2F2F2" w:themeFill="background1" w:themeFillShade="F2"/>
                  </w:tcPr>
                  <w:p>
                    <w:pPr>
                      <w:rPr>
                        <w:color w:val="000000"/>
                        <w:sz w:val="20"/>
                      </w:rPr>
                    </w:pPr>
                    <w:r>
                      <w:rPr>
                        <w:sz w:val="20"/>
                      </w:rPr>
                      <w:t>-</w:t>
                    </w:r>
                  </w:p>
                </w:tc>
                <w:tc>
                  <w:tcPr>
                    <w:tcW w:w="709" w:type="dxa"/>
                    <w:vMerge w:val="restart"/>
                    <w:shd w:val="clear" w:color="auto" w:fill="F2F2F2" w:themeFill="background1" w:themeFillShade="F2"/>
                  </w:tcPr>
                  <w:p>
                    <w:pPr>
                      <w:rPr>
                        <w:color w:val="000000"/>
                        <w:sz w:val="20"/>
                      </w:rPr>
                    </w:pPr>
                    <w:r>
                      <w:rPr>
                        <w:sz w:val="20"/>
                      </w:rPr>
                      <w:t>-</w:t>
                    </w:r>
                  </w:p>
                </w:tc>
                <w:tc>
                  <w:tcPr>
                    <w:tcW w:w="992" w:type="dxa"/>
                    <w:vMerge w:val="restart"/>
                    <w:shd w:val="clear" w:color="auto" w:fill="F2F2F2" w:themeFill="background1" w:themeFillShade="F2"/>
                  </w:tcPr>
                  <w:p>
                    <w:pPr>
                      <w:rPr>
                        <w:color w:val="000000"/>
                        <w:sz w:val="20"/>
                      </w:rPr>
                    </w:pPr>
                    <w:r>
                      <w:rPr>
                        <w:sz w:val="20"/>
                      </w:rPr>
                      <w:t>-</w:t>
                    </w:r>
                  </w:p>
                </w:tc>
                <w:tc>
                  <w:tcPr>
                    <w:tcW w:w="709" w:type="dxa"/>
                    <w:vMerge w:val="restart"/>
                    <w:shd w:val="clear" w:color="auto" w:fill="F2F2F2" w:themeFill="background1" w:themeFillShade="F2"/>
                  </w:tcPr>
                  <w:p>
                    <w:pPr>
                      <w:rPr>
                        <w:color w:val="000000"/>
                        <w:sz w:val="20"/>
                      </w:rPr>
                    </w:pPr>
                    <w:r>
                      <w:rPr>
                        <w:sz w:val="20"/>
                      </w:rPr>
                      <w:t>-</w:t>
                    </w:r>
                  </w:p>
                </w:tc>
                <w:tc>
                  <w:tcPr>
                    <w:tcW w:w="1276" w:type="dxa"/>
                    <w:shd w:val="clear" w:color="auto" w:fill="F2F2F2" w:themeFill="background1" w:themeFillShade="F2"/>
                  </w:tcPr>
                  <w:p>
                    <w:pPr>
                      <w:rPr>
                        <w:color w:val="000000"/>
                        <w:sz w:val="20"/>
                      </w:rPr>
                    </w:pPr>
                    <w:r>
                      <w:rPr>
                        <w:b/>
                        <w:bCs/>
                        <w:sz w:val="20"/>
                      </w:rPr>
                      <w:t>52 970,227</w:t>
                    </w:r>
                  </w:p>
                </w:tc>
                <w:tc>
                  <w:tcPr>
                    <w:tcW w:w="992" w:type="dxa"/>
                    <w:shd w:val="clear" w:color="auto" w:fill="F2F2F2" w:themeFill="background1" w:themeFillShade="F2"/>
                  </w:tcPr>
                  <w:p>
                    <w:pPr>
                      <w:rPr>
                        <w:color w:val="000000"/>
                        <w:sz w:val="20"/>
                      </w:rPr>
                    </w:pPr>
                    <w:r>
                      <w:rPr>
                        <w:sz w:val="20"/>
                      </w:rPr>
                      <w:t>-</w:t>
                    </w:r>
                  </w:p>
                </w:tc>
                <w:tc>
                  <w:tcPr>
                    <w:tcW w:w="2551" w:type="dxa"/>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19 500</w:t>
                    </w:r>
                  </w:p>
                </w:tc>
                <w:tc>
                  <w:tcPr>
                    <w:tcW w:w="992" w:type="dxa"/>
                    <w:shd w:val="clear" w:color="auto" w:fill="F2F2F2" w:themeFill="background1" w:themeFillShade="F2"/>
                  </w:tcPr>
                  <w:p>
                    <w:pPr>
                      <w:rPr>
                        <w:sz w:val="20"/>
                      </w:rPr>
                    </w:pPr>
                    <w:r>
                      <w:rPr>
                        <w:sz w:val="20"/>
                      </w:rPr>
                      <w:t>EGADP</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4 090</w:t>
                    </w:r>
                  </w:p>
                </w:tc>
                <w:tc>
                  <w:tcPr>
                    <w:tcW w:w="992" w:type="dxa"/>
                    <w:shd w:val="clear" w:color="auto" w:fill="F2F2F2" w:themeFill="background1" w:themeFillShade="F2"/>
                  </w:tcPr>
                  <w:p>
                    <w:pPr>
                      <w:rPr>
                        <w:sz w:val="20"/>
                      </w:rPr>
                    </w:pPr>
                    <w:r>
                      <w:rPr>
                        <w:sz w:val="20"/>
                      </w:rPr>
                      <w:t>PVM iš VB</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8 823,193</w:t>
                    </w:r>
                  </w:p>
                </w:tc>
                <w:tc>
                  <w:tcPr>
                    <w:tcW w:w="992" w:type="dxa"/>
                    <w:shd w:val="clear" w:color="auto" w:fill="F2F2F2" w:themeFill="background1" w:themeFillShade="F2"/>
                  </w:tcPr>
                  <w:p>
                    <w:pPr>
                      <w:rPr>
                        <w:sz w:val="20"/>
                      </w:rPr>
                    </w:pPr>
                    <w:r>
                      <w:rPr>
                        <w:sz w:val="20"/>
                      </w:rPr>
                      <w:t xml:space="preserve">2021–2027 m. IP (ESF+, VVL regionas) </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851" w:type="dxa"/>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1 557,034</w:t>
                    </w:r>
                  </w:p>
                </w:tc>
                <w:tc>
                  <w:tcPr>
                    <w:tcW w:w="992" w:type="dxa"/>
                    <w:shd w:val="clear" w:color="auto" w:fill="F2F2F2" w:themeFill="background1" w:themeFillShade="F2"/>
                  </w:tcPr>
                  <w:p>
                    <w:pPr>
                      <w:rPr>
                        <w:sz w:val="20"/>
                      </w:rPr>
                    </w:pPr>
                    <w:r>
                      <w:rPr>
                        <w:sz w:val="20"/>
                      </w:rPr>
                      <w:t xml:space="preserve">2021–2027 m. IP (BF, VVL regionas) </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851" w:type="dxa"/>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19 000</w:t>
                    </w:r>
                  </w:p>
                </w:tc>
                <w:tc>
                  <w:tcPr>
                    <w:tcW w:w="992" w:type="dxa"/>
                    <w:shd w:val="clear" w:color="auto" w:fill="F2F2F2" w:themeFill="background1" w:themeFillShade="F2"/>
                  </w:tcPr>
                  <w:p>
                    <w:pPr>
                      <w:rPr>
                        <w:sz w:val="20"/>
                      </w:rPr>
                    </w:pPr>
                    <w:r>
                      <w:rPr>
                        <w:sz w:val="20"/>
                      </w:rPr>
                      <w:t>VB</w:t>
                    </w:r>
                  </w:p>
                </w:tc>
                <w:tc>
                  <w:tcPr>
                    <w:tcW w:w="2551" w:type="dxa"/>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851" w:type="dxa"/>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410" w:type="dxa"/>
                    <w:vMerge w:val="restart"/>
                  </w:tcPr>
                  <w:p>
                    <w:pPr>
                      <w:rPr>
                        <w:color w:val="000000"/>
                        <w:sz w:val="20"/>
                      </w:rPr>
                    </w:pPr>
                    <w:r>
                      <w:rPr>
                        <w:sz w:val="20"/>
                      </w:rPr>
                      <w:t>3.1. Pažangios terapijos centro statyba</w:t>
                    </w:r>
                  </w:p>
                </w:tc>
                <w:tc>
                  <w:tcPr>
                    <w:tcW w:w="709" w:type="dxa"/>
                    <w:vMerge w:val="restart"/>
                  </w:tcPr>
                  <w:p>
                    <w:pPr>
                      <w:rPr>
                        <w:color w:val="000000"/>
                        <w:sz w:val="20"/>
                      </w:rPr>
                    </w:pPr>
                    <w:r>
                      <w:rPr>
                        <w:sz w:val="20"/>
                      </w:rPr>
                      <w:t>I</w:t>
                    </w:r>
                  </w:p>
                </w:tc>
                <w:tc>
                  <w:tcPr>
                    <w:tcW w:w="1559" w:type="dxa"/>
                    <w:vMerge w:val="restart"/>
                  </w:tcPr>
                  <w:p>
                    <w:pPr>
                      <w:rPr>
                        <w:color w:val="000000"/>
                        <w:sz w:val="20"/>
                      </w:rPr>
                    </w:pPr>
                    <w:r>
                      <w:rPr>
                        <w:sz w:val="20"/>
                      </w:rPr>
                      <w:t>VšĮ Vilniaus universiteto ligoninė Santaros klinikos</w:t>
                    </w:r>
                  </w:p>
                </w:tc>
                <w:tc>
                  <w:tcPr>
                    <w:tcW w:w="709" w:type="dxa"/>
                    <w:vMerge w:val="restart"/>
                  </w:tcPr>
                  <w:p>
                    <w:pPr>
                      <w:rPr>
                        <w:color w:val="000000"/>
                        <w:sz w:val="20"/>
                      </w:rPr>
                    </w:pPr>
                    <w:r>
                      <w:rPr>
                        <w:sz w:val="20"/>
                      </w:rPr>
                      <w:t>P</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Taip</w:t>
                    </w:r>
                  </w:p>
                </w:tc>
                <w:tc>
                  <w:tcPr>
                    <w:tcW w:w="709" w:type="dxa"/>
                    <w:vMerge w:val="restart"/>
                    <w:tcBorders>
                      <w:left w:val="single" w:sz="4" w:space="0" w:color="auto"/>
                      <w:right w:val="single" w:sz="4" w:space="0" w:color="auto"/>
                    </w:tcBorders>
                  </w:tcPr>
                  <w:p>
                    <w:pPr>
                      <w:jc w:val="center"/>
                      <w:rPr>
                        <w:color w:val="000000"/>
                        <w:sz w:val="20"/>
                      </w:rPr>
                    </w:pPr>
                    <w:r>
                      <w:rPr>
                        <w:color w:val="000000"/>
                        <w:sz w:val="20"/>
                      </w:rPr>
                      <w:t>D</w:t>
                    </w:r>
                  </w:p>
                </w:tc>
                <w:tc>
                  <w:tcPr>
                    <w:tcW w:w="1276" w:type="dxa"/>
                    <w:tcBorders>
                      <w:left w:val="single" w:sz="4" w:space="0" w:color="auto"/>
                      <w:right w:val="single" w:sz="4" w:space="0" w:color="auto"/>
                    </w:tcBorders>
                    <w:vAlign w:val="center"/>
                  </w:tcPr>
                  <w:p>
                    <w:pPr>
                      <w:rPr>
                        <w:color w:val="000000"/>
                        <w:sz w:val="20"/>
                      </w:rPr>
                    </w:pPr>
                    <w:r>
                      <w:rPr>
                        <w:color w:val="000000"/>
                        <w:sz w:val="20"/>
                      </w:rPr>
                      <w:t>13 200</w:t>
                    </w:r>
                  </w:p>
                </w:tc>
                <w:tc>
                  <w:tcPr>
                    <w:tcW w:w="992" w:type="dxa"/>
                    <w:tcBorders>
                      <w:left w:val="single" w:sz="4" w:space="0" w:color="auto"/>
                      <w:right w:val="single" w:sz="4" w:space="0" w:color="auto"/>
                    </w:tcBorders>
                    <w:vAlign w:val="center"/>
                  </w:tcPr>
                  <w:p>
                    <w:pPr>
                      <w:rPr>
                        <w:color w:val="000000"/>
                        <w:sz w:val="20"/>
                      </w:rPr>
                    </w:pPr>
                    <w:r>
                      <w:rPr>
                        <w:color w:val="000000"/>
                        <w:sz w:val="20"/>
                      </w:rPr>
                      <w:t>EGADP</w:t>
                    </w:r>
                  </w:p>
                </w:tc>
                <w:tc>
                  <w:tcPr>
                    <w:tcW w:w="2551" w:type="dxa"/>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851"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tcBorders>
                      <w:left w:val="single" w:sz="4" w:space="0" w:color="auto"/>
                      <w:right w:val="single" w:sz="4" w:space="0" w:color="auto"/>
                    </w:tcBorders>
                    <w:vAlign w:val="center"/>
                  </w:tcPr>
                  <w:p>
                    <w:pPr>
                      <w:rPr>
                        <w:color w:val="000000"/>
                        <w:sz w:val="20"/>
                      </w:rPr>
                    </w:pPr>
                    <w:r>
                      <w:rPr>
                        <w:color w:val="000000"/>
                        <w:sz w:val="20"/>
                      </w:rPr>
                      <w:t>2 770</w:t>
                    </w:r>
                  </w:p>
                </w:tc>
                <w:tc>
                  <w:tcPr>
                    <w:tcW w:w="992" w:type="dxa"/>
                    <w:tcBorders>
                      <w:left w:val="single" w:sz="4" w:space="0" w:color="auto"/>
                      <w:right w:val="single" w:sz="4" w:space="0" w:color="auto"/>
                    </w:tcBorders>
                    <w:vAlign w:val="center"/>
                  </w:tcPr>
                  <w:p>
                    <w:pPr>
                      <w:rPr>
                        <w:color w:val="000000"/>
                        <w:sz w:val="20"/>
                      </w:rPr>
                    </w:pPr>
                    <w:r>
                      <w:rPr>
                        <w:color w:val="000000"/>
                        <w:sz w:val="20"/>
                      </w:rPr>
                      <w:t>PVM iš VB</w:t>
                    </w:r>
                  </w:p>
                </w:tc>
                <w:tc>
                  <w:tcPr>
                    <w:tcW w:w="2551" w:type="dxa"/>
                    <w:vMerge/>
                    <w:tcBorders>
                      <w:left w:val="single" w:sz="4" w:space="0" w:color="auto"/>
                      <w:right w:val="single" w:sz="4" w:space="0" w:color="auto"/>
                    </w:tcBorders>
                    <w:shd w:val="clear" w:color="auto" w:fill="auto"/>
                  </w:tcPr>
                  <w:p>
                    <w:pPr>
                      <w:ind w:left="-57" w:right="-57"/>
                      <w:rPr>
                        <w:color w:val="FF0000"/>
                        <w:sz w:val="20"/>
                      </w:rPr>
                    </w:pPr>
                  </w:p>
                </w:tc>
                <w:tc>
                  <w:tcPr>
                    <w:tcW w:w="851" w:type="dxa"/>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230"/>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val="restart"/>
                    <w:tcBorders>
                      <w:left w:val="single" w:sz="4" w:space="0" w:color="auto"/>
                      <w:right w:val="single" w:sz="4" w:space="0" w:color="auto"/>
                    </w:tcBorders>
                    <w:vAlign w:val="center"/>
                  </w:tcPr>
                  <w:p>
                    <w:pPr>
                      <w:rPr>
                        <w:color w:val="000000"/>
                        <w:sz w:val="20"/>
                      </w:rPr>
                    </w:pPr>
                  </w:p>
                </w:tc>
                <w:tc>
                  <w:tcPr>
                    <w:tcW w:w="992" w:type="dxa"/>
                    <w:vMerge w:val="restart"/>
                    <w:tcBorders>
                      <w:left w:val="single" w:sz="4" w:space="0" w:color="auto"/>
                      <w:right w:val="single" w:sz="4" w:space="0" w:color="auto"/>
                    </w:tcBorders>
                    <w:vAlign w:val="center"/>
                  </w:tcPr>
                  <w:p>
                    <w:pPr>
                      <w:rPr>
                        <w:color w:val="000000"/>
                        <w:sz w:val="20"/>
                      </w:rPr>
                    </w:pPr>
                  </w:p>
                </w:tc>
                <w:tc>
                  <w:tcPr>
                    <w:tcW w:w="2551" w:type="dxa"/>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851" w:type="dxa"/>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61"/>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709"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2551" w:type="dxa"/>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851" w:type="dxa"/>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520"/>
                </w:trPr>
                <w:tc>
                  <w:tcPr>
                    <w:tcW w:w="2410" w:type="dxa"/>
                    <w:vMerge w:val="restart"/>
                  </w:tcPr>
                  <w:p>
                    <w:pPr>
                      <w:rPr>
                        <w:color w:val="000000"/>
                        <w:sz w:val="20"/>
                      </w:rPr>
                    </w:pPr>
                    <w:r>
                      <w:rPr>
                        <w:sz w:val="20"/>
                      </w:rPr>
                      <w:t>3.2. Genomo tyrimams atlikti reikalingos įrangos įsigijimas ir tyrimų atlikimas</w:t>
                    </w:r>
                  </w:p>
                </w:tc>
                <w:tc>
                  <w:tcPr>
                    <w:tcW w:w="709" w:type="dxa"/>
                    <w:vMerge w:val="restart"/>
                  </w:tcPr>
                  <w:p>
                    <w:pPr>
                      <w:rPr>
                        <w:color w:val="000000"/>
                        <w:sz w:val="20"/>
                      </w:rPr>
                    </w:pPr>
                    <w:r>
                      <w:rPr>
                        <w:sz w:val="20"/>
                      </w:rPr>
                      <w:t>I</w:t>
                    </w:r>
                  </w:p>
                </w:tc>
                <w:tc>
                  <w:tcPr>
                    <w:tcW w:w="1559" w:type="dxa"/>
                    <w:vMerge w:val="restart"/>
                  </w:tcPr>
                  <w:p>
                    <w:pPr>
                      <w:rPr>
                        <w:color w:val="000000"/>
                        <w:sz w:val="20"/>
                      </w:rPr>
                    </w:pPr>
                    <w:r>
                      <w:rPr>
                        <w:sz w:val="20"/>
                      </w:rPr>
                      <w:t>ASPĮ</w:t>
                    </w:r>
                  </w:p>
                </w:tc>
                <w:tc>
                  <w:tcPr>
                    <w:tcW w:w="709" w:type="dxa"/>
                    <w:vMerge w:val="restart"/>
                  </w:tcPr>
                  <w:p>
                    <w:pPr>
                      <w:rPr>
                        <w:color w:val="000000"/>
                        <w:sz w:val="20"/>
                      </w:rPr>
                    </w:pPr>
                    <w:r>
                      <w:rPr>
                        <w:sz w:val="20"/>
                      </w:rPr>
                      <w:t>P</w:t>
                    </w:r>
                  </w:p>
                </w:tc>
                <w:tc>
                  <w:tcPr>
                    <w:tcW w:w="992" w:type="dxa"/>
                    <w:vMerge w:val="restart"/>
                  </w:tcPr>
                  <w:p>
                    <w:pPr>
                      <w:rPr>
                        <w:color w:val="000000"/>
                        <w:sz w:val="20"/>
                      </w:rPr>
                    </w:pPr>
                    <w:r>
                      <w:rPr>
                        <w:sz w:val="20"/>
                      </w:rPr>
                      <w:t>Taip</w:t>
                    </w:r>
                  </w:p>
                </w:tc>
                <w:tc>
                  <w:tcPr>
                    <w:tcW w:w="709" w:type="dxa"/>
                    <w:vMerge w:val="restart"/>
                  </w:tcPr>
                  <w:p>
                    <w:pPr>
                      <w:rPr>
                        <w:color w:val="000000"/>
                        <w:sz w:val="20"/>
                      </w:rPr>
                    </w:pPr>
                    <w:r>
                      <w:rPr>
                        <w:sz w:val="20"/>
                      </w:rPr>
                      <w:t>D</w:t>
                    </w:r>
                  </w:p>
                </w:tc>
                <w:tc>
                  <w:tcPr>
                    <w:tcW w:w="1276" w:type="dxa"/>
                  </w:tcPr>
                  <w:p>
                    <w:pPr>
                      <w:rPr>
                        <w:color w:val="000000"/>
                        <w:sz w:val="20"/>
                      </w:rPr>
                    </w:pPr>
                    <w:r>
                      <w:rPr>
                        <w:sz w:val="20"/>
                      </w:rPr>
                      <w:t>6 300</w:t>
                    </w:r>
                  </w:p>
                </w:tc>
                <w:tc>
                  <w:tcPr>
                    <w:tcW w:w="992" w:type="dxa"/>
                  </w:tcPr>
                  <w:p>
                    <w:pPr>
                      <w:rPr>
                        <w:color w:val="000000"/>
                        <w:sz w:val="20"/>
                      </w:rPr>
                    </w:pPr>
                    <w:r>
                      <w:rPr>
                        <w:sz w:val="20"/>
                      </w:rPr>
                      <w:t>EGADP</w:t>
                    </w:r>
                  </w:p>
                </w:tc>
                <w:tc>
                  <w:tcPr>
                    <w:tcW w:w="2551" w:type="dxa"/>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851" w:type="dxa"/>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410" w:type="dxa"/>
                    <w:vMerge/>
                  </w:tcPr>
                  <w:p>
                    <w:pPr>
                      <w:rPr>
                        <w:color w:val="000000"/>
                        <w:sz w:val="20"/>
                      </w:rPr>
                    </w:pPr>
                  </w:p>
                </w:tc>
                <w:tc>
                  <w:tcPr>
                    <w:tcW w:w="709" w:type="dxa"/>
                    <w:vMerge/>
                  </w:tcPr>
                  <w:p>
                    <w:pPr>
                      <w:rPr>
                        <w:color w:val="000000"/>
                        <w:sz w:val="20"/>
                      </w:rPr>
                    </w:pPr>
                  </w:p>
                </w:tc>
                <w:tc>
                  <w:tcPr>
                    <w:tcW w:w="1559" w:type="dxa"/>
                    <w:vMerge/>
                  </w:tcPr>
                  <w:p>
                    <w:pPr>
                      <w:rPr>
                        <w:color w:val="000000"/>
                        <w:sz w:val="20"/>
                      </w:rPr>
                    </w:pPr>
                  </w:p>
                </w:tc>
                <w:tc>
                  <w:tcPr>
                    <w:tcW w:w="709" w:type="dxa"/>
                    <w:vMerge/>
                  </w:tcPr>
                  <w:p>
                    <w:pPr>
                      <w:rPr>
                        <w:color w:val="000000"/>
                        <w:sz w:val="20"/>
                      </w:rPr>
                    </w:pPr>
                  </w:p>
                </w:tc>
                <w:tc>
                  <w:tcPr>
                    <w:tcW w:w="992" w:type="dxa"/>
                    <w:vMerge/>
                    <w:vAlign w:val="center"/>
                  </w:tcPr>
                  <w:p>
                    <w:pPr>
                      <w:rPr>
                        <w:color w:val="000000"/>
                        <w:sz w:val="20"/>
                      </w:rPr>
                    </w:pPr>
                  </w:p>
                </w:tc>
                <w:tc>
                  <w:tcPr>
                    <w:tcW w:w="709" w:type="dxa"/>
                    <w:vMerge/>
                    <w:vAlign w:val="center"/>
                  </w:tcPr>
                  <w:p>
                    <w:pPr>
                      <w:rPr>
                        <w:color w:val="000000"/>
                        <w:sz w:val="20"/>
                      </w:rPr>
                    </w:pPr>
                  </w:p>
                </w:tc>
                <w:tc>
                  <w:tcPr>
                    <w:tcW w:w="1276" w:type="dxa"/>
                    <w:vMerge w:val="restart"/>
                  </w:tcPr>
                  <w:p>
                    <w:pPr>
                      <w:rPr>
                        <w:color w:val="000000"/>
                        <w:sz w:val="20"/>
                      </w:rPr>
                    </w:pPr>
                    <w:r>
                      <w:rPr>
                        <w:sz w:val="20"/>
                      </w:rPr>
                      <w:t>1 320</w:t>
                    </w:r>
                  </w:p>
                </w:tc>
                <w:tc>
                  <w:tcPr>
                    <w:tcW w:w="992" w:type="dxa"/>
                    <w:vMerge w:val="restart"/>
                  </w:tcPr>
                  <w:p>
                    <w:pPr>
                      <w:rPr>
                        <w:color w:val="000000"/>
                        <w:sz w:val="20"/>
                      </w:rPr>
                    </w:pPr>
                    <w:r>
                      <w:rPr>
                        <w:iCs/>
                        <w:sz w:val="20"/>
                      </w:rPr>
                      <w:t>PVM iš VB</w:t>
                    </w:r>
                  </w:p>
                </w:tc>
                <w:tc>
                  <w:tcPr>
                    <w:tcW w:w="2551" w:type="dxa"/>
                    <w:vMerge/>
                    <w:tcBorders>
                      <w:bottom w:val="single" w:sz="4" w:space="0" w:color="auto"/>
                    </w:tcBorders>
                    <w:shd w:val="clear" w:color="auto" w:fill="auto"/>
                  </w:tcPr>
                  <w:p>
                    <w:pPr>
                      <w:ind w:left="-57" w:right="-57"/>
                      <w:rPr>
                        <w:sz w:val="20"/>
                      </w:rPr>
                    </w:pPr>
                  </w:p>
                </w:tc>
                <w:tc>
                  <w:tcPr>
                    <w:tcW w:w="851" w:type="dxa"/>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1"/>
                </w:trPr>
                <w:tc>
                  <w:tcPr>
                    <w:tcW w:w="2410" w:type="dxa"/>
                    <w:vMerge/>
                    <w:shd w:val="clear" w:color="auto" w:fill="auto"/>
                  </w:tcPr>
                  <w:p>
                    <w:pPr>
                      <w:rPr>
                        <w:iCs/>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851" w:type="dxa"/>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410" w:type="dxa"/>
                    <w:vMerge/>
                    <w:shd w:val="clear" w:color="auto" w:fill="auto"/>
                  </w:tcPr>
                  <w:p>
                    <w:pPr>
                      <w:rPr>
                        <w:iCs/>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851" w:type="dxa"/>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410" w:type="dxa"/>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709" w:type="dxa"/>
                    <w:vMerge w:val="restart"/>
                  </w:tcPr>
                  <w:p>
                    <w:pPr>
                      <w:rPr>
                        <w:sz w:val="20"/>
                      </w:rPr>
                    </w:pPr>
                    <w:r>
                      <w:rPr>
                        <w:sz w:val="20"/>
                      </w:rPr>
                      <w:t>I</w:t>
                    </w:r>
                  </w:p>
                </w:tc>
                <w:tc>
                  <w:tcPr>
                    <w:tcW w:w="1559"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vMerge w:val="restart"/>
                  </w:tcPr>
                  <w:p>
                    <w:pPr>
                      <w:rPr>
                        <w:sz w:val="20"/>
                      </w:rPr>
                    </w:pPr>
                    <w:r>
                      <w:rPr>
                        <w:sz w:val="20"/>
                      </w:rPr>
                      <w:t>5 525</w:t>
                    </w:r>
                  </w:p>
                  <w:p>
                    <w:pPr>
                      <w:rPr>
                        <w:sz w:val="20"/>
                      </w:rPr>
                    </w:pPr>
                  </w:p>
                  <w:p>
                    <w:pPr>
                      <w:rPr>
                        <w:sz w:val="20"/>
                      </w:rPr>
                    </w:pPr>
                  </w:p>
                </w:tc>
                <w:tc>
                  <w:tcPr>
                    <w:tcW w:w="992" w:type="dxa"/>
                    <w:vMerge w:val="restart"/>
                  </w:tcPr>
                  <w:p>
                    <w:pPr>
                      <w:rPr>
                        <w:sz w:val="20"/>
                      </w:rPr>
                    </w:pPr>
                    <w:r>
                      <w:rPr>
                        <w:sz w:val="20"/>
                      </w:rPr>
                      <w:t>2021–2027 m. IP (ESF</w:t>
                    </w:r>
                    <w:r>
                      <w:rPr>
                        <w:sz w:val="20"/>
                        <w:lang w:val="en-US"/>
                      </w:rPr>
                      <w:t>+</w:t>
                    </w:r>
                    <w:r>
                      <w:rPr>
                        <w:sz w:val="20"/>
                      </w:rPr>
                      <w:t xml:space="preserve">) </w:t>
                    </w:r>
                  </w:p>
                </w:tc>
                <w:tc>
                  <w:tcPr>
                    <w:tcW w:w="2551" w:type="dxa"/>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851" w:type="dxa"/>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851" w:type="dxa"/>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rPr>
                    </w:pPr>
                    <w:r>
                      <w:rPr>
                        <w:sz w:val="20"/>
                      </w:rPr>
                      <w:t>975</w:t>
                    </w:r>
                  </w:p>
                </w:tc>
                <w:tc>
                  <w:tcPr>
                    <w:tcW w:w="992" w:type="dxa"/>
                    <w:vMerge w:val="restart"/>
                  </w:tcPr>
                  <w:p>
                    <w:pPr>
                      <w:rPr>
                        <w:sz w:val="20"/>
                      </w:rPr>
                    </w:pPr>
                    <w:r>
                      <w:rPr>
                        <w:sz w:val="20"/>
                      </w:rPr>
                      <w:t xml:space="preserve">2021–2027 m. IP (BF) </w:t>
                    </w:r>
                  </w:p>
                </w:tc>
                <w:tc>
                  <w:tcPr>
                    <w:tcW w:w="2551" w:type="dxa"/>
                    <w:shd w:val="clear" w:color="auto" w:fill="FFFFFF" w:themeFill="background1"/>
                  </w:tcPr>
                  <w:p>
                    <w:pPr>
                      <w:ind w:left="-57" w:right="-57"/>
                      <w:rPr>
                        <w:sz w:val="20"/>
                      </w:rPr>
                    </w:pPr>
                    <w:r>
                      <w:rPr>
                        <w:sz w:val="20"/>
                      </w:rPr>
                      <w:t>R – Pacientų pasitenkinimas gautomis paslaugomis, proc.</w:t>
                    </w:r>
                  </w:p>
                </w:tc>
                <w:tc>
                  <w:tcPr>
                    <w:tcW w:w="851" w:type="dxa"/>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92"/>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851" w:type="dxa"/>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264"/>
                </w:trPr>
                <w:tc>
                  <w:tcPr>
                    <w:tcW w:w="2410" w:type="dxa"/>
                  </w:tcPr>
                  <w:p>
                    <w:pPr>
                      <w:rPr>
                        <w:iCs/>
                        <w:sz w:val="20"/>
                      </w:rPr>
                    </w:pPr>
                    <w:r>
                      <w:rPr>
                        <w:iCs/>
                        <w:sz w:val="20"/>
                      </w:rPr>
                      <w:t>3.4. Sudėtingų sveikatos priežiūros diagnostikos ir gydymo paslaugų infrastruktūros modernizavimas</w:t>
                    </w:r>
                  </w:p>
                </w:tc>
                <w:tc>
                  <w:tcPr>
                    <w:tcW w:w="709" w:type="dxa"/>
                  </w:tcPr>
                  <w:p>
                    <w:pPr>
                      <w:rPr>
                        <w:color w:val="000000"/>
                        <w:sz w:val="20"/>
                      </w:rPr>
                    </w:pPr>
                    <w:r>
                      <w:rPr>
                        <w:sz w:val="20"/>
                      </w:rPr>
                      <w:t>I</w:t>
                    </w:r>
                  </w:p>
                </w:tc>
                <w:tc>
                  <w:tcPr>
                    <w:tcW w:w="1559" w:type="dxa"/>
                  </w:tcPr>
                  <w:p>
                    <w:pPr>
                      <w:rPr>
                        <w:color w:val="000000"/>
                        <w:sz w:val="20"/>
                      </w:rPr>
                    </w:pPr>
                    <w:r>
                      <w:rPr>
                        <w:sz w:val="20"/>
                      </w:rPr>
                      <w:t>ASPĮ</w:t>
                    </w:r>
                  </w:p>
                </w:tc>
                <w:tc>
                  <w:tcPr>
                    <w:tcW w:w="709" w:type="dxa"/>
                  </w:tcPr>
                  <w:p>
                    <w:pPr>
                      <w:rPr>
                        <w:color w:val="000000"/>
                        <w:sz w:val="20"/>
                      </w:rPr>
                    </w:pPr>
                    <w:r>
                      <w:rPr>
                        <w:sz w:val="20"/>
                      </w:rPr>
                      <w:t>P</w:t>
                    </w:r>
                  </w:p>
                </w:tc>
                <w:tc>
                  <w:tcPr>
                    <w:tcW w:w="992" w:type="dxa"/>
                  </w:tcPr>
                  <w:p>
                    <w:pPr>
                      <w:rPr>
                        <w:color w:val="000000"/>
                        <w:sz w:val="20"/>
                      </w:rPr>
                    </w:pPr>
                    <w:r>
                      <w:rPr>
                        <w:sz w:val="20"/>
                      </w:rPr>
                      <w:t>Taip</w:t>
                    </w:r>
                  </w:p>
                </w:tc>
                <w:tc>
                  <w:tcPr>
                    <w:tcW w:w="709" w:type="dxa"/>
                  </w:tcPr>
                  <w:p>
                    <w:pPr>
                      <w:rPr>
                        <w:color w:val="000000"/>
                        <w:sz w:val="20"/>
                      </w:rPr>
                    </w:pPr>
                    <w:r>
                      <w:rPr>
                        <w:sz w:val="20"/>
                      </w:rPr>
                      <w:t>D</w:t>
                    </w:r>
                  </w:p>
                </w:tc>
                <w:tc>
                  <w:tcPr>
                    <w:tcW w:w="1276" w:type="dxa"/>
                  </w:tcPr>
                  <w:p>
                    <w:pPr>
                      <w:rPr>
                        <w:sz w:val="20"/>
                      </w:rPr>
                    </w:pPr>
                    <w:r>
                      <w:rPr>
                        <w:sz w:val="20"/>
                      </w:rPr>
                      <w:t>19 000</w:t>
                    </w:r>
                  </w:p>
                </w:tc>
                <w:tc>
                  <w:tcPr>
                    <w:tcW w:w="992" w:type="dxa"/>
                  </w:tcPr>
                  <w:p>
                    <w:pPr>
                      <w:rPr>
                        <w:sz w:val="20"/>
                      </w:rPr>
                    </w:pPr>
                    <w:r>
                      <w:rPr>
                        <w:sz w:val="20"/>
                      </w:rPr>
                      <w:t>VB</w:t>
                    </w:r>
                  </w:p>
                </w:tc>
                <w:tc>
                  <w:tcPr>
                    <w:tcW w:w="2551" w:type="dxa"/>
                    <w:shd w:val="clear" w:color="auto" w:fill="auto"/>
                  </w:tcPr>
                  <w:p>
                    <w:pPr>
                      <w:ind w:left="-57" w:right="-57"/>
                      <w:rPr>
                        <w:sz w:val="20"/>
                      </w:rPr>
                    </w:pPr>
                    <w:r>
                      <w:rPr>
                        <w:sz w:val="20"/>
                      </w:rPr>
                      <w:t>P – Modernizuotų asmens sveikatos priežiūros įstaigų skaičius</w:t>
                    </w:r>
                  </w:p>
                </w:tc>
                <w:tc>
                  <w:tcPr>
                    <w:tcW w:w="851" w:type="dxa"/>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6"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410" w:type="dxa"/>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55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70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6"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410" w:type="dxa"/>
                    <w:tcBorders>
                      <w:top w:val="single" w:sz="4" w:space="0" w:color="auto"/>
                      <w:left w:val="single" w:sz="4" w:space="0" w:color="auto"/>
                      <w:bottom w:val="single" w:sz="4" w:space="0" w:color="auto"/>
                      <w:right w:val="single" w:sz="4" w:space="0" w:color="auto"/>
                    </w:tcBorders>
                  </w:tcPr>
                  <w:p>
                    <w:pPr>
                      <w:rPr>
                        <w:iCs/>
                        <w:sz w:val="20"/>
                      </w:rPr>
                    </w:pPr>
                  </w:p>
                </w:tc>
                <w:tc>
                  <w:tcPr>
                    <w:tcW w:w="709" w:type="dxa"/>
                    <w:tcBorders>
                      <w:top w:val="single" w:sz="4" w:space="0" w:color="auto"/>
                      <w:left w:val="single" w:sz="4" w:space="0" w:color="auto"/>
                      <w:bottom w:val="single" w:sz="4" w:space="0" w:color="auto"/>
                      <w:right w:val="single" w:sz="4" w:space="0" w:color="auto"/>
                    </w:tcBorders>
                  </w:tcPr>
                  <w:p>
                    <w:pPr>
                      <w:rPr>
                        <w:sz w:val="20"/>
                      </w:rPr>
                    </w:pPr>
                  </w:p>
                </w:tc>
                <w:tc>
                  <w:tcPr>
                    <w:tcW w:w="1559" w:type="dxa"/>
                    <w:tcBorders>
                      <w:top w:val="single" w:sz="4" w:space="0" w:color="auto"/>
                      <w:left w:val="single" w:sz="4" w:space="0" w:color="auto"/>
                      <w:bottom w:val="single" w:sz="4" w:space="0" w:color="auto"/>
                      <w:right w:val="single" w:sz="4" w:space="0" w:color="auto"/>
                    </w:tcBorders>
                  </w:tcPr>
                  <w:p>
                    <w:pPr>
                      <w:rPr>
                        <w:sz w:val="20"/>
                      </w:rPr>
                    </w:pPr>
                  </w:p>
                </w:tc>
                <w:tc>
                  <w:tcPr>
                    <w:tcW w:w="709" w:type="dxa"/>
                    <w:tcBorders>
                      <w:top w:val="single" w:sz="4" w:space="0" w:color="auto"/>
                      <w:left w:val="single" w:sz="4" w:space="0" w:color="auto"/>
                      <w:bottom w:val="single" w:sz="4" w:space="0" w:color="auto"/>
                      <w:right w:val="single" w:sz="4" w:space="0" w:color="auto"/>
                    </w:tcBorders>
                  </w:tcPr>
                  <w:p>
                    <w:pPr>
                      <w:rPr>
                        <w:sz w:val="20"/>
                      </w:rPr>
                    </w:pP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709" w:type="dxa"/>
                    <w:tcBorders>
                      <w:top w:val="single" w:sz="4" w:space="0" w:color="auto"/>
                      <w:left w:val="single" w:sz="4" w:space="0" w:color="auto"/>
                      <w:bottom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6"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410" w:type="dxa"/>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559"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709"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b/>
                        <w:bCs/>
                        <w:sz w:val="20"/>
                      </w:rPr>
                    </w:pPr>
                    <w:r>
                      <w:rPr>
                        <w:b/>
                        <w:bCs/>
                        <w:sz w:val="20"/>
                      </w:rPr>
                      <w:t>108 115,153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w:t>
                    </w:r>
                  </w:p>
                </w:tc>
                <w:tc>
                  <w:tcPr>
                    <w:tcW w:w="2551"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both"/>
                      <w:rPr>
                        <w:sz w:val="20"/>
                      </w:rPr>
                    </w:pPr>
                    <w:r>
                      <w:rPr>
                        <w:sz w:val="20"/>
                      </w:rPr>
                      <w:t>R – Mirštamumas nuo miokardo infarkto per 30 dienų nuo hospitalizacijos, proc.</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p>
                  <w:p>
                    <w:pPr>
                      <w:rPr>
                        <w:sz w:val="20"/>
                      </w:rPr>
                    </w:pP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410" w:type="dxa"/>
                    <w:vMerge/>
                    <w:tcBorders>
                      <w:left w:val="single" w:sz="4" w:space="0" w:color="auto"/>
                      <w:right w:val="single" w:sz="4" w:space="0" w:color="auto"/>
                    </w:tcBorders>
                    <w:shd w:val="clear" w:color="auto" w:fill="F2F2F2" w:themeFill="background1" w:themeFillShade="F2"/>
                  </w:tcPr>
                  <w:p>
                    <w:pPr>
                      <w:rPr>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1559" w:type="dxa"/>
                    <w:vMerge/>
                    <w:tcBorders>
                      <w:left w:val="single" w:sz="4" w:space="0" w:color="auto"/>
                      <w:right w:val="single" w:sz="4" w:space="0" w:color="auto"/>
                    </w:tcBorders>
                    <w:shd w:val="clear" w:color="auto" w:fill="F2F2F2" w:themeFill="background1" w:themeFillShade="F2"/>
                  </w:tcPr>
                  <w:p>
                    <w:pPr>
                      <w:rPr>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89 346,491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EGADP</w:t>
                    </w:r>
                  </w:p>
                </w:tc>
                <w:tc>
                  <w:tcPr>
                    <w:tcW w:w="2551" w:type="dxa"/>
                    <w:vMerge/>
                    <w:tcBorders>
                      <w:left w:val="single" w:sz="4" w:space="0" w:color="auto"/>
                      <w:right w:val="single" w:sz="4" w:space="0" w:color="auto"/>
                    </w:tcBorders>
                    <w:shd w:val="clear" w:color="auto" w:fill="F2F2F2" w:themeFill="background1" w:themeFillShade="F2"/>
                  </w:tcPr>
                  <w:p>
                    <w:pPr>
                      <w:ind w:left="-57" w:right="-57"/>
                      <w:jc w:val="both"/>
                      <w:rPr>
                        <w:sz w:val="20"/>
                      </w:rPr>
                    </w:pPr>
                  </w:p>
                </w:tc>
                <w:tc>
                  <w:tcPr>
                    <w:tcW w:w="851" w:type="dxa"/>
                    <w:vMerge/>
                    <w:tcBorders>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230"/>
                </w:trPr>
                <w:tc>
                  <w:tcPr>
                    <w:tcW w:w="2410" w:type="dxa"/>
                    <w:vMerge/>
                    <w:tcBorders>
                      <w:left w:val="single" w:sz="4" w:space="0" w:color="auto"/>
                      <w:right w:val="single" w:sz="4" w:space="0" w:color="auto"/>
                    </w:tcBorders>
                    <w:shd w:val="clear" w:color="auto" w:fill="F2F2F2" w:themeFill="background1" w:themeFillShade="F2"/>
                  </w:tcPr>
                  <w:p>
                    <w:pPr>
                      <w:rPr>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1559" w:type="dxa"/>
                    <w:vMerge/>
                    <w:tcBorders>
                      <w:left w:val="single" w:sz="4" w:space="0" w:color="auto"/>
                      <w:right w:val="single" w:sz="4" w:space="0" w:color="auto"/>
                    </w:tcBorders>
                    <w:shd w:val="clear" w:color="auto" w:fill="F2F2F2" w:themeFill="background1" w:themeFillShade="F2"/>
                  </w:tcPr>
                  <w:p>
                    <w:pPr>
                      <w:rPr>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709"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18 768,662</w:t>
                    </w: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PVM iš VB</w:t>
                    </w:r>
                  </w:p>
                </w:tc>
                <w:tc>
                  <w:tcPr>
                    <w:tcW w:w="2551"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851"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410"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1559"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992"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rPr>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r>
                      <w:rPr>
                        <w:sz w:val="20"/>
                      </w:rPr>
                      <w:t xml:space="preserve">R – Mirštamumas nuo išeminio galvos smegenų insulto per 30 dienų po hospitalizacijos, proc.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410"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1559"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992"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r>
                      <w:rPr>
                        <w:sz w:val="20"/>
                      </w:rPr>
                      <w:t>R – Gyventojų, dėl laukimo laiko (ilgų eilių) atidėjusių kreipimąsi dėl sveikatos priežiūros paslaugų, dalis, proc.</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6" w:type="dxa"/>
                    <w:vMerge/>
                    <w:tcBorders>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410" w:type="dxa"/>
                    <w:vMerge w:val="restart"/>
                  </w:tcPr>
                  <w:p>
                    <w:pPr>
                      <w:rPr>
                        <w:sz w:val="20"/>
                      </w:rPr>
                    </w:pPr>
                    <w:r>
                      <w:rPr>
                        <w:sz w:val="20"/>
                      </w:rPr>
                      <w:t>4.1. Teisės aktų ir kitų sveikatos skaitmeninimo srities dokumentų parengimas</w:t>
                    </w:r>
                  </w:p>
                </w:tc>
                <w:tc>
                  <w:tcPr>
                    <w:tcW w:w="709" w:type="dxa"/>
                    <w:vMerge w:val="restart"/>
                  </w:tcPr>
                  <w:p>
                    <w:pPr>
                      <w:rPr>
                        <w:sz w:val="20"/>
                      </w:rPr>
                    </w:pPr>
                    <w:r>
                      <w:rPr>
                        <w:sz w:val="20"/>
                      </w:rPr>
                      <w:t>R</w:t>
                    </w:r>
                  </w:p>
                </w:tc>
                <w:tc>
                  <w:tcPr>
                    <w:tcW w:w="1559" w:type="dxa"/>
                    <w:vMerge w:val="restart"/>
                  </w:tcPr>
                  <w:p>
                    <w:pPr>
                      <w:rPr>
                        <w:sz w:val="20"/>
                      </w:rPr>
                    </w:pPr>
                    <w:r>
                      <w:rPr>
                        <w:sz w:val="20"/>
                      </w:rPr>
                      <w:t>-</w:t>
                    </w:r>
                  </w:p>
                </w:tc>
                <w:tc>
                  <w:tcPr>
                    <w:tcW w:w="709" w:type="dxa"/>
                    <w:vMerge w:val="restart"/>
                  </w:tcPr>
                  <w:p>
                    <w:pPr>
                      <w:rPr>
                        <w:sz w:val="20"/>
                      </w:rPr>
                    </w:pPr>
                    <w:r>
                      <w:rPr>
                        <w:sz w:val="20"/>
                      </w:rPr>
                      <w:t>-</w:t>
                    </w:r>
                  </w:p>
                </w:tc>
                <w:tc>
                  <w:tcPr>
                    <w:tcW w:w="992" w:type="dxa"/>
                    <w:vMerge w:val="restart"/>
                  </w:tcPr>
                  <w:p>
                    <w:pPr>
                      <w:rPr>
                        <w:sz w:val="20"/>
                      </w:rPr>
                    </w:pPr>
                    <w:r>
                      <w:rPr>
                        <w:sz w:val="20"/>
                      </w:rPr>
                      <w:t>Taip</w:t>
                    </w:r>
                  </w:p>
                </w:tc>
                <w:tc>
                  <w:tcPr>
                    <w:tcW w:w="709" w:type="dxa"/>
                    <w:vMerge w:val="restart"/>
                  </w:tcPr>
                  <w:p>
                    <w:pPr>
                      <w:rPr>
                        <w:sz w:val="20"/>
                      </w:rPr>
                    </w:pPr>
                    <w:r>
                      <w:rPr>
                        <w:sz w:val="20"/>
                      </w:rPr>
                      <w:t>-</w:t>
                    </w:r>
                  </w:p>
                </w:tc>
                <w:tc>
                  <w:tcPr>
                    <w:tcW w:w="1276" w:type="dxa"/>
                    <w:vMerge w:val="restart"/>
                  </w:tcPr>
                  <w:p>
                    <w:pPr>
                      <w:rPr>
                        <w:sz w:val="20"/>
                      </w:rPr>
                    </w:pPr>
                    <w:r>
                      <w:rPr>
                        <w:sz w:val="20"/>
                      </w:rPr>
                      <w:t>-</w:t>
                    </w:r>
                  </w:p>
                </w:tc>
                <w:tc>
                  <w:tcPr>
                    <w:tcW w:w="992" w:type="dxa"/>
                    <w:vMerge w:val="restart"/>
                  </w:tcPr>
                  <w:p>
                    <w:pPr>
                      <w:rPr>
                        <w:sz w:val="20"/>
                      </w:rPr>
                    </w:pPr>
                    <w:r>
                      <w:rPr>
                        <w:sz w:val="20"/>
                      </w:rPr>
                      <w:t>-</w:t>
                    </w:r>
                  </w:p>
                </w:tc>
                <w:tc>
                  <w:tcPr>
                    <w:tcW w:w="2551" w:type="dxa"/>
                    <w:shd w:val="clear" w:color="auto" w:fill="auto"/>
                  </w:tcPr>
                  <w:p>
                    <w:pPr>
                      <w:ind w:left="-57" w:right="-57"/>
                      <w:jc w:val="both"/>
                      <w:rPr>
                        <w:sz w:val="20"/>
                      </w:rPr>
                    </w:pPr>
                    <w:r>
                      <w:rPr>
                        <w:sz w:val="20"/>
                      </w:rPr>
                      <w:t>P – Įsigalioję teisės aktai, reglamentuojantys pakartotinį sveikatos duomenų naudojimą, kompl.</w:t>
                    </w:r>
                  </w:p>
                </w:tc>
                <w:tc>
                  <w:tcPr>
                    <w:tcW w:w="851" w:type="dxa"/>
                    <w:tcBorders>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left w:val="single" w:sz="4" w:space="0" w:color="auto"/>
                      <w:right w:val="single" w:sz="4" w:space="0" w:color="auto"/>
                    </w:tcBorders>
                    <w:shd w:val="clear" w:color="auto" w:fill="auto"/>
                  </w:tcPr>
                  <w:p>
                    <w:pPr>
                      <w:rPr>
                        <w:sz w:val="20"/>
                      </w:rPr>
                    </w:pP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shd w:val="clear" w:color="auto" w:fill="auto"/>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851" w:type="dxa"/>
                    <w:tcBorders>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left w:val="single" w:sz="4" w:space="0" w:color="auto"/>
                      <w:right w:val="single" w:sz="4" w:space="0" w:color="auto"/>
                    </w:tcBorders>
                    <w:shd w:val="clear" w:color="auto" w:fill="auto"/>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shd w:val="clear" w:color="auto" w:fill="auto"/>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851" w:type="dxa"/>
                    <w:tcBorders>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w:t>
                    </w:r>
                    <w:r>
                      <w:rPr>
                        <w:sz w:val="20"/>
                        <w:lang w:val="en-US"/>
                      </w:rPr>
                      <w:t>6</w:t>
                    </w:r>
                    <w:r>
                      <w:rPr>
                        <w:sz w:val="20"/>
                      </w:rPr>
                      <w:t xml:space="preserve"> m. II ketv.)</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14"/>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shd w:val="clear" w:color="auto" w:fill="auto"/>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851" w:type="dxa"/>
                    <w:tcBorders>
                      <w:right w:val="single" w:sz="4" w:space="0" w:color="auto"/>
                    </w:tcBorders>
                    <w:shd w:val="clear" w:color="auto" w:fill="auto"/>
                  </w:tcPr>
                  <w:p>
                    <w:pPr>
                      <w:jc w:val="center"/>
                      <w:rPr>
                        <w:sz w:val="20"/>
                        <w:lang w:val="en-US"/>
                      </w:rPr>
                    </w:pPr>
                    <w:r>
                      <w:rPr>
                        <w:sz w:val="20"/>
                        <w:lang w:val="en-US"/>
                      </w:rPr>
                      <w:t>1</w:t>
                    </w:r>
                  </w:p>
                  <w:p>
                    <w:pPr>
                      <w:ind w:left="-57" w:right="-57"/>
                      <w:jc w:val="center"/>
                      <w:rPr>
                        <w:sz w:val="20"/>
                      </w:rPr>
                    </w:pPr>
                    <w:r>
                      <w:rPr>
                        <w:sz w:val="20"/>
                      </w:rPr>
                      <w:t>(2024 m. I ketv.)</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37"/>
                </w:trPr>
                <w:tc>
                  <w:tcPr>
                    <w:tcW w:w="2410" w:type="dxa"/>
                    <w:vMerge w:val="restart"/>
                    <w:shd w:val="clear" w:color="auto" w:fill="auto"/>
                  </w:tcPr>
                  <w:p>
                    <w:pPr>
                      <w:rPr>
                        <w:sz w:val="20"/>
                      </w:rPr>
                    </w:pPr>
                    <w:r>
                      <w:rPr>
                        <w:sz w:val="20"/>
                      </w:rPr>
                      <w:t>4.2. Sveikatos priežiūros specialistų kompetencijų platformos sukūrimas</w:t>
                    </w:r>
                  </w:p>
                </w:tc>
                <w:tc>
                  <w:tcPr>
                    <w:tcW w:w="709" w:type="dxa"/>
                    <w:vMerge w:val="restart"/>
                    <w:shd w:val="clear" w:color="auto" w:fill="auto"/>
                  </w:tcPr>
                  <w:p>
                    <w:pPr>
                      <w:rPr>
                        <w:sz w:val="20"/>
                      </w:rPr>
                    </w:pPr>
                    <w:r>
                      <w:rPr>
                        <w:sz w:val="20"/>
                      </w:rPr>
                      <w:t>I</w:t>
                    </w:r>
                  </w:p>
                </w:tc>
                <w:tc>
                  <w:tcPr>
                    <w:tcW w:w="1559" w:type="dxa"/>
                    <w:vMerge w:val="restart"/>
                    <w:shd w:val="clear" w:color="auto" w:fill="auto"/>
                  </w:tcPr>
                  <w:p>
                    <w:pPr>
                      <w:rPr>
                        <w:sz w:val="20"/>
                      </w:rPr>
                    </w:pPr>
                    <w:r>
                      <w:rPr>
                        <w:sz w:val="20"/>
                      </w:rPr>
                      <w:t>Valstybinė akreditavimo sveikatos priežiūros veiklai tarnyba prie Sveikatos apsaugos ministerijos (toliau – VASPVT)</w:t>
                    </w:r>
                  </w:p>
                </w:tc>
                <w:tc>
                  <w:tcPr>
                    <w:tcW w:w="709" w:type="dxa"/>
                    <w:vMerge w:val="restart"/>
                    <w:shd w:val="clear" w:color="auto" w:fill="auto"/>
                  </w:tcPr>
                  <w:p>
                    <w:pPr>
                      <w:rPr>
                        <w:sz w:val="20"/>
                      </w:rPr>
                    </w:pPr>
                    <w:r>
                      <w:rPr>
                        <w:sz w:val="20"/>
                      </w:rPr>
                      <w:t>P</w:t>
                    </w:r>
                  </w:p>
                </w:tc>
                <w:tc>
                  <w:tcPr>
                    <w:tcW w:w="992" w:type="dxa"/>
                    <w:vMerge w:val="restart"/>
                    <w:shd w:val="clear" w:color="auto" w:fill="auto"/>
                  </w:tcPr>
                  <w:p>
                    <w:pPr>
                      <w:rPr>
                        <w:sz w:val="20"/>
                      </w:rPr>
                    </w:pPr>
                    <w:r>
                      <w:rPr>
                        <w:sz w:val="20"/>
                      </w:rPr>
                      <w:t>Taip</w:t>
                    </w:r>
                  </w:p>
                </w:tc>
                <w:tc>
                  <w:tcPr>
                    <w:tcW w:w="709" w:type="dxa"/>
                    <w:vMerge w:val="restart"/>
                    <w:shd w:val="clear" w:color="auto" w:fill="auto"/>
                  </w:tcPr>
                  <w:p>
                    <w:pPr>
                      <w:rPr>
                        <w:sz w:val="20"/>
                      </w:rPr>
                    </w:pPr>
                    <w:r>
                      <w:rPr>
                        <w:sz w:val="20"/>
                      </w:rPr>
                      <w:t>D</w:t>
                    </w:r>
                  </w:p>
                </w:tc>
                <w:tc>
                  <w:tcPr>
                    <w:tcW w:w="1276" w:type="dxa"/>
                    <w:shd w:val="clear" w:color="auto" w:fill="auto"/>
                  </w:tcPr>
                  <w:p>
                    <w:pPr>
                      <w:rPr>
                        <w:sz w:val="20"/>
                      </w:rPr>
                    </w:pPr>
                    <w:r>
                      <w:rPr>
                        <w:sz w:val="20"/>
                      </w:rPr>
                      <w:t>2 011</w:t>
                    </w:r>
                  </w:p>
                </w:tc>
                <w:tc>
                  <w:tcPr>
                    <w:tcW w:w="992" w:type="dxa"/>
                    <w:shd w:val="clear" w:color="auto" w:fill="auto"/>
                  </w:tcPr>
                  <w:p>
                    <w:pPr>
                      <w:rPr>
                        <w:sz w:val="20"/>
                      </w:rPr>
                    </w:pPr>
                    <w:r>
                      <w:rPr>
                        <w:sz w:val="20"/>
                      </w:rPr>
                      <w:t>EGADP</w:t>
                    </w:r>
                  </w:p>
                </w:tc>
                <w:tc>
                  <w:tcPr>
                    <w:tcW w:w="2551" w:type="dxa"/>
                    <w:vMerge w:val="restart"/>
                    <w:shd w:val="clear" w:color="auto" w:fill="auto"/>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851" w:type="dxa"/>
                    <w:vMerge w:val="restart"/>
                    <w:shd w:val="clear" w:color="auto" w:fill="auto"/>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410" w:type="dxa"/>
                    <w:vMerge/>
                    <w:shd w:val="clear" w:color="auto" w:fill="auto"/>
                  </w:tcPr>
                  <w:p>
                    <w:pPr>
                      <w:rPr>
                        <w:iCs/>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val="restart"/>
                    <w:shd w:val="clear" w:color="auto" w:fill="auto"/>
                  </w:tcPr>
                  <w:p>
                    <w:pPr>
                      <w:rPr>
                        <w:sz w:val="20"/>
                      </w:rPr>
                    </w:pPr>
                    <w:r>
                      <w:rPr>
                        <w:sz w:val="20"/>
                      </w:rPr>
                      <w:t>422</w:t>
                    </w:r>
                  </w:p>
                </w:tc>
                <w:tc>
                  <w:tcPr>
                    <w:tcW w:w="992" w:type="dxa"/>
                    <w:vMerge w:val="restart"/>
                    <w:shd w:val="clear" w:color="auto" w:fill="auto"/>
                  </w:tcPr>
                  <w:p>
                    <w:pPr>
                      <w:rPr>
                        <w:sz w:val="20"/>
                      </w:rPr>
                    </w:pPr>
                    <w:r>
                      <w:rPr>
                        <w:iCs/>
                        <w:sz w:val="20"/>
                      </w:rPr>
                      <w:t>PVM iš VB</w:t>
                    </w:r>
                  </w:p>
                </w:tc>
                <w:tc>
                  <w:tcPr>
                    <w:tcW w:w="2551" w:type="dxa"/>
                    <w:vMerge/>
                    <w:shd w:val="clear" w:color="auto" w:fill="auto"/>
                  </w:tcPr>
                  <w:p>
                    <w:pPr>
                      <w:ind w:left="-57" w:right="-57"/>
                      <w:rPr>
                        <w:sz w:val="20"/>
                      </w:rPr>
                    </w:pPr>
                  </w:p>
                </w:tc>
                <w:tc>
                  <w:tcPr>
                    <w:tcW w:w="851" w:type="dxa"/>
                    <w:vMerge/>
                    <w:shd w:val="clear" w:color="auto" w:fill="CCC0D9" w:themeFill="accent4" w:themeFillTint="66"/>
                  </w:tcPr>
                  <w:p>
                    <w:pPr>
                      <w:ind w:left="-57" w:right="-57"/>
                      <w:jc w:val="center"/>
                      <w:rPr>
                        <w:sz w:val="20"/>
                      </w:rPr>
                    </w:pP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414"/>
                </w:trPr>
                <w:tc>
                  <w:tcPr>
                    <w:tcW w:w="2410" w:type="dxa"/>
                    <w:vMerge/>
                    <w:shd w:val="clear" w:color="auto" w:fill="auto"/>
                  </w:tcPr>
                  <w:p>
                    <w:pPr>
                      <w:rPr>
                        <w:iCs/>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P – Sveikatos priežiūros specialistų kompetencijų platformos sukūrimas, vnt.</w:t>
                    </w:r>
                  </w:p>
                </w:tc>
                <w:tc>
                  <w:tcPr>
                    <w:tcW w:w="851" w:type="dxa"/>
                    <w:shd w:val="clear" w:color="auto" w:fill="auto"/>
                  </w:tcPr>
                  <w:p>
                    <w:pPr>
                      <w:ind w:left="-57" w:right="-57"/>
                      <w:jc w:val="center"/>
                      <w:rPr>
                        <w:sz w:val="20"/>
                      </w:rPr>
                    </w:pPr>
                    <w:r>
                      <w:rPr>
                        <w:sz w:val="20"/>
                      </w:rPr>
                      <w:t>1</w:t>
                    </w:r>
                  </w:p>
                  <w:p>
                    <w:pPr>
                      <w:ind w:left="-57" w:right="-57"/>
                      <w:jc w:val="center"/>
                      <w:rPr>
                        <w:sz w:val="20"/>
                      </w:rPr>
                    </w:pPr>
                    <w:r>
                      <w:rPr>
                        <w:sz w:val="20"/>
                      </w:rPr>
                      <w:t>(2024 m. IV ketv.)</w:t>
                    </w: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414"/>
                </w:trPr>
                <w:tc>
                  <w:tcPr>
                    <w:tcW w:w="2410" w:type="dxa"/>
                    <w:vMerge/>
                    <w:shd w:val="clear" w:color="auto" w:fill="auto"/>
                  </w:tcPr>
                  <w:p>
                    <w:pPr>
                      <w:rPr>
                        <w:iCs/>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851" w:type="dxa"/>
                    <w:shd w:val="clear" w:color="auto" w:fill="auto"/>
                  </w:tcPr>
                  <w:p>
                    <w:pPr>
                      <w:ind w:left="-57" w:right="-57"/>
                      <w:jc w:val="center"/>
                      <w:rPr>
                        <w:sz w:val="20"/>
                      </w:rPr>
                    </w:pPr>
                    <w:r>
                      <w:rPr>
                        <w:sz w:val="20"/>
                      </w:rPr>
                      <w:t>1</w:t>
                    </w:r>
                  </w:p>
                  <w:p>
                    <w:pPr>
                      <w:ind w:left="-57" w:right="-57"/>
                      <w:jc w:val="center"/>
                      <w:rPr>
                        <w:sz w:val="20"/>
                      </w:rPr>
                    </w:pPr>
                    <w:r>
                      <w:rPr>
                        <w:sz w:val="20"/>
                      </w:rPr>
                      <w:t>(2024 m. I ketv.)</w:t>
                    </w: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414"/>
                </w:trPr>
                <w:tc>
                  <w:tcPr>
                    <w:tcW w:w="2410" w:type="dxa"/>
                    <w:vMerge/>
                    <w:shd w:val="clear" w:color="auto" w:fill="auto"/>
                  </w:tcPr>
                  <w:p>
                    <w:pPr>
                      <w:rPr>
                        <w:iCs/>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R – Sveikatos priežiūros specialistų, kurių licencija įregistruota ir jos priežiūra vykdoma skaitmeniniu būdu, dalis, proc.</w:t>
                    </w:r>
                  </w:p>
                </w:tc>
                <w:tc>
                  <w:tcPr>
                    <w:tcW w:w="851" w:type="dxa"/>
                    <w:shd w:val="clear" w:color="auto" w:fill="auto"/>
                  </w:tcPr>
                  <w:p>
                    <w:pPr>
                      <w:ind w:left="-57" w:right="-57"/>
                      <w:jc w:val="center"/>
                      <w:rPr>
                        <w:sz w:val="20"/>
                      </w:rPr>
                    </w:pPr>
                    <w:r>
                      <w:rPr>
                        <w:sz w:val="20"/>
                      </w:rPr>
                      <w:t>90</w:t>
                    </w:r>
                  </w:p>
                  <w:p>
                    <w:pPr>
                      <w:ind w:left="-57" w:right="-57"/>
                      <w:jc w:val="center"/>
                      <w:rPr>
                        <w:sz w:val="20"/>
                      </w:rPr>
                    </w:pPr>
                    <w:r>
                      <w:rPr>
                        <w:sz w:val="20"/>
                      </w:rPr>
                      <w:t>(2030 m.)</w:t>
                    </w: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414"/>
                </w:trPr>
                <w:tc>
                  <w:tcPr>
                    <w:tcW w:w="2410" w:type="dxa"/>
                    <w:vMerge/>
                    <w:shd w:val="clear" w:color="auto" w:fill="auto"/>
                  </w:tcPr>
                  <w:p>
                    <w:pPr>
                      <w:rPr>
                        <w:iCs/>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R – Naujų ir patobulintų viešųjų skaitmeninių paslaugų, produktų ir procesų naudotojai, naudotojų skaičius per metus.</w:t>
                    </w:r>
                  </w:p>
                </w:tc>
                <w:tc>
                  <w:tcPr>
                    <w:tcW w:w="851" w:type="dxa"/>
                    <w:shd w:val="clear" w:color="auto" w:fill="auto"/>
                  </w:tcPr>
                  <w:p>
                    <w:pPr>
                      <w:ind w:left="-57" w:right="-57"/>
                      <w:jc w:val="center"/>
                      <w:rPr>
                        <w:sz w:val="20"/>
                      </w:rPr>
                    </w:pPr>
                    <w:r>
                      <w:rPr>
                        <w:sz w:val="20"/>
                      </w:rPr>
                      <w:t>n/a</w:t>
                    </w: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555"/>
                </w:trPr>
                <w:tc>
                  <w:tcPr>
                    <w:tcW w:w="2410" w:type="dxa"/>
                    <w:vMerge w:val="restart"/>
                  </w:tcPr>
                  <w:p>
                    <w:pPr>
                      <w:rPr>
                        <w:sz w:val="20"/>
                      </w:rPr>
                    </w:pPr>
                    <w:r>
                      <w:rPr>
                        <w:sz w:val="20"/>
                      </w:rPr>
                      <w:t>4.3. S</w:t>
                    </w:r>
                    <w:r>
                      <w:rPr>
                        <w:sz w:val="20"/>
                        <w:lang w:eastAsia="lt-LT"/>
                      </w:rPr>
                      <w:t>veikatos priežiūros paslaugų kokybės vertinimo modelio (rodiklių švieslentės) sukūrimas</w:t>
                    </w:r>
                  </w:p>
                </w:tc>
                <w:tc>
                  <w:tcPr>
                    <w:tcW w:w="709" w:type="dxa"/>
                    <w:vMerge w:val="restart"/>
                  </w:tcPr>
                  <w:p>
                    <w:pPr>
                      <w:rPr>
                        <w:sz w:val="20"/>
                      </w:rPr>
                    </w:pPr>
                    <w:r>
                      <w:rPr>
                        <w:sz w:val="20"/>
                      </w:rPr>
                      <w:t>I</w:t>
                    </w:r>
                  </w:p>
                </w:tc>
                <w:tc>
                  <w:tcPr>
                    <w:tcW w:w="1559" w:type="dxa"/>
                    <w:vMerge w:val="restart"/>
                  </w:tcPr>
                  <w:p>
                    <w:pPr>
                      <w:rPr>
                        <w:sz w:val="20"/>
                      </w:rPr>
                    </w:pPr>
                    <w:r>
                      <w:rPr>
                        <w:sz w:val="20"/>
                      </w:rPr>
                      <w:t>Valstybinė ligonių kasa prie Sveikatos apsaugos ministerijos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rPr>
                    </w:pPr>
                    <w:r>
                      <w:rPr>
                        <w:sz w:val="20"/>
                      </w:rPr>
                      <w:t>2 500</w:t>
                    </w:r>
                  </w:p>
                </w:tc>
                <w:tc>
                  <w:tcPr>
                    <w:tcW w:w="992" w:type="dxa"/>
                  </w:tcPr>
                  <w:p>
                    <w:pPr>
                      <w:rPr>
                        <w:sz w:val="20"/>
                      </w:rPr>
                    </w:pPr>
                    <w:r>
                      <w:rPr>
                        <w:sz w:val="20"/>
                      </w:rPr>
                      <w:t>EGADP</w:t>
                    </w:r>
                  </w:p>
                </w:tc>
                <w:tc>
                  <w:tcPr>
                    <w:tcW w:w="2551" w:type="dxa"/>
                    <w:vMerge w:val="restart"/>
                    <w:shd w:val="clear" w:color="auto" w:fill="auto"/>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851" w:type="dxa"/>
                    <w:vMerge w:val="restart"/>
                    <w:shd w:val="clear" w:color="auto" w:fill="auto"/>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vAlign w:val="center"/>
                  </w:tcPr>
                  <w:p>
                    <w:pPr>
                      <w:rPr>
                        <w:color w:val="000000"/>
                        <w:sz w:val="20"/>
                      </w:rPr>
                    </w:pPr>
                  </w:p>
                </w:tc>
              </w:tr>
              <w:tr>
                <w:trPr>
                  <w:trHeight w:val="693"/>
                </w:trPr>
                <w:tc>
                  <w:tcPr>
                    <w:tcW w:w="2410" w:type="dxa"/>
                    <w:vMerge/>
                    <w:tcBorders>
                      <w:bottom w:val="single" w:sz="4" w:space="0" w:color="auto"/>
                    </w:tcBorders>
                  </w:tcPr>
                  <w:p>
                    <w:pPr>
                      <w:rPr>
                        <w:iCs/>
                        <w:sz w:val="20"/>
                      </w:rPr>
                    </w:pPr>
                  </w:p>
                </w:tc>
                <w:tc>
                  <w:tcPr>
                    <w:tcW w:w="709" w:type="dxa"/>
                    <w:vMerge/>
                    <w:tcBorders>
                      <w:bottom w:val="single" w:sz="4" w:space="0" w:color="auto"/>
                    </w:tcBorders>
                  </w:tcPr>
                  <w:p>
                    <w:pPr>
                      <w:rPr>
                        <w:sz w:val="20"/>
                      </w:rPr>
                    </w:pPr>
                  </w:p>
                </w:tc>
                <w:tc>
                  <w:tcPr>
                    <w:tcW w:w="1559" w:type="dxa"/>
                    <w:vMerge/>
                    <w:tcBorders>
                      <w:bottom w:val="single" w:sz="4" w:space="0" w:color="auto"/>
                    </w:tcBorders>
                  </w:tcPr>
                  <w:p>
                    <w:pPr>
                      <w:rPr>
                        <w:sz w:val="20"/>
                      </w:rPr>
                    </w:pPr>
                  </w:p>
                </w:tc>
                <w:tc>
                  <w:tcPr>
                    <w:tcW w:w="709" w:type="dxa"/>
                    <w:vMerge/>
                    <w:tcBorders>
                      <w:bottom w:val="single" w:sz="4" w:space="0" w:color="auto"/>
                    </w:tcBorders>
                  </w:tcPr>
                  <w:p>
                    <w:pPr>
                      <w:rPr>
                        <w:sz w:val="20"/>
                      </w:rPr>
                    </w:pPr>
                  </w:p>
                </w:tc>
                <w:tc>
                  <w:tcPr>
                    <w:tcW w:w="992" w:type="dxa"/>
                    <w:vMerge/>
                    <w:tcBorders>
                      <w:bottom w:val="single" w:sz="4" w:space="0" w:color="auto"/>
                    </w:tcBorders>
                  </w:tcPr>
                  <w:p>
                    <w:pPr>
                      <w:rPr>
                        <w:sz w:val="20"/>
                      </w:rPr>
                    </w:pPr>
                  </w:p>
                </w:tc>
                <w:tc>
                  <w:tcPr>
                    <w:tcW w:w="709" w:type="dxa"/>
                    <w:vMerge/>
                    <w:tcBorders>
                      <w:bottom w:val="single" w:sz="4" w:space="0" w:color="auto"/>
                    </w:tcBorders>
                  </w:tcPr>
                  <w:p>
                    <w:pPr>
                      <w:rPr>
                        <w:sz w:val="20"/>
                      </w:rPr>
                    </w:pPr>
                  </w:p>
                </w:tc>
                <w:tc>
                  <w:tcPr>
                    <w:tcW w:w="1276" w:type="dxa"/>
                    <w:vMerge w:val="restart"/>
                    <w:tcBorders>
                      <w:bottom w:val="single" w:sz="4" w:space="0" w:color="auto"/>
                    </w:tcBorders>
                  </w:tcPr>
                  <w:p>
                    <w:pPr>
                      <w:rPr>
                        <w:sz w:val="20"/>
                      </w:rPr>
                    </w:pPr>
                    <w:r>
                      <w:rPr>
                        <w:sz w:val="20"/>
                      </w:rPr>
                      <w:t>530</w:t>
                    </w:r>
                  </w:p>
                </w:tc>
                <w:tc>
                  <w:tcPr>
                    <w:tcW w:w="992" w:type="dxa"/>
                    <w:vMerge w:val="restart"/>
                    <w:tcBorders>
                      <w:bottom w:val="single" w:sz="4" w:space="0" w:color="auto"/>
                    </w:tcBorders>
                  </w:tcPr>
                  <w:p>
                    <w:pPr>
                      <w:rPr>
                        <w:sz w:val="20"/>
                      </w:rPr>
                    </w:pPr>
                    <w:r>
                      <w:rPr>
                        <w:iCs/>
                        <w:sz w:val="20"/>
                      </w:rPr>
                      <w:t>PVM iš VB</w:t>
                    </w:r>
                  </w:p>
                </w:tc>
                <w:tc>
                  <w:tcPr>
                    <w:tcW w:w="2551" w:type="dxa"/>
                    <w:vMerge/>
                    <w:tcBorders>
                      <w:bottom w:val="single" w:sz="4" w:space="0" w:color="auto"/>
                    </w:tcBorders>
                    <w:shd w:val="clear" w:color="auto" w:fill="auto"/>
                  </w:tcPr>
                  <w:p>
                    <w:pPr>
                      <w:ind w:left="-57" w:right="-57"/>
                      <w:rPr>
                        <w:sz w:val="20"/>
                      </w:rPr>
                    </w:pPr>
                  </w:p>
                </w:tc>
                <w:tc>
                  <w:tcPr>
                    <w:tcW w:w="851" w:type="dxa"/>
                    <w:vMerge/>
                    <w:tcBorders>
                      <w:bottom w:val="single" w:sz="4" w:space="0" w:color="auto"/>
                    </w:tcBorders>
                    <w:shd w:val="clear" w:color="auto" w:fill="auto"/>
                  </w:tcPr>
                  <w:p>
                    <w:pPr>
                      <w:ind w:left="-57" w:right="-57"/>
                      <w:jc w:val="center"/>
                      <w:rPr>
                        <w:sz w:val="20"/>
                      </w:rPr>
                    </w:pPr>
                  </w:p>
                </w:tc>
                <w:tc>
                  <w:tcPr>
                    <w:tcW w:w="992" w:type="dxa"/>
                    <w:vMerge/>
                    <w:tcBorders>
                      <w:bottom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414"/>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shd w:val="clear" w:color="auto" w:fill="auto"/>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851" w:type="dxa"/>
                    <w:shd w:val="clear" w:color="auto" w:fill="auto"/>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shd w:val="clear" w:color="auto" w:fill="auto"/>
                  </w:tcPr>
                  <w:p>
                    <w:pPr>
                      <w:ind w:left="-57" w:right="-57"/>
                      <w:rPr>
                        <w:sz w:val="20"/>
                      </w:rPr>
                    </w:pPr>
                    <w:r>
                      <w:rPr>
                        <w:sz w:val="20"/>
                      </w:rPr>
                      <w:t>R – Naujų ir patobulintų viešųjų skaitmeninių paslaugų, produktų ir procesų naudotojai, naudotojų skaičius per metus.</w:t>
                    </w:r>
                  </w:p>
                </w:tc>
                <w:tc>
                  <w:tcPr>
                    <w:tcW w:w="851" w:type="dxa"/>
                    <w:shd w:val="clear" w:color="auto" w:fill="auto"/>
                  </w:tcPr>
                  <w:p>
                    <w:pPr>
                      <w:ind w:left="-57" w:right="-57"/>
                      <w:jc w:val="center"/>
                      <w:rPr>
                        <w:sz w:val="20"/>
                      </w:rPr>
                    </w:pPr>
                    <w:r>
                      <w:rPr>
                        <w:sz w:val="20"/>
                      </w:rPr>
                      <w:t>n/a</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6"/>
                </w:trPr>
                <w:tc>
                  <w:tcPr>
                    <w:tcW w:w="2410" w:type="dxa"/>
                    <w:vMerge w:val="restart"/>
                    <w:tcBorders>
                      <w:top w:val="single" w:sz="4" w:space="0" w:color="auto"/>
                      <w:left w:val="single" w:sz="4" w:space="0" w:color="auto"/>
                      <w:right w:val="single" w:sz="4" w:space="0" w:color="auto"/>
                    </w:tcBorders>
                  </w:tcPr>
                  <w:p>
                    <w:pPr>
                      <w:rPr>
                        <w:iCs/>
                        <w:sz w:val="20"/>
                      </w:rPr>
                    </w:pPr>
                    <w:r>
                      <w:rPr>
                        <w:iCs/>
                        <w:sz w:val="20"/>
                      </w:rPr>
                      <w:t>4.4. Sveikatos sektoriaus skaitmeninimo projektai</w:t>
                    </w:r>
                  </w:p>
                </w:tc>
                <w:tc>
                  <w:tcPr>
                    <w:tcW w:w="709" w:type="dxa"/>
                    <w:vMerge w:val="restart"/>
                    <w:tcBorders>
                      <w:top w:val="single" w:sz="4" w:space="0" w:color="auto"/>
                      <w:left w:val="single" w:sz="4" w:space="0" w:color="auto"/>
                      <w:right w:val="single" w:sz="4" w:space="0" w:color="auto"/>
                    </w:tcBorders>
                  </w:tcPr>
                  <w:p>
                    <w:pPr>
                      <w:rPr>
                        <w:sz w:val="20"/>
                      </w:rPr>
                    </w:pPr>
                    <w:r>
                      <w:rPr>
                        <w:sz w:val="20"/>
                      </w:rPr>
                      <w:t>I</w:t>
                    </w:r>
                  </w:p>
                </w:tc>
                <w:tc>
                  <w:tcPr>
                    <w:tcW w:w="1559" w:type="dxa"/>
                    <w:vMerge w:val="restart"/>
                    <w:tcBorders>
                      <w:top w:val="single" w:sz="4" w:space="0" w:color="auto"/>
                      <w:left w:val="single" w:sz="4" w:space="0" w:color="auto"/>
                      <w:right w:val="single" w:sz="4" w:space="0" w:color="auto"/>
                    </w:tcBorders>
                  </w:tcPr>
                  <w:p>
                    <w:pPr>
                      <w:rPr>
                        <w:sz w:val="20"/>
                      </w:rPr>
                    </w:pPr>
                    <w:r>
                      <w:rPr>
                        <w:sz w:val="20"/>
                      </w:rPr>
                      <w:t>VĮ Registrų centras, SAM pavaldžios įstaigos</w:t>
                    </w:r>
                  </w:p>
                </w:tc>
                <w:tc>
                  <w:tcPr>
                    <w:tcW w:w="709" w:type="dxa"/>
                    <w:vMerge w:val="restart"/>
                    <w:tcBorders>
                      <w:top w:val="single" w:sz="4" w:space="0" w:color="auto"/>
                      <w:left w:val="single" w:sz="4" w:space="0" w:color="auto"/>
                      <w:right w:val="single" w:sz="4" w:space="0" w:color="auto"/>
                    </w:tcBorders>
                  </w:tcPr>
                  <w:p>
                    <w:pPr>
                      <w:rPr>
                        <w:sz w:val="20"/>
                      </w:rPr>
                    </w:pPr>
                    <w:r>
                      <w:rPr>
                        <w:sz w:val="20"/>
                      </w:rPr>
                      <w:t>P</w:t>
                    </w:r>
                  </w:p>
                </w:tc>
                <w:tc>
                  <w:tcPr>
                    <w:tcW w:w="992" w:type="dxa"/>
                    <w:vMerge w:val="restart"/>
                    <w:tcBorders>
                      <w:top w:val="single" w:sz="4" w:space="0" w:color="auto"/>
                      <w:left w:val="single" w:sz="4" w:space="0" w:color="auto"/>
                      <w:right w:val="single" w:sz="4" w:space="0" w:color="auto"/>
                    </w:tcBorders>
                  </w:tcPr>
                  <w:p>
                    <w:pP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tcPr>
                  <w:p>
                    <w:pPr>
                      <w:rPr>
                        <w:sz w:val="20"/>
                      </w:rPr>
                    </w:pPr>
                    <w:r>
                      <w:rPr>
                        <w:sz w:val="20"/>
                      </w:rPr>
                      <w:t>84 835,491</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EGADP</w:t>
                    </w: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Šalies gyventojų, kuriems teikiamos su sveikata susijusios elektroninės paslaugos, dalis, proc.</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98</w:t>
                    </w:r>
                  </w:p>
                  <w:p>
                    <w:pPr>
                      <w:ind w:left="-57" w:right="-57"/>
                      <w:jc w:val="center"/>
                      <w:rPr>
                        <w:sz w:val="20"/>
                      </w:rPr>
                    </w:pPr>
                    <w:r>
                      <w:rPr>
                        <w:sz w:val="20"/>
                      </w:rPr>
                      <w:t>(2030 m.)</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6"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1150"/>
                </w:trPr>
                <w:tc>
                  <w:tcPr>
                    <w:tcW w:w="2410" w:type="dxa"/>
                    <w:vMerge/>
                    <w:tcBorders>
                      <w:left w:val="single" w:sz="4" w:space="0" w:color="auto"/>
                      <w:right w:val="single" w:sz="4" w:space="0" w:color="auto"/>
                    </w:tcBorders>
                  </w:tcPr>
                  <w:p>
                    <w:pPr>
                      <w:rPr>
                        <w:iCs/>
                        <w:sz w:val="20"/>
                      </w:rPr>
                    </w:pPr>
                  </w:p>
                </w:tc>
                <w:tc>
                  <w:tcPr>
                    <w:tcW w:w="709" w:type="dxa"/>
                    <w:vMerge/>
                    <w:tcBorders>
                      <w:left w:val="single" w:sz="4" w:space="0" w:color="auto"/>
                      <w:right w:val="single" w:sz="4" w:space="0" w:color="auto"/>
                    </w:tcBorders>
                  </w:tcPr>
                  <w:p>
                    <w:pPr>
                      <w:rPr>
                        <w:sz w:val="20"/>
                      </w:rPr>
                    </w:pPr>
                  </w:p>
                </w:tc>
                <w:tc>
                  <w:tcPr>
                    <w:tcW w:w="1559"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992"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1276" w:type="dxa"/>
                    <w:vMerge w:val="restart"/>
                    <w:tcBorders>
                      <w:top w:val="single" w:sz="4" w:space="0" w:color="auto"/>
                      <w:left w:val="single" w:sz="4" w:space="0" w:color="auto"/>
                      <w:right w:val="single" w:sz="4" w:space="0" w:color="auto"/>
                    </w:tcBorders>
                  </w:tcPr>
                  <w:p>
                    <w:pPr>
                      <w:rPr>
                        <w:sz w:val="20"/>
                      </w:rPr>
                    </w:pPr>
                    <w:r>
                      <w:rPr>
                        <w:sz w:val="20"/>
                      </w:rPr>
                      <w:t>17 816,662</w:t>
                    </w:r>
                  </w:p>
                </w:tc>
                <w:tc>
                  <w:tcPr>
                    <w:tcW w:w="992" w:type="dxa"/>
                    <w:vMerge w:val="restart"/>
                    <w:tcBorders>
                      <w:top w:val="single" w:sz="4" w:space="0" w:color="auto"/>
                      <w:left w:val="single" w:sz="4" w:space="0" w:color="auto"/>
                      <w:right w:val="single" w:sz="4" w:space="0" w:color="auto"/>
                    </w:tcBorders>
                  </w:tcPr>
                  <w:p>
                    <w:pPr>
                      <w:rPr>
                        <w:sz w:val="20"/>
                      </w:rPr>
                    </w:pPr>
                    <w:r>
                      <w:rPr>
                        <w:sz w:val="20"/>
                      </w:rPr>
                      <w:t>PVM iš VB</w:t>
                    </w:r>
                  </w:p>
                </w:tc>
                <w:tc>
                  <w:tcPr>
                    <w:tcW w:w="2551" w:type="dxa"/>
                    <w:tcBorders>
                      <w:top w:val="single" w:sz="4" w:space="0" w:color="auto"/>
                      <w:left w:val="single" w:sz="4" w:space="0" w:color="auto"/>
                      <w:right w:val="single" w:sz="4" w:space="0" w:color="auto"/>
                    </w:tcBorders>
                    <w:shd w:val="clear" w:color="auto" w:fill="auto"/>
                  </w:tcPr>
                  <w:p>
                    <w:pPr>
                      <w:ind w:left="-57" w:right="-57"/>
                      <w:rPr>
                        <w:sz w:val="20"/>
                      </w:rPr>
                    </w:pPr>
                    <w:r>
                      <w:rPr>
                        <w:sz w:val="20"/>
                      </w:rPr>
                      <w:t>R – Ambulatorinių ir stacionarinių asmens sveikatos priežiūros įstaigų, naudojančių e. sveikatos produktus, dalis, proc. (tarpinis)</w:t>
                    </w:r>
                  </w:p>
                </w:tc>
                <w:tc>
                  <w:tcPr>
                    <w:tcW w:w="851" w:type="dxa"/>
                    <w:tcBorders>
                      <w:top w:val="single" w:sz="4" w:space="0" w:color="auto"/>
                      <w:left w:val="single" w:sz="4" w:space="0" w:color="auto"/>
                      <w:right w:val="single" w:sz="4" w:space="0" w:color="auto"/>
                    </w:tcBorders>
                    <w:shd w:val="clear" w:color="auto" w:fill="auto"/>
                  </w:tcPr>
                  <w:p>
                    <w:pPr>
                      <w:jc w:val="center"/>
                      <w:rPr>
                        <w:sz w:val="20"/>
                      </w:rPr>
                    </w:pPr>
                    <w:r>
                      <w:rPr>
                        <w:sz w:val="20"/>
                      </w:rPr>
                      <w:t>60</w:t>
                    </w:r>
                  </w:p>
                  <w:p>
                    <w:pPr>
                      <w:jc w:val="center"/>
                      <w:rPr>
                        <w:sz w:val="20"/>
                      </w:rPr>
                    </w:pPr>
                    <w:r>
                      <w:rPr>
                        <w:sz w:val="20"/>
                      </w:rPr>
                      <w:t>(2023 m. IV ketv.)</w:t>
                    </w:r>
                  </w:p>
                  <w:p>
                    <w:pPr>
                      <w:ind w:left="-57" w:right="-57"/>
                      <w:rPr>
                        <w:sz w:val="20"/>
                      </w:rPr>
                    </w:pP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6"/>
                </w:trPr>
                <w:tc>
                  <w:tcPr>
                    <w:tcW w:w="2410" w:type="dxa"/>
                    <w:vMerge/>
                    <w:tcBorders>
                      <w:left w:val="single" w:sz="4" w:space="0" w:color="auto"/>
                      <w:bottom w:val="single" w:sz="4" w:space="0" w:color="auto"/>
                      <w:right w:val="single" w:sz="4" w:space="0" w:color="auto"/>
                    </w:tcBorders>
                  </w:tcPr>
                  <w:p>
                    <w:pPr>
                      <w:rPr>
                        <w:iCs/>
                        <w:sz w:val="20"/>
                      </w:rPr>
                    </w:pPr>
                  </w:p>
                </w:tc>
                <w:tc>
                  <w:tcPr>
                    <w:tcW w:w="709" w:type="dxa"/>
                    <w:vMerge/>
                    <w:tcBorders>
                      <w:left w:val="single" w:sz="4" w:space="0" w:color="auto"/>
                      <w:bottom w:val="single" w:sz="4" w:space="0" w:color="auto"/>
                      <w:right w:val="single" w:sz="4" w:space="0" w:color="auto"/>
                    </w:tcBorders>
                  </w:tcPr>
                  <w:p>
                    <w:pPr>
                      <w:rPr>
                        <w:sz w:val="20"/>
                      </w:rPr>
                    </w:pPr>
                  </w:p>
                </w:tc>
                <w:tc>
                  <w:tcPr>
                    <w:tcW w:w="1559"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992"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rPr>
                        <w:sz w:val="20"/>
                      </w:rPr>
                    </w:pPr>
                  </w:p>
                </w:tc>
                <w:tc>
                  <w:tcPr>
                    <w:tcW w:w="992" w:type="dxa"/>
                    <w:vMerge/>
                    <w:tcBorders>
                      <w:left w:val="single" w:sz="4" w:space="0" w:color="auto"/>
                      <w:bottom w:val="single" w:sz="4" w:space="0" w:color="auto"/>
                      <w:right w:val="single" w:sz="4" w:space="0" w:color="auto"/>
                    </w:tcBorders>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Ambulatorinių ir stacionarinių asmens sveikatos priežiūros įstaigų, naudojančių e. sveikatos produktus, dalis, proc.</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70</w:t>
                    </w:r>
                  </w:p>
                  <w:p>
                    <w:pPr>
                      <w:ind w:left="-57" w:right="-57"/>
                      <w:jc w:val="center"/>
                      <w:rPr>
                        <w:sz w:val="20"/>
                      </w:rPr>
                    </w:pPr>
                    <w:r>
                      <w:rPr>
                        <w:sz w:val="20"/>
                      </w:rPr>
                      <w:t>(2025 m. IV ketv.)</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6"/>
                </w:trPr>
                <w:tc>
                  <w:tcPr>
                    <w:tcW w:w="2410" w:type="dxa"/>
                    <w:vMerge/>
                    <w:tcBorders>
                      <w:left w:val="single" w:sz="4" w:space="0" w:color="auto"/>
                      <w:bottom w:val="single" w:sz="4" w:space="0" w:color="auto"/>
                      <w:right w:val="single" w:sz="4" w:space="0" w:color="auto"/>
                    </w:tcBorders>
                  </w:tcPr>
                  <w:p>
                    <w:pPr>
                      <w:rPr>
                        <w:iCs/>
                        <w:sz w:val="20"/>
                      </w:rPr>
                    </w:pPr>
                  </w:p>
                </w:tc>
                <w:tc>
                  <w:tcPr>
                    <w:tcW w:w="709" w:type="dxa"/>
                    <w:vMerge/>
                    <w:tcBorders>
                      <w:left w:val="single" w:sz="4" w:space="0" w:color="auto"/>
                      <w:bottom w:val="single" w:sz="4" w:space="0" w:color="auto"/>
                      <w:right w:val="single" w:sz="4" w:space="0" w:color="auto"/>
                    </w:tcBorders>
                  </w:tcPr>
                  <w:p>
                    <w:pPr>
                      <w:rPr>
                        <w:sz w:val="20"/>
                      </w:rPr>
                    </w:pPr>
                  </w:p>
                </w:tc>
                <w:tc>
                  <w:tcPr>
                    <w:tcW w:w="1559"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992"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rPr>
                        <w:sz w:val="20"/>
                      </w:rPr>
                    </w:pPr>
                  </w:p>
                </w:tc>
                <w:tc>
                  <w:tcPr>
                    <w:tcW w:w="992" w:type="dxa"/>
                    <w:vMerge/>
                    <w:tcBorders>
                      <w:left w:val="single" w:sz="4" w:space="0" w:color="auto"/>
                      <w:bottom w:val="single" w:sz="4" w:space="0" w:color="auto"/>
                      <w:right w:val="single" w:sz="4" w:space="0" w:color="auto"/>
                    </w:tcBorders>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 xml:space="preserve">R – Ambulatorinių ir stacionarinių asmens sveikatos priežiūros įstaigų, naudojančių e. sveikatos produktus, dalis, proc. </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98</w:t>
                    </w:r>
                  </w:p>
                  <w:p>
                    <w:pPr>
                      <w:ind w:left="-57" w:right="-57"/>
                      <w:jc w:val="center"/>
                      <w:rPr>
                        <w:sz w:val="20"/>
                      </w:rPr>
                    </w:pPr>
                    <w:r>
                      <w:rPr>
                        <w:sz w:val="20"/>
                      </w:rPr>
                      <w:t>(2030 m.)</w:t>
                    </w:r>
                  </w:p>
                  <w:p>
                    <w:pPr>
                      <w:ind w:left="-57" w:right="-57"/>
                      <w:jc w:val="center"/>
                      <w:rPr>
                        <w:sz w:val="20"/>
                      </w:rPr>
                    </w:pP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846"/>
                </w:trPr>
                <w:tc>
                  <w:tcPr>
                    <w:tcW w:w="2410" w:type="dxa"/>
                    <w:vMerge/>
                    <w:tcBorders>
                      <w:left w:val="single" w:sz="4" w:space="0" w:color="auto"/>
                      <w:bottom w:val="single" w:sz="4" w:space="0" w:color="auto"/>
                      <w:right w:val="single" w:sz="4" w:space="0" w:color="auto"/>
                    </w:tcBorders>
                  </w:tcPr>
                  <w:p>
                    <w:pPr>
                      <w:rPr>
                        <w:iCs/>
                        <w:sz w:val="20"/>
                      </w:rPr>
                    </w:pPr>
                  </w:p>
                </w:tc>
                <w:tc>
                  <w:tcPr>
                    <w:tcW w:w="709" w:type="dxa"/>
                    <w:vMerge/>
                    <w:tcBorders>
                      <w:left w:val="single" w:sz="4" w:space="0" w:color="auto"/>
                      <w:bottom w:val="single" w:sz="4" w:space="0" w:color="auto"/>
                      <w:right w:val="single" w:sz="4" w:space="0" w:color="auto"/>
                    </w:tcBorders>
                  </w:tcPr>
                  <w:p>
                    <w:pPr>
                      <w:rPr>
                        <w:sz w:val="20"/>
                      </w:rPr>
                    </w:pPr>
                  </w:p>
                </w:tc>
                <w:tc>
                  <w:tcPr>
                    <w:tcW w:w="1559"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992"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rPr>
                        <w:sz w:val="20"/>
                      </w:rPr>
                    </w:pPr>
                  </w:p>
                </w:tc>
                <w:tc>
                  <w:tcPr>
                    <w:tcW w:w="992" w:type="dxa"/>
                    <w:vMerge/>
                    <w:tcBorders>
                      <w:left w:val="single" w:sz="4" w:space="0" w:color="auto"/>
                      <w:bottom w:val="single" w:sz="4" w:space="0" w:color="auto"/>
                      <w:right w:val="single" w:sz="4" w:space="0" w:color="auto"/>
                    </w:tcBorders>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Naujų ir patobulintų viešųjų skaitmeninių paslaugų, produktų ir procesų naudotojai, naudotojų skaičius per metus.</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414"/>
                </w:trPr>
                <w:tc>
                  <w:tcPr>
                    <w:tcW w:w="2410" w:type="dxa"/>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709" w:type="dxa"/>
                    <w:shd w:val="clear" w:color="auto" w:fill="F2F2F2" w:themeFill="background1" w:themeFillShade="F2"/>
                  </w:tcPr>
                  <w:p>
                    <w:pPr>
                      <w:rPr>
                        <w:sz w:val="20"/>
                      </w:rPr>
                    </w:pPr>
                    <w:r>
                      <w:rPr>
                        <w:sz w:val="20"/>
                      </w:rPr>
                      <w:t>A</w:t>
                    </w:r>
                  </w:p>
                </w:tc>
                <w:tc>
                  <w:tcPr>
                    <w:tcW w:w="1559" w:type="dxa"/>
                    <w:shd w:val="clear" w:color="auto" w:fill="F2F2F2" w:themeFill="background1" w:themeFillShade="F2"/>
                  </w:tcPr>
                  <w:p>
                    <w:pPr>
                      <w:rPr>
                        <w:sz w:val="20"/>
                      </w:rPr>
                    </w:pPr>
                    <w:r>
                      <w:rPr>
                        <w:sz w:val="20"/>
                      </w:rPr>
                      <w:t>SAM</w:t>
                    </w:r>
                  </w:p>
                </w:tc>
                <w:tc>
                  <w:tcPr>
                    <w:tcW w:w="709" w:type="dxa"/>
                    <w:shd w:val="clear" w:color="auto" w:fill="F2F2F2" w:themeFill="background1" w:themeFillShade="F2"/>
                  </w:tcPr>
                  <w:p>
                    <w:pPr>
                      <w:rPr>
                        <w:sz w:val="20"/>
                      </w:rPr>
                    </w:pPr>
                    <w:r>
                      <w:rPr>
                        <w:sz w:val="20"/>
                      </w:rPr>
                      <w:t>P</w:t>
                    </w:r>
                  </w:p>
                </w:tc>
                <w:tc>
                  <w:tcPr>
                    <w:tcW w:w="992" w:type="dxa"/>
                    <w:shd w:val="clear" w:color="auto" w:fill="F2F2F2" w:themeFill="background1" w:themeFillShade="F2"/>
                  </w:tcPr>
                  <w:p>
                    <w:pPr>
                      <w:rPr>
                        <w:sz w:val="20"/>
                      </w:rPr>
                    </w:pPr>
                    <w:r>
                      <w:rPr>
                        <w:sz w:val="20"/>
                      </w:rPr>
                      <w:t>Ne</w:t>
                    </w:r>
                  </w:p>
                </w:tc>
                <w:tc>
                  <w:tcPr>
                    <w:tcW w:w="709" w:type="dxa"/>
                    <w:shd w:val="clear" w:color="auto" w:fill="F2F2F2" w:themeFill="background1" w:themeFillShade="F2"/>
                  </w:tcPr>
                  <w:p>
                    <w:pPr>
                      <w:rPr>
                        <w:sz w:val="20"/>
                      </w:rPr>
                    </w:pPr>
                    <w:r>
                      <w:rPr>
                        <w:sz w:val="20"/>
                      </w:rPr>
                      <w:t>D</w:t>
                    </w:r>
                  </w:p>
                </w:tc>
                <w:tc>
                  <w:tcPr>
                    <w:tcW w:w="1276" w:type="dxa"/>
                    <w:shd w:val="clear" w:color="auto" w:fill="F2F2F2" w:themeFill="background1" w:themeFillShade="F2"/>
                  </w:tcPr>
                  <w:p>
                    <w:pPr>
                      <w:rPr>
                        <w:b/>
                        <w:bCs/>
                        <w:sz w:val="20"/>
                      </w:rPr>
                    </w:pPr>
                    <w:r>
                      <w:rPr>
                        <w:b/>
                        <w:bCs/>
                        <w:sz w:val="20"/>
                        <w:lang w:val="en-US"/>
                      </w:rPr>
                      <w:t>169,719</w:t>
                    </w:r>
                  </w:p>
                </w:tc>
                <w:tc>
                  <w:tcPr>
                    <w:tcW w:w="992" w:type="dxa"/>
                    <w:shd w:val="clear" w:color="auto" w:fill="F2F2F2" w:themeFill="background1" w:themeFillShade="F2"/>
                  </w:tcPr>
                  <w:p>
                    <w:pPr>
                      <w:rPr>
                        <w:sz w:val="20"/>
                      </w:rPr>
                    </w:pPr>
                    <w:r>
                      <w:rPr>
                        <w:sz w:val="20"/>
                      </w:rPr>
                      <w:t>VB</w:t>
                    </w:r>
                  </w:p>
                </w:tc>
                <w:tc>
                  <w:tcPr>
                    <w:tcW w:w="2551" w:type="dxa"/>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851" w:type="dxa"/>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410" w:type="dxa"/>
                    <w:vMerge w:val="restart"/>
                    <w:shd w:val="clear" w:color="auto" w:fill="F2F2F2" w:themeFill="background1" w:themeFillShade="F2"/>
                  </w:tcPr>
                  <w:p>
                    <w:pPr>
                      <w:ind w:firstLine="53"/>
                      <w:rPr>
                        <w:iCs/>
                        <w:sz w:val="20"/>
                      </w:rPr>
                    </w:pPr>
                    <w:r>
                      <w:rPr>
                        <w:b/>
                        <w:bCs/>
                        <w:iCs/>
                        <w:sz w:val="20"/>
                      </w:rPr>
                      <w:t>6. Bazinių sveikatos priežiūros paslaugų užtikrinimas</w:t>
                    </w:r>
                  </w:p>
                </w:tc>
                <w:tc>
                  <w:tcPr>
                    <w:tcW w:w="709" w:type="dxa"/>
                    <w:vMerge w:val="restart"/>
                    <w:shd w:val="clear" w:color="auto" w:fill="F2F2F2" w:themeFill="background1" w:themeFillShade="F2"/>
                  </w:tcPr>
                  <w:p>
                    <w:pPr>
                      <w:rPr>
                        <w:sz w:val="20"/>
                      </w:rPr>
                    </w:pPr>
                    <w:r>
                      <w:rPr>
                        <w:sz w:val="20"/>
                      </w:rPr>
                      <w:t>-</w:t>
                    </w:r>
                  </w:p>
                </w:tc>
                <w:tc>
                  <w:tcPr>
                    <w:tcW w:w="1559"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992"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1276" w:type="dxa"/>
                    <w:shd w:val="clear" w:color="auto" w:fill="F2F2F2" w:themeFill="background1" w:themeFillShade="F2"/>
                  </w:tcPr>
                  <w:p>
                    <w:pPr>
                      <w:rPr>
                        <w:sz w:val="20"/>
                      </w:rPr>
                    </w:pPr>
                    <w:r>
                      <w:rPr>
                        <w:b/>
                        <w:bCs/>
                        <w:sz w:val="20"/>
                      </w:rPr>
                      <w:t>191 754,999</w:t>
                    </w:r>
                  </w:p>
                </w:tc>
                <w:tc>
                  <w:tcPr>
                    <w:tcW w:w="992" w:type="dxa"/>
                    <w:shd w:val="clear" w:color="auto" w:fill="F2F2F2" w:themeFill="background1" w:themeFillShade="F2"/>
                  </w:tcPr>
                  <w:p>
                    <w:pPr>
                      <w:rPr>
                        <w:sz w:val="20"/>
                      </w:rPr>
                    </w:pPr>
                    <w:r>
                      <w:rPr>
                        <w:sz w:val="20"/>
                      </w:rPr>
                      <w:t>-</w:t>
                    </w:r>
                  </w:p>
                </w:tc>
                <w:tc>
                  <w:tcPr>
                    <w:tcW w:w="2551" w:type="dxa"/>
                    <w:shd w:val="clear" w:color="auto" w:fill="F2F2F2" w:themeFill="background1" w:themeFillShade="F2"/>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851" w:type="dxa"/>
                    <w:shd w:val="clear" w:color="auto" w:fill="F2F2F2" w:themeFill="background1" w:themeFillShade="F2"/>
                  </w:tcPr>
                  <w:p>
                    <w:pPr>
                      <w:ind w:left="-57" w:right="-57"/>
                      <w:jc w:val="center"/>
                      <w:rPr>
                        <w:sz w:val="20"/>
                      </w:rPr>
                    </w:pPr>
                    <w:r>
                      <w:rPr>
                        <w:sz w:val="20"/>
                      </w:rPr>
                      <w:t>40/60</w:t>
                    </w:r>
                  </w:p>
                  <w:p>
                    <w:pPr>
                      <w:ind w:left="-57" w:right="-57"/>
                      <w:jc w:val="center"/>
                      <w:rPr>
                        <w:sz w:val="20"/>
                      </w:rPr>
                    </w:pPr>
                    <w:r>
                      <w:rPr>
                        <w:sz w:val="20"/>
                      </w:rPr>
                      <w:t>(2026 m.)</w:t>
                    </w:r>
                  </w:p>
                </w:tc>
                <w:tc>
                  <w:tcPr>
                    <w:tcW w:w="992" w:type="dxa"/>
                    <w:vMerge w:val="restart"/>
                    <w:shd w:val="clear" w:color="auto" w:fill="F2F2F2" w:themeFill="background1" w:themeFillShade="F2"/>
                  </w:tcPr>
                  <w:p>
                    <w:pPr>
                      <w:rPr>
                        <w:sz w:val="20"/>
                      </w:rPr>
                    </w:pP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410" w:type="dxa"/>
                    <w:vMerge/>
                    <w:shd w:val="clear" w:color="auto" w:fill="F2F2F2" w:themeFill="background1" w:themeFillShade="F2"/>
                  </w:tcPr>
                  <w:p>
                    <w:pPr>
                      <w:rPr>
                        <w:b/>
                        <w:bCs/>
                        <w:i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16 079,260</w:t>
                    </w:r>
                  </w:p>
                </w:tc>
                <w:tc>
                  <w:tcPr>
                    <w:tcW w:w="992" w:type="dxa"/>
                    <w:shd w:val="clear" w:color="auto" w:fill="F2F2F2" w:themeFill="background1" w:themeFillShade="F2"/>
                  </w:tcPr>
                  <w:p>
                    <w:pPr>
                      <w:rPr>
                        <w:sz w:val="20"/>
                      </w:rPr>
                    </w:pPr>
                    <w:r>
                      <w:rPr>
                        <w:sz w:val="20"/>
                      </w:rPr>
                      <w:t>2021–2027 m. IP (ERPF, Sostinės regionas)</w:t>
                    </w:r>
                  </w:p>
                </w:tc>
                <w:tc>
                  <w:tcPr>
                    <w:tcW w:w="2551" w:type="dxa"/>
                    <w:shd w:val="clear" w:color="auto" w:fill="F2F2F2" w:themeFill="background1" w:themeFillShade="F2"/>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851" w:type="dxa"/>
                    <w:shd w:val="clear" w:color="auto" w:fill="F2F2F2" w:themeFill="background1" w:themeFillShade="F2"/>
                  </w:tcPr>
                  <w:p>
                    <w:pPr>
                      <w:ind w:left="-57" w:right="-57"/>
                      <w:jc w:val="center"/>
                      <w:rPr>
                        <w:sz w:val="20"/>
                      </w:rPr>
                    </w:pPr>
                    <w:r>
                      <w:rPr>
                        <w:sz w:val="20"/>
                      </w:rPr>
                      <w:t>60,0</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410" w:type="dxa"/>
                    <w:vMerge/>
                    <w:shd w:val="clear" w:color="auto" w:fill="F2F2F2" w:themeFill="background1" w:themeFillShade="F2"/>
                  </w:tcPr>
                  <w:p>
                    <w:pPr>
                      <w:rPr>
                        <w:b/>
                        <w:bCs/>
                        <w:i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 xml:space="preserve">16 079,260 </w:t>
                    </w:r>
                  </w:p>
                </w:tc>
                <w:tc>
                  <w:tcPr>
                    <w:tcW w:w="992" w:type="dxa"/>
                    <w:shd w:val="clear" w:color="auto" w:fill="F2F2F2" w:themeFill="background1" w:themeFillShade="F2"/>
                  </w:tcPr>
                  <w:p>
                    <w:pPr>
                      <w:rPr>
                        <w:sz w:val="20"/>
                      </w:rPr>
                    </w:pPr>
                    <w:r>
                      <w:rPr>
                        <w:sz w:val="20"/>
                      </w:rPr>
                      <w:t>2021–2027 m. IP (BF, Sostinės regionas)</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Gyventojų, dėl laukimo laiko (ilgų eilių) atidėjusių kreipimąsi dėl sveikatos priežiūros paslaugų, dalis,  proc.</w:t>
                    </w:r>
                  </w:p>
                </w:tc>
                <w:tc>
                  <w:tcPr>
                    <w:tcW w:w="851" w:type="dxa"/>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575"/>
                </w:trPr>
                <w:tc>
                  <w:tcPr>
                    <w:tcW w:w="2410" w:type="dxa"/>
                    <w:vMerge/>
                    <w:shd w:val="clear" w:color="auto" w:fill="F2F2F2" w:themeFill="background1" w:themeFillShade="F2"/>
                  </w:tcPr>
                  <w:p>
                    <w:pPr>
                      <w:rPr>
                        <w:b/>
                        <w:bCs/>
                        <w:i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 xml:space="preserve">95 490,258 </w:t>
                    </w:r>
                  </w:p>
                </w:tc>
                <w:tc>
                  <w:tcPr>
                    <w:tcW w:w="992" w:type="dxa"/>
                    <w:shd w:val="clear" w:color="auto" w:fill="F2F2F2" w:themeFill="background1" w:themeFillShade="F2"/>
                  </w:tcPr>
                  <w:p>
                    <w:pPr>
                      <w:rPr>
                        <w:sz w:val="20"/>
                      </w:rPr>
                    </w:pPr>
                    <w:r>
                      <w:rPr>
                        <w:sz w:val="20"/>
                      </w:rPr>
                      <w:t>2021–2027 m. IP (ERPF, VVL regionas)</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w:t>
                    </w:r>
                  </w:p>
                </w:tc>
                <w:tc>
                  <w:tcPr>
                    <w:tcW w:w="851" w:type="dxa"/>
                    <w:shd w:val="clear" w:color="auto" w:fill="F2F2F2" w:themeFill="background1" w:themeFillShade="F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575"/>
                </w:trPr>
                <w:tc>
                  <w:tcPr>
                    <w:tcW w:w="2410" w:type="dxa"/>
                    <w:vMerge/>
                    <w:shd w:val="clear" w:color="auto" w:fill="F2F2F2" w:themeFill="background1" w:themeFillShade="F2"/>
                  </w:tcPr>
                  <w:p>
                    <w:pPr>
                      <w:rPr>
                        <w:b/>
                        <w:bCs/>
                        <w:i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33 366,750</w:t>
                    </w:r>
                  </w:p>
                </w:tc>
                <w:tc>
                  <w:tcPr>
                    <w:tcW w:w="992" w:type="dxa"/>
                    <w:shd w:val="clear" w:color="auto" w:fill="F2F2F2" w:themeFill="background1" w:themeFillShade="F2"/>
                  </w:tcPr>
                  <w:p>
                    <w:pPr>
                      <w:rPr>
                        <w:sz w:val="20"/>
                      </w:rPr>
                    </w:pPr>
                    <w:r>
                      <w:rPr>
                        <w:sz w:val="20"/>
                      </w:rPr>
                      <w:t>2021–2027 m. IP (ESF+, VVL regionas)</w:t>
                    </w:r>
                  </w:p>
                </w:tc>
                <w:tc>
                  <w:tcPr>
                    <w:tcW w:w="2551" w:type="dxa"/>
                    <w:shd w:val="clear" w:color="auto" w:fill="F2F2F2" w:themeFill="background1" w:themeFillShade="F2"/>
                  </w:tcPr>
                  <w:p>
                    <w:pPr>
                      <w:ind w:left="-57" w:right="-57"/>
                      <w:rPr>
                        <w:sz w:val="20"/>
                      </w:rPr>
                    </w:pPr>
                    <w:r>
                      <w:rPr>
                        <w:sz w:val="20"/>
                      </w:rPr>
                      <w:t>R – Dienos stacionaro atvejų skaičiaus padidėjimas lyginant su 2019 m., atvejų skaičius</w:t>
                    </w:r>
                  </w:p>
                  <w:p>
                    <w:pPr>
                      <w:ind w:right="-57"/>
                      <w:rPr>
                        <w:sz w:val="20"/>
                      </w:rPr>
                    </w:pPr>
                  </w:p>
                </w:tc>
                <w:tc>
                  <w:tcPr>
                    <w:tcW w:w="851" w:type="dxa"/>
                    <w:shd w:val="clear" w:color="auto" w:fill="F2F2F2" w:themeFill="background1" w:themeFillShade="F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410" w:type="dxa"/>
                    <w:vMerge/>
                    <w:shd w:val="clear" w:color="auto" w:fill="F2F2F2" w:themeFill="background1" w:themeFillShade="F2"/>
                  </w:tcPr>
                  <w:p>
                    <w:pPr>
                      <w:rPr>
                        <w:b/>
                        <w:bCs/>
                        <w:i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 xml:space="preserve">22 739,471 </w:t>
                    </w:r>
                  </w:p>
                </w:tc>
                <w:tc>
                  <w:tcPr>
                    <w:tcW w:w="992" w:type="dxa"/>
                    <w:shd w:val="clear" w:color="auto" w:fill="F2F2F2" w:themeFill="background1" w:themeFillShade="F2"/>
                  </w:tcPr>
                  <w:p>
                    <w:pPr>
                      <w:rPr>
                        <w:sz w:val="20"/>
                      </w:rPr>
                    </w:pPr>
                    <w:r>
                      <w:rPr>
                        <w:sz w:val="20"/>
                      </w:rPr>
                      <w:t>2021–2027 m. IP (BF, VVL regionas)</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Dienos chirurgijos atvejų skaičiaus padidėjimas lyginant su 2019 m., atvejų skaičius</w:t>
                    </w:r>
                  </w:p>
                </w:tc>
                <w:tc>
                  <w:tcPr>
                    <w:tcW w:w="851" w:type="dxa"/>
                    <w:shd w:val="clear" w:color="auto" w:fill="F2F2F2" w:themeFill="background1" w:themeFillShade="F2"/>
                  </w:tcPr>
                  <w:p>
                    <w:pPr>
                      <w:ind w:left="-57" w:right="-57"/>
                      <w:jc w:val="center"/>
                      <w:rPr>
                        <w:sz w:val="20"/>
                      </w:rPr>
                    </w:pPr>
                    <w:r>
                      <w:rPr>
                        <w:sz w:val="20"/>
                      </w:rPr>
                      <w:t>73 020</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817"/>
                </w:trPr>
                <w:tc>
                  <w:tcPr>
                    <w:tcW w:w="2410" w:type="dxa"/>
                    <w:vMerge/>
                    <w:shd w:val="clear" w:color="auto" w:fill="F2F2F2" w:themeFill="background1" w:themeFillShade="F2"/>
                  </w:tcPr>
                  <w:p>
                    <w:pPr>
                      <w:rPr>
                        <w:b/>
                        <w:bCs/>
                        <w:i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8 000</w:t>
                    </w:r>
                  </w:p>
                </w:tc>
                <w:tc>
                  <w:tcPr>
                    <w:tcW w:w="992" w:type="dxa"/>
                    <w:shd w:val="clear" w:color="auto" w:fill="F2F2F2" w:themeFill="background1" w:themeFillShade="F2"/>
                  </w:tcPr>
                  <w:p>
                    <w:pPr>
                      <w:rPr>
                        <w:sz w:val="20"/>
                      </w:rPr>
                    </w:pPr>
                    <w:r>
                      <w:rPr>
                        <w:sz w:val="20"/>
                      </w:rPr>
                      <w:t>VB</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Aktyviojo gydymo lovų užimtumas, proc.</w:t>
                    </w:r>
                  </w:p>
                </w:tc>
                <w:tc>
                  <w:tcPr>
                    <w:tcW w:w="851" w:type="dxa"/>
                    <w:shd w:val="clear" w:color="auto" w:fill="F2F2F2" w:themeFill="background1" w:themeFillShade="F2"/>
                  </w:tcPr>
                  <w:p>
                    <w:pPr>
                      <w:ind w:left="-57" w:right="-57"/>
                      <w:jc w:val="center"/>
                      <w:rPr>
                        <w:sz w:val="20"/>
                      </w:rPr>
                    </w:pPr>
                    <w:r>
                      <w:rPr>
                        <w:sz w:val="20"/>
                      </w:rPr>
                      <w:t>82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709" w:type="dxa"/>
                    <w:vMerge w:val="restart"/>
                  </w:tcPr>
                  <w:p>
                    <w:pPr>
                      <w:rPr>
                        <w:sz w:val="20"/>
                      </w:rPr>
                    </w:pPr>
                    <w:r>
                      <w:rPr>
                        <w:sz w:val="20"/>
                      </w:rPr>
                      <w:t>R</w:t>
                    </w:r>
                  </w:p>
                </w:tc>
                <w:tc>
                  <w:tcPr>
                    <w:tcW w:w="1559" w:type="dxa"/>
                    <w:vMerge w:val="restart"/>
                  </w:tcPr>
                  <w:p>
                    <w:pPr>
                      <w:rPr>
                        <w:sz w:val="20"/>
                      </w:rPr>
                    </w:pPr>
                    <w:r>
                      <w:rPr>
                        <w:sz w:val="20"/>
                      </w:rPr>
                      <w:t>-</w:t>
                    </w:r>
                  </w:p>
                </w:tc>
                <w:tc>
                  <w:tcPr>
                    <w:tcW w:w="709" w:type="dxa"/>
                    <w:vMerge w:val="restart"/>
                  </w:tcPr>
                  <w:p>
                    <w:pPr>
                      <w:rPr>
                        <w:sz w:val="20"/>
                      </w:rPr>
                    </w:pPr>
                    <w:r>
                      <w:rPr>
                        <w:sz w:val="20"/>
                      </w:rPr>
                      <w:t>-</w:t>
                    </w:r>
                  </w:p>
                </w:tc>
                <w:tc>
                  <w:tcPr>
                    <w:tcW w:w="992" w:type="dxa"/>
                    <w:vMerge w:val="restart"/>
                  </w:tcPr>
                  <w:p>
                    <w:pPr>
                      <w:rPr>
                        <w:sz w:val="20"/>
                      </w:rPr>
                    </w:pPr>
                    <w:r>
                      <w:rPr>
                        <w:sz w:val="20"/>
                      </w:rPr>
                      <w:t>Taip</w:t>
                    </w:r>
                  </w:p>
                </w:tc>
                <w:tc>
                  <w:tcPr>
                    <w:tcW w:w="709" w:type="dxa"/>
                    <w:vMerge w:val="restart"/>
                  </w:tcPr>
                  <w:p>
                    <w:pPr>
                      <w:rPr>
                        <w:sz w:val="20"/>
                      </w:rPr>
                    </w:pPr>
                    <w:r>
                      <w:rPr>
                        <w:sz w:val="20"/>
                      </w:rPr>
                      <w:t>-</w:t>
                    </w:r>
                  </w:p>
                </w:tc>
                <w:tc>
                  <w:tcPr>
                    <w:tcW w:w="1276" w:type="dxa"/>
                    <w:vMerge w:val="restart"/>
                  </w:tcPr>
                  <w:p>
                    <w:pPr>
                      <w:rPr>
                        <w:sz w:val="20"/>
                      </w:rPr>
                    </w:pPr>
                    <w:r>
                      <w:rPr>
                        <w:sz w:val="20"/>
                      </w:rPr>
                      <w:t>-</w:t>
                    </w:r>
                  </w:p>
                </w:tc>
                <w:tc>
                  <w:tcPr>
                    <w:tcW w:w="992" w:type="dxa"/>
                    <w:vMerge w:val="restart"/>
                  </w:tcPr>
                  <w:p>
                    <w:pPr>
                      <w:rPr>
                        <w:sz w:val="20"/>
                      </w:rPr>
                    </w:pPr>
                    <w:r>
                      <w:rPr>
                        <w:sz w:val="20"/>
                      </w:rPr>
                      <w:t>-</w:t>
                    </w:r>
                  </w:p>
                </w:tc>
                <w:tc>
                  <w:tcPr>
                    <w:tcW w:w="2551" w:type="dxa"/>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851" w:type="dxa"/>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6"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tcPr>
                  <w:p>
                    <w:pPr>
                      <w:ind w:left="-57" w:right="-57"/>
                      <w:jc w:val="both"/>
                      <w:rPr>
                        <w:sz w:val="20"/>
                      </w:rPr>
                    </w:pPr>
                    <w:r>
                      <w:rPr>
                        <w:sz w:val="20"/>
                      </w:rPr>
                      <w:t>P – Sprendimo dėl reguliavimo, investavimo ir komunikacijos veiksmų, siekiant sukurti tvarų sveikatos priežiūros įstaigų tinklą, priėmimas</w:t>
                    </w:r>
                  </w:p>
                </w:tc>
                <w:tc>
                  <w:tcPr>
                    <w:tcW w:w="851" w:type="dxa"/>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tcPr>
                  <w:p>
                    <w:pPr>
                      <w:ind w:left="-57" w:right="-57"/>
                      <w:jc w:val="both"/>
                      <w:rPr>
                        <w:sz w:val="20"/>
                      </w:rPr>
                    </w:pPr>
                    <w:r>
                      <w:rPr>
                        <w:sz w:val="20"/>
                      </w:rPr>
                      <w:t>P – Patvirtintas atnaujintas Šeimos medicinos plėtros 2016–2025 m. veiksmų planas</w:t>
                    </w:r>
                  </w:p>
                </w:tc>
                <w:tc>
                  <w:tcPr>
                    <w:tcW w:w="851" w:type="dxa"/>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6" w:type="dxa"/>
                    <w:vMerge/>
                    <w:tcBorders>
                      <w:left w:val="single" w:sz="4" w:space="0" w:color="auto"/>
                      <w:right w:val="single" w:sz="4" w:space="0" w:color="auto"/>
                    </w:tcBorders>
                  </w:tcPr>
                  <w:p>
                    <w:pPr>
                      <w:jc w:val="center"/>
                      <w:rPr>
                        <w:sz w:val="20"/>
                      </w:rPr>
                    </w:pPr>
                  </w:p>
                </w:tc>
              </w:tr>
              <w:tr>
                <w:trPr>
                  <w:trHeight w:val="920"/>
                </w:trPr>
                <w:tc>
                  <w:tcPr>
                    <w:tcW w:w="2410" w:type="dxa"/>
                    <w:vMerge w:val="restart"/>
                  </w:tcPr>
                  <w:p>
                    <w:pPr>
                      <w:rPr>
                        <w:sz w:val="20"/>
                      </w:rPr>
                    </w:pPr>
                    <w:r>
                      <w:rPr>
                        <w:sz w:val="20"/>
                      </w:rPr>
                      <w:t>6.2. Sveikatos centro pirminės ambulatorinės asmens sveikatos priežiūros paslaugoms teikti reikiamos infrastruktūros modernizavimas, Sostinės regionas</w:t>
                    </w:r>
                  </w:p>
                </w:tc>
                <w:tc>
                  <w:tcPr>
                    <w:tcW w:w="709" w:type="dxa"/>
                    <w:vMerge w:val="restart"/>
                  </w:tcPr>
                  <w:p>
                    <w:pPr>
                      <w:rPr>
                        <w:sz w:val="20"/>
                      </w:rPr>
                    </w:pPr>
                    <w:r>
                      <w:rPr>
                        <w:sz w:val="20"/>
                      </w:rPr>
                      <w:t>I</w:t>
                    </w:r>
                  </w:p>
                </w:tc>
                <w:tc>
                  <w:tcPr>
                    <w:tcW w:w="1559" w:type="dxa"/>
                    <w:vMerge w:val="restart"/>
                  </w:tcPr>
                  <w:p>
                    <w:pPr>
                      <w:rPr>
                        <w:sz w:val="20"/>
                      </w:rPr>
                    </w:pPr>
                    <w:r>
                      <w:rPr>
                        <w:sz w:val="20"/>
                      </w:rPr>
                      <w:t>Savivaldybių administracijos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5 700,000</w:t>
                    </w:r>
                  </w:p>
                </w:tc>
                <w:tc>
                  <w:tcPr>
                    <w:tcW w:w="992" w:type="dxa"/>
                  </w:tcPr>
                  <w:p>
                    <w:pPr>
                      <w:rPr>
                        <w:sz w:val="20"/>
                      </w:rPr>
                    </w:pPr>
                    <w:r>
                      <w:rPr>
                        <w:sz w:val="20"/>
                      </w:rPr>
                      <w:t>2021–2027 m. IP (ERPF)</w:t>
                    </w:r>
                  </w:p>
                </w:tc>
                <w:tc>
                  <w:tcPr>
                    <w:tcW w:w="2551"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5 700,000</w:t>
                    </w:r>
                  </w:p>
                </w:tc>
                <w:tc>
                  <w:tcPr>
                    <w:tcW w:w="992" w:type="dxa"/>
                    <w:vMerge w:val="restart"/>
                  </w:tcPr>
                  <w:p>
                    <w:pPr>
                      <w:rPr>
                        <w:sz w:val="20"/>
                      </w:rPr>
                    </w:pPr>
                    <w:r>
                      <w:rPr>
                        <w:sz w:val="20"/>
                      </w:rPr>
                      <w:t>2021–2027 m. IP (BF)</w:t>
                    </w:r>
                  </w:p>
                </w:tc>
                <w:tc>
                  <w:tcPr>
                    <w:tcW w:w="2551" w:type="dxa"/>
                  </w:tcPr>
                  <w:p>
                    <w:pPr>
                      <w:ind w:left="-57" w:right="-57"/>
                      <w:rPr>
                        <w:sz w:val="20"/>
                      </w:rPr>
                    </w:pPr>
                    <w:r>
                      <w:rPr>
                        <w:sz w:val="20"/>
                      </w:rPr>
                      <w:t>R – Naujos arba modernizuotos sveikatos priežiūros infrastruktūros naudotojų skaičius per metus</w:t>
                    </w:r>
                  </w:p>
                </w:tc>
                <w:tc>
                  <w:tcPr>
                    <w:tcW w:w="851" w:type="dxa"/>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851" w:type="dxa"/>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86"/>
                </w:trPr>
                <w:tc>
                  <w:tcPr>
                    <w:tcW w:w="2410" w:type="dxa"/>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709" w:type="dxa"/>
                    <w:vMerge w:val="restart"/>
                  </w:tcPr>
                  <w:p>
                    <w:pPr>
                      <w:rPr>
                        <w:sz w:val="20"/>
                      </w:rPr>
                    </w:pPr>
                    <w:r>
                      <w:rPr>
                        <w:sz w:val="20"/>
                      </w:rPr>
                      <w:t>I</w:t>
                    </w:r>
                  </w:p>
                </w:tc>
                <w:tc>
                  <w:tcPr>
                    <w:tcW w:w="1559" w:type="dxa"/>
                    <w:vMerge w:val="restart"/>
                  </w:tcPr>
                  <w:p>
                    <w:pPr>
                      <w:rPr>
                        <w:sz w:val="20"/>
                      </w:rPr>
                    </w:pPr>
                    <w:r>
                      <w:rPr>
                        <w:sz w:val="20"/>
                      </w:rPr>
                      <w:t>Savivaldybių administracijos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7 603,764</w:t>
                    </w:r>
                  </w:p>
                </w:tc>
                <w:tc>
                  <w:tcPr>
                    <w:tcW w:w="992" w:type="dxa"/>
                  </w:tcPr>
                  <w:p>
                    <w:pPr>
                      <w:rPr>
                        <w:sz w:val="20"/>
                      </w:rPr>
                    </w:pPr>
                    <w:r>
                      <w:rPr>
                        <w:sz w:val="20"/>
                      </w:rPr>
                      <w:t>2021–2027 m. IP (ERPF)</w:t>
                    </w:r>
                  </w:p>
                </w:tc>
                <w:tc>
                  <w:tcPr>
                    <w:tcW w:w="2551"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7 603,764</w:t>
                    </w:r>
                  </w:p>
                </w:tc>
                <w:tc>
                  <w:tcPr>
                    <w:tcW w:w="992" w:type="dxa"/>
                    <w:vMerge w:val="restart"/>
                  </w:tcPr>
                  <w:p>
                    <w:pPr>
                      <w:rPr>
                        <w:sz w:val="20"/>
                      </w:rPr>
                    </w:pPr>
                    <w:r>
                      <w:rPr>
                        <w:sz w:val="20"/>
                      </w:rPr>
                      <w:t>2021–2027 m. IP (BF)</w:t>
                    </w:r>
                  </w:p>
                </w:tc>
                <w:tc>
                  <w:tcPr>
                    <w:tcW w:w="2551" w:type="dxa"/>
                  </w:tcPr>
                  <w:p>
                    <w:pPr>
                      <w:ind w:left="-57" w:right="-57"/>
                      <w:rPr>
                        <w:sz w:val="20"/>
                      </w:rPr>
                    </w:pPr>
                    <w:r>
                      <w:rPr>
                        <w:sz w:val="20"/>
                      </w:rPr>
                      <w:t>R – Naujos arba modernizuotos sveikatos priežiūros infrastruktūros naudotojų skaičius per metus</w:t>
                    </w:r>
                  </w:p>
                </w:tc>
                <w:tc>
                  <w:tcPr>
                    <w:tcW w:w="851" w:type="dxa"/>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Borders>
                      <w:bottom w:val="single" w:sz="4" w:space="0" w:color="auto"/>
                    </w:tcBorders>
                  </w:tcPr>
                  <w:p>
                    <w:pPr>
                      <w:rPr>
                        <w:sz w:val="20"/>
                        <w:lang w:val="en-US"/>
                      </w:rPr>
                    </w:pPr>
                  </w:p>
                </w:tc>
                <w:tc>
                  <w:tcPr>
                    <w:tcW w:w="992" w:type="dxa"/>
                    <w:vMerge/>
                    <w:tcBorders>
                      <w:bottom w:val="single" w:sz="4" w:space="0" w:color="auto"/>
                    </w:tcBorders>
                  </w:tcPr>
                  <w:p>
                    <w:pPr>
                      <w:rPr>
                        <w:sz w:val="20"/>
                      </w:rPr>
                    </w:pPr>
                  </w:p>
                </w:tc>
                <w:tc>
                  <w:tcPr>
                    <w:tcW w:w="2551"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851" w:type="dxa"/>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920"/>
                </w:trPr>
                <w:tc>
                  <w:tcPr>
                    <w:tcW w:w="2410" w:type="dxa"/>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Savivaldybių administracijos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31 110,000</w:t>
                    </w:r>
                  </w:p>
                </w:tc>
                <w:tc>
                  <w:tcPr>
                    <w:tcW w:w="992" w:type="dxa"/>
                  </w:tcPr>
                  <w:p>
                    <w:pPr>
                      <w:rPr>
                        <w:sz w:val="20"/>
                      </w:rPr>
                    </w:pPr>
                    <w:r>
                      <w:rPr>
                        <w:sz w:val="20"/>
                      </w:rPr>
                      <w:t>2021–2027 m. IP (ERPF)</w:t>
                    </w:r>
                  </w:p>
                </w:tc>
                <w:tc>
                  <w:tcPr>
                    <w:tcW w:w="2551"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rPr>
                      <w:t>5 490,000</w:t>
                    </w:r>
                  </w:p>
                </w:tc>
                <w:tc>
                  <w:tcPr>
                    <w:tcW w:w="992" w:type="dxa"/>
                    <w:vMerge w:val="restart"/>
                  </w:tcPr>
                  <w:p>
                    <w:pPr>
                      <w:rPr>
                        <w:sz w:val="20"/>
                      </w:rPr>
                    </w:pPr>
                    <w:r>
                      <w:rPr>
                        <w:sz w:val="20"/>
                      </w:rPr>
                      <w:t>2021–2027 m. IP (BF)</w:t>
                    </w:r>
                  </w:p>
                </w:tc>
                <w:tc>
                  <w:tcPr>
                    <w:tcW w:w="2551" w:type="dxa"/>
                  </w:tcPr>
                  <w:p>
                    <w:pPr>
                      <w:ind w:left="-57" w:right="-57"/>
                      <w:rPr>
                        <w:sz w:val="20"/>
                      </w:rPr>
                    </w:pPr>
                    <w:r>
                      <w:rPr>
                        <w:sz w:val="20"/>
                      </w:rPr>
                      <w:t>R – Naujos arba modernizuotos sveikatos priežiūros infrastruktūros naudotojų skaičius per metus</w:t>
                    </w:r>
                  </w:p>
                </w:tc>
                <w:tc>
                  <w:tcPr>
                    <w:tcW w:w="851" w:type="dxa"/>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6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rPr>
                    </w:pPr>
                  </w:p>
                </w:tc>
                <w:tc>
                  <w:tcPr>
                    <w:tcW w:w="992" w:type="dxa"/>
                    <w:vMerge/>
                  </w:tcPr>
                  <w:p>
                    <w:pPr>
                      <w:rPr>
                        <w:sz w:val="20"/>
                      </w:rPr>
                    </w:pPr>
                  </w:p>
                </w:tc>
                <w:tc>
                  <w:tcPr>
                    <w:tcW w:w="2551"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851" w:type="dxa"/>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1120"/>
                </w:trPr>
                <w:tc>
                  <w:tcPr>
                    <w:tcW w:w="2410" w:type="dxa"/>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Savivaldybių administracijos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50 398,601</w:t>
                    </w:r>
                  </w:p>
                </w:tc>
                <w:tc>
                  <w:tcPr>
                    <w:tcW w:w="992" w:type="dxa"/>
                  </w:tcPr>
                  <w:p>
                    <w:pPr>
                      <w:rPr>
                        <w:sz w:val="20"/>
                      </w:rPr>
                    </w:pPr>
                    <w:r>
                      <w:rPr>
                        <w:sz w:val="20"/>
                      </w:rPr>
                      <w:t>2021–2027 m. IP (ERPF)</w:t>
                    </w:r>
                  </w:p>
                </w:tc>
                <w:tc>
                  <w:tcPr>
                    <w:tcW w:w="2551" w:type="dxa"/>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851" w:type="dxa"/>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8 893,871</w:t>
                    </w:r>
                  </w:p>
                </w:tc>
                <w:tc>
                  <w:tcPr>
                    <w:tcW w:w="992" w:type="dxa"/>
                    <w:vMerge w:val="restart"/>
                  </w:tcPr>
                  <w:p>
                    <w:pPr>
                      <w:rPr>
                        <w:sz w:val="20"/>
                      </w:rPr>
                    </w:pPr>
                    <w:r>
                      <w:rPr>
                        <w:sz w:val="20"/>
                      </w:rPr>
                      <w:t>2021–2027 m. IP (BF)</w:t>
                    </w: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851" w:type="dxa"/>
                    <w:shd w:val="clear" w:color="auto" w:fill="auto"/>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69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Borders>
                      <w:bottom w:val="single" w:sz="4" w:space="0" w:color="auto"/>
                    </w:tcBorders>
                  </w:tcPr>
                  <w:p>
                    <w:pPr>
                      <w:rPr>
                        <w:sz w:val="20"/>
                        <w:lang w:val="en-US"/>
                      </w:rPr>
                    </w:pPr>
                  </w:p>
                </w:tc>
                <w:tc>
                  <w:tcPr>
                    <w:tcW w:w="992" w:type="dxa"/>
                    <w:vMerge/>
                    <w:tcBorders>
                      <w:bottom w:val="single" w:sz="4" w:space="0" w:color="auto"/>
                    </w:tcBorders>
                  </w:tcPr>
                  <w:p>
                    <w:pPr>
                      <w:rPr>
                        <w:sz w:val="20"/>
                      </w:rPr>
                    </w:pPr>
                  </w:p>
                </w:tc>
                <w:tc>
                  <w:tcPr>
                    <w:tcW w:w="2551" w:type="dxa"/>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851" w:type="dxa"/>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58"/>
                </w:trPr>
                <w:tc>
                  <w:tcPr>
                    <w:tcW w:w="2410" w:type="dxa"/>
                    <w:vMerge w:val="restart"/>
                  </w:tcPr>
                  <w:p>
                    <w:pPr>
                      <w:rPr>
                        <w:sz w:val="20"/>
                      </w:rPr>
                    </w:pPr>
                    <w:r>
                      <w:rPr>
                        <w:sz w:val="20"/>
                      </w:rPr>
                      <w:t>6.6. Dienos stacionaro ir dienos chirurgijos paslaugų plėtra regiono lygiu, Sostinės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tc>
                <w:tc>
                  <w:tcPr>
                    <w:tcW w:w="709" w:type="dxa"/>
                    <w:vMerge w:val="restart"/>
                  </w:tcPr>
                  <w:p>
                    <w:pPr>
                      <w:rPr>
                        <w:sz w:val="20"/>
                      </w:rPr>
                    </w:pPr>
                    <w:r>
                      <w:rPr>
                        <w:sz w:val="20"/>
                      </w:rPr>
                      <w:t>K</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2 775,496</w:t>
                    </w:r>
                  </w:p>
                </w:tc>
                <w:tc>
                  <w:tcPr>
                    <w:tcW w:w="992" w:type="dxa"/>
                  </w:tcPr>
                  <w:p>
                    <w:pPr>
                      <w:rPr>
                        <w:sz w:val="20"/>
                      </w:rPr>
                    </w:pPr>
                    <w:r>
                      <w:rPr>
                        <w:sz w:val="20"/>
                      </w:rPr>
                      <w:t>2021–2027 m. IP (ERPF)</w:t>
                    </w:r>
                  </w:p>
                  <w:p>
                    <w:pPr>
                      <w:rPr>
                        <w:sz w:val="20"/>
                      </w:rPr>
                    </w:pPr>
                  </w:p>
                </w:tc>
                <w:tc>
                  <w:tcPr>
                    <w:tcW w:w="2551" w:type="dxa"/>
                    <w:shd w:val="clear" w:color="auto" w:fill="auto"/>
                  </w:tcPr>
                  <w:p>
                    <w:pPr>
                      <w:ind w:left="-57" w:right="-57"/>
                      <w:rPr>
                        <w:sz w:val="20"/>
                      </w:rPr>
                    </w:pPr>
                    <w:r>
                      <w:rPr>
                        <w:sz w:val="20"/>
                      </w:rPr>
                      <w:t xml:space="preserve">P </w:t>
                    </w:r>
                    <w:r>
                      <w:rPr>
                        <w:color w:val="000000"/>
                        <w:szCs w:val="24"/>
                      </w:rPr>
                      <w:t xml:space="preserve">– </w:t>
                    </w:r>
                    <w:r>
                      <w:rPr>
                        <w:sz w:val="20"/>
                      </w:rPr>
                      <w:t xml:space="preserve">Naujos arba modernizuotos sveikatos priežiūros infrastruktūros talpumas, asmenys per metus </w:t>
                    </w:r>
                  </w:p>
                </w:tc>
                <w:tc>
                  <w:tcPr>
                    <w:tcW w:w="851" w:type="dxa"/>
                    <w:shd w:val="clear" w:color="auto" w:fill="auto"/>
                  </w:tcPr>
                  <w:p>
                    <w:pPr>
                      <w:ind w:left="-57" w:right="-57"/>
                      <w:jc w:val="center"/>
                      <w:rPr>
                        <w:sz w:val="20"/>
                      </w:rPr>
                    </w:pPr>
                    <w:r>
                      <w:rPr>
                        <w:sz w:val="20"/>
                      </w:rPr>
                      <w:t>10 090</w:t>
                    </w:r>
                  </w:p>
                  <w:p>
                    <w:pPr>
                      <w:ind w:left="-57" w:right="-57"/>
                      <w:jc w:val="center"/>
                      <w:rPr>
                        <w:sz w:val="20"/>
                      </w:rPr>
                    </w:pPr>
                    <w:r>
                      <w:rPr>
                        <w:sz w:val="20"/>
                      </w:rPr>
                      <w:t>(2029 m.)</w:t>
                    </w:r>
                  </w:p>
                  <w:p>
                    <w:pPr>
                      <w:ind w:right="-57"/>
                      <w:rPr>
                        <w:sz w:val="20"/>
                      </w:rPr>
                    </w:pP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928"/>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2 775,496</w:t>
                    </w:r>
                  </w:p>
                  <w:p>
                    <w:pPr>
                      <w:rPr>
                        <w:sz w:val="20"/>
                      </w:rPr>
                    </w:pPr>
                  </w:p>
                </w:tc>
                <w:tc>
                  <w:tcPr>
                    <w:tcW w:w="992" w:type="dxa"/>
                    <w:vMerge w:val="restart"/>
                  </w:tcPr>
                  <w:p>
                    <w:pPr>
                      <w:rPr>
                        <w:sz w:val="20"/>
                      </w:rPr>
                    </w:pPr>
                    <w:r>
                      <w:rPr>
                        <w:sz w:val="20"/>
                      </w:rPr>
                      <w:t>2021–2027 m. IP (BF)</w:t>
                    </w:r>
                  </w:p>
                  <w:p>
                    <w:pPr>
                      <w:rPr>
                        <w:sz w:val="20"/>
                      </w:rPr>
                    </w:pPr>
                  </w:p>
                  <w:p>
                    <w:pPr>
                      <w:rPr>
                        <w:sz w:val="20"/>
                      </w:rPr>
                    </w:pP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851" w:type="dxa"/>
                    <w:shd w:val="clear" w:color="auto" w:fill="auto"/>
                  </w:tcPr>
                  <w:p>
                    <w:pPr>
                      <w:ind w:left="-57" w:right="-57"/>
                      <w:jc w:val="center"/>
                      <w:rPr>
                        <w:sz w:val="20"/>
                      </w:rPr>
                    </w:pPr>
                    <w:r>
                      <w:rPr>
                        <w:sz w:val="20"/>
                      </w:rPr>
                      <w:t>9 890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477"/>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Išvengiamų hospitalizacijų skaičius 1000 gyventojų</w:t>
                    </w:r>
                  </w:p>
                  <w:p>
                    <w:pPr>
                      <w:ind w:left="-57" w:right="-57"/>
                      <w:rPr>
                        <w:sz w:val="20"/>
                      </w:rPr>
                    </w:pPr>
                  </w:p>
                </w:tc>
                <w:tc>
                  <w:tcPr>
                    <w:tcW w:w="851" w:type="dxa"/>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rPr>
                        <w:color w:val="000000"/>
                        <w:sz w:val="20"/>
                      </w:rPr>
                    </w:pPr>
                  </w:p>
                </w:tc>
              </w:tr>
              <w:tr>
                <w:trPr>
                  <w:trHeight w:val="869"/>
                </w:trPr>
                <w:tc>
                  <w:tcPr>
                    <w:tcW w:w="2410" w:type="dxa"/>
                    <w:vMerge w:val="restart"/>
                  </w:tcPr>
                  <w:p>
                    <w:pPr>
                      <w:rPr>
                        <w:iCs/>
                        <w:sz w:val="20"/>
                      </w:rPr>
                    </w:pPr>
                    <w:r>
                      <w:rPr>
                        <w:sz w:val="20"/>
                      </w:rPr>
                      <w:t>6.7. . Dienos stacionaro ir dienos chirurgijos paslaugų plėtra regiono lygiu,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tc>
                <w:tc>
                  <w:tcPr>
                    <w:tcW w:w="709" w:type="dxa"/>
                    <w:vMerge w:val="restart"/>
                  </w:tcPr>
                  <w:p>
                    <w:pPr>
                      <w:rPr>
                        <w:sz w:val="20"/>
                      </w:rPr>
                    </w:pPr>
                    <w:r>
                      <w:rPr>
                        <w:sz w:val="20"/>
                      </w:rPr>
                      <w:t>K</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rPr>
                    </w:pPr>
                    <w:r>
                      <w:rPr>
                        <w:sz w:val="20"/>
                      </w:rPr>
                      <w:t>13 981,657</w:t>
                    </w:r>
                  </w:p>
                </w:tc>
                <w:tc>
                  <w:tcPr>
                    <w:tcW w:w="992" w:type="dxa"/>
                  </w:tcPr>
                  <w:p>
                    <w:pPr>
                      <w:rPr>
                        <w:sz w:val="20"/>
                      </w:rPr>
                    </w:pPr>
                    <w:r>
                      <w:rPr>
                        <w:sz w:val="20"/>
                      </w:rPr>
                      <w:t>2021–2027 m. IP (ERPF)</w:t>
                    </w:r>
                  </w:p>
                  <w:p>
                    <w:pPr>
                      <w:rPr>
                        <w:sz w:val="20"/>
                      </w:rPr>
                    </w:pPr>
                  </w:p>
                </w:tc>
                <w:tc>
                  <w:tcPr>
                    <w:tcW w:w="2551" w:type="dxa"/>
                    <w:shd w:val="clear" w:color="auto" w:fill="auto"/>
                  </w:tcPr>
                  <w:p>
                    <w:pPr>
                      <w:ind w:left="-57" w:right="-57"/>
                      <w:rPr>
                        <w:sz w:val="20"/>
                      </w:rPr>
                    </w:pPr>
                    <w:r>
                      <w:rPr>
                        <w:sz w:val="20"/>
                      </w:rPr>
                      <w:t xml:space="preserve">P </w:t>
                    </w:r>
                    <w:r>
                      <w:rPr>
                        <w:color w:val="000000"/>
                        <w:szCs w:val="24"/>
                      </w:rPr>
                      <w:t xml:space="preserve">– </w:t>
                    </w:r>
                    <w:r>
                      <w:rPr>
                        <w:sz w:val="20"/>
                      </w:rPr>
                      <w:t>Naujos arba modernizuotos sveikatos priežiūros infrastruktūros talpumas, asmenys per metus</w:t>
                    </w:r>
                  </w:p>
                </w:tc>
                <w:tc>
                  <w:tcPr>
                    <w:tcW w:w="851" w:type="dxa"/>
                    <w:shd w:val="clear" w:color="auto" w:fill="auto"/>
                  </w:tcPr>
                  <w:p>
                    <w:pPr>
                      <w:ind w:left="-57" w:right="-57"/>
                      <w:jc w:val="center"/>
                      <w:rPr>
                        <w:sz w:val="20"/>
                      </w:rPr>
                    </w:pPr>
                    <w:r>
                      <w:rPr>
                        <w:sz w:val="20"/>
                      </w:rPr>
                      <w:t>34 310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1019"/>
                </w:trPr>
                <w:tc>
                  <w:tcPr>
                    <w:tcW w:w="2410" w:type="dxa"/>
                    <w:vMerge/>
                  </w:tcPr>
                  <w:p>
                    <w:pPr>
                      <w:rPr>
                        <w:iCs/>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rPr>
                    </w:pPr>
                    <w:r>
                      <w:rPr>
                        <w:sz w:val="20"/>
                      </w:rPr>
                      <w:t>2 467,350</w:t>
                    </w:r>
                  </w:p>
                </w:tc>
                <w:tc>
                  <w:tcPr>
                    <w:tcW w:w="992" w:type="dxa"/>
                    <w:vMerge w:val="restart"/>
                  </w:tcPr>
                  <w:p>
                    <w:pPr>
                      <w:rPr>
                        <w:sz w:val="20"/>
                      </w:rPr>
                    </w:pPr>
                    <w:r>
                      <w:rPr>
                        <w:sz w:val="20"/>
                      </w:rPr>
                      <w:t xml:space="preserve">2021–2027 m.  IP (BF)</w:t>
                    </w:r>
                  </w:p>
                  <w:p>
                    <w:pPr>
                      <w:rPr>
                        <w:sz w:val="20"/>
                      </w:rPr>
                    </w:pPr>
                  </w:p>
                  <w:p>
                    <w:pPr>
                      <w:rPr>
                        <w:sz w:val="20"/>
                      </w:rPr>
                    </w:pP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851" w:type="dxa"/>
                    <w:shd w:val="clear" w:color="auto" w:fill="auto"/>
                  </w:tcPr>
                  <w:p>
                    <w:pPr>
                      <w:ind w:left="-57" w:right="-57"/>
                      <w:jc w:val="center"/>
                      <w:rPr>
                        <w:sz w:val="20"/>
                      </w:rPr>
                    </w:pPr>
                    <w:r>
                      <w:rPr>
                        <w:sz w:val="20"/>
                      </w:rPr>
                      <w:t>33 630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63"/>
                </w:trPr>
                <w:tc>
                  <w:tcPr>
                    <w:tcW w:w="2410" w:type="dxa"/>
                    <w:vMerge/>
                    <w:tcBorders>
                      <w:bottom w:val="single" w:sz="4" w:space="0" w:color="auto"/>
                    </w:tcBorders>
                  </w:tcPr>
                  <w:p>
                    <w:pPr>
                      <w:rPr>
                        <w:iCs/>
                        <w:sz w:val="20"/>
                      </w:rPr>
                    </w:pPr>
                  </w:p>
                </w:tc>
                <w:tc>
                  <w:tcPr>
                    <w:tcW w:w="709" w:type="dxa"/>
                    <w:vMerge/>
                    <w:tcBorders>
                      <w:bottom w:val="single" w:sz="4" w:space="0" w:color="auto"/>
                    </w:tcBorders>
                  </w:tcPr>
                  <w:p>
                    <w:pPr>
                      <w:rPr>
                        <w:sz w:val="20"/>
                      </w:rPr>
                    </w:pPr>
                  </w:p>
                </w:tc>
                <w:tc>
                  <w:tcPr>
                    <w:tcW w:w="1559" w:type="dxa"/>
                    <w:vMerge/>
                    <w:tcBorders>
                      <w:bottom w:val="single" w:sz="4" w:space="0" w:color="auto"/>
                    </w:tcBorders>
                  </w:tcPr>
                  <w:p>
                    <w:pPr>
                      <w:rPr>
                        <w:sz w:val="20"/>
                      </w:rPr>
                    </w:pPr>
                  </w:p>
                </w:tc>
                <w:tc>
                  <w:tcPr>
                    <w:tcW w:w="709" w:type="dxa"/>
                    <w:vMerge/>
                    <w:tcBorders>
                      <w:bottom w:val="single" w:sz="4" w:space="0" w:color="auto"/>
                    </w:tcBorders>
                  </w:tcPr>
                  <w:p>
                    <w:pPr>
                      <w:rPr>
                        <w:sz w:val="20"/>
                      </w:rPr>
                    </w:pPr>
                  </w:p>
                </w:tc>
                <w:tc>
                  <w:tcPr>
                    <w:tcW w:w="992" w:type="dxa"/>
                    <w:vMerge/>
                    <w:tcBorders>
                      <w:bottom w:val="single" w:sz="4" w:space="0" w:color="auto"/>
                    </w:tcBorders>
                  </w:tcPr>
                  <w:p>
                    <w:pPr>
                      <w:rPr>
                        <w:sz w:val="20"/>
                      </w:rPr>
                    </w:pPr>
                  </w:p>
                </w:tc>
                <w:tc>
                  <w:tcPr>
                    <w:tcW w:w="709" w:type="dxa"/>
                    <w:vMerge/>
                    <w:tcBorders>
                      <w:bottom w:val="single" w:sz="4" w:space="0" w:color="auto"/>
                    </w:tcBorders>
                  </w:tcPr>
                  <w:p>
                    <w:pPr>
                      <w:rPr>
                        <w:sz w:val="20"/>
                      </w:rPr>
                    </w:pPr>
                  </w:p>
                </w:tc>
                <w:tc>
                  <w:tcPr>
                    <w:tcW w:w="1276" w:type="dxa"/>
                    <w:vMerge/>
                    <w:tcBorders>
                      <w:bottom w:val="single" w:sz="4" w:space="0" w:color="auto"/>
                    </w:tcBorders>
                  </w:tcPr>
                  <w:p>
                    <w:pPr>
                      <w:rPr>
                        <w:sz w:val="20"/>
                      </w:rPr>
                    </w:pPr>
                  </w:p>
                </w:tc>
                <w:tc>
                  <w:tcPr>
                    <w:tcW w:w="992" w:type="dxa"/>
                    <w:vMerge/>
                    <w:tcBorders>
                      <w:bottom w:val="single" w:sz="4" w:space="0" w:color="auto"/>
                    </w:tcBorders>
                  </w:tcPr>
                  <w:p>
                    <w:pPr>
                      <w:rPr>
                        <w:sz w:val="20"/>
                      </w:rPr>
                    </w:pPr>
                  </w:p>
                </w:tc>
                <w:tc>
                  <w:tcPr>
                    <w:tcW w:w="2551" w:type="dxa"/>
                    <w:tcBorders>
                      <w:bottom w:val="single" w:sz="4" w:space="0" w:color="auto"/>
                    </w:tcBorders>
                    <w:shd w:val="clear" w:color="auto" w:fill="auto"/>
                  </w:tcPr>
                  <w:p>
                    <w:pPr>
                      <w:ind w:left="-57" w:right="-57"/>
                      <w:rPr>
                        <w:sz w:val="20"/>
                      </w:rPr>
                    </w:pPr>
                    <w:r>
                      <w:rPr>
                        <w:sz w:val="20"/>
                      </w:rPr>
                      <w:t xml:space="preserve">R </w:t>
                    </w:r>
                    <w:r>
                      <w:rPr>
                        <w:color w:val="000000"/>
                        <w:szCs w:val="24"/>
                      </w:rPr>
                      <w:t>–</w:t>
                    </w:r>
                    <w:r>
                      <w:rPr>
                        <w:sz w:val="20"/>
                      </w:rPr>
                      <w:t xml:space="preserve"> Išvengiamų hospitalizacijų skaičius 1000 gyventojų</w:t>
                    </w:r>
                  </w:p>
                  <w:p>
                    <w:pPr>
                      <w:ind w:left="-57" w:right="-57"/>
                      <w:rPr>
                        <w:sz w:val="20"/>
                      </w:rPr>
                    </w:pPr>
                  </w:p>
                </w:tc>
                <w:tc>
                  <w:tcPr>
                    <w:tcW w:w="851" w:type="dxa"/>
                    <w:tcBorders>
                      <w:bottom w:val="single" w:sz="4" w:space="0" w:color="auto"/>
                    </w:tcBorders>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Borders>
                      <w:bottom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857"/>
                </w:trPr>
                <w:tc>
                  <w:tcPr>
                    <w:tcW w:w="2410" w:type="dxa"/>
                    <w:vMerge w:val="restart"/>
                  </w:tcPr>
                  <w:p>
                    <w:pPr>
                      <w:rPr>
                        <w:sz w:val="20"/>
                      </w:rPr>
                    </w:pPr>
                    <w:r>
                      <w:rPr>
                        <w:sz w:val="20"/>
                      </w:rPr>
                      <w:t>6.8. Inovatyvių pirminės sveikatos priežiūros paslaugų teikimo ir organizavimo modelių kūrimas ir išbandymas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Savivaldybių administracijos,ASPĮ, SAM</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Borders>
                      <w:bottom w:val="single" w:sz="4" w:space="0" w:color="auto"/>
                    </w:tcBorders>
                  </w:tcPr>
                  <w:p>
                    <w:pPr>
                      <w:rPr>
                        <w:sz w:val="20"/>
                        <w:lang w:val="en-US"/>
                      </w:rPr>
                    </w:pPr>
                    <w:r>
                      <w:rPr>
                        <w:sz w:val="20"/>
                        <w:lang w:val="en-US"/>
                      </w:rPr>
                      <w:t>33 366,750</w:t>
                    </w:r>
                  </w:p>
                </w:tc>
                <w:tc>
                  <w:tcPr>
                    <w:tcW w:w="992" w:type="dxa"/>
                    <w:tcBorders>
                      <w:bottom w:val="single" w:sz="4" w:space="0" w:color="auto"/>
                    </w:tcBorders>
                  </w:tcPr>
                  <w:p>
                    <w:pPr>
                      <w:rPr>
                        <w:sz w:val="20"/>
                      </w:rPr>
                    </w:pPr>
                    <w:r>
                      <w:rPr>
                        <w:sz w:val="20"/>
                      </w:rPr>
                      <w:t xml:space="preserve">2021–2027 m. IP (ESF+) </w:t>
                    </w:r>
                  </w:p>
                </w:tc>
                <w:tc>
                  <w:tcPr>
                    <w:tcW w:w="2551" w:type="dxa"/>
                    <w:tcBorders>
                      <w:top w:val="single" w:sz="4" w:space="0" w:color="auto"/>
                      <w:left w:val="single" w:sz="4" w:space="0" w:color="auto"/>
                      <w:right w:val="single" w:sz="4" w:space="0" w:color="auto"/>
                    </w:tcBorders>
                    <w:shd w:val="clear" w:color="auto" w:fill="auto"/>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851" w:type="dxa"/>
                    <w:shd w:val="clear" w:color="auto" w:fill="auto"/>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rPr>
                    </w:pPr>
                    <w:r>
                      <w:rPr>
                        <w:sz w:val="20"/>
                        <w:lang w:val="en-US"/>
                      </w:rPr>
                      <w:t>5 888,250</w:t>
                    </w:r>
                  </w:p>
                </w:tc>
                <w:tc>
                  <w:tcPr>
                    <w:tcW w:w="992" w:type="dxa"/>
                    <w:vMerge w:val="restart"/>
                  </w:tcPr>
                  <w:p>
                    <w:pPr>
                      <w:rPr>
                        <w:sz w:val="20"/>
                      </w:rPr>
                    </w:pPr>
                    <w:r>
                      <w:rPr>
                        <w:sz w:val="20"/>
                      </w:rPr>
                      <w:t xml:space="preserve">2021–2027m.  IP (BF) </w:t>
                    </w:r>
                  </w:p>
                </w:tc>
                <w:tc>
                  <w:tcPr>
                    <w:tcW w:w="2551" w:type="dxa"/>
                    <w:shd w:val="clear" w:color="auto" w:fill="auto"/>
                  </w:tcPr>
                  <w:p>
                    <w:pPr>
                      <w:ind w:left="-57" w:right="-57"/>
                      <w:rPr>
                        <w:sz w:val="20"/>
                      </w:rPr>
                    </w:pPr>
                    <w:r>
                      <w:rPr>
                        <w:sz w:val="20"/>
                      </w:rPr>
                      <w:t>P – Specialistai, dalyvavę kvalifikacijos tobulinimo ar perkvalifikavimo veiklose, asmenys</w:t>
                    </w:r>
                  </w:p>
                </w:tc>
                <w:tc>
                  <w:tcPr>
                    <w:tcW w:w="851" w:type="dxa"/>
                    <w:shd w:val="clear" w:color="auto" w:fill="auto"/>
                  </w:tcPr>
                  <w:p>
                    <w:pPr>
                      <w:ind w:left="-57" w:right="-57"/>
                      <w:jc w:val="center"/>
                      <w:rPr>
                        <w:sz w:val="20"/>
                        <w:lang w:val="en-US"/>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690"/>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auto"/>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851" w:type="dxa"/>
                    <w:shd w:val="clear" w:color="auto" w:fill="auto"/>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575"/>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auto"/>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851" w:type="dxa"/>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575"/>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auto"/>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851" w:type="dxa"/>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auto"/>
                  </w:tcPr>
                  <w:p>
                    <w:pPr>
                      <w:ind w:left="-57" w:right="-57"/>
                      <w:rPr>
                        <w:b/>
                        <w:bCs/>
                        <w:color w:val="FF0000"/>
                        <w:sz w:val="20"/>
                      </w:rPr>
                    </w:pPr>
                    <w:r>
                      <w:rPr>
                        <w:color w:val="000000"/>
                        <w:sz w:val="20"/>
                      </w:rPr>
                      <w:t xml:space="preserve">R – Pacientų pasitenkinimas gautomis paslaugomis, proc. </w:t>
                    </w:r>
                  </w:p>
                </w:tc>
                <w:tc>
                  <w:tcPr>
                    <w:tcW w:w="851" w:type="dxa"/>
                    <w:shd w:val="clear" w:color="auto" w:fill="auto"/>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410" w:type="dxa"/>
                  </w:tcPr>
                  <w:p>
                    <w:pPr>
                      <w:rPr>
                        <w:sz w:val="20"/>
                      </w:rPr>
                    </w:pPr>
                    <w:r>
                      <w:rPr>
                        <w:sz w:val="20"/>
                      </w:rPr>
                      <w:t>6.9. ASPĮ išlaidų, patirtų įgyvendinant pertvarką, kompensavimas</w:t>
                    </w:r>
                  </w:p>
                </w:tc>
                <w:tc>
                  <w:tcPr>
                    <w:tcW w:w="709" w:type="dxa"/>
                  </w:tcPr>
                  <w:p>
                    <w:pPr>
                      <w:rPr>
                        <w:sz w:val="20"/>
                      </w:rPr>
                    </w:pPr>
                    <w:r>
                      <w:rPr>
                        <w:sz w:val="20"/>
                      </w:rPr>
                      <w:t>I</w:t>
                    </w:r>
                  </w:p>
                </w:tc>
                <w:tc>
                  <w:tcPr>
                    <w:tcW w:w="1559" w:type="dxa"/>
                  </w:tcPr>
                  <w:p>
                    <w:pPr>
                      <w:rPr>
                        <w:sz w:val="20"/>
                      </w:rPr>
                    </w:pPr>
                    <w:r>
                      <w:rPr>
                        <w:sz w:val="20"/>
                      </w:rPr>
                      <w:t>ASPĮ</w:t>
                    </w:r>
                  </w:p>
                </w:tc>
                <w:tc>
                  <w:tcPr>
                    <w:tcW w:w="709" w:type="dxa"/>
                  </w:tcPr>
                  <w:p>
                    <w:pPr>
                      <w:rPr>
                        <w:sz w:val="20"/>
                      </w:rPr>
                    </w:pPr>
                    <w:r>
                      <w:rPr>
                        <w:sz w:val="20"/>
                      </w:rPr>
                      <w:t>P</w:t>
                    </w:r>
                  </w:p>
                </w:tc>
                <w:tc>
                  <w:tcPr>
                    <w:tcW w:w="992" w:type="dxa"/>
                  </w:tcPr>
                  <w:p>
                    <w:pPr>
                      <w:rPr>
                        <w:sz w:val="20"/>
                      </w:rPr>
                    </w:pPr>
                    <w:r>
                      <w:rPr>
                        <w:sz w:val="20"/>
                      </w:rPr>
                      <w:t>Taip</w:t>
                    </w:r>
                  </w:p>
                </w:tc>
                <w:tc>
                  <w:tcPr>
                    <w:tcW w:w="709" w:type="dxa"/>
                  </w:tcPr>
                  <w:p>
                    <w:pPr>
                      <w:rPr>
                        <w:sz w:val="20"/>
                      </w:rPr>
                    </w:pPr>
                    <w:r>
                      <w:rPr>
                        <w:sz w:val="20"/>
                      </w:rPr>
                      <w:t>D</w:t>
                    </w:r>
                  </w:p>
                </w:tc>
                <w:tc>
                  <w:tcPr>
                    <w:tcW w:w="1276" w:type="dxa"/>
                  </w:tcPr>
                  <w:p>
                    <w:pPr>
                      <w:rPr>
                        <w:sz w:val="20"/>
                      </w:rPr>
                    </w:pPr>
                    <w:r>
                      <w:rPr>
                        <w:sz w:val="20"/>
                        <w:lang w:val="en-US"/>
                      </w:rPr>
                      <w:t>8 000</w:t>
                    </w:r>
                  </w:p>
                </w:tc>
                <w:tc>
                  <w:tcPr>
                    <w:tcW w:w="992" w:type="dxa"/>
                  </w:tcPr>
                  <w:p>
                    <w:pPr>
                      <w:rPr>
                        <w:sz w:val="20"/>
                      </w:rPr>
                    </w:pPr>
                    <w:r>
                      <w:rPr>
                        <w:sz w:val="20"/>
                      </w:rPr>
                      <w:t>VB</w:t>
                    </w:r>
                  </w:p>
                </w:tc>
                <w:tc>
                  <w:tcPr>
                    <w:tcW w:w="2551" w:type="dxa"/>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851" w:type="dxa"/>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6" w:type="dxa"/>
                    <w:tcBorders>
                      <w:left w:val="single" w:sz="4" w:space="0" w:color="auto"/>
                      <w:right w:val="single" w:sz="4" w:space="0" w:color="auto"/>
                    </w:tcBorders>
                  </w:tcPr>
                  <w:p>
                    <w:pPr>
                      <w:jc w:val="center"/>
                      <w:rPr>
                        <w:color w:val="000000"/>
                        <w:sz w:val="20"/>
                      </w:rPr>
                    </w:pPr>
                  </w:p>
                </w:tc>
              </w:tr>
              <w:tr>
                <w:trPr>
                  <w:trHeight w:val="414"/>
                </w:trPr>
                <w:tc>
                  <w:tcPr>
                    <w:tcW w:w="2410" w:type="dxa"/>
                    <w:vMerge w:val="restart"/>
                    <w:shd w:val="clear" w:color="auto" w:fill="F2F2F2" w:themeFill="background1" w:themeFillShade="F2"/>
                  </w:tcPr>
                  <w:p>
                    <w:pPr>
                      <w:rPr>
                        <w:sz w:val="20"/>
                      </w:rPr>
                    </w:pPr>
                    <w:r>
                      <w:rPr>
                        <w:b/>
                        <w:bCs/>
                        <w:sz w:val="20"/>
                      </w:rPr>
                      <w:t>7. Ambulatorinių psichikos sveikatos priežiūros paslaugų plėtra ir kokybės gerinimas</w:t>
                    </w:r>
                  </w:p>
                </w:tc>
                <w:tc>
                  <w:tcPr>
                    <w:tcW w:w="709" w:type="dxa"/>
                    <w:vMerge w:val="restart"/>
                    <w:shd w:val="clear" w:color="auto" w:fill="F2F2F2" w:themeFill="background1" w:themeFillShade="F2"/>
                  </w:tcPr>
                  <w:p>
                    <w:pPr>
                      <w:rPr>
                        <w:sz w:val="20"/>
                      </w:rPr>
                    </w:pPr>
                    <w:r>
                      <w:rPr>
                        <w:sz w:val="20"/>
                      </w:rPr>
                      <w:t>-</w:t>
                    </w:r>
                  </w:p>
                </w:tc>
                <w:tc>
                  <w:tcPr>
                    <w:tcW w:w="1559"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992"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1276" w:type="dxa"/>
                    <w:shd w:val="clear" w:color="auto" w:fill="F2F2F2" w:themeFill="background1" w:themeFillShade="F2"/>
                  </w:tcPr>
                  <w:p>
                    <w:pPr>
                      <w:rPr>
                        <w:sz w:val="20"/>
                        <w:lang w:val="en-US"/>
                      </w:rPr>
                    </w:pPr>
                    <w:r>
                      <w:rPr>
                        <w:b/>
                        <w:bCs/>
                        <w:sz w:val="20"/>
                      </w:rPr>
                      <w:t>38 400</w:t>
                    </w:r>
                  </w:p>
                </w:tc>
                <w:tc>
                  <w:tcPr>
                    <w:tcW w:w="992" w:type="dxa"/>
                    <w:shd w:val="clear" w:color="auto" w:fill="F2F2F2" w:themeFill="background1" w:themeFillShade="F2"/>
                  </w:tcPr>
                  <w:p>
                    <w:pPr>
                      <w:rPr>
                        <w:sz w:val="20"/>
                      </w:rPr>
                    </w:pPr>
                    <w:r>
                      <w:rPr>
                        <w:sz w:val="20"/>
                      </w:rPr>
                      <w:t>-</w:t>
                    </w:r>
                  </w:p>
                </w:tc>
                <w:tc>
                  <w:tcPr>
                    <w:tcW w:w="2551" w:type="dxa"/>
                    <w:vMerge w:val="restart"/>
                    <w:shd w:val="clear" w:color="auto" w:fill="F2F2F2" w:themeFill="background1" w:themeFillShade="F2"/>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851" w:type="dxa"/>
                    <w:vMerge w:val="restart"/>
                    <w:shd w:val="clear" w:color="auto" w:fill="F2F2F2" w:themeFill="background1" w:themeFillShade="F2"/>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shd w:val="clear" w:color="auto" w:fill="F2F2F2" w:themeFill="background1" w:themeFillShade="F2"/>
                  </w:tcPr>
                  <w:p>
                    <w:pPr>
                      <w:rPr>
                        <w:i/>
                        <w:iCs/>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2 523,178</w:t>
                    </w:r>
                  </w:p>
                </w:tc>
                <w:tc>
                  <w:tcPr>
                    <w:tcW w:w="992" w:type="dxa"/>
                    <w:shd w:val="clear" w:color="auto" w:fill="F2F2F2" w:themeFill="background1" w:themeFillShade="F2"/>
                  </w:tcPr>
                  <w:p>
                    <w:pPr>
                      <w:rPr>
                        <w:sz w:val="20"/>
                      </w:rPr>
                    </w:pPr>
                    <w:r>
                      <w:rPr>
                        <w:sz w:val="20"/>
                      </w:rPr>
                      <w:t>2021–2027 m. IP (ERPF, Sostinės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2 523,178</w:t>
                    </w:r>
                  </w:p>
                </w:tc>
                <w:tc>
                  <w:tcPr>
                    <w:tcW w:w="992" w:type="dxa"/>
                    <w:shd w:val="clear" w:color="auto" w:fill="F2F2F2" w:themeFill="background1" w:themeFillShade="F2"/>
                  </w:tcPr>
                  <w:p>
                    <w:pPr>
                      <w:rPr>
                        <w:sz w:val="20"/>
                      </w:rPr>
                    </w:pPr>
                    <w:r>
                      <w:rPr>
                        <w:sz w:val="20"/>
                      </w:rPr>
                      <w:t>2021–2027 m. IP (BF, Sostinės regionas</w:t>
                    </w:r>
                  </w:p>
                </w:tc>
                <w:tc>
                  <w:tcPr>
                    <w:tcW w:w="2551" w:type="dxa"/>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851" w:type="dxa"/>
                    <w:shd w:val="clear" w:color="auto" w:fill="F2F2F2" w:themeFill="background1" w:themeFillShade="F2"/>
                  </w:tcPr>
                  <w:p>
                    <w:pPr>
                      <w:ind w:left="-57" w:right="-57"/>
                      <w:jc w:val="center"/>
                      <w:rPr>
                        <w:sz w:val="20"/>
                      </w:rPr>
                    </w:pPr>
                    <w:r>
                      <w:rPr>
                        <w:sz w:val="20"/>
                      </w:rPr>
                      <w:t>431714</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575"/>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12 710,597</w:t>
                    </w:r>
                  </w:p>
                </w:tc>
                <w:tc>
                  <w:tcPr>
                    <w:tcW w:w="992" w:type="dxa"/>
                    <w:shd w:val="clear" w:color="auto" w:fill="F2F2F2" w:themeFill="background1" w:themeFillShade="F2"/>
                  </w:tcPr>
                  <w:p>
                    <w:pPr>
                      <w:rPr>
                        <w:sz w:val="20"/>
                      </w:rPr>
                    </w:pPr>
                    <w:r>
                      <w:rPr>
                        <w:sz w:val="20"/>
                      </w:rPr>
                      <w:t>2021–2027 m. IP (ERPF, VVL regionas)</w:t>
                    </w:r>
                  </w:p>
                </w:tc>
                <w:tc>
                  <w:tcPr>
                    <w:tcW w:w="2551" w:type="dxa"/>
                    <w:vMerge w:val="restart"/>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851" w:type="dxa"/>
                    <w:vMerge w:val="restart"/>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575"/>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10 540</w:t>
                    </w:r>
                  </w:p>
                </w:tc>
                <w:tc>
                  <w:tcPr>
                    <w:tcW w:w="992" w:type="dxa"/>
                    <w:shd w:val="clear" w:color="auto" w:fill="F2F2F2" w:themeFill="background1" w:themeFillShade="F2"/>
                  </w:tcPr>
                  <w:p>
                    <w:pPr>
                      <w:rPr>
                        <w:sz w:val="20"/>
                      </w:rPr>
                    </w:pPr>
                    <w:r>
                      <w:rPr>
                        <w:sz w:val="20"/>
                      </w:rPr>
                      <w:t>2021–2027 m. IP (ESF</w:t>
                    </w:r>
                    <w:r>
                      <w:rPr>
                        <w:sz w:val="20"/>
                        <w:lang w:val="it-IT"/>
                      </w:rPr>
                      <w:t>+</w:t>
                    </w:r>
                    <w:r>
                      <w:rPr>
                        <w:sz w:val="20"/>
                      </w:rPr>
                      <w:t>, VVL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4 103,047</w:t>
                    </w:r>
                  </w:p>
                </w:tc>
                <w:tc>
                  <w:tcPr>
                    <w:tcW w:w="992" w:type="dxa"/>
                    <w:shd w:val="clear" w:color="auto" w:fill="F2F2F2" w:themeFill="background1" w:themeFillShade="F2"/>
                  </w:tcPr>
                  <w:p>
                    <w:pPr>
                      <w:rPr>
                        <w:sz w:val="20"/>
                      </w:rPr>
                    </w:pPr>
                    <w:r>
                      <w:rPr>
                        <w:sz w:val="20"/>
                      </w:rPr>
                      <w:t>2021–2027 m. IP (BF, VVL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sz w:val="20"/>
                      </w:rPr>
                    </w:pPr>
                    <w:r>
                      <w:rPr>
                        <w:sz w:val="20"/>
                      </w:rPr>
                      <w:t>6 000</w:t>
                    </w:r>
                  </w:p>
                </w:tc>
                <w:tc>
                  <w:tcPr>
                    <w:tcW w:w="992" w:type="dxa"/>
                    <w:shd w:val="clear" w:color="auto" w:fill="F2F2F2" w:themeFill="background1" w:themeFillShade="F2"/>
                  </w:tcPr>
                  <w:p>
                    <w:pPr>
                      <w:rPr>
                        <w:sz w:val="20"/>
                      </w:rPr>
                    </w:pPr>
                    <w:r>
                      <w:rPr>
                        <w:sz w:val="20"/>
                      </w:rPr>
                      <w:t>VB</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382"/>
                </w:trPr>
                <w:tc>
                  <w:tcPr>
                    <w:tcW w:w="2410" w:type="dxa"/>
                    <w:vMerge w:val="restart"/>
                  </w:tcPr>
                  <w:p>
                    <w:pPr>
                      <w:rPr>
                        <w:sz w:val="20"/>
                      </w:rPr>
                    </w:pPr>
                    <w:r>
                      <w:rPr>
                        <w:sz w:val="20"/>
                      </w:rPr>
                      <w:t>7.1. Ambulatorinių psichikos sveikatos paslaugų ir psichosocialinės reabilitacijos plėtrai reikalingos infrastruktūros įrengimas, Sostinės regionas</w:t>
                    </w:r>
                  </w:p>
                </w:tc>
                <w:tc>
                  <w:tcPr>
                    <w:tcW w:w="709" w:type="dxa"/>
                    <w:vMerge w:val="restart"/>
                  </w:tcPr>
                  <w:p>
                    <w:pPr>
                      <w:rPr>
                        <w:sz w:val="20"/>
                      </w:rPr>
                    </w:pPr>
                    <w:r>
                      <w:rPr>
                        <w:sz w:val="20"/>
                      </w:rPr>
                      <w:t>I</w:t>
                    </w:r>
                  </w:p>
                </w:tc>
                <w:tc>
                  <w:tcPr>
                    <w:tcW w:w="1559" w:type="dxa"/>
                    <w:vMerge w:val="restart"/>
                  </w:tcPr>
                  <w:p>
                    <w:pPr>
                      <w:rPr>
                        <w:sz w:val="20"/>
                      </w:rPr>
                    </w:pPr>
                    <w:r>
                      <w:rPr>
                        <w:sz w:val="20"/>
                      </w:rPr>
                      <w:t>ASPĮ</w:t>
                    </w:r>
                  </w:p>
                </w:tc>
                <w:tc>
                  <w:tcPr>
                    <w:tcW w:w="709" w:type="dxa"/>
                    <w:vMerge w:val="restart"/>
                    <w:shd w:val="clear" w:color="auto" w:fill="auto"/>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2 523,178</w:t>
                    </w:r>
                  </w:p>
                  <w:p>
                    <w:pPr>
                      <w:rPr>
                        <w:sz w:val="20"/>
                        <w:lang w:val="en-US"/>
                      </w:rPr>
                    </w:pPr>
                  </w:p>
                </w:tc>
                <w:tc>
                  <w:tcPr>
                    <w:tcW w:w="992" w:type="dxa"/>
                  </w:tcPr>
                  <w:p>
                    <w:pPr>
                      <w:rPr>
                        <w:sz w:val="20"/>
                      </w:rPr>
                    </w:pPr>
                    <w:r>
                      <w:rPr>
                        <w:sz w:val="20"/>
                      </w:rPr>
                      <w:t>2021–2027 m. IP (ERPF)</w:t>
                    </w:r>
                  </w:p>
                </w:tc>
                <w:tc>
                  <w:tcPr>
                    <w:tcW w:w="2551"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shd w:val="clear" w:color="auto" w:fill="auto"/>
                  </w:tcPr>
                  <w:p>
                    <w:pPr>
                      <w:rPr>
                        <w:sz w:val="20"/>
                      </w:rPr>
                    </w:pPr>
                  </w:p>
                </w:tc>
                <w:tc>
                  <w:tcPr>
                    <w:tcW w:w="992" w:type="dxa"/>
                    <w:vMerge/>
                  </w:tcPr>
                  <w:p>
                    <w:pPr>
                      <w:rPr>
                        <w:sz w:val="20"/>
                      </w:rPr>
                    </w:pPr>
                  </w:p>
                </w:tc>
                <w:tc>
                  <w:tcPr>
                    <w:tcW w:w="709" w:type="dxa"/>
                    <w:vMerge/>
                  </w:tcPr>
                  <w:p>
                    <w:pPr>
                      <w:rPr>
                        <w:sz w:val="20"/>
                      </w:rPr>
                    </w:pPr>
                  </w:p>
                </w:tc>
                <w:tc>
                  <w:tcPr>
                    <w:tcW w:w="1276" w:type="dxa"/>
                  </w:tcPr>
                  <w:p>
                    <w:pPr>
                      <w:rPr>
                        <w:sz w:val="20"/>
                        <w:lang w:val="en-US"/>
                      </w:rPr>
                    </w:pPr>
                    <w:r>
                      <w:rPr>
                        <w:sz w:val="20"/>
                        <w:lang w:val="en-US"/>
                      </w:rPr>
                      <w:t>2 523,178</w:t>
                    </w:r>
                  </w:p>
                </w:tc>
                <w:tc>
                  <w:tcPr>
                    <w:tcW w:w="992" w:type="dxa"/>
                  </w:tcPr>
                  <w:p>
                    <w:pPr>
                      <w:rPr>
                        <w:sz w:val="20"/>
                      </w:rPr>
                    </w:pPr>
                    <w:r>
                      <w:rPr>
                        <w:sz w:val="20"/>
                      </w:rPr>
                      <w:t>2021–2027 m. IP (BF)</w:t>
                    </w:r>
                  </w:p>
                </w:tc>
                <w:tc>
                  <w:tcPr>
                    <w:tcW w:w="2551"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851" w:type="dxa"/>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1025"/>
                </w:trPr>
                <w:tc>
                  <w:tcPr>
                    <w:tcW w:w="2410" w:type="dxa"/>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709" w:type="dxa"/>
                    <w:vMerge w:val="restart"/>
                  </w:tcPr>
                  <w:p>
                    <w:pPr>
                      <w:rPr>
                        <w:sz w:val="20"/>
                      </w:rPr>
                    </w:pPr>
                    <w:r>
                      <w:rPr>
                        <w:sz w:val="20"/>
                      </w:rPr>
                      <w:t>I</w:t>
                    </w:r>
                  </w:p>
                  <w:p>
                    <w:pPr>
                      <w:rPr>
                        <w:sz w:val="20"/>
                      </w:rPr>
                    </w:pPr>
                  </w:p>
                </w:tc>
                <w:tc>
                  <w:tcPr>
                    <w:tcW w:w="1559" w:type="dxa"/>
                    <w:vMerge w:val="restart"/>
                  </w:tcPr>
                  <w:p>
                    <w:pPr>
                      <w:rPr>
                        <w:sz w:val="20"/>
                      </w:rPr>
                    </w:pPr>
                    <w:r>
                      <w:rPr>
                        <w:sz w:val="20"/>
                      </w:rPr>
                      <w:t>ASPĮ</w:t>
                    </w:r>
                  </w:p>
                  <w:p>
                    <w:pPr>
                      <w:rPr>
                        <w:sz w:val="20"/>
                      </w:rPr>
                    </w:pPr>
                  </w:p>
                </w:tc>
                <w:tc>
                  <w:tcPr>
                    <w:tcW w:w="709" w:type="dxa"/>
                    <w:vMerge w:val="restart"/>
                    <w:shd w:val="clear" w:color="auto" w:fill="auto"/>
                  </w:tcPr>
                  <w:p>
                    <w:pPr>
                      <w:rPr>
                        <w:sz w:val="20"/>
                      </w:rPr>
                    </w:pPr>
                    <w:r>
                      <w:rPr>
                        <w:sz w:val="20"/>
                      </w:rPr>
                      <w:t>P</w:t>
                    </w:r>
                  </w:p>
                  <w:p>
                    <w:pPr>
                      <w:rPr>
                        <w:sz w:val="20"/>
                      </w:rPr>
                    </w:pPr>
                  </w:p>
                </w:tc>
                <w:tc>
                  <w:tcPr>
                    <w:tcW w:w="992" w:type="dxa"/>
                    <w:vMerge w:val="restart"/>
                  </w:tcPr>
                  <w:p>
                    <w:pPr>
                      <w:rPr>
                        <w:sz w:val="20"/>
                      </w:rPr>
                    </w:pPr>
                    <w:r>
                      <w:rPr>
                        <w:sz w:val="20"/>
                      </w:rPr>
                      <w:t>Taip</w:t>
                    </w:r>
                  </w:p>
                  <w:p>
                    <w:pPr>
                      <w:rPr>
                        <w:sz w:val="20"/>
                      </w:rPr>
                    </w:pPr>
                  </w:p>
                </w:tc>
                <w:tc>
                  <w:tcPr>
                    <w:tcW w:w="709" w:type="dxa"/>
                    <w:vMerge w:val="restart"/>
                  </w:tcPr>
                  <w:p>
                    <w:pPr>
                      <w:rPr>
                        <w:sz w:val="20"/>
                      </w:rPr>
                    </w:pPr>
                    <w:r>
                      <w:rPr>
                        <w:sz w:val="20"/>
                      </w:rPr>
                      <w:t>D</w:t>
                    </w:r>
                  </w:p>
                  <w:p>
                    <w:pPr>
                      <w:rPr>
                        <w:sz w:val="20"/>
                      </w:rPr>
                    </w:pPr>
                  </w:p>
                </w:tc>
                <w:tc>
                  <w:tcPr>
                    <w:tcW w:w="1276" w:type="dxa"/>
                  </w:tcPr>
                  <w:p>
                    <w:pPr>
                      <w:rPr>
                        <w:sz w:val="20"/>
                        <w:lang w:val="en-US"/>
                      </w:rPr>
                    </w:pPr>
                    <w:r>
                      <w:rPr>
                        <w:sz w:val="20"/>
                        <w:lang w:val="en-US"/>
                      </w:rPr>
                      <w:t>12 710,597</w:t>
                    </w:r>
                  </w:p>
                </w:tc>
                <w:tc>
                  <w:tcPr>
                    <w:tcW w:w="992" w:type="dxa"/>
                  </w:tcPr>
                  <w:p>
                    <w:pPr>
                      <w:rPr>
                        <w:sz w:val="20"/>
                      </w:rPr>
                    </w:pPr>
                    <w:r>
                      <w:rPr>
                        <w:sz w:val="20"/>
                      </w:rPr>
                      <w:t>2021–2027 m. IP (ERPF)</w:t>
                    </w:r>
                  </w:p>
                  <w:p>
                    <w:pPr>
                      <w:rPr>
                        <w:sz w:val="20"/>
                      </w:rPr>
                    </w:pPr>
                  </w:p>
                </w:tc>
                <w:tc>
                  <w:tcPr>
                    <w:tcW w:w="2551" w:type="dxa"/>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851" w:type="dxa"/>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972"/>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shd w:val="clear" w:color="auto" w:fill="auto"/>
                  </w:tcPr>
                  <w:p>
                    <w:pPr>
                      <w:rPr>
                        <w:sz w:val="20"/>
                      </w:rPr>
                    </w:pPr>
                  </w:p>
                </w:tc>
                <w:tc>
                  <w:tcPr>
                    <w:tcW w:w="992" w:type="dxa"/>
                    <w:vMerge/>
                  </w:tcPr>
                  <w:p>
                    <w:pPr>
                      <w:rPr>
                        <w:sz w:val="20"/>
                      </w:rPr>
                    </w:pPr>
                  </w:p>
                </w:tc>
                <w:tc>
                  <w:tcPr>
                    <w:tcW w:w="709" w:type="dxa"/>
                    <w:vMerge/>
                  </w:tcPr>
                  <w:p>
                    <w:pPr>
                      <w:rPr>
                        <w:sz w:val="20"/>
                      </w:rPr>
                    </w:pPr>
                  </w:p>
                </w:tc>
                <w:tc>
                  <w:tcPr>
                    <w:tcW w:w="1276" w:type="dxa"/>
                  </w:tcPr>
                  <w:p>
                    <w:pPr>
                      <w:rPr>
                        <w:sz w:val="20"/>
                        <w:lang w:val="en-US"/>
                      </w:rPr>
                    </w:pPr>
                    <w:r>
                      <w:rPr>
                        <w:sz w:val="20"/>
                        <w:lang w:val="en-US"/>
                      </w:rPr>
                      <w:t>2 243,047</w:t>
                    </w:r>
                  </w:p>
                  <w:p>
                    <w:pPr>
                      <w:rPr>
                        <w:sz w:val="20"/>
                      </w:rPr>
                    </w:pPr>
                  </w:p>
                </w:tc>
                <w:tc>
                  <w:tcPr>
                    <w:tcW w:w="992" w:type="dxa"/>
                  </w:tcPr>
                  <w:p>
                    <w:pPr>
                      <w:rPr>
                        <w:sz w:val="20"/>
                      </w:rPr>
                    </w:pPr>
                    <w:r>
                      <w:rPr>
                        <w:sz w:val="20"/>
                      </w:rPr>
                      <w:t>2021–2027 m. IP (BF)</w:t>
                    </w:r>
                  </w:p>
                  <w:p>
                    <w:pPr>
                      <w:rPr>
                        <w:sz w:val="20"/>
                      </w:rPr>
                    </w:pPr>
                  </w:p>
                </w:tc>
                <w:tc>
                  <w:tcPr>
                    <w:tcW w:w="2551" w:type="dxa"/>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851" w:type="dxa"/>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410" w:type="dxa"/>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709" w:type="dxa"/>
                  </w:tcPr>
                  <w:p>
                    <w:pPr>
                      <w:rPr>
                        <w:sz w:val="22"/>
                        <w:szCs w:val="22"/>
                      </w:rPr>
                    </w:pPr>
                    <w:r>
                      <w:rPr>
                        <w:sz w:val="20"/>
                      </w:rPr>
                      <w:t>I</w:t>
                    </w:r>
                  </w:p>
                </w:tc>
                <w:tc>
                  <w:tcPr>
                    <w:tcW w:w="1559" w:type="dxa"/>
                  </w:tcPr>
                  <w:p>
                    <w:pPr>
                      <w:rPr>
                        <w:sz w:val="22"/>
                        <w:szCs w:val="22"/>
                      </w:rPr>
                    </w:pPr>
                    <w:r>
                      <w:rPr>
                        <w:sz w:val="20"/>
                      </w:rPr>
                      <w:t>ASPĮ</w:t>
                    </w:r>
                  </w:p>
                </w:tc>
                <w:tc>
                  <w:tcPr>
                    <w:tcW w:w="709" w:type="dxa"/>
                  </w:tcPr>
                  <w:p>
                    <w:pPr>
                      <w:rPr>
                        <w:sz w:val="22"/>
                        <w:szCs w:val="22"/>
                      </w:rPr>
                    </w:pPr>
                    <w:r>
                      <w:rPr>
                        <w:sz w:val="20"/>
                      </w:rPr>
                      <w:t>P</w:t>
                    </w:r>
                  </w:p>
                </w:tc>
                <w:tc>
                  <w:tcPr>
                    <w:tcW w:w="992" w:type="dxa"/>
                  </w:tcPr>
                  <w:p>
                    <w:pPr>
                      <w:rPr>
                        <w:sz w:val="22"/>
                        <w:szCs w:val="22"/>
                      </w:rPr>
                    </w:pPr>
                    <w:r>
                      <w:rPr>
                        <w:sz w:val="20"/>
                      </w:rPr>
                      <w:t>Taip</w:t>
                    </w:r>
                  </w:p>
                </w:tc>
                <w:tc>
                  <w:tcPr>
                    <w:tcW w:w="709" w:type="dxa"/>
                  </w:tcPr>
                  <w:p>
                    <w:pPr>
                      <w:rPr>
                        <w:sz w:val="22"/>
                        <w:szCs w:val="22"/>
                      </w:rPr>
                    </w:pPr>
                    <w:r>
                      <w:rPr>
                        <w:sz w:val="20"/>
                      </w:rPr>
                      <w:t>D</w:t>
                    </w:r>
                  </w:p>
                </w:tc>
                <w:tc>
                  <w:tcPr>
                    <w:tcW w:w="1276" w:type="dxa"/>
                  </w:tcPr>
                  <w:p>
                    <w:pPr>
                      <w:rPr>
                        <w:sz w:val="22"/>
                        <w:szCs w:val="22"/>
                        <w:lang w:val="en-US"/>
                      </w:rPr>
                    </w:pPr>
                    <w:r>
                      <w:rPr>
                        <w:sz w:val="20"/>
                      </w:rPr>
                      <w:t>6 000</w:t>
                    </w:r>
                  </w:p>
                </w:tc>
                <w:tc>
                  <w:tcPr>
                    <w:tcW w:w="992" w:type="dxa"/>
                  </w:tcPr>
                  <w:p>
                    <w:pPr>
                      <w:rPr>
                        <w:sz w:val="22"/>
                        <w:szCs w:val="22"/>
                      </w:rPr>
                    </w:pPr>
                    <w:r>
                      <w:rPr>
                        <w:sz w:val="20"/>
                      </w:rPr>
                      <w:t>VB</w:t>
                    </w:r>
                  </w:p>
                </w:tc>
                <w:tc>
                  <w:tcPr>
                    <w:tcW w:w="2551" w:type="dxa"/>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851" w:type="dxa"/>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6"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410" w:type="dxa"/>
                    <w:vMerge w:val="restart"/>
                    <w:tcBorders>
                      <w:top w:val="single" w:sz="4" w:space="0" w:color="auto"/>
                      <w:left w:val="single" w:sz="4" w:space="0" w:color="auto"/>
                      <w:right w:val="single" w:sz="4" w:space="0" w:color="auto"/>
                    </w:tcBorders>
                  </w:tcPr>
                  <w:p>
                    <w:pPr>
                      <w:rPr>
                        <w:sz w:val="20"/>
                      </w:rPr>
                    </w:pPr>
                    <w:r>
                      <w:rPr>
                        <w:sz w:val="20"/>
                      </w:rPr>
                      <w:t>7.4. Integruotų psichikos sveikatos paslaugų bei modelių išbandymas ir diegimas, Vidurio ir vakarų Lietuvos regionas</w:t>
                    </w:r>
                  </w:p>
                </w:tc>
                <w:tc>
                  <w:tcPr>
                    <w:tcW w:w="709" w:type="dxa"/>
                    <w:vMerge w:val="restart"/>
                    <w:tcBorders>
                      <w:top w:val="single" w:sz="4" w:space="0" w:color="auto"/>
                      <w:left w:val="single" w:sz="4" w:space="0" w:color="auto"/>
                      <w:right w:val="single" w:sz="4" w:space="0" w:color="auto"/>
                    </w:tcBorders>
                  </w:tcPr>
                  <w:p>
                    <w:pPr>
                      <w:rPr>
                        <w:sz w:val="20"/>
                      </w:rPr>
                    </w:pPr>
                    <w:r>
                      <w:rPr>
                        <w:sz w:val="20"/>
                      </w:rPr>
                      <w:t>I</w:t>
                    </w:r>
                  </w:p>
                </w:tc>
                <w:tc>
                  <w:tcPr>
                    <w:tcW w:w="1559" w:type="dxa"/>
                    <w:vMerge w:val="restart"/>
                    <w:tcBorders>
                      <w:top w:val="single" w:sz="4" w:space="0" w:color="auto"/>
                      <w:left w:val="single" w:sz="4" w:space="0" w:color="auto"/>
                      <w:right w:val="single" w:sz="4" w:space="0" w:color="auto"/>
                    </w:tcBorders>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709" w:type="dxa"/>
                    <w:vMerge w:val="restart"/>
                    <w:tcBorders>
                      <w:top w:val="single" w:sz="4" w:space="0" w:color="auto"/>
                      <w:left w:val="single" w:sz="4" w:space="0" w:color="auto"/>
                      <w:right w:val="single" w:sz="4" w:space="0" w:color="auto"/>
                    </w:tcBorders>
                  </w:tcPr>
                  <w:p>
                    <w:pPr>
                      <w:rPr>
                        <w:sz w:val="20"/>
                      </w:rPr>
                    </w:pPr>
                    <w:r>
                      <w:rPr>
                        <w:sz w:val="20"/>
                      </w:rPr>
                      <w:t>P</w:t>
                    </w:r>
                  </w:p>
                </w:tc>
                <w:tc>
                  <w:tcPr>
                    <w:tcW w:w="992" w:type="dxa"/>
                    <w:vMerge w:val="restart"/>
                    <w:tcBorders>
                      <w:top w:val="single" w:sz="4" w:space="0" w:color="auto"/>
                      <w:left w:val="single" w:sz="4" w:space="0" w:color="auto"/>
                      <w:right w:val="single" w:sz="4" w:space="0" w:color="auto"/>
                    </w:tcBorders>
                  </w:tcPr>
                  <w:p>
                    <w:pP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rPr>
                        <w:sz w:val="20"/>
                      </w:rPr>
                    </w:pPr>
                    <w:r>
                      <w:rPr>
                        <w:sz w:val="20"/>
                      </w:rPr>
                      <w:t>D</w:t>
                    </w:r>
                  </w:p>
                </w:tc>
                <w:tc>
                  <w:tcPr>
                    <w:tcW w:w="1276" w:type="dxa"/>
                    <w:tcBorders>
                      <w:top w:val="single" w:sz="4" w:space="0" w:color="auto"/>
                      <w:left w:val="single" w:sz="4" w:space="0" w:color="auto"/>
                      <w:right w:val="single" w:sz="4" w:space="0" w:color="auto"/>
                    </w:tcBorders>
                  </w:tcPr>
                  <w:p>
                    <w:pPr>
                      <w:rPr>
                        <w:sz w:val="20"/>
                        <w:lang w:val="en-US"/>
                      </w:rPr>
                    </w:pPr>
                    <w:r>
                      <w:rPr>
                        <w:sz w:val="20"/>
                        <w:lang w:val="en-US"/>
                      </w:rPr>
                      <w:t>7 174</w:t>
                    </w:r>
                  </w:p>
                  <w:p>
                    <w:pPr>
                      <w:rPr>
                        <w:sz w:val="20"/>
                        <w:lang w:val="en-US"/>
                      </w:rPr>
                    </w:pP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(ESF+) </w:t>
                    </w:r>
                  </w:p>
                </w:tc>
                <w:tc>
                  <w:tcPr>
                    <w:tcW w:w="2551" w:type="dxa"/>
                    <w:tcBorders>
                      <w:top w:val="single" w:sz="4" w:space="0" w:color="auto"/>
                      <w:left w:val="single" w:sz="4" w:space="0" w:color="auto"/>
                      <w:right w:val="single" w:sz="4" w:space="0" w:color="auto"/>
                    </w:tcBorders>
                    <w:shd w:val="clear" w:color="auto" w:fill="auto"/>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851" w:type="dxa"/>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left w:val="single" w:sz="4" w:space="0" w:color="auto"/>
                      <w:right w:val="single" w:sz="4" w:space="0" w:color="auto"/>
                    </w:tcBorders>
                  </w:tcPr>
                  <w:p>
                    <w:pPr>
                      <w:rPr>
                        <w:sz w:val="20"/>
                      </w:rPr>
                    </w:pPr>
                    <w:r>
                      <w:rPr>
                        <w:sz w:val="20"/>
                      </w:rPr>
                      <w:t>CPVA</w:t>
                    </w:r>
                  </w:p>
                </w:tc>
                <w:tc>
                  <w:tcPr>
                    <w:tcW w:w="1276" w:type="dxa"/>
                    <w:vMerge w:val="restart"/>
                    <w:tcBorders>
                      <w:left w:val="single" w:sz="4" w:space="0" w:color="auto"/>
                      <w:right w:val="single" w:sz="4" w:space="0" w:color="auto"/>
                    </w:tcBorders>
                    <w:vAlign w:val="center"/>
                  </w:tcPr>
                  <w:p>
                    <w:pPr>
                      <w:rPr>
                        <w:color w:val="000000"/>
                        <w:sz w:val="20"/>
                      </w:rPr>
                    </w:pPr>
                  </w:p>
                </w:tc>
              </w:tr>
              <w:tr>
                <w:trPr>
                  <w:trHeight w:val="753"/>
                </w:trPr>
                <w:tc>
                  <w:tcPr>
                    <w:tcW w:w="2410"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1559"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992"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1276" w:type="dxa"/>
                    <w:vMerge w:val="restart"/>
                    <w:tcBorders>
                      <w:left w:val="single" w:sz="4" w:space="0" w:color="auto"/>
                      <w:right w:val="single" w:sz="4" w:space="0" w:color="auto"/>
                    </w:tcBorders>
                  </w:tcPr>
                  <w:p>
                    <w:pPr>
                      <w:rPr>
                        <w:sz w:val="20"/>
                        <w:lang w:val="en-US"/>
                      </w:rPr>
                    </w:pPr>
                    <w:r>
                      <w:rPr>
                        <w:sz w:val="20"/>
                        <w:lang w:val="en-US"/>
                      </w:rPr>
                      <w:t>1 266</w:t>
                    </w:r>
                  </w:p>
                </w:tc>
                <w:tc>
                  <w:tcPr>
                    <w:tcW w:w="992" w:type="dxa"/>
                    <w:vMerge w:val="restart"/>
                    <w:tcBorders>
                      <w:top w:val="single" w:sz="4" w:space="0" w:color="auto"/>
                      <w:left w:val="single" w:sz="4" w:space="0" w:color="auto"/>
                      <w:right w:val="single" w:sz="4" w:space="0" w:color="auto"/>
                    </w:tcBorders>
                  </w:tcPr>
                  <w:p>
                    <w:pPr>
                      <w:rPr>
                        <w:sz w:val="20"/>
                      </w:rPr>
                    </w:pPr>
                    <w:r>
                      <w:rPr>
                        <w:sz w:val="20"/>
                      </w:rPr>
                      <w:t>2021–2027 m. IP (BF)</w:t>
                    </w:r>
                  </w:p>
                </w:tc>
                <w:tc>
                  <w:tcPr>
                    <w:tcW w:w="2551" w:type="dxa"/>
                    <w:tcBorders>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851" w:type="dxa"/>
                    <w:tcBorders>
                      <w:left w:val="single" w:sz="4" w:space="0" w:color="auto"/>
                      <w:right w:val="single" w:sz="4" w:space="0" w:color="auto"/>
                    </w:tcBorders>
                    <w:shd w:val="clear" w:color="auto" w:fill="auto"/>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53"/>
                </w:trPr>
                <w:tc>
                  <w:tcPr>
                    <w:tcW w:w="2410"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1559"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992"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tcPr>
                  <w:p>
                    <w:pPr>
                      <w:rPr>
                        <w:sz w:val="20"/>
                      </w:rPr>
                    </w:pPr>
                  </w:p>
                </w:tc>
                <w:tc>
                  <w:tcPr>
                    <w:tcW w:w="992" w:type="dxa"/>
                    <w:vMerge/>
                    <w:tcBorders>
                      <w:left w:val="single" w:sz="4" w:space="0" w:color="auto"/>
                      <w:right w:val="single" w:sz="4" w:space="0" w:color="auto"/>
                    </w:tcBorders>
                  </w:tcPr>
                  <w:p>
                    <w:pPr>
                      <w:rPr>
                        <w:sz w:val="20"/>
                      </w:rPr>
                    </w:pPr>
                  </w:p>
                </w:tc>
                <w:tc>
                  <w:tcPr>
                    <w:tcW w:w="2551" w:type="dxa"/>
                    <w:shd w:val="clear" w:color="auto" w:fill="auto"/>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851" w:type="dxa"/>
                    <w:shd w:val="clear" w:color="auto" w:fill="auto"/>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753"/>
                </w:trPr>
                <w:tc>
                  <w:tcPr>
                    <w:tcW w:w="2410"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1559"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992" w:type="dxa"/>
                    <w:vMerge/>
                    <w:tcBorders>
                      <w:left w:val="single" w:sz="4" w:space="0" w:color="auto"/>
                      <w:bottom w:val="single" w:sz="4" w:space="0" w:color="auto"/>
                      <w:right w:val="single" w:sz="4" w:space="0" w:color="auto"/>
                    </w:tcBorders>
                  </w:tcPr>
                  <w:p>
                    <w:pPr>
                      <w:rPr>
                        <w:sz w:val="20"/>
                      </w:rPr>
                    </w:pPr>
                  </w:p>
                </w:tc>
                <w:tc>
                  <w:tcPr>
                    <w:tcW w:w="709"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tcPr>
                  <w:p>
                    <w:pPr>
                      <w:rPr>
                        <w:sz w:val="20"/>
                      </w:rPr>
                    </w:pPr>
                  </w:p>
                </w:tc>
                <w:tc>
                  <w:tcPr>
                    <w:tcW w:w="992" w:type="dxa"/>
                    <w:vMerge/>
                    <w:tcBorders>
                      <w:left w:val="single" w:sz="4" w:space="0" w:color="auto"/>
                      <w:bottom w:val="single" w:sz="4" w:space="0" w:color="auto"/>
                      <w:right w:val="single" w:sz="4" w:space="0" w:color="auto"/>
                    </w:tcBorders>
                  </w:tcPr>
                  <w:p>
                    <w:pPr>
                      <w:rPr>
                        <w:sz w:val="20"/>
                      </w:rPr>
                    </w:pPr>
                  </w:p>
                </w:tc>
                <w:tc>
                  <w:tcPr>
                    <w:tcW w:w="2551" w:type="dxa"/>
                    <w:shd w:val="clear" w:color="auto" w:fill="FFFFFF" w:themeFill="background1"/>
                  </w:tcPr>
                  <w:p>
                    <w:pPr>
                      <w:ind w:left="-57" w:right="-57"/>
                      <w:rPr>
                        <w:color w:val="000000"/>
                        <w:sz w:val="20"/>
                      </w:rPr>
                    </w:pPr>
                    <w:r>
                      <w:rPr>
                        <w:sz w:val="20"/>
                      </w:rPr>
                      <w:t>R – Pacientų pasitenkinimas gautomis paslaugomis, proc.</w:t>
                    </w:r>
                  </w:p>
                </w:tc>
                <w:tc>
                  <w:tcPr>
                    <w:tcW w:w="851" w:type="dxa"/>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bottom w:val="single" w:sz="4" w:space="0" w:color="auto"/>
                      <w:right w:val="single" w:sz="4" w:space="0" w:color="auto"/>
                    </w:tcBorders>
                  </w:tcPr>
                  <w:p>
                    <w:pPr>
                      <w:rPr>
                        <w:sz w:val="20"/>
                      </w:rPr>
                    </w:pPr>
                  </w:p>
                </w:tc>
                <w:tc>
                  <w:tcPr>
                    <w:tcW w:w="1276" w:type="dxa"/>
                    <w:vMerge/>
                    <w:tcBorders>
                      <w:left w:val="single" w:sz="4" w:space="0" w:color="auto"/>
                      <w:bottom w:val="single" w:sz="4" w:space="0" w:color="auto"/>
                      <w:right w:val="single" w:sz="4" w:space="0" w:color="auto"/>
                    </w:tcBorders>
                    <w:vAlign w:val="center"/>
                  </w:tcPr>
                  <w:p>
                    <w:pPr>
                      <w:rPr>
                        <w:color w:val="000000"/>
                        <w:sz w:val="20"/>
                      </w:rPr>
                    </w:pPr>
                  </w:p>
                </w:tc>
              </w:tr>
              <w:tr>
                <w:trPr>
                  <w:trHeight w:val="920"/>
                </w:trPr>
                <w:tc>
                  <w:tcPr>
                    <w:tcW w:w="2410" w:type="dxa"/>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709" w:type="dxa"/>
                    <w:vMerge w:val="restart"/>
                    <w:tcBorders>
                      <w:top w:val="single" w:sz="4" w:space="0" w:color="auto"/>
                      <w:left w:val="single" w:sz="4" w:space="0" w:color="auto"/>
                      <w:right w:val="single" w:sz="4" w:space="0" w:color="auto"/>
                    </w:tcBorders>
                  </w:tcPr>
                  <w:p>
                    <w:pPr>
                      <w:rPr>
                        <w:sz w:val="20"/>
                      </w:rPr>
                    </w:pPr>
                    <w:r>
                      <w:rPr>
                        <w:sz w:val="20"/>
                      </w:rPr>
                      <w:t>I</w:t>
                    </w:r>
                  </w:p>
                </w:tc>
                <w:tc>
                  <w:tcPr>
                    <w:tcW w:w="1559" w:type="dxa"/>
                    <w:vMerge w:val="restart"/>
                    <w:tcBorders>
                      <w:top w:val="single" w:sz="4" w:space="0" w:color="auto"/>
                      <w:left w:val="single" w:sz="4" w:space="0" w:color="auto"/>
                      <w:right w:val="single" w:sz="4" w:space="0" w:color="auto"/>
                    </w:tcBorders>
                  </w:tcPr>
                  <w:p>
                    <w:pPr>
                      <w:rPr>
                        <w:sz w:val="20"/>
                      </w:rPr>
                    </w:pPr>
                    <w:r>
                      <w:rPr>
                        <w:sz w:val="20"/>
                      </w:rPr>
                      <w:t>LMB</w:t>
                    </w:r>
                  </w:p>
                </w:tc>
                <w:tc>
                  <w:tcPr>
                    <w:tcW w:w="709" w:type="dxa"/>
                    <w:vMerge w:val="restart"/>
                    <w:tcBorders>
                      <w:top w:val="single" w:sz="4" w:space="0" w:color="auto"/>
                      <w:left w:val="single" w:sz="4" w:space="0" w:color="auto"/>
                      <w:right w:val="single" w:sz="4" w:space="0" w:color="auto"/>
                    </w:tcBorders>
                  </w:tcPr>
                  <w:p>
                    <w:pPr>
                      <w:rPr>
                        <w:sz w:val="20"/>
                      </w:rPr>
                    </w:pPr>
                    <w:r>
                      <w:rPr>
                        <w:sz w:val="20"/>
                      </w:rPr>
                      <w:t>P</w:t>
                    </w:r>
                  </w:p>
                </w:tc>
                <w:tc>
                  <w:tcPr>
                    <w:tcW w:w="992" w:type="dxa"/>
                    <w:vMerge w:val="restart"/>
                    <w:tcBorders>
                      <w:top w:val="single" w:sz="4" w:space="0" w:color="auto"/>
                      <w:left w:val="single" w:sz="4" w:space="0" w:color="auto"/>
                      <w:right w:val="single" w:sz="4" w:space="0" w:color="auto"/>
                    </w:tcBorders>
                  </w:tcPr>
                  <w:p>
                    <w:pPr>
                      <w:rPr>
                        <w:sz w:val="20"/>
                      </w:rPr>
                    </w:pPr>
                    <w:r>
                      <w:rPr>
                        <w:sz w:val="20"/>
                      </w:rPr>
                      <w:t>Taip</w:t>
                    </w:r>
                  </w:p>
                </w:tc>
                <w:tc>
                  <w:tcPr>
                    <w:tcW w:w="709" w:type="dxa"/>
                    <w:vMerge w:val="restart"/>
                    <w:tcBorders>
                      <w:top w:val="single" w:sz="4" w:space="0" w:color="auto"/>
                      <w:left w:val="single" w:sz="4" w:space="0" w:color="auto"/>
                      <w:right w:val="single" w:sz="4" w:space="0" w:color="auto"/>
                    </w:tcBorders>
                  </w:tcPr>
                  <w:p>
                    <w:pPr>
                      <w:rPr>
                        <w:sz w:val="20"/>
                      </w:rPr>
                    </w:pPr>
                    <w:r>
                      <w:rPr>
                        <w:sz w:val="20"/>
                      </w:rPr>
                      <w:t>D</w:t>
                    </w:r>
                  </w:p>
                </w:tc>
                <w:tc>
                  <w:tcPr>
                    <w:tcW w:w="1276" w:type="dxa"/>
                    <w:tcBorders>
                      <w:top w:val="single" w:sz="4" w:space="0" w:color="auto"/>
                      <w:left w:val="single" w:sz="4" w:space="0" w:color="auto"/>
                      <w:right w:val="single" w:sz="4" w:space="0" w:color="auto"/>
                    </w:tcBorders>
                  </w:tcPr>
                  <w:p>
                    <w:pPr>
                      <w:rPr>
                        <w:sz w:val="20"/>
                        <w:lang w:val="en-US"/>
                      </w:rPr>
                    </w:pPr>
                    <w:r>
                      <w:rPr>
                        <w:sz w:val="20"/>
                        <w:lang w:val="en-US"/>
                      </w:rPr>
                      <w:t>3 366</w:t>
                    </w:r>
                  </w:p>
                  <w:p>
                    <w:pPr>
                      <w:rPr>
                        <w:sz w:val="20"/>
                        <w:lang w:val="en-US"/>
                      </w:rPr>
                    </w:pPr>
                  </w:p>
                </w:tc>
                <w:tc>
                  <w:tcPr>
                    <w:tcW w:w="992"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551" w:type="dxa"/>
                    <w:tcBorders>
                      <w:top w:val="single" w:sz="4" w:space="0" w:color="auto"/>
                      <w:left w:val="single" w:sz="4" w:space="0" w:color="auto"/>
                      <w:right w:val="single" w:sz="4" w:space="0" w:color="auto"/>
                    </w:tcBorders>
                    <w:shd w:val="clear" w:color="auto" w:fill="auto"/>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851" w:type="dxa"/>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tcBorders>
                      <w:top w:val="single" w:sz="4" w:space="0" w:color="auto"/>
                      <w:left w:val="single" w:sz="4" w:space="0" w:color="auto"/>
                      <w:right w:val="single" w:sz="4" w:space="0" w:color="auto"/>
                    </w:tcBorders>
                  </w:tcPr>
                  <w:p>
                    <w:pPr>
                      <w:rPr>
                        <w:sz w:val="20"/>
                      </w:rPr>
                    </w:pPr>
                    <w:r>
                      <w:rPr>
                        <w:sz w:val="20"/>
                      </w:rPr>
                      <w:t>CPVA</w:t>
                    </w:r>
                  </w:p>
                </w:tc>
                <w:tc>
                  <w:tcPr>
                    <w:tcW w:w="1276" w:type="dxa"/>
                    <w:tcBorders>
                      <w:top w:val="single" w:sz="4" w:space="0" w:color="auto"/>
                      <w:left w:val="single" w:sz="4" w:space="0" w:color="auto"/>
                      <w:right w:val="single" w:sz="4" w:space="0" w:color="auto"/>
                    </w:tcBorders>
                    <w:vAlign w:val="center"/>
                  </w:tcPr>
                  <w:p>
                    <w:pPr>
                      <w:rPr>
                        <w:color w:val="000000"/>
                        <w:sz w:val="20"/>
                      </w:rPr>
                    </w:pPr>
                  </w:p>
                </w:tc>
              </w:tr>
              <w:tr>
                <w:trPr>
                  <w:trHeight w:val="920"/>
                </w:trPr>
                <w:tc>
                  <w:tcPr>
                    <w:tcW w:w="2410" w:type="dxa"/>
                    <w:vMerge/>
                    <w:tcBorders>
                      <w:left w:val="single" w:sz="4" w:space="0" w:color="auto"/>
                      <w:right w:val="single" w:sz="4" w:space="0" w:color="auto"/>
                    </w:tcBorders>
                    <w:shd w:val="clear" w:color="auto" w:fill="auto"/>
                  </w:tcPr>
                  <w:p>
                    <w:pPr>
                      <w:rPr>
                        <w:sz w:val="20"/>
                      </w:rPr>
                    </w:pPr>
                  </w:p>
                </w:tc>
                <w:tc>
                  <w:tcPr>
                    <w:tcW w:w="709" w:type="dxa"/>
                    <w:vMerge/>
                    <w:tcBorders>
                      <w:left w:val="single" w:sz="4" w:space="0" w:color="auto"/>
                      <w:right w:val="single" w:sz="4" w:space="0" w:color="auto"/>
                    </w:tcBorders>
                  </w:tcPr>
                  <w:p>
                    <w:pPr>
                      <w:rPr>
                        <w:sz w:val="20"/>
                      </w:rPr>
                    </w:pPr>
                  </w:p>
                </w:tc>
                <w:tc>
                  <w:tcPr>
                    <w:tcW w:w="1559"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992" w:type="dxa"/>
                    <w:vMerge/>
                    <w:tcBorders>
                      <w:left w:val="single" w:sz="4" w:space="0" w:color="auto"/>
                      <w:right w:val="single" w:sz="4" w:space="0" w:color="auto"/>
                    </w:tcBorders>
                  </w:tcPr>
                  <w:p>
                    <w:pPr>
                      <w:rPr>
                        <w:sz w:val="20"/>
                      </w:rPr>
                    </w:pPr>
                  </w:p>
                </w:tc>
                <w:tc>
                  <w:tcPr>
                    <w:tcW w:w="709" w:type="dxa"/>
                    <w:vMerge/>
                    <w:tcBorders>
                      <w:left w:val="single" w:sz="4" w:space="0" w:color="auto"/>
                      <w:right w:val="single" w:sz="4" w:space="0" w:color="auto"/>
                    </w:tcBorders>
                  </w:tcPr>
                  <w:p>
                    <w:pPr>
                      <w:rPr>
                        <w:sz w:val="20"/>
                      </w:rPr>
                    </w:pPr>
                  </w:p>
                </w:tc>
                <w:tc>
                  <w:tcPr>
                    <w:tcW w:w="1276" w:type="dxa"/>
                    <w:tcBorders>
                      <w:top w:val="single" w:sz="4" w:space="0" w:color="auto"/>
                      <w:left w:val="single" w:sz="4" w:space="0" w:color="auto"/>
                      <w:right w:val="single" w:sz="4" w:space="0" w:color="auto"/>
                    </w:tcBorders>
                  </w:tcPr>
                  <w:p>
                    <w:pPr>
                      <w:rPr>
                        <w:sz w:val="20"/>
                        <w:lang w:val="en-US"/>
                      </w:rPr>
                    </w:pPr>
                    <w:r>
                      <w:rPr>
                        <w:sz w:val="20"/>
                        <w:lang w:val="en-US"/>
                      </w:rPr>
                      <w:t>594</w:t>
                    </w:r>
                  </w:p>
                </w:tc>
                <w:tc>
                  <w:tcPr>
                    <w:tcW w:w="992" w:type="dxa"/>
                    <w:tcBorders>
                      <w:left w:val="single" w:sz="4" w:space="0" w:color="auto"/>
                      <w:right w:val="single" w:sz="4" w:space="0" w:color="auto"/>
                    </w:tcBorders>
                  </w:tcPr>
                  <w:p>
                    <w:pPr>
                      <w:rPr>
                        <w:sz w:val="20"/>
                      </w:rPr>
                    </w:pPr>
                    <w:r>
                      <w:rPr>
                        <w:sz w:val="20"/>
                      </w:rPr>
                      <w:t>2021–2027 m. IP (BF)</w:t>
                    </w:r>
                  </w:p>
                </w:tc>
                <w:tc>
                  <w:tcPr>
                    <w:tcW w:w="2551" w:type="dxa"/>
                    <w:tcBorders>
                      <w:left w:val="single" w:sz="4" w:space="0" w:color="auto"/>
                      <w:right w:val="single" w:sz="4" w:space="0" w:color="auto"/>
                    </w:tcBorders>
                    <w:shd w:val="clear" w:color="auto" w:fill="auto"/>
                  </w:tcPr>
                  <w:p>
                    <w:pPr>
                      <w:ind w:left="-57" w:right="-57"/>
                      <w:rPr>
                        <w:color w:val="000000"/>
                        <w:sz w:val="20"/>
                      </w:rPr>
                    </w:pPr>
                    <w:r>
                      <w:rPr>
                        <w:color w:val="000000"/>
                        <w:sz w:val="20"/>
                      </w:rPr>
                      <w:t>R – Pacientų pasitenkinimas gautomis paslaugomis, proc</w:t>
                    </w:r>
                  </w:p>
                </w:tc>
                <w:tc>
                  <w:tcPr>
                    <w:tcW w:w="851" w:type="dxa"/>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left w:val="single" w:sz="4" w:space="0" w:color="auto"/>
                      <w:right w:val="single" w:sz="4" w:space="0" w:color="auto"/>
                    </w:tcBorders>
                  </w:tcPr>
                  <w:p>
                    <w:pPr>
                      <w:rPr>
                        <w:sz w:val="20"/>
                      </w:rPr>
                    </w:pPr>
                  </w:p>
                </w:tc>
                <w:tc>
                  <w:tcPr>
                    <w:tcW w:w="1276" w:type="dxa"/>
                    <w:tcBorders>
                      <w:left w:val="single" w:sz="4" w:space="0" w:color="auto"/>
                      <w:right w:val="single" w:sz="4" w:space="0" w:color="auto"/>
                    </w:tcBorders>
                    <w:vAlign w:val="center"/>
                  </w:tcPr>
                  <w:p>
                    <w:pPr>
                      <w:rPr>
                        <w:color w:val="000000"/>
                        <w:sz w:val="20"/>
                      </w:rPr>
                    </w:pPr>
                  </w:p>
                </w:tc>
              </w:tr>
              <w:tr>
                <w:trPr>
                  <w:trHeight w:val="414"/>
                </w:trPr>
                <w:tc>
                  <w:tcPr>
                    <w:tcW w:w="2410" w:type="dxa"/>
                    <w:shd w:val="clear" w:color="auto" w:fill="F2F2F2" w:themeFill="background1" w:themeFillShade="F2"/>
                  </w:tcPr>
                  <w:p>
                    <w:pPr>
                      <w:rPr>
                        <w:i/>
                        <w:iCs/>
                        <w:sz w:val="20"/>
                      </w:rPr>
                    </w:pPr>
                    <w:r>
                      <w:rPr>
                        <w:b/>
                        <w:bCs/>
                        <w:sz w:val="20"/>
                      </w:rPr>
                      <w:t>8. Pacientų pavėžėjimo paslaugos modelio sukūrimas ir išbandymas</w:t>
                    </w:r>
                  </w:p>
                </w:tc>
                <w:tc>
                  <w:tcPr>
                    <w:tcW w:w="709" w:type="dxa"/>
                    <w:shd w:val="clear" w:color="auto" w:fill="F2F2F2" w:themeFill="background1" w:themeFillShade="F2"/>
                  </w:tcPr>
                  <w:p>
                    <w:pPr>
                      <w:rPr>
                        <w:sz w:val="20"/>
                      </w:rPr>
                    </w:pPr>
                    <w:r>
                      <w:rPr>
                        <w:sz w:val="20"/>
                      </w:rPr>
                      <w:t>-</w:t>
                    </w:r>
                  </w:p>
                </w:tc>
                <w:tc>
                  <w:tcPr>
                    <w:tcW w:w="1559" w:type="dxa"/>
                    <w:shd w:val="clear" w:color="auto" w:fill="F2F2F2" w:themeFill="background1" w:themeFillShade="F2"/>
                  </w:tcPr>
                  <w:p>
                    <w:pPr>
                      <w:rPr>
                        <w:sz w:val="20"/>
                      </w:rPr>
                    </w:pPr>
                    <w:r>
                      <w:rPr>
                        <w:sz w:val="20"/>
                      </w:rPr>
                      <w:t>-</w:t>
                    </w:r>
                  </w:p>
                </w:tc>
                <w:tc>
                  <w:tcPr>
                    <w:tcW w:w="709" w:type="dxa"/>
                    <w:shd w:val="clear" w:color="auto" w:fill="F2F2F2" w:themeFill="background1" w:themeFillShade="F2"/>
                  </w:tcPr>
                  <w:p>
                    <w:pPr>
                      <w:rPr>
                        <w:sz w:val="20"/>
                      </w:rPr>
                    </w:pPr>
                    <w:r>
                      <w:rPr>
                        <w:sz w:val="20"/>
                      </w:rPr>
                      <w:t>-</w:t>
                    </w:r>
                  </w:p>
                </w:tc>
                <w:tc>
                  <w:tcPr>
                    <w:tcW w:w="992" w:type="dxa"/>
                    <w:shd w:val="clear" w:color="auto" w:fill="F2F2F2" w:themeFill="background1" w:themeFillShade="F2"/>
                  </w:tcPr>
                  <w:p>
                    <w:pPr>
                      <w:rPr>
                        <w:sz w:val="20"/>
                      </w:rPr>
                    </w:pPr>
                    <w:r>
                      <w:rPr>
                        <w:sz w:val="20"/>
                      </w:rPr>
                      <w:t>-</w:t>
                    </w:r>
                  </w:p>
                </w:tc>
                <w:tc>
                  <w:tcPr>
                    <w:tcW w:w="709" w:type="dxa"/>
                    <w:shd w:val="clear" w:color="auto" w:fill="F2F2F2" w:themeFill="background1" w:themeFillShade="F2"/>
                  </w:tcPr>
                  <w:p>
                    <w:pPr>
                      <w:rPr>
                        <w:sz w:val="20"/>
                      </w:rPr>
                    </w:pPr>
                    <w:r>
                      <w:rPr>
                        <w:sz w:val="20"/>
                      </w:rPr>
                      <w:t>-</w:t>
                    </w:r>
                  </w:p>
                </w:tc>
                <w:tc>
                  <w:tcPr>
                    <w:tcW w:w="1276" w:type="dxa"/>
                    <w:shd w:val="clear" w:color="auto" w:fill="F2F2F2" w:themeFill="background1" w:themeFillShade="F2"/>
                  </w:tcPr>
                  <w:p>
                    <w:pPr>
                      <w:rPr>
                        <w:sz w:val="20"/>
                        <w:lang w:val="en-US"/>
                      </w:rPr>
                    </w:pPr>
                    <w:r>
                      <w:rPr>
                        <w:b/>
                        <w:bCs/>
                        <w:sz w:val="20"/>
                      </w:rPr>
                      <w:t>7 000</w:t>
                    </w:r>
                  </w:p>
                </w:tc>
                <w:tc>
                  <w:tcPr>
                    <w:tcW w:w="992" w:type="dxa"/>
                    <w:shd w:val="clear" w:color="auto" w:fill="F2F2F2" w:themeFill="background1" w:themeFillShade="F2"/>
                  </w:tcPr>
                  <w:p>
                    <w:pPr>
                      <w:rPr>
                        <w:sz w:val="20"/>
                      </w:rPr>
                    </w:pPr>
                    <w:r>
                      <w:rPr>
                        <w:sz w:val="20"/>
                      </w:rPr>
                      <w:t>VB</w:t>
                    </w:r>
                  </w:p>
                </w:tc>
                <w:tc>
                  <w:tcPr>
                    <w:tcW w:w="2551" w:type="dxa"/>
                    <w:shd w:val="clear" w:color="auto" w:fill="F2F2F2" w:themeFill="background1" w:themeFillShade="F2"/>
                  </w:tcPr>
                  <w:p>
                    <w:pPr>
                      <w:ind w:left="-57" w:right="-57"/>
                      <w:rPr>
                        <w:sz w:val="20"/>
                      </w:rPr>
                    </w:pPr>
                    <w:r>
                      <w:rPr>
                        <w:sz w:val="20"/>
                      </w:rPr>
                      <w:t>-</w:t>
                    </w:r>
                  </w:p>
                </w:tc>
                <w:tc>
                  <w:tcPr>
                    <w:tcW w:w="851" w:type="dxa"/>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tcPr>
                  <w:p>
                    <w:pPr>
                      <w:rPr>
                        <w:sz w:val="20"/>
                      </w:rPr>
                    </w:pPr>
                    <w:r>
                      <w:rPr>
                        <w:sz w:val="20"/>
                      </w:rPr>
                      <w:t>8.1. Pavėžėjimo paslaugų organizavimą ir teikimą reglamentuojančių teisės aktų parengimas</w:t>
                    </w:r>
                  </w:p>
                </w:tc>
                <w:tc>
                  <w:tcPr>
                    <w:tcW w:w="709" w:type="dxa"/>
                  </w:tcPr>
                  <w:p>
                    <w:pPr>
                      <w:rPr>
                        <w:sz w:val="20"/>
                      </w:rPr>
                    </w:pPr>
                    <w:r>
                      <w:rPr>
                        <w:sz w:val="20"/>
                      </w:rPr>
                      <w:t>R</w:t>
                    </w:r>
                  </w:p>
                </w:tc>
                <w:tc>
                  <w:tcPr>
                    <w:tcW w:w="1559" w:type="dxa"/>
                  </w:tcPr>
                  <w:p>
                    <w:pPr>
                      <w:rPr>
                        <w:sz w:val="20"/>
                      </w:rPr>
                    </w:pPr>
                    <w:r>
                      <w:rPr>
                        <w:sz w:val="20"/>
                      </w:rPr>
                      <w:t>-</w:t>
                    </w:r>
                  </w:p>
                </w:tc>
                <w:tc>
                  <w:tcPr>
                    <w:tcW w:w="709" w:type="dxa"/>
                  </w:tcPr>
                  <w:p>
                    <w:pPr>
                      <w:rPr>
                        <w:sz w:val="20"/>
                      </w:rPr>
                    </w:pPr>
                    <w:r>
                      <w:rPr>
                        <w:sz w:val="20"/>
                      </w:rPr>
                      <w:t>-</w:t>
                    </w:r>
                  </w:p>
                </w:tc>
                <w:tc>
                  <w:tcPr>
                    <w:tcW w:w="992" w:type="dxa"/>
                  </w:tcPr>
                  <w:p>
                    <w:pPr>
                      <w:rPr>
                        <w:sz w:val="20"/>
                      </w:rPr>
                    </w:pPr>
                    <w:r>
                      <w:rPr>
                        <w:sz w:val="20"/>
                      </w:rPr>
                      <w:t>Taip</w:t>
                    </w:r>
                  </w:p>
                </w:tc>
                <w:tc>
                  <w:tcPr>
                    <w:tcW w:w="709" w:type="dxa"/>
                  </w:tcPr>
                  <w:p>
                    <w:pPr>
                      <w:rPr>
                        <w:sz w:val="20"/>
                      </w:rPr>
                    </w:pPr>
                    <w:r>
                      <w:rPr>
                        <w:sz w:val="20"/>
                      </w:rPr>
                      <w:t>-</w:t>
                    </w:r>
                  </w:p>
                </w:tc>
                <w:tc>
                  <w:tcPr>
                    <w:tcW w:w="1276" w:type="dxa"/>
                  </w:tcPr>
                  <w:p>
                    <w:pPr>
                      <w:rPr>
                        <w:sz w:val="20"/>
                        <w:lang w:val="en-US"/>
                      </w:rPr>
                    </w:pPr>
                    <w:r>
                      <w:rPr>
                        <w:sz w:val="20"/>
                        <w:lang w:val="en-US"/>
                      </w:rPr>
                      <w:t>-</w:t>
                    </w:r>
                  </w:p>
                </w:tc>
                <w:tc>
                  <w:tcPr>
                    <w:tcW w:w="992" w:type="dxa"/>
                  </w:tcPr>
                  <w:p>
                    <w:pPr>
                      <w:rPr>
                        <w:sz w:val="20"/>
                      </w:rPr>
                    </w:pPr>
                    <w:r>
                      <w:rPr>
                        <w:sz w:val="20"/>
                      </w:rPr>
                      <w:t>-</w:t>
                    </w:r>
                  </w:p>
                </w:tc>
                <w:tc>
                  <w:tcPr>
                    <w:tcW w:w="2551" w:type="dxa"/>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851" w:type="dxa"/>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6"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410" w:type="dxa"/>
                    <w:vMerge w:val="restart"/>
                  </w:tcPr>
                  <w:p>
                    <w:pPr>
                      <w:rPr>
                        <w:sz w:val="20"/>
                      </w:rPr>
                    </w:pPr>
                    <w:r>
                      <w:rPr>
                        <w:sz w:val="20"/>
                      </w:rPr>
                      <w:t>8.2. Bandomojo pavėžėjimo paslaugų teikimo projekto įgyvendinimas</w:t>
                    </w:r>
                  </w:p>
                </w:tc>
                <w:tc>
                  <w:tcPr>
                    <w:tcW w:w="709" w:type="dxa"/>
                    <w:vMerge w:val="restart"/>
                  </w:tcPr>
                  <w:p>
                    <w:pPr>
                      <w:rPr>
                        <w:sz w:val="20"/>
                      </w:rPr>
                    </w:pPr>
                    <w:r>
                      <w:rPr>
                        <w:sz w:val="20"/>
                      </w:rPr>
                      <w:t>M</w:t>
                    </w:r>
                  </w:p>
                </w:tc>
                <w:tc>
                  <w:tcPr>
                    <w:tcW w:w="1559" w:type="dxa"/>
                    <w:vMerge w:val="restart"/>
                  </w:tcPr>
                  <w:p>
                    <w:pPr>
                      <w:rPr>
                        <w:sz w:val="20"/>
                      </w:rPr>
                    </w:pPr>
                    <w:r>
                      <w:rPr>
                        <w:sz w:val="20"/>
                      </w:rPr>
                      <w:t>V</w:t>
                    </w:r>
                    <w:r>
                      <w:rPr>
                        <w:sz w:val="18"/>
                        <w:szCs w:val="18"/>
                      </w:rPr>
                      <w:t>šĮ Kauno miesto greitosios medicinos pagalbos stotis</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vMerge w:val="restart"/>
                  </w:tcPr>
                  <w:p>
                    <w:pPr>
                      <w:rPr>
                        <w:sz w:val="20"/>
                        <w:lang w:val="en-US"/>
                      </w:rPr>
                    </w:pPr>
                    <w:r>
                      <w:rPr>
                        <w:sz w:val="20"/>
                        <w:lang w:val="en-US"/>
                      </w:rPr>
                      <w:t>7 000</w:t>
                    </w:r>
                  </w:p>
                </w:tc>
                <w:tc>
                  <w:tcPr>
                    <w:tcW w:w="992" w:type="dxa"/>
                    <w:vMerge w:val="restart"/>
                  </w:tcPr>
                  <w:p>
                    <w:pPr>
                      <w:rPr>
                        <w:sz w:val="20"/>
                      </w:rPr>
                    </w:pPr>
                    <w:r>
                      <w:rPr>
                        <w:sz w:val="20"/>
                      </w:rPr>
                      <w:t>VB</w:t>
                    </w:r>
                  </w:p>
                </w:tc>
                <w:tc>
                  <w:tcPr>
                    <w:tcW w:w="2551" w:type="dxa"/>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851" w:type="dxa"/>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851" w:type="dxa"/>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val="restart"/>
                    <w:shd w:val="clear" w:color="auto" w:fill="F2F2F2" w:themeFill="background1" w:themeFillShade="F2"/>
                  </w:tcPr>
                  <w:p>
                    <w:pPr>
                      <w:rPr>
                        <w:sz w:val="20"/>
                      </w:rPr>
                    </w:pPr>
                    <w:r>
                      <w:rPr>
                        <w:b/>
                        <w:bCs/>
                        <w:sz w:val="20"/>
                      </w:rPr>
                      <w:t>9. Greitosios medicinos pagalbos tinklo veiklos efektyvumo didinimas</w:t>
                    </w:r>
                  </w:p>
                </w:tc>
                <w:tc>
                  <w:tcPr>
                    <w:tcW w:w="709" w:type="dxa"/>
                    <w:vMerge w:val="restart"/>
                    <w:shd w:val="clear" w:color="auto" w:fill="F2F2F2" w:themeFill="background1" w:themeFillShade="F2"/>
                  </w:tcPr>
                  <w:p>
                    <w:pPr>
                      <w:rPr>
                        <w:sz w:val="20"/>
                      </w:rPr>
                    </w:pPr>
                    <w:r>
                      <w:rPr>
                        <w:sz w:val="20"/>
                      </w:rPr>
                      <w:t>-</w:t>
                    </w:r>
                  </w:p>
                </w:tc>
                <w:tc>
                  <w:tcPr>
                    <w:tcW w:w="1559"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992"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1276" w:type="dxa"/>
                    <w:shd w:val="clear" w:color="auto" w:fill="F2F2F2" w:themeFill="background1" w:themeFillShade="F2"/>
                  </w:tcPr>
                  <w:p>
                    <w:pPr>
                      <w:rPr>
                        <w:sz w:val="20"/>
                        <w:lang w:val="en-US"/>
                      </w:rPr>
                    </w:pPr>
                    <w:r>
                      <w:rPr>
                        <w:b/>
                        <w:bCs/>
                        <w:sz w:val="20"/>
                      </w:rPr>
                      <w:t>41 150</w:t>
                    </w:r>
                  </w:p>
                </w:tc>
                <w:tc>
                  <w:tcPr>
                    <w:tcW w:w="992" w:type="dxa"/>
                    <w:shd w:val="clear" w:color="auto" w:fill="F2F2F2" w:themeFill="background1" w:themeFillShade="F2"/>
                  </w:tcPr>
                  <w:p>
                    <w:pPr>
                      <w:rPr>
                        <w:sz w:val="20"/>
                      </w:rPr>
                    </w:pPr>
                    <w:r>
                      <w:rPr>
                        <w:sz w:val="20"/>
                      </w:rPr>
                      <w:t xml:space="preserve">- </w:t>
                    </w:r>
                  </w:p>
                </w:tc>
                <w:tc>
                  <w:tcPr>
                    <w:tcW w:w="2551" w:type="dxa"/>
                    <w:vMerge w:val="restart"/>
                    <w:shd w:val="clear" w:color="auto" w:fill="F2F2F2" w:themeFill="background1" w:themeFillShade="F2"/>
                  </w:tcPr>
                  <w:p>
                    <w:pPr>
                      <w:ind w:left="-57" w:right="-57"/>
                      <w:rPr>
                        <w:sz w:val="20"/>
                      </w:rPr>
                    </w:pPr>
                    <w:r>
                      <w:rPr>
                        <w:sz w:val="20"/>
                      </w:rPr>
                      <w:t>-</w:t>
                    </w:r>
                  </w:p>
                </w:tc>
                <w:tc>
                  <w:tcPr>
                    <w:tcW w:w="851" w:type="dxa"/>
                    <w:vMerge w:val="restart"/>
                    <w:shd w:val="clear" w:color="auto" w:fill="F2F2F2" w:themeFill="background1" w:themeFillShade="F2"/>
                  </w:tcPr>
                  <w:p>
                    <w:pPr>
                      <w:ind w:left="-57" w:right="-57"/>
                      <w:jc w:val="center"/>
                      <w:rPr>
                        <w:sz w:val="20"/>
                      </w:rPr>
                    </w:pPr>
                    <w:r>
                      <w:rPr>
                        <w:sz w:val="20"/>
                      </w:rPr>
                      <w:t>-</w:t>
                    </w:r>
                  </w:p>
                </w:tc>
                <w:tc>
                  <w:tcPr>
                    <w:tcW w:w="992" w:type="dxa"/>
                    <w:vMerge w:val="restart"/>
                    <w:shd w:val="clear" w:color="auto" w:fill="F2F2F2" w:themeFill="background1" w:themeFillShade="F2"/>
                  </w:tcPr>
                  <w:p>
                    <w:pPr>
                      <w:rPr>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765"/>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b/>
                        <w:bCs/>
                        <w:sz w:val="20"/>
                      </w:rPr>
                    </w:pPr>
                    <w:r>
                      <w:rPr>
                        <w:sz w:val="20"/>
                        <w:lang w:val="en-US"/>
                      </w:rPr>
                      <w:t>5 235</w:t>
                    </w:r>
                  </w:p>
                </w:tc>
                <w:tc>
                  <w:tcPr>
                    <w:tcW w:w="992" w:type="dxa"/>
                    <w:shd w:val="clear" w:color="auto" w:fill="F2F2F2" w:themeFill="background1" w:themeFillShade="F2"/>
                  </w:tcPr>
                  <w:p>
                    <w:pPr>
                      <w:rPr>
                        <w:sz w:val="20"/>
                      </w:rPr>
                    </w:pPr>
                    <w:r>
                      <w:rPr>
                        <w:sz w:val="20"/>
                      </w:rPr>
                      <w:t>2021–2027 m. IP (ERPF, Sostinės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21"/>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b/>
                        <w:bCs/>
                        <w:sz w:val="20"/>
                      </w:rPr>
                    </w:pPr>
                    <w:r>
                      <w:rPr>
                        <w:sz w:val="20"/>
                        <w:lang w:val="en-US"/>
                      </w:rPr>
                      <w:t>5 235</w:t>
                    </w:r>
                  </w:p>
                </w:tc>
                <w:tc>
                  <w:tcPr>
                    <w:tcW w:w="992" w:type="dxa"/>
                    <w:shd w:val="clear" w:color="auto" w:fill="F2F2F2" w:themeFill="background1" w:themeFillShade="F2"/>
                  </w:tcPr>
                  <w:p>
                    <w:pPr>
                      <w:rPr>
                        <w:sz w:val="20"/>
                      </w:rPr>
                    </w:pPr>
                    <w:r>
                      <w:rPr>
                        <w:sz w:val="20"/>
                      </w:rPr>
                      <w:t>2021–2027 m. IP (BF, Sostinės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21"/>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b/>
                        <w:bCs/>
                        <w:sz w:val="20"/>
                      </w:rPr>
                    </w:pPr>
                    <w:r>
                      <w:rPr>
                        <w:sz w:val="20"/>
                        <w:lang w:val="en-US"/>
                      </w:rPr>
                      <w:t>26 078</w:t>
                    </w:r>
                  </w:p>
                </w:tc>
                <w:tc>
                  <w:tcPr>
                    <w:tcW w:w="992" w:type="dxa"/>
                    <w:shd w:val="clear" w:color="auto" w:fill="F2F2F2" w:themeFill="background1" w:themeFillShade="F2"/>
                  </w:tcPr>
                  <w:p>
                    <w:pPr>
                      <w:rPr>
                        <w:sz w:val="20"/>
                      </w:rPr>
                    </w:pPr>
                    <w:r>
                      <w:rPr>
                        <w:sz w:val="20"/>
                      </w:rPr>
                      <w:t>2021–2027 m. IP (ERPF, VVL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shd w:val="clear" w:color="auto" w:fill="F2F2F2" w:themeFill="background1" w:themeFillShade="F2"/>
                  </w:tcPr>
                  <w:p>
                    <w:pPr>
                      <w:rPr>
                        <w:b/>
                        <w:bCs/>
                        <w:sz w:val="20"/>
                      </w:rPr>
                    </w:pPr>
                    <w:r>
                      <w:rPr>
                        <w:sz w:val="20"/>
                        <w:lang w:val="en-US"/>
                      </w:rPr>
                      <w:t>4 602</w:t>
                    </w:r>
                  </w:p>
                </w:tc>
                <w:tc>
                  <w:tcPr>
                    <w:tcW w:w="992" w:type="dxa"/>
                    <w:shd w:val="clear" w:color="auto" w:fill="F2F2F2" w:themeFill="background1" w:themeFillShade="F2"/>
                  </w:tcPr>
                  <w:p>
                    <w:pPr>
                      <w:rPr>
                        <w:sz w:val="20"/>
                      </w:rPr>
                    </w:pPr>
                    <w:r>
                      <w:rPr>
                        <w:sz w:val="20"/>
                      </w:rPr>
                      <w:t>2021–2027 m. IP (BF, VVL regionas)</w:t>
                    </w:r>
                  </w:p>
                </w:tc>
                <w:tc>
                  <w:tcPr>
                    <w:tcW w:w="2551" w:type="dxa"/>
                    <w:vMerge/>
                    <w:shd w:val="clear" w:color="auto" w:fill="F2F2F2" w:themeFill="background1" w:themeFillShade="F2"/>
                  </w:tcPr>
                  <w:p>
                    <w:pPr>
                      <w:ind w:left="-57" w:right="-57"/>
                      <w:rPr>
                        <w:sz w:val="20"/>
                      </w:rPr>
                    </w:pPr>
                  </w:p>
                </w:tc>
                <w:tc>
                  <w:tcPr>
                    <w:tcW w:w="851" w:type="dxa"/>
                    <w:vMerge/>
                    <w:shd w:val="clear" w:color="auto" w:fill="F2F2F2" w:themeFill="background1" w:themeFillShade="F2"/>
                  </w:tcPr>
                  <w:p>
                    <w:pPr>
                      <w:ind w:left="-57" w:right="-57"/>
                      <w:jc w:val="center"/>
                      <w:rPr>
                        <w:sz w:val="20"/>
                      </w:rPr>
                    </w:pPr>
                  </w:p>
                </w:tc>
                <w:tc>
                  <w:tcPr>
                    <w:tcW w:w="992" w:type="dxa"/>
                    <w:vMerge/>
                    <w:shd w:val="clear" w:color="auto" w:fill="F2F2F2" w:themeFill="background1" w:themeFillShade="F2"/>
                  </w:tcPr>
                  <w:p>
                    <w:pPr>
                      <w:rPr>
                        <w:sz w:val="20"/>
                      </w:rPr>
                    </w:pPr>
                  </w:p>
                </w:tc>
                <w:tc>
                  <w:tcPr>
                    <w:tcW w:w="1276"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tcPr>
                  <w:p>
                    <w:pPr>
                      <w:rPr>
                        <w:sz w:val="20"/>
                      </w:rPr>
                    </w:pPr>
                    <w:r>
                      <w:rPr>
                        <w:sz w:val="20"/>
                      </w:rPr>
                      <w:t>9.1. Centralizuotą greitosios medicinos pagalbos teikimą reglamentuojančių teisės aktų parengimas</w:t>
                    </w:r>
                  </w:p>
                </w:tc>
                <w:tc>
                  <w:tcPr>
                    <w:tcW w:w="709" w:type="dxa"/>
                  </w:tcPr>
                  <w:p>
                    <w:pPr>
                      <w:rPr>
                        <w:sz w:val="20"/>
                      </w:rPr>
                    </w:pPr>
                    <w:r>
                      <w:rPr>
                        <w:sz w:val="20"/>
                      </w:rPr>
                      <w:t>R</w:t>
                    </w:r>
                  </w:p>
                </w:tc>
                <w:tc>
                  <w:tcPr>
                    <w:tcW w:w="1559" w:type="dxa"/>
                  </w:tcPr>
                  <w:p>
                    <w:pPr>
                      <w:rPr>
                        <w:sz w:val="20"/>
                      </w:rPr>
                    </w:pPr>
                    <w:r>
                      <w:rPr>
                        <w:sz w:val="20"/>
                      </w:rPr>
                      <w:t>-</w:t>
                    </w:r>
                  </w:p>
                </w:tc>
                <w:tc>
                  <w:tcPr>
                    <w:tcW w:w="709" w:type="dxa"/>
                  </w:tcPr>
                  <w:p>
                    <w:pPr>
                      <w:rPr>
                        <w:sz w:val="20"/>
                      </w:rPr>
                    </w:pPr>
                    <w:r>
                      <w:rPr>
                        <w:sz w:val="20"/>
                      </w:rPr>
                      <w:t>-</w:t>
                    </w:r>
                  </w:p>
                </w:tc>
                <w:tc>
                  <w:tcPr>
                    <w:tcW w:w="992" w:type="dxa"/>
                  </w:tcPr>
                  <w:p>
                    <w:pPr>
                      <w:rPr>
                        <w:sz w:val="20"/>
                      </w:rPr>
                    </w:pPr>
                    <w:r>
                      <w:rPr>
                        <w:sz w:val="20"/>
                      </w:rPr>
                      <w:t>Taip</w:t>
                    </w:r>
                  </w:p>
                </w:tc>
                <w:tc>
                  <w:tcPr>
                    <w:tcW w:w="709" w:type="dxa"/>
                  </w:tcPr>
                  <w:p>
                    <w:pPr>
                      <w:rPr>
                        <w:sz w:val="20"/>
                      </w:rPr>
                    </w:pPr>
                    <w:r>
                      <w:rPr>
                        <w:sz w:val="20"/>
                      </w:rPr>
                      <w:t>-</w:t>
                    </w:r>
                  </w:p>
                </w:tc>
                <w:tc>
                  <w:tcPr>
                    <w:tcW w:w="1276" w:type="dxa"/>
                  </w:tcPr>
                  <w:p>
                    <w:pPr>
                      <w:rPr>
                        <w:sz w:val="20"/>
                        <w:lang w:val="en-US"/>
                      </w:rPr>
                    </w:pPr>
                    <w:r>
                      <w:rPr>
                        <w:sz w:val="20"/>
                        <w:lang w:val="en-US"/>
                      </w:rPr>
                      <w:t>-</w:t>
                    </w:r>
                  </w:p>
                </w:tc>
                <w:tc>
                  <w:tcPr>
                    <w:tcW w:w="992" w:type="dxa"/>
                  </w:tcPr>
                  <w:p>
                    <w:pPr>
                      <w:rPr>
                        <w:sz w:val="20"/>
                      </w:rPr>
                    </w:pPr>
                    <w:r>
                      <w:rPr>
                        <w:sz w:val="20"/>
                      </w:rPr>
                      <w:t>-</w:t>
                    </w:r>
                  </w:p>
                </w:tc>
                <w:tc>
                  <w:tcPr>
                    <w:tcW w:w="2551" w:type="dxa"/>
                  </w:tcPr>
                  <w:p>
                    <w:pPr>
                      <w:ind w:left="-57" w:right="-57"/>
                      <w:rPr>
                        <w:sz w:val="20"/>
                      </w:rPr>
                    </w:pPr>
                    <w:r>
                      <w:rPr>
                        <w:sz w:val="20"/>
                      </w:rPr>
                      <w:t xml:space="preserve">P – </w:t>
                    </w:r>
                    <w:r>
                      <w:rPr>
                        <w:sz w:val="20"/>
                        <w:lang w:eastAsia="lt-LT"/>
                      </w:rPr>
                      <w:t>Lietuvos Respublikos sveikatos priežiūros įstaigų įstatymo, Lietuvos Respublikos sveikatos sistemos įstatymo ir susijusių teisės aktų pakeitimų įsigaliojimas</w:t>
                    </w:r>
                    <w:r>
                      <w:rPr>
                        <w:sz w:val="20"/>
                      </w:rPr>
                      <w:t xml:space="preserve">, kompl. </w:t>
                    </w:r>
                  </w:p>
                </w:tc>
                <w:tc>
                  <w:tcPr>
                    <w:tcW w:w="851" w:type="dxa"/>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jc w:val="center"/>
                      <w:rPr>
                        <w:sz w:val="20"/>
                      </w:rPr>
                    </w:pPr>
                    <w:r>
                      <w:rPr>
                        <w:sz w:val="20"/>
                      </w:rPr>
                      <w:t>-</w:t>
                    </w:r>
                  </w:p>
                </w:tc>
                <w:tc>
                  <w:tcPr>
                    <w:tcW w:w="1276" w:type="dxa"/>
                    <w:tcBorders>
                      <w:left w:val="single" w:sz="4" w:space="0" w:color="auto"/>
                      <w:right w:val="single" w:sz="4" w:space="0" w:color="auto"/>
                    </w:tcBorders>
                  </w:tcPr>
                  <w:p>
                    <w:pPr>
                      <w:jc w:val="center"/>
                      <w:rPr>
                        <w:sz w:val="20"/>
                      </w:rPr>
                    </w:pPr>
                    <w:r>
                      <w:rPr>
                        <w:sz w:val="20"/>
                      </w:rPr>
                      <w:t>SAM</w:t>
                    </w:r>
                  </w:p>
                </w:tc>
              </w:tr>
              <w:tr>
                <w:trPr>
                  <w:trHeight w:val="1286"/>
                </w:trPr>
                <w:tc>
                  <w:tcPr>
                    <w:tcW w:w="2410" w:type="dxa"/>
                    <w:vMerge w:val="restart"/>
                  </w:tcPr>
                  <w:p>
                    <w:pPr>
                      <w:rPr>
                        <w:sz w:val="20"/>
                      </w:rPr>
                    </w:pPr>
                    <w:r>
                      <w:rPr>
                        <w:sz w:val="20"/>
                      </w:rPr>
                      <w:t>9.2. Greitosios medicinos pagalbos automobilių, įrangos įsigijimas ir greitosios medicinos pagalbos stočių infrastruktūros pritaikymas, Sostinės regionas</w:t>
                    </w:r>
                  </w:p>
                </w:tc>
                <w:tc>
                  <w:tcPr>
                    <w:tcW w:w="709" w:type="dxa"/>
                    <w:vMerge w:val="restart"/>
                  </w:tcPr>
                  <w:p>
                    <w:pPr>
                      <w:rPr>
                        <w:sz w:val="20"/>
                      </w:rPr>
                    </w:pPr>
                    <w:r>
                      <w:rPr>
                        <w:sz w:val="20"/>
                      </w:rPr>
                      <w:t>I</w:t>
                    </w:r>
                  </w:p>
                </w:tc>
                <w:tc>
                  <w:tcPr>
                    <w:tcW w:w="1559" w:type="dxa"/>
                    <w:vMerge w:val="restart"/>
                  </w:tcPr>
                  <w:p>
                    <w:pPr>
                      <w:rPr>
                        <w:sz w:val="20"/>
                      </w:rPr>
                    </w:pPr>
                    <w:r>
                      <w:rPr>
                        <w:sz w:val="20"/>
                      </w:rPr>
                      <w:t>Greitosios medicinos pagalbos tarnyba (toliau –GMP tarnyba)</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5 235</w:t>
                    </w:r>
                  </w:p>
                </w:tc>
                <w:tc>
                  <w:tcPr>
                    <w:tcW w:w="992" w:type="dxa"/>
                  </w:tcPr>
                  <w:p>
                    <w:pPr>
                      <w:rPr>
                        <w:sz w:val="20"/>
                      </w:rPr>
                    </w:pPr>
                    <w:r>
                      <w:rPr>
                        <w:sz w:val="20"/>
                      </w:rPr>
                      <w:t>2021–2027 m. IP (ERPF)</w:t>
                    </w:r>
                  </w:p>
                </w:tc>
                <w:tc>
                  <w:tcPr>
                    <w:tcW w:w="2551" w:type="dxa"/>
                  </w:tcPr>
                  <w:p>
                    <w:pPr>
                      <w:ind w:left="-57" w:right="-57"/>
                      <w:rPr>
                        <w:sz w:val="20"/>
                      </w:rPr>
                    </w:pPr>
                    <w:r>
                      <w:rPr>
                        <w:sz w:val="20"/>
                      </w:rPr>
                      <w:t xml:space="preserve">P – Greitosios medicinos pagalbos paslaugų infrastruktūros, kuriai skirta parama, pajėgumas, asmenys per metus </w:t>
                    </w:r>
                  </w:p>
                </w:tc>
                <w:tc>
                  <w:tcPr>
                    <w:tcW w:w="851" w:type="dxa"/>
                  </w:tcPr>
                  <w:p>
                    <w:pPr>
                      <w:ind w:left="-57" w:right="-57"/>
                      <w:jc w:val="center"/>
                      <w:rPr>
                        <w:sz w:val="20"/>
                      </w:rPr>
                    </w:pPr>
                    <w:r>
                      <w:rPr>
                        <w:sz w:val="20"/>
                      </w:rPr>
                      <w:t>790 000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6"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3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5 235</w:t>
                    </w:r>
                  </w:p>
                </w:tc>
                <w:tc>
                  <w:tcPr>
                    <w:tcW w:w="992" w:type="dxa"/>
                    <w:vMerge w:val="restart"/>
                  </w:tcPr>
                  <w:p>
                    <w:pPr>
                      <w:rPr>
                        <w:sz w:val="20"/>
                      </w:rPr>
                    </w:pPr>
                    <w:r>
                      <w:rPr>
                        <w:sz w:val="20"/>
                      </w:rPr>
                      <w:t>2021–2027 m. IP (BF)</w:t>
                    </w:r>
                  </w:p>
                </w:tc>
                <w:tc>
                  <w:tcPr>
                    <w:tcW w:w="2551" w:type="dxa"/>
                    <w:shd w:val="clear" w:color="auto" w:fill="FFFFFF" w:themeFill="background1"/>
                  </w:tcPr>
                  <w:p>
                    <w:pPr>
                      <w:ind w:left="-57" w:right="-57"/>
                      <w:rPr>
                        <w:sz w:val="20"/>
                      </w:rPr>
                    </w:pPr>
                    <w:r>
                      <w:rPr>
                        <w:sz w:val="20"/>
                      </w:rPr>
                      <w:t xml:space="preserve">R </w:t>
                    </w:r>
                    <w:r>
                      <w:rPr>
                        <w:color w:val="000000"/>
                        <w:szCs w:val="24"/>
                      </w:rPr>
                      <w:t>–</w:t>
                    </w:r>
                    <w:r>
                      <w:rPr>
                        <w:sz w:val="20"/>
                      </w:rPr>
                      <w:t xml:space="preserve"> Greitosios medicinos pagalbos skubių įvykdytų iškvietimų paslaugų, suteiktų per 15 min. (mieste), dalis, proc. </w:t>
                    </w:r>
                  </w:p>
                </w:tc>
                <w:tc>
                  <w:tcPr>
                    <w:tcW w:w="851" w:type="dxa"/>
                    <w:shd w:val="clear" w:color="auto" w:fill="FFFFFF" w:themeFill="background1"/>
                  </w:tcPr>
                  <w:p>
                    <w:pPr>
                      <w:ind w:left="-57" w:right="-57"/>
                      <w:jc w:val="center"/>
                      <w:rPr>
                        <w:sz w:val="20"/>
                      </w:rPr>
                    </w:pPr>
                    <w:r>
                      <w:rPr>
                        <w:sz w:val="20"/>
                      </w:rPr>
                      <w:t>98</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93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FFFFFF" w:themeFill="background1"/>
                  </w:tcPr>
                  <w:p>
                    <w:pPr>
                      <w:ind w:left="-57" w:right="-57"/>
                      <w:rPr>
                        <w:sz w:val="20"/>
                      </w:rPr>
                    </w:pPr>
                    <w:r>
                      <w:rPr>
                        <w:sz w:val="20"/>
                      </w:rPr>
                      <w:t xml:space="preserve">R </w:t>
                    </w:r>
                    <w:r>
                      <w:rPr>
                        <w:color w:val="000000"/>
                        <w:szCs w:val="24"/>
                      </w:rPr>
                      <w:t>–</w:t>
                    </w:r>
                    <w:r>
                      <w:rPr>
                        <w:sz w:val="20"/>
                      </w:rPr>
                      <w:t xml:space="preserve"> Greitosios medicinos pagalbos skubių įvykdytų iškvietimų paslaugų, suteiktų per 25 min. (kaime), dalis, proc. </w:t>
                    </w:r>
                  </w:p>
                </w:tc>
                <w:tc>
                  <w:tcPr>
                    <w:tcW w:w="851" w:type="dxa"/>
                    <w:shd w:val="clear" w:color="auto" w:fill="FFFFFF" w:themeFill="background1"/>
                  </w:tcPr>
                  <w:p>
                    <w:pPr>
                      <w:ind w:left="-57" w:right="-57"/>
                      <w:jc w:val="center"/>
                      <w:rPr>
                        <w:sz w:val="20"/>
                      </w:rPr>
                    </w:pPr>
                    <w:r>
                      <w:rPr>
                        <w:sz w:val="20"/>
                      </w:rPr>
                      <w:t>98</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645"/>
                </w:trPr>
                <w:tc>
                  <w:tcPr>
                    <w:tcW w:w="2410" w:type="dxa"/>
                    <w:vMerge w:val="restart"/>
                  </w:tcPr>
                  <w:p>
                    <w:pPr>
                      <w:rPr>
                        <w:sz w:val="20"/>
                      </w:rPr>
                    </w:pPr>
                    <w:r>
                      <w:rPr>
                        <w:sz w:val="20"/>
                      </w:rPr>
                      <w:t>9.3. Greitosios medicinos pagalbos automobilių, įrangos įsigijimas ir greitosios medicinos pagalbos stočių infrastruktūros pritaikymas, Vidurio ir vakarų Lietuvos regionas</w:t>
                    </w:r>
                  </w:p>
                </w:tc>
                <w:tc>
                  <w:tcPr>
                    <w:tcW w:w="709" w:type="dxa"/>
                    <w:vMerge w:val="restart"/>
                  </w:tcPr>
                  <w:p>
                    <w:pPr>
                      <w:rPr>
                        <w:sz w:val="20"/>
                      </w:rPr>
                    </w:pPr>
                    <w:r>
                      <w:rPr>
                        <w:sz w:val="20"/>
                      </w:rPr>
                      <w:t>I</w:t>
                    </w:r>
                  </w:p>
                </w:tc>
                <w:tc>
                  <w:tcPr>
                    <w:tcW w:w="1559" w:type="dxa"/>
                    <w:vMerge w:val="restart"/>
                  </w:tcPr>
                  <w:p>
                    <w:pPr>
                      <w:rPr>
                        <w:sz w:val="20"/>
                      </w:rPr>
                    </w:pPr>
                    <w:r>
                      <w:rPr>
                        <w:sz w:val="20"/>
                      </w:rPr>
                      <w:t>GMP tarnyba</w:t>
                    </w:r>
                  </w:p>
                </w:tc>
                <w:tc>
                  <w:tcPr>
                    <w:tcW w:w="709" w:type="dxa"/>
                    <w:vMerge w:val="restart"/>
                  </w:tcPr>
                  <w:p>
                    <w:pPr>
                      <w:rPr>
                        <w:sz w:val="20"/>
                      </w:rPr>
                    </w:pPr>
                    <w:r>
                      <w:rPr>
                        <w:sz w:val="20"/>
                      </w:rPr>
                      <w:t>P</w:t>
                    </w:r>
                  </w:p>
                </w:tc>
                <w:tc>
                  <w:tcPr>
                    <w:tcW w:w="992" w:type="dxa"/>
                    <w:vMerge w:val="restart"/>
                  </w:tcPr>
                  <w:p>
                    <w:pPr>
                      <w:rPr>
                        <w:sz w:val="20"/>
                      </w:rPr>
                    </w:pPr>
                    <w:r>
                      <w:rPr>
                        <w:sz w:val="20"/>
                      </w:rPr>
                      <w:t>Taip</w:t>
                    </w:r>
                  </w:p>
                </w:tc>
                <w:tc>
                  <w:tcPr>
                    <w:tcW w:w="709" w:type="dxa"/>
                    <w:vMerge w:val="restart"/>
                  </w:tcPr>
                  <w:p>
                    <w:pPr>
                      <w:rPr>
                        <w:sz w:val="20"/>
                      </w:rPr>
                    </w:pPr>
                    <w:r>
                      <w:rPr>
                        <w:sz w:val="20"/>
                      </w:rPr>
                      <w:t>D</w:t>
                    </w:r>
                  </w:p>
                </w:tc>
                <w:tc>
                  <w:tcPr>
                    <w:tcW w:w="1276" w:type="dxa"/>
                  </w:tcPr>
                  <w:p>
                    <w:pPr>
                      <w:rPr>
                        <w:sz w:val="20"/>
                        <w:lang w:val="en-US"/>
                      </w:rPr>
                    </w:pPr>
                    <w:r>
                      <w:rPr>
                        <w:sz w:val="20"/>
                        <w:lang w:val="en-US"/>
                      </w:rPr>
                      <w:t>26 078</w:t>
                    </w:r>
                  </w:p>
                </w:tc>
                <w:tc>
                  <w:tcPr>
                    <w:tcW w:w="992" w:type="dxa"/>
                  </w:tcPr>
                  <w:p>
                    <w:pPr>
                      <w:rPr>
                        <w:sz w:val="20"/>
                      </w:rPr>
                    </w:pPr>
                    <w:r>
                      <w:rPr>
                        <w:sz w:val="20"/>
                      </w:rPr>
                      <w:t>2021–2027 m. IP (ERPF)</w:t>
                    </w:r>
                  </w:p>
                </w:tc>
                <w:tc>
                  <w:tcPr>
                    <w:tcW w:w="2551" w:type="dxa"/>
                  </w:tcPr>
                  <w:p>
                    <w:pPr>
                      <w:ind w:left="-57" w:right="-57"/>
                      <w:rPr>
                        <w:sz w:val="20"/>
                      </w:rPr>
                    </w:pPr>
                    <w:r>
                      <w:rPr>
                        <w:sz w:val="20"/>
                      </w:rPr>
                      <w:t xml:space="preserve">P – Greitosios medicinos pagalbos paslaugų infrastruktūros, kuriai skirta parama, pajėgumas, asmenys per metus </w:t>
                    </w:r>
                  </w:p>
                </w:tc>
                <w:tc>
                  <w:tcPr>
                    <w:tcW w:w="851" w:type="dxa"/>
                  </w:tcPr>
                  <w:p>
                    <w:pPr>
                      <w:ind w:left="-57" w:right="-57"/>
                      <w:jc w:val="center"/>
                      <w:rPr>
                        <w:sz w:val="20"/>
                      </w:rPr>
                    </w:pPr>
                    <w:r>
                      <w:rPr>
                        <w:sz w:val="20"/>
                      </w:rPr>
                      <w:t xml:space="preserve">2 000 000 </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645"/>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val="restart"/>
                  </w:tcPr>
                  <w:p>
                    <w:pPr>
                      <w:rPr>
                        <w:sz w:val="20"/>
                        <w:lang w:val="en-US"/>
                      </w:rPr>
                    </w:pPr>
                    <w:r>
                      <w:rPr>
                        <w:sz w:val="20"/>
                        <w:lang w:val="en-US"/>
                      </w:rPr>
                      <w:t>4 602</w:t>
                    </w:r>
                  </w:p>
                </w:tc>
                <w:tc>
                  <w:tcPr>
                    <w:tcW w:w="992" w:type="dxa"/>
                    <w:vMerge w:val="restart"/>
                  </w:tcPr>
                  <w:p>
                    <w:pPr>
                      <w:rPr>
                        <w:sz w:val="20"/>
                      </w:rPr>
                    </w:pPr>
                    <w:r>
                      <w:rPr>
                        <w:sz w:val="20"/>
                      </w:rPr>
                      <w:t>2021–2027 m. IP (BF)</w:t>
                    </w:r>
                  </w:p>
                </w:tc>
                <w:tc>
                  <w:tcPr>
                    <w:tcW w:w="2551" w:type="dxa"/>
                    <w:tcBorders>
                      <w:bottom w:val="single" w:sz="4" w:space="0" w:color="auto"/>
                    </w:tcBorders>
                  </w:tcPr>
                  <w:p>
                    <w:pPr>
                      <w:ind w:left="-57" w:right="-57"/>
                      <w:rPr>
                        <w:sz w:val="20"/>
                      </w:rPr>
                    </w:pPr>
                    <w:r>
                      <w:rPr>
                        <w:sz w:val="20"/>
                      </w:rPr>
                      <w:t xml:space="preserve">R </w:t>
                    </w:r>
                    <w:r>
                      <w:rPr>
                        <w:color w:val="000000"/>
                        <w:szCs w:val="24"/>
                      </w:rPr>
                      <w:t>–</w:t>
                    </w:r>
                    <w:r>
                      <w:rPr>
                        <w:sz w:val="20"/>
                      </w:rPr>
                      <w:t xml:space="preserve"> Greitosios medicinos pagalbos skubių įvykdytų iškvietimų paslaugų, suteiktų per 15 min. (mieste), dalis, proc. </w:t>
                    </w:r>
                  </w:p>
                </w:tc>
                <w:tc>
                  <w:tcPr>
                    <w:tcW w:w="851" w:type="dxa"/>
                  </w:tcPr>
                  <w:p>
                    <w:pPr>
                      <w:ind w:left="-57" w:right="-57"/>
                      <w:jc w:val="center"/>
                      <w:rPr>
                        <w:sz w:val="20"/>
                      </w:rPr>
                    </w:pPr>
                    <w:r>
                      <w:rPr>
                        <w:sz w:val="20"/>
                      </w:rPr>
                      <w:t>98</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tcPr>
                  <w:p>
                    <w:pPr>
                      <w:jc w:val="center"/>
                      <w:rPr>
                        <w:color w:val="000000"/>
                        <w:sz w:val="20"/>
                      </w:rPr>
                    </w:pP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tcPr>
                  <w:p>
                    <w:pPr>
                      <w:rPr>
                        <w:sz w:val="20"/>
                        <w:lang w:val="en-US"/>
                      </w:rPr>
                    </w:pPr>
                  </w:p>
                </w:tc>
                <w:tc>
                  <w:tcPr>
                    <w:tcW w:w="992" w:type="dxa"/>
                    <w:vMerge/>
                  </w:tcPr>
                  <w:p>
                    <w:pPr>
                      <w:rPr>
                        <w:sz w:val="20"/>
                      </w:rPr>
                    </w:pPr>
                  </w:p>
                </w:tc>
                <w:tc>
                  <w:tcPr>
                    <w:tcW w:w="2551" w:type="dxa"/>
                    <w:shd w:val="clear" w:color="auto" w:fill="FFFFFF" w:themeFill="background1"/>
                  </w:tcPr>
                  <w:p>
                    <w:pPr>
                      <w:ind w:left="-57" w:right="-57"/>
                      <w:rPr>
                        <w:sz w:val="20"/>
                      </w:rPr>
                    </w:pPr>
                    <w:r>
                      <w:rPr>
                        <w:sz w:val="20"/>
                      </w:rPr>
                      <w:t xml:space="preserve">R </w:t>
                    </w:r>
                    <w:r>
                      <w:rPr>
                        <w:color w:val="000000"/>
                        <w:szCs w:val="24"/>
                      </w:rPr>
                      <w:t>–</w:t>
                    </w:r>
                    <w:r>
                      <w:rPr>
                        <w:sz w:val="20"/>
                      </w:rPr>
                      <w:t xml:space="preserve"> Greitosios medicinos pagalbos skubių įvykdytų iškvietimų paslaugų, suteiktų per 25 min. (kaime), dalis, proc. </w:t>
                    </w:r>
                  </w:p>
                </w:tc>
                <w:tc>
                  <w:tcPr>
                    <w:tcW w:w="851" w:type="dxa"/>
                    <w:shd w:val="clear" w:color="auto" w:fill="FFFFFF" w:themeFill="background1"/>
                  </w:tcPr>
                  <w:p>
                    <w:pPr>
                      <w:ind w:left="-57" w:right="-57"/>
                      <w:jc w:val="center"/>
                      <w:rPr>
                        <w:sz w:val="20"/>
                      </w:rPr>
                    </w:pPr>
                    <w:r>
                      <w:rPr>
                        <w:sz w:val="20"/>
                      </w:rPr>
                      <w:t>98</w:t>
                    </w:r>
                  </w:p>
                  <w:p>
                    <w:pPr>
                      <w:ind w:left="-57" w:right="-57"/>
                      <w:jc w:val="center"/>
                      <w:rPr>
                        <w:sz w:val="20"/>
                      </w:rPr>
                    </w:pPr>
                    <w:r>
                      <w:rPr>
                        <w:sz w:val="20"/>
                      </w:rPr>
                      <w:t>(2029 m.)</w:t>
                    </w: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val="restart"/>
                    <w:shd w:val="clear" w:color="auto" w:fill="F2F2F2" w:themeFill="background1" w:themeFillShade="F2"/>
                  </w:tcPr>
                  <w:p>
                    <w:pPr>
                      <w:tabs>
                        <w:tab w:val="left" w:pos="860"/>
                      </w:tabs>
                      <w:rPr>
                        <w:sz w:val="20"/>
                      </w:rPr>
                    </w:pPr>
                    <w:r>
                      <w:rPr>
                        <w:b/>
                        <w:bCs/>
                        <w:sz w:val="20"/>
                      </w:rPr>
                      <w:t>10.</w:t>
                    </w:r>
                    <w:r>
                      <w:rPr>
                        <w:sz w:val="20"/>
                      </w:rPr>
                      <w:t xml:space="preserve"> </w:t>
                    </w:r>
                    <w:r>
                      <w:rPr>
                        <w:b/>
                        <w:sz w:val="20"/>
                      </w:rPr>
                      <w:t>Sveikatos priežiūros specialistų pasiūlos užtikrinimas</w:t>
                    </w:r>
                  </w:p>
                </w:tc>
                <w:tc>
                  <w:tcPr>
                    <w:tcW w:w="709" w:type="dxa"/>
                    <w:vMerge w:val="restart"/>
                    <w:shd w:val="clear" w:color="auto" w:fill="F2F2F2" w:themeFill="background1" w:themeFillShade="F2"/>
                  </w:tcPr>
                  <w:p>
                    <w:pPr>
                      <w:rPr>
                        <w:sz w:val="20"/>
                      </w:rPr>
                    </w:pPr>
                    <w:r>
                      <w:rPr>
                        <w:sz w:val="20"/>
                      </w:rPr>
                      <w:t>-</w:t>
                    </w:r>
                  </w:p>
                </w:tc>
                <w:tc>
                  <w:tcPr>
                    <w:tcW w:w="1559"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992"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1276" w:type="dxa"/>
                    <w:shd w:val="clear" w:color="auto" w:fill="F2F2F2" w:themeFill="background1" w:themeFillShade="F2"/>
                  </w:tcPr>
                  <w:p>
                    <w:pPr>
                      <w:rPr>
                        <w:b/>
                        <w:bCs/>
                        <w:sz w:val="20"/>
                        <w:lang w:val="en-US"/>
                      </w:rPr>
                    </w:pPr>
                    <w:r>
                      <w:rPr>
                        <w:b/>
                        <w:bCs/>
                        <w:sz w:val="20"/>
                        <w:lang w:val="en-US"/>
                      </w:rPr>
                      <w:t>30 786,642</w:t>
                    </w:r>
                  </w:p>
                  <w:p>
                    <w:pPr>
                      <w:rPr>
                        <w:b/>
                        <w:bCs/>
                        <w:sz w:val="20"/>
                      </w:rPr>
                    </w:pPr>
                  </w:p>
                </w:tc>
                <w:tc>
                  <w:tcPr>
                    <w:tcW w:w="992" w:type="dxa"/>
                    <w:shd w:val="clear" w:color="auto" w:fill="F2F2F2" w:themeFill="background1" w:themeFillShade="F2"/>
                  </w:tcPr>
                  <w:p>
                    <w:pPr>
                      <w:rPr>
                        <w:sz w:val="20"/>
                      </w:rPr>
                    </w:pPr>
                    <w:r>
                      <w:rPr>
                        <w:sz w:val="20"/>
                      </w:rPr>
                      <w:t>-</w:t>
                    </w:r>
                  </w:p>
                </w:tc>
                <w:tc>
                  <w:tcPr>
                    <w:tcW w:w="2551" w:type="dxa"/>
                    <w:vMerge w:val="restart"/>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Gyventojų, dėl laukimo laiko (ilgų eilių) atidėjusių kreipimąsi dėl sveikatos priežiūros paslaugų, dalis, proc.</w:t>
                    </w:r>
                  </w:p>
                </w:tc>
                <w:tc>
                  <w:tcPr>
                    <w:tcW w:w="851" w:type="dxa"/>
                    <w:vMerge w:val="restart"/>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tc>
                <w:tc>
                  <w:tcPr>
                    <w:tcW w:w="992" w:type="dxa"/>
                    <w:vMerge w:val="restart"/>
                    <w:shd w:val="clear" w:color="auto" w:fill="F2F2F2" w:themeFill="background1" w:themeFillShade="F2"/>
                  </w:tcPr>
                  <w:p>
                    <w:pPr>
                      <w:rPr>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410" w:type="dxa"/>
                    <w:vMerge/>
                    <w:shd w:val="clear" w:color="auto" w:fill="CCC0D9" w:themeFill="accent4" w:themeFillTint="66"/>
                  </w:tcPr>
                  <w:p>
                    <w:pPr>
                      <w:tabs>
                        <w:tab w:val="left" w:pos="860"/>
                      </w:tabs>
                      <w:rPr>
                        <w:sz w:val="20"/>
                      </w:rPr>
                    </w:pPr>
                  </w:p>
                </w:tc>
                <w:tc>
                  <w:tcPr>
                    <w:tcW w:w="709" w:type="dxa"/>
                    <w:vMerge/>
                    <w:shd w:val="clear" w:color="auto" w:fill="CCC0D9" w:themeFill="accent4" w:themeFillTint="66"/>
                  </w:tcPr>
                  <w:p>
                    <w:pPr>
                      <w:rPr>
                        <w:sz w:val="20"/>
                      </w:rPr>
                    </w:pPr>
                  </w:p>
                </w:tc>
                <w:tc>
                  <w:tcPr>
                    <w:tcW w:w="1559"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992"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276" w:type="dxa"/>
                    <w:shd w:val="clear" w:color="auto" w:fill="F2F2F2" w:themeFill="background1" w:themeFillShade="F2"/>
                  </w:tcPr>
                  <w:p>
                    <w:pPr>
                      <w:rPr>
                        <w:sz w:val="20"/>
                      </w:rPr>
                    </w:pPr>
                    <w:r>
                      <w:rPr>
                        <w:sz w:val="20"/>
                      </w:rPr>
                      <w:t>26 168,646</w:t>
                    </w:r>
                  </w:p>
                </w:tc>
                <w:tc>
                  <w:tcPr>
                    <w:tcW w:w="992" w:type="dxa"/>
                    <w:shd w:val="clear" w:color="auto" w:fill="F2F2F2" w:themeFill="background1" w:themeFillShade="F2"/>
                  </w:tcPr>
                  <w:p>
                    <w:pPr>
                      <w:rPr>
                        <w:sz w:val="20"/>
                      </w:rPr>
                    </w:pPr>
                    <w:r>
                      <w:rPr>
                        <w:sz w:val="20"/>
                      </w:rPr>
                      <w:t>2021–2027 m. IP (ESF+, VVL regionas)</w:t>
                    </w:r>
                  </w:p>
                </w:tc>
                <w:tc>
                  <w:tcPr>
                    <w:tcW w:w="2551" w:type="dxa"/>
                    <w:vMerge/>
                    <w:shd w:val="clear" w:color="auto" w:fill="CCC0D9" w:themeFill="accent4" w:themeFillTint="66"/>
                  </w:tcPr>
                  <w:p>
                    <w:pPr>
                      <w:ind w:left="-57" w:right="-57"/>
                      <w:rPr>
                        <w:sz w:val="20"/>
                      </w:rPr>
                    </w:pPr>
                  </w:p>
                </w:tc>
                <w:tc>
                  <w:tcPr>
                    <w:tcW w:w="851" w:type="dxa"/>
                    <w:vMerge/>
                    <w:shd w:val="clear" w:color="auto" w:fill="CCC0D9" w:themeFill="accent4" w:themeFillTint="66"/>
                  </w:tcPr>
                  <w:p>
                    <w:pPr>
                      <w:ind w:left="-57" w:right="-57"/>
                      <w:jc w:val="center"/>
                      <w:rPr>
                        <w:sz w:val="20"/>
                      </w:rPr>
                    </w:pP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414"/>
                </w:trPr>
                <w:tc>
                  <w:tcPr>
                    <w:tcW w:w="2410" w:type="dxa"/>
                    <w:vMerge/>
                    <w:shd w:val="clear" w:color="auto" w:fill="CCC0D9" w:themeFill="accent4" w:themeFillTint="66"/>
                  </w:tcPr>
                  <w:p>
                    <w:pPr>
                      <w:tabs>
                        <w:tab w:val="left" w:pos="860"/>
                      </w:tabs>
                      <w:rPr>
                        <w:sz w:val="20"/>
                      </w:rPr>
                    </w:pPr>
                  </w:p>
                </w:tc>
                <w:tc>
                  <w:tcPr>
                    <w:tcW w:w="709" w:type="dxa"/>
                    <w:vMerge/>
                    <w:shd w:val="clear" w:color="auto" w:fill="CCC0D9" w:themeFill="accent4" w:themeFillTint="66"/>
                  </w:tcPr>
                  <w:p>
                    <w:pPr>
                      <w:rPr>
                        <w:sz w:val="20"/>
                      </w:rPr>
                    </w:pPr>
                  </w:p>
                </w:tc>
                <w:tc>
                  <w:tcPr>
                    <w:tcW w:w="1559"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992"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276" w:type="dxa"/>
                    <w:shd w:val="clear" w:color="auto" w:fill="F2F2F2" w:themeFill="background1" w:themeFillShade="F2"/>
                  </w:tcPr>
                  <w:p>
                    <w:pPr>
                      <w:rPr>
                        <w:strike/>
                        <w:sz w:val="20"/>
                      </w:rPr>
                    </w:pPr>
                  </w:p>
                  <w:p>
                    <w:pPr>
                      <w:rPr>
                        <w:sz w:val="20"/>
                        <w:lang w:val="en-US"/>
                      </w:rPr>
                    </w:pPr>
                    <w:r>
                      <w:rPr>
                        <w:sz w:val="20"/>
                      </w:rPr>
                      <w:t>4 617,996</w:t>
                    </w:r>
                  </w:p>
                </w:tc>
                <w:tc>
                  <w:tcPr>
                    <w:tcW w:w="992" w:type="dxa"/>
                    <w:shd w:val="clear" w:color="auto" w:fill="F2F2F2" w:themeFill="background1" w:themeFillShade="F2"/>
                  </w:tcPr>
                  <w:p>
                    <w:pPr>
                      <w:rPr>
                        <w:sz w:val="20"/>
                      </w:rPr>
                    </w:pPr>
                    <w:r>
                      <w:rPr>
                        <w:sz w:val="20"/>
                      </w:rPr>
                      <w:t>2021–2027 m. IP (BF, VVL regionas)</w:t>
                    </w:r>
                  </w:p>
                </w:tc>
                <w:tc>
                  <w:tcPr>
                    <w:tcW w:w="2551" w:type="dxa"/>
                    <w:vMerge/>
                    <w:shd w:val="clear" w:color="auto" w:fill="CCC0D9" w:themeFill="accent4" w:themeFillTint="66"/>
                  </w:tcPr>
                  <w:p>
                    <w:pPr>
                      <w:ind w:left="-57" w:right="-57"/>
                      <w:rPr>
                        <w:color w:val="FF0000"/>
                        <w:sz w:val="20"/>
                      </w:rPr>
                    </w:pPr>
                  </w:p>
                </w:tc>
                <w:tc>
                  <w:tcPr>
                    <w:tcW w:w="851" w:type="dxa"/>
                    <w:vMerge/>
                    <w:shd w:val="clear" w:color="auto" w:fill="CCC0D9" w:themeFill="accent4" w:themeFillTint="66"/>
                  </w:tcPr>
                  <w:p>
                    <w:pPr>
                      <w:ind w:left="-57" w:right="-57"/>
                      <w:jc w:val="center"/>
                      <w:rPr>
                        <w:color w:val="FF0000"/>
                        <w:sz w:val="20"/>
                      </w:rPr>
                    </w:pP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963"/>
                </w:trPr>
                <w:tc>
                  <w:tcPr>
                    <w:tcW w:w="2410" w:type="dxa"/>
                    <w:vMerge w:val="restart"/>
                    <w:shd w:val="clear" w:color="auto" w:fill="auto"/>
                  </w:tcPr>
                  <w:p>
                    <w:pPr>
                      <w:rPr>
                        <w:sz w:val="20"/>
                      </w:rPr>
                    </w:pPr>
                    <w:r>
                      <w:rPr>
                        <w:sz w:val="20"/>
                      </w:rPr>
                      <w:t>10.1. Sveikatos žmogiškųjų išteklių valdymo efektyvumo didinimas,</w:t>
                    </w:r>
                    <w:r>
                      <w:t xml:space="preserve"> </w:t>
                    </w:r>
                    <w:r>
                      <w:rPr>
                        <w:sz w:val="20"/>
                      </w:rPr>
                      <w:t>Vidurio ir vakarų Lietuvos regionas</w:t>
                    </w:r>
                  </w:p>
                </w:tc>
                <w:tc>
                  <w:tcPr>
                    <w:tcW w:w="709" w:type="dxa"/>
                    <w:vMerge w:val="restart"/>
                    <w:shd w:val="clear" w:color="auto" w:fill="auto"/>
                  </w:tcPr>
                  <w:p>
                    <w:pPr>
                      <w:rPr>
                        <w:sz w:val="20"/>
                      </w:rPr>
                    </w:pPr>
                    <w:r>
                      <w:rPr>
                        <w:sz w:val="20"/>
                      </w:rPr>
                      <w:t>M</w:t>
                    </w:r>
                  </w:p>
                  <w:p>
                    <w:pPr>
                      <w:rPr>
                        <w:sz w:val="20"/>
                      </w:rPr>
                    </w:pPr>
                  </w:p>
                </w:tc>
                <w:tc>
                  <w:tcPr>
                    <w:tcW w:w="1559" w:type="dxa"/>
                    <w:vMerge w:val="restart"/>
                    <w:shd w:val="clear" w:color="auto" w:fill="auto"/>
                  </w:tcPr>
                  <w:p>
                    <w:pPr>
                      <w:rPr>
                        <w:sz w:val="20"/>
                      </w:rPr>
                    </w:pPr>
                    <w:r>
                      <w:rPr>
                        <w:sz w:val="20"/>
                      </w:rPr>
                      <w:t>SAM</w:t>
                    </w:r>
                  </w:p>
                  <w:p>
                    <w:pPr>
                      <w:rPr>
                        <w:sz w:val="20"/>
                      </w:rPr>
                    </w:pPr>
                  </w:p>
                </w:tc>
                <w:tc>
                  <w:tcPr>
                    <w:tcW w:w="709" w:type="dxa"/>
                    <w:vMerge w:val="restart"/>
                    <w:shd w:val="clear" w:color="auto" w:fill="auto"/>
                  </w:tcPr>
                  <w:p>
                    <w:pPr>
                      <w:rPr>
                        <w:sz w:val="20"/>
                      </w:rPr>
                    </w:pPr>
                    <w:r>
                      <w:rPr>
                        <w:sz w:val="20"/>
                      </w:rPr>
                      <w:t>P</w:t>
                    </w:r>
                  </w:p>
                  <w:p>
                    <w:pPr>
                      <w:rPr>
                        <w:sz w:val="20"/>
                      </w:rPr>
                    </w:pPr>
                  </w:p>
                </w:tc>
                <w:tc>
                  <w:tcPr>
                    <w:tcW w:w="992" w:type="dxa"/>
                    <w:vMerge w:val="restart"/>
                    <w:shd w:val="clear" w:color="auto" w:fill="auto"/>
                  </w:tcPr>
                  <w:p>
                    <w:pPr>
                      <w:rPr>
                        <w:sz w:val="20"/>
                      </w:rPr>
                    </w:pPr>
                    <w:r>
                      <w:rPr>
                        <w:sz w:val="20"/>
                      </w:rPr>
                      <w:t>Taip</w:t>
                    </w:r>
                  </w:p>
                </w:tc>
                <w:tc>
                  <w:tcPr>
                    <w:tcW w:w="709" w:type="dxa"/>
                    <w:vMerge w:val="restart"/>
                    <w:shd w:val="clear" w:color="auto" w:fill="auto"/>
                  </w:tcPr>
                  <w:p>
                    <w:pPr>
                      <w:rPr>
                        <w:sz w:val="20"/>
                      </w:rPr>
                    </w:pPr>
                    <w:r>
                      <w:rPr>
                        <w:sz w:val="20"/>
                      </w:rPr>
                      <w:t>D</w:t>
                    </w:r>
                  </w:p>
                </w:tc>
                <w:tc>
                  <w:tcPr>
                    <w:tcW w:w="1276" w:type="dxa"/>
                    <w:shd w:val="clear" w:color="auto" w:fill="auto"/>
                  </w:tcPr>
                  <w:p>
                    <w:pPr>
                      <w:rPr>
                        <w:sz w:val="20"/>
                        <w:lang w:val="en-US"/>
                      </w:rPr>
                    </w:pPr>
                    <w:r>
                      <w:rPr>
                        <w:sz w:val="20"/>
                        <w:lang w:val="en-US"/>
                      </w:rPr>
                      <w:t>467,50</w:t>
                    </w:r>
                  </w:p>
                  <w:p>
                    <w:pPr>
                      <w:rPr>
                        <w:sz w:val="20"/>
                        <w:lang w:val="en-US"/>
                      </w:rPr>
                    </w:pPr>
                  </w:p>
                  <w:p>
                    <w:pPr>
                      <w:rPr>
                        <w:sz w:val="20"/>
                        <w:lang w:val="en-US"/>
                      </w:rPr>
                    </w:pPr>
                  </w:p>
                  <w:p>
                    <w:pPr>
                      <w:rPr>
                        <w:sz w:val="20"/>
                        <w:lang w:val="en-US"/>
                      </w:rPr>
                    </w:pPr>
                  </w:p>
                </w:tc>
                <w:tc>
                  <w:tcPr>
                    <w:tcW w:w="992" w:type="dxa"/>
                    <w:shd w:val="clear" w:color="auto" w:fill="auto"/>
                  </w:tcPr>
                  <w:p>
                    <w:pPr>
                      <w:rPr>
                        <w:sz w:val="20"/>
                      </w:rPr>
                    </w:pPr>
                    <w:r>
                      <w:rPr>
                        <w:sz w:val="20"/>
                      </w:rPr>
                      <w:t>2021–2027 m. IP (ESF+)</w:t>
                    </w:r>
                  </w:p>
                  <w:p>
                    <w:pPr>
                      <w:rPr>
                        <w:sz w:val="20"/>
                      </w:rPr>
                    </w:pPr>
                  </w:p>
                </w:tc>
                <w:tc>
                  <w:tcPr>
                    <w:tcW w:w="2551" w:type="dxa"/>
                    <w:vMerge w:val="restart"/>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851" w:type="dxa"/>
                    <w:vMerge w:val="restart"/>
                    <w:shd w:val="clear" w:color="auto" w:fill="auto"/>
                  </w:tcPr>
                  <w:p>
                    <w:pPr>
                      <w:ind w:left="-57" w:right="-57"/>
                      <w:jc w:val="center"/>
                      <w:rPr>
                        <w:sz w:val="20"/>
                      </w:rPr>
                    </w:pPr>
                    <w:r>
                      <w:rPr>
                        <w:sz w:val="20"/>
                      </w:rPr>
                      <w:t>1</w:t>
                    </w:r>
                  </w:p>
                  <w:p>
                    <w:pPr>
                      <w:ind w:left="-57" w:right="-57"/>
                      <w:jc w:val="center"/>
                      <w:rPr>
                        <w:sz w:val="20"/>
                      </w:rPr>
                    </w:pPr>
                    <w:r>
                      <w:rPr>
                        <w:sz w:val="20"/>
                      </w:rPr>
                      <w:t>(2029 m.)</w:t>
                    </w: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rPr>
                        <w:sz w:val="20"/>
                      </w:rPr>
                    </w:pPr>
                  </w:p>
                </w:tc>
              </w:tr>
              <w:tr>
                <w:trPr>
                  <w:trHeight w:val="329"/>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val="restart"/>
                    <w:shd w:val="clear" w:color="auto" w:fill="auto"/>
                  </w:tcPr>
                  <w:p>
                    <w:pPr>
                      <w:rPr>
                        <w:sz w:val="20"/>
                        <w:lang w:val="en-US"/>
                      </w:rPr>
                    </w:pPr>
                  </w:p>
                  <w:p>
                    <w:pPr>
                      <w:rPr>
                        <w:sz w:val="20"/>
                        <w:lang w:val="en-US"/>
                      </w:rPr>
                    </w:pPr>
                    <w:r>
                      <w:rPr>
                        <w:sz w:val="20"/>
                        <w:lang w:val="en-US"/>
                      </w:rPr>
                      <w:t>82,50</w:t>
                    </w:r>
                  </w:p>
                </w:tc>
                <w:tc>
                  <w:tcPr>
                    <w:tcW w:w="992" w:type="dxa"/>
                    <w:vMerge w:val="restart"/>
                    <w:shd w:val="clear" w:color="auto" w:fill="auto"/>
                  </w:tcPr>
                  <w:p>
                    <w:pPr>
                      <w:rPr>
                        <w:sz w:val="20"/>
                      </w:rPr>
                    </w:pPr>
                    <w:r>
                      <w:rPr>
                        <w:sz w:val="20"/>
                      </w:rPr>
                      <w:t xml:space="preserve">2021–2027 m.  IP (BF)</w:t>
                    </w:r>
                  </w:p>
                  <w:p>
                    <w:pPr>
                      <w:rPr>
                        <w:sz w:val="20"/>
                      </w:rPr>
                    </w:pPr>
                  </w:p>
                </w:tc>
                <w:tc>
                  <w:tcPr>
                    <w:tcW w:w="2551" w:type="dxa"/>
                    <w:vMerge/>
                    <w:shd w:val="clear" w:color="auto" w:fill="auto"/>
                  </w:tcPr>
                  <w:p>
                    <w:pPr>
                      <w:ind w:left="-57" w:right="-57"/>
                      <w:jc w:val="both"/>
                      <w:rPr>
                        <w:sz w:val="20"/>
                      </w:rPr>
                    </w:pPr>
                  </w:p>
                </w:tc>
                <w:tc>
                  <w:tcPr>
                    <w:tcW w:w="851" w:type="dxa"/>
                    <w:vMerge/>
                    <w:shd w:val="clear" w:color="auto" w:fill="auto"/>
                  </w:tcPr>
                  <w:p>
                    <w:pPr>
                      <w:ind w:left="-57" w:right="-57"/>
                      <w:jc w:val="center"/>
                      <w:rPr>
                        <w:sz w:val="20"/>
                      </w:rPr>
                    </w:pP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tcPr>
                  <w:p>
                    <w:pPr>
                      <w:jc w:val="center"/>
                      <w:rPr>
                        <w:sz w:val="20"/>
                      </w:rPr>
                    </w:pPr>
                  </w:p>
                </w:tc>
              </w:tr>
              <w:tr>
                <w:trPr>
                  <w:trHeight w:val="987"/>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lang w:val="en-US"/>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P – Parengta ir patvirtinta ilgalaikė sveikatos žmogiškųjų išteklių valdymo strategija, vnt.</w:t>
                    </w:r>
                  </w:p>
                </w:tc>
                <w:tc>
                  <w:tcPr>
                    <w:tcW w:w="851" w:type="dxa"/>
                    <w:shd w:val="clear" w:color="auto" w:fill="auto"/>
                  </w:tcPr>
                  <w:p>
                    <w:pPr>
                      <w:jc w:val="center"/>
                      <w:rPr>
                        <w:sz w:val="20"/>
                      </w:rPr>
                    </w:pPr>
                    <w:r>
                      <w:rPr>
                        <w:sz w:val="20"/>
                      </w:rPr>
                      <w:t>1</w:t>
                    </w:r>
                  </w:p>
                  <w:p>
                    <w:pPr>
                      <w:ind w:left="-57" w:right="-57" w:firstLine="53"/>
                      <w:jc w:val="center"/>
                      <w:rPr>
                        <w:sz w:val="20"/>
                      </w:rPr>
                    </w:pPr>
                    <w:r>
                      <w:rPr>
                        <w:sz w:val="20"/>
                      </w:rPr>
                      <w:t>(2026 m.)</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tcPr>
                  <w:p>
                    <w:pPr>
                      <w:jc w:val="center"/>
                      <w:rPr>
                        <w:sz w:val="20"/>
                      </w:rPr>
                    </w:pPr>
                  </w:p>
                </w:tc>
              </w:tr>
              <w:tr>
                <w:trPr>
                  <w:trHeight w:val="618"/>
                </w:trPr>
                <w:tc>
                  <w:tcPr>
                    <w:tcW w:w="2410" w:type="dxa"/>
                    <w:vMerge w:val="restart"/>
                    <w:tcBorders>
                      <w:bottom w:val="single" w:sz="4" w:space="0" w:color="auto"/>
                    </w:tcBorders>
                    <w:shd w:val="clear" w:color="auto" w:fill="auto"/>
                  </w:tcPr>
                  <w:p>
                    <w:pPr>
                      <w:rPr>
                        <w:sz w:val="20"/>
                      </w:rPr>
                    </w:pPr>
                    <w:r>
                      <w:rPr>
                        <w:sz w:val="20"/>
                      </w:rPr>
                      <w:t>10.2. Sveikatos priežiūros specialistų įgalinimo, pritraukimo ir išlaikymo sveikatos priežiūros įstaigoje modelio kūrimas ir diegimas, Vidurio ir vakarų Lietuvos regionas</w:t>
                    </w:r>
                  </w:p>
                </w:tc>
                <w:tc>
                  <w:tcPr>
                    <w:tcW w:w="709" w:type="dxa"/>
                    <w:vMerge w:val="restart"/>
                    <w:tcBorders>
                      <w:bottom w:val="single" w:sz="4" w:space="0" w:color="auto"/>
                    </w:tcBorders>
                    <w:shd w:val="clear" w:color="auto" w:fill="auto"/>
                  </w:tcPr>
                  <w:p>
                    <w:pPr>
                      <w:rPr>
                        <w:sz w:val="20"/>
                      </w:rPr>
                    </w:pPr>
                    <w:r>
                      <w:rPr>
                        <w:sz w:val="20"/>
                      </w:rPr>
                      <w:t>I</w:t>
                    </w:r>
                  </w:p>
                </w:tc>
                <w:tc>
                  <w:tcPr>
                    <w:tcW w:w="1559" w:type="dxa"/>
                    <w:vMerge w:val="restart"/>
                    <w:tcBorders>
                      <w:bottom w:val="single" w:sz="4" w:space="0" w:color="auto"/>
                    </w:tcBorders>
                    <w:shd w:val="clear" w:color="auto" w:fill="auto"/>
                  </w:tcPr>
                  <w:p>
                    <w:pPr>
                      <w:rPr>
                        <w:sz w:val="20"/>
                      </w:rPr>
                    </w:pPr>
                    <w:r>
                      <w:rPr>
                        <w:sz w:val="20"/>
                      </w:rPr>
                      <w:t>SAM</w:t>
                    </w:r>
                  </w:p>
                </w:tc>
                <w:tc>
                  <w:tcPr>
                    <w:tcW w:w="709" w:type="dxa"/>
                    <w:vMerge w:val="restart"/>
                    <w:tcBorders>
                      <w:bottom w:val="single" w:sz="4" w:space="0" w:color="auto"/>
                    </w:tcBorders>
                    <w:shd w:val="clear" w:color="auto" w:fill="auto"/>
                  </w:tcPr>
                  <w:p>
                    <w:pPr>
                      <w:rPr>
                        <w:sz w:val="20"/>
                      </w:rPr>
                    </w:pPr>
                    <w:r>
                      <w:rPr>
                        <w:sz w:val="20"/>
                      </w:rPr>
                      <w:t>P</w:t>
                    </w:r>
                  </w:p>
                </w:tc>
                <w:tc>
                  <w:tcPr>
                    <w:tcW w:w="992" w:type="dxa"/>
                    <w:vMerge w:val="restart"/>
                    <w:tcBorders>
                      <w:bottom w:val="single" w:sz="4" w:space="0" w:color="auto"/>
                    </w:tcBorders>
                    <w:shd w:val="clear" w:color="auto" w:fill="auto"/>
                  </w:tcPr>
                  <w:p>
                    <w:pPr>
                      <w:rPr>
                        <w:sz w:val="20"/>
                      </w:rPr>
                    </w:pPr>
                    <w:r>
                      <w:rPr>
                        <w:sz w:val="20"/>
                      </w:rPr>
                      <w:t>Taip</w:t>
                    </w:r>
                  </w:p>
                </w:tc>
                <w:tc>
                  <w:tcPr>
                    <w:tcW w:w="709" w:type="dxa"/>
                    <w:vMerge w:val="restart"/>
                    <w:tcBorders>
                      <w:bottom w:val="single" w:sz="4" w:space="0" w:color="auto"/>
                    </w:tcBorders>
                    <w:shd w:val="clear" w:color="auto" w:fill="auto"/>
                  </w:tcPr>
                  <w:p>
                    <w:pPr>
                      <w:rPr>
                        <w:sz w:val="20"/>
                      </w:rPr>
                    </w:pPr>
                    <w:r>
                      <w:rPr>
                        <w:sz w:val="20"/>
                      </w:rPr>
                      <w:t>D</w:t>
                    </w:r>
                  </w:p>
                </w:tc>
                <w:tc>
                  <w:tcPr>
                    <w:tcW w:w="1276" w:type="dxa"/>
                    <w:vMerge w:val="restart"/>
                    <w:tcBorders>
                      <w:bottom w:val="single" w:sz="4" w:space="0" w:color="auto"/>
                    </w:tcBorders>
                    <w:shd w:val="clear" w:color="auto" w:fill="auto"/>
                  </w:tcPr>
                  <w:p>
                    <w:pPr>
                      <w:rPr>
                        <w:sz w:val="20"/>
                        <w:lang w:val="en-US"/>
                      </w:rPr>
                    </w:pPr>
                    <w:r>
                      <w:rPr>
                        <w:sz w:val="20"/>
                        <w:lang w:val="en-US"/>
                      </w:rPr>
                      <w:t xml:space="preserve">1 880,455 </w:t>
                    </w:r>
                  </w:p>
                  <w:p>
                    <w:pPr>
                      <w:rPr>
                        <w:sz w:val="20"/>
                        <w:lang w:val="en-US"/>
                      </w:rPr>
                    </w:pPr>
                  </w:p>
                  <w:p>
                    <w:pPr>
                      <w:rPr>
                        <w:sz w:val="20"/>
                        <w:lang w:val="en-US"/>
                      </w:rPr>
                    </w:pPr>
                  </w:p>
                  <w:p>
                    <w:pPr>
                      <w:rPr>
                        <w:sz w:val="20"/>
                        <w:lang w:val="en-US"/>
                      </w:rPr>
                    </w:pPr>
                  </w:p>
                  <w:p>
                    <w:pPr>
                      <w:rPr>
                        <w:sz w:val="20"/>
                        <w:lang w:val="en-US"/>
                      </w:rPr>
                    </w:pPr>
                  </w:p>
                  <w:p>
                    <w:pPr>
                      <w:rPr>
                        <w:sz w:val="20"/>
                        <w:lang w:val="en-US"/>
                      </w:rPr>
                    </w:pPr>
                  </w:p>
                  <w:p>
                    <w:pPr>
                      <w:rPr>
                        <w:sz w:val="20"/>
                        <w:lang w:val="en-US"/>
                      </w:rPr>
                    </w:pPr>
                  </w:p>
                  <w:p>
                    <w:pPr>
                      <w:rPr>
                        <w:sz w:val="20"/>
                        <w:lang w:val="en-US"/>
                      </w:rPr>
                    </w:pPr>
                    <w:r>
                      <w:rPr>
                        <w:sz w:val="20"/>
                        <w:lang w:val="en-US"/>
                      </w:rPr>
                      <w:t>331,845</w:t>
                    </w:r>
                  </w:p>
                  <w:p>
                    <w:pPr>
                      <w:rPr>
                        <w:sz w:val="20"/>
                        <w:lang w:val="en-US"/>
                      </w:rPr>
                    </w:pPr>
                  </w:p>
                  <w:p>
                    <w:pPr>
                      <w:rPr>
                        <w:sz w:val="20"/>
                        <w:lang w:val="en-US"/>
                      </w:rPr>
                    </w:pPr>
                  </w:p>
                </w:tc>
                <w:tc>
                  <w:tcPr>
                    <w:tcW w:w="992" w:type="dxa"/>
                    <w:vMerge w:val="restart"/>
                    <w:tcBorders>
                      <w:bottom w:val="single" w:sz="4" w:space="0" w:color="auto"/>
                    </w:tcBorders>
                    <w:shd w:val="clear" w:color="auto" w:fill="auto"/>
                  </w:tcPr>
                  <w:p>
                    <w:pPr>
                      <w:rPr>
                        <w:sz w:val="20"/>
                      </w:rPr>
                    </w:pPr>
                    <w:r>
                      <w:rPr>
                        <w:sz w:val="20"/>
                      </w:rPr>
                      <w:t xml:space="preserve">2021–2027 m. IP (ESF+) </w:t>
                    </w:r>
                  </w:p>
                  <w:p>
                    <w:pPr>
                      <w:rPr>
                        <w:sz w:val="20"/>
                      </w:rPr>
                    </w:pPr>
                  </w:p>
                  <w:p>
                    <w:pPr>
                      <w:rPr>
                        <w:sz w:val="20"/>
                      </w:rPr>
                    </w:pPr>
                  </w:p>
                  <w:p>
                    <w:pPr>
                      <w:rPr>
                        <w:sz w:val="20"/>
                      </w:rPr>
                    </w:pPr>
                  </w:p>
                  <w:p>
                    <w:pPr>
                      <w:rPr>
                        <w:sz w:val="20"/>
                      </w:rPr>
                    </w:pPr>
                    <w:r>
                      <w:rPr>
                        <w:sz w:val="20"/>
                      </w:rPr>
                      <w:t>2021–2027 m. IP (BF)</w:t>
                    </w:r>
                  </w:p>
                  <w:p>
                    <w:pPr>
                      <w:rPr>
                        <w:sz w:val="20"/>
                      </w:rPr>
                    </w:pPr>
                  </w:p>
                  <w:p>
                    <w:pPr>
                      <w:rPr>
                        <w:sz w:val="20"/>
                      </w:rPr>
                    </w:pPr>
                  </w:p>
                </w:tc>
                <w:tc>
                  <w:tcPr>
                    <w:tcW w:w="2551" w:type="dxa"/>
                    <w:tcBorders>
                      <w:bottom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p>
                    <w:pPr>
                      <w:ind w:left="-57" w:right="-57"/>
                      <w:rPr>
                        <w:sz w:val="20"/>
                      </w:rPr>
                    </w:pPr>
                  </w:p>
                </w:tc>
                <w:tc>
                  <w:tcPr>
                    <w:tcW w:w="851" w:type="dxa"/>
                    <w:shd w:val="clear" w:color="auto" w:fill="auto"/>
                  </w:tcPr>
                  <w:p>
                    <w:pPr>
                      <w:tabs>
                        <w:tab w:val="left" w:pos="184"/>
                        <w:tab w:val="center" w:pos="317"/>
                      </w:tabs>
                      <w:ind w:left="-57" w:right="-57"/>
                      <w:jc w:val="center"/>
                      <w:rPr>
                        <w:sz w:val="20"/>
                      </w:rPr>
                    </w:pPr>
                    <w:r>
                      <w:rPr>
                        <w:sz w:val="20"/>
                      </w:rPr>
                      <w:t>I</w:t>
                    </w:r>
                  </w:p>
                  <w:p>
                    <w:pPr>
                      <w:tabs>
                        <w:tab w:val="left" w:pos="184"/>
                        <w:tab w:val="center" w:pos="317"/>
                      </w:tabs>
                      <w:ind w:left="-57" w:right="-57"/>
                      <w:jc w:val="center"/>
                      <w:rPr>
                        <w:sz w:val="20"/>
                      </w:rPr>
                    </w:pPr>
                    <w:r>
                      <w:rPr>
                        <w:sz w:val="20"/>
                      </w:rPr>
                      <w:t>(2029 m.)</w:t>
                    </w:r>
                  </w:p>
                  <w:p>
                    <w:pPr>
                      <w:tabs>
                        <w:tab w:val="left" w:pos="184"/>
                        <w:tab w:val="center" w:pos="317"/>
                      </w:tabs>
                      <w:ind w:left="-57" w:right="-57"/>
                      <w:jc w:val="center"/>
                      <w:rPr>
                        <w:sz w:val="20"/>
                      </w:rPr>
                    </w:pPr>
                  </w:p>
                  <w:p>
                    <w:pPr>
                      <w:tabs>
                        <w:tab w:val="left" w:pos="184"/>
                        <w:tab w:val="center" w:pos="317"/>
                      </w:tabs>
                      <w:ind w:left="-57" w:right="-57"/>
                      <w:jc w:val="center"/>
                      <w:rPr>
                        <w:sz w:val="20"/>
                      </w:rPr>
                    </w:pPr>
                  </w:p>
                  <w:p>
                    <w:pPr>
                      <w:tabs>
                        <w:tab w:val="left" w:pos="184"/>
                        <w:tab w:val="center" w:pos="317"/>
                      </w:tabs>
                      <w:ind w:left="-57" w:right="-57"/>
                      <w:jc w:val="center"/>
                      <w:rPr>
                        <w:sz w:val="20"/>
                      </w:rPr>
                    </w:pPr>
                  </w:p>
                  <w:p>
                    <w:pPr>
                      <w:tabs>
                        <w:tab w:val="left" w:pos="184"/>
                        <w:tab w:val="center" w:pos="317"/>
                      </w:tabs>
                      <w:ind w:left="-57" w:right="-57"/>
                      <w:jc w:val="center"/>
                      <w:rPr>
                        <w:sz w:val="20"/>
                      </w:rPr>
                    </w:pPr>
                  </w:p>
                </w:tc>
                <w:tc>
                  <w:tcPr>
                    <w:tcW w:w="992" w:type="dxa"/>
                    <w:vMerge w:val="restart"/>
                    <w:tcBorders>
                      <w:bottom w:val="single" w:sz="4" w:space="0" w:color="auto"/>
                    </w:tcBorders>
                    <w:shd w:val="clear" w:color="auto" w:fill="auto"/>
                  </w:tcPr>
                  <w:p>
                    <w:pPr>
                      <w:rPr>
                        <w:sz w:val="20"/>
                      </w:rPr>
                    </w:pPr>
                    <w:r>
                      <w:rPr>
                        <w:sz w:val="20"/>
                      </w:rPr>
                      <w:t>CPVA</w:t>
                    </w:r>
                  </w:p>
                  <w:p>
                    <w:pPr>
                      <w:rPr>
                        <w:sz w:val="20"/>
                      </w:rPr>
                    </w:pPr>
                  </w:p>
                </w:tc>
                <w:tc>
                  <w:tcPr>
                    <w:tcW w:w="1276" w:type="dxa"/>
                    <w:vMerge w:val="restart"/>
                    <w:tcBorders>
                      <w:left w:val="single" w:sz="4" w:space="0" w:color="auto"/>
                      <w:bottom w:val="single" w:sz="4" w:space="0" w:color="auto"/>
                      <w:right w:val="single" w:sz="4" w:space="0" w:color="auto"/>
                    </w:tcBorders>
                    <w:shd w:val="clear" w:color="auto" w:fill="auto"/>
                  </w:tcPr>
                  <w:p>
                    <w:pPr>
                      <w:jc w:val="center"/>
                      <w:rPr>
                        <w:sz w:val="20"/>
                      </w:rPr>
                    </w:pPr>
                    <w:r>
                      <w:rPr>
                        <w:sz w:val="20"/>
                      </w:rPr>
                      <w:t>SAM</w:t>
                    </w:r>
                  </w:p>
                </w:tc>
              </w:tr>
              <w:tr>
                <w:trPr>
                  <w:trHeight w:val="1486"/>
                </w:trPr>
                <w:tc>
                  <w:tcPr>
                    <w:tcW w:w="2410" w:type="dxa"/>
                    <w:vMerge/>
                    <w:tcBorders>
                      <w:bottom w:val="single" w:sz="4" w:space="0" w:color="auto"/>
                    </w:tcBorders>
                    <w:shd w:val="clear" w:color="auto" w:fill="auto"/>
                  </w:tcPr>
                  <w:p>
                    <w:pPr>
                      <w:rPr>
                        <w:sz w:val="20"/>
                      </w:rPr>
                    </w:pPr>
                  </w:p>
                </w:tc>
                <w:tc>
                  <w:tcPr>
                    <w:tcW w:w="709" w:type="dxa"/>
                    <w:vMerge/>
                    <w:tcBorders>
                      <w:bottom w:val="single" w:sz="4" w:space="0" w:color="auto"/>
                    </w:tcBorders>
                    <w:shd w:val="clear" w:color="auto" w:fill="auto"/>
                  </w:tcPr>
                  <w:p>
                    <w:pPr>
                      <w:rPr>
                        <w:sz w:val="20"/>
                      </w:rPr>
                    </w:pPr>
                  </w:p>
                </w:tc>
                <w:tc>
                  <w:tcPr>
                    <w:tcW w:w="1559" w:type="dxa"/>
                    <w:vMerge/>
                    <w:tcBorders>
                      <w:bottom w:val="single" w:sz="4" w:space="0" w:color="auto"/>
                    </w:tcBorders>
                    <w:shd w:val="clear" w:color="auto" w:fill="auto"/>
                  </w:tcPr>
                  <w:p>
                    <w:pPr>
                      <w:rPr>
                        <w:sz w:val="20"/>
                      </w:rPr>
                    </w:pPr>
                  </w:p>
                </w:tc>
                <w:tc>
                  <w:tcPr>
                    <w:tcW w:w="709" w:type="dxa"/>
                    <w:vMerge/>
                    <w:tcBorders>
                      <w:bottom w:val="single" w:sz="4" w:space="0" w:color="auto"/>
                    </w:tcBorders>
                    <w:shd w:val="clear" w:color="auto" w:fill="auto"/>
                  </w:tcPr>
                  <w:p>
                    <w:pPr>
                      <w:rPr>
                        <w:sz w:val="20"/>
                      </w:rPr>
                    </w:pPr>
                  </w:p>
                </w:tc>
                <w:tc>
                  <w:tcPr>
                    <w:tcW w:w="992" w:type="dxa"/>
                    <w:vMerge/>
                    <w:tcBorders>
                      <w:bottom w:val="single" w:sz="4" w:space="0" w:color="auto"/>
                    </w:tcBorders>
                    <w:shd w:val="clear" w:color="auto" w:fill="auto"/>
                  </w:tcPr>
                  <w:p>
                    <w:pPr>
                      <w:rPr>
                        <w:sz w:val="20"/>
                      </w:rPr>
                    </w:pPr>
                  </w:p>
                </w:tc>
                <w:tc>
                  <w:tcPr>
                    <w:tcW w:w="709" w:type="dxa"/>
                    <w:vMerge/>
                    <w:tcBorders>
                      <w:bottom w:val="single" w:sz="4" w:space="0" w:color="auto"/>
                    </w:tcBorders>
                    <w:shd w:val="clear" w:color="auto" w:fill="auto"/>
                  </w:tcPr>
                  <w:p>
                    <w:pPr>
                      <w:rPr>
                        <w:sz w:val="20"/>
                      </w:rPr>
                    </w:pPr>
                  </w:p>
                </w:tc>
                <w:tc>
                  <w:tcPr>
                    <w:tcW w:w="1276" w:type="dxa"/>
                    <w:vMerge/>
                    <w:tcBorders>
                      <w:bottom w:val="single" w:sz="4" w:space="0" w:color="auto"/>
                    </w:tcBorders>
                    <w:shd w:val="clear" w:color="auto" w:fill="auto"/>
                  </w:tcPr>
                  <w:p>
                    <w:pPr>
                      <w:rPr>
                        <w:sz w:val="20"/>
                        <w:lang w:val="en-US"/>
                      </w:rPr>
                    </w:pPr>
                  </w:p>
                </w:tc>
                <w:tc>
                  <w:tcPr>
                    <w:tcW w:w="992" w:type="dxa"/>
                    <w:vMerge/>
                    <w:tcBorders>
                      <w:bottom w:val="single" w:sz="4" w:space="0" w:color="auto"/>
                    </w:tcBorders>
                    <w:shd w:val="clear" w:color="auto" w:fill="auto"/>
                  </w:tcPr>
                  <w:p>
                    <w:pPr>
                      <w:rPr>
                        <w:sz w:val="20"/>
                      </w:rPr>
                    </w:pPr>
                  </w:p>
                </w:tc>
                <w:tc>
                  <w:tcPr>
                    <w:tcW w:w="2551" w:type="dxa"/>
                    <w:tcBorders>
                      <w:bottom w:val="single" w:sz="4" w:space="0" w:color="auto"/>
                    </w:tcBorders>
                    <w:shd w:val="clear" w:color="auto" w:fill="auto"/>
                  </w:tcPr>
                  <w:p>
                    <w:pPr>
                      <w:ind w:left="-57"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 </w:t>
                    </w:r>
                  </w:p>
                </w:tc>
                <w:tc>
                  <w:tcPr>
                    <w:tcW w:w="851" w:type="dxa"/>
                    <w:tcBorders>
                      <w:bottom w:val="single" w:sz="4" w:space="0" w:color="auto"/>
                    </w:tcBorders>
                    <w:shd w:val="clear" w:color="auto" w:fill="auto"/>
                  </w:tcPr>
                  <w:p>
                    <w:pPr>
                      <w:ind w:left="-57" w:right="-57"/>
                      <w:jc w:val="center"/>
                      <w:rPr>
                        <w:sz w:val="20"/>
                      </w:rPr>
                    </w:pPr>
                    <w:r>
                      <w:rPr>
                        <w:sz w:val="20"/>
                      </w:rPr>
                      <w:t>6</w:t>
                    </w:r>
                  </w:p>
                  <w:p>
                    <w:pPr>
                      <w:ind w:left="-57" w:right="-57"/>
                      <w:jc w:val="center"/>
                      <w:rPr>
                        <w:sz w:val="20"/>
                      </w:rPr>
                    </w:pPr>
                    <w:r>
                      <w:rPr>
                        <w:sz w:val="20"/>
                      </w:rPr>
                      <w:t>(2029 m.)</w:t>
                    </w:r>
                  </w:p>
                </w:tc>
                <w:tc>
                  <w:tcPr>
                    <w:tcW w:w="992" w:type="dxa"/>
                    <w:vMerge/>
                    <w:tcBorders>
                      <w:bottom w:val="single" w:sz="4" w:space="0" w:color="auto"/>
                    </w:tcBorders>
                    <w:shd w:val="clear" w:color="auto" w:fill="auto"/>
                  </w:tcPr>
                  <w:p>
                    <w:pPr>
                      <w:rPr>
                        <w:sz w:val="20"/>
                      </w:rPr>
                    </w:pPr>
                  </w:p>
                </w:tc>
                <w:tc>
                  <w:tcPr>
                    <w:tcW w:w="1276" w:type="dxa"/>
                    <w:vMerge/>
                    <w:tcBorders>
                      <w:left w:val="single" w:sz="4" w:space="0" w:color="auto"/>
                      <w:bottom w:val="single" w:sz="4" w:space="0" w:color="auto"/>
                      <w:right w:val="single" w:sz="4" w:space="0" w:color="auto"/>
                    </w:tcBorders>
                    <w:shd w:val="clear" w:color="auto" w:fill="auto"/>
                  </w:tcPr>
                  <w:p>
                    <w:pPr>
                      <w:jc w:val="center"/>
                      <w:rPr>
                        <w:sz w:val="20"/>
                      </w:rPr>
                    </w:pPr>
                  </w:p>
                </w:tc>
              </w:tr>
              <w:tr>
                <w:trPr>
                  <w:trHeight w:val="1306"/>
                </w:trPr>
                <w:tc>
                  <w:tcPr>
                    <w:tcW w:w="2410"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559"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992"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276" w:type="dxa"/>
                    <w:vMerge/>
                    <w:shd w:val="clear" w:color="auto" w:fill="CCC0D9" w:themeFill="accent4" w:themeFillTint="66"/>
                  </w:tcPr>
                  <w:p>
                    <w:pPr>
                      <w:rPr>
                        <w:sz w:val="20"/>
                        <w:lang w:val="en-US"/>
                      </w:rPr>
                    </w:pPr>
                  </w:p>
                </w:tc>
                <w:tc>
                  <w:tcPr>
                    <w:tcW w:w="992" w:type="dxa"/>
                    <w:vMerge/>
                    <w:shd w:val="clear" w:color="auto" w:fill="CCC0D9" w:themeFill="accent4" w:themeFillTint="66"/>
                  </w:tcPr>
                  <w:p>
                    <w:pPr>
                      <w:rPr>
                        <w:sz w:val="20"/>
                      </w:rPr>
                    </w:pPr>
                  </w:p>
                </w:tc>
                <w:tc>
                  <w:tcPr>
                    <w:tcW w:w="2551" w:type="dxa"/>
                    <w:shd w:val="clear" w:color="auto" w:fill="auto"/>
                  </w:tcPr>
                  <w:p>
                    <w:pPr>
                      <w:ind w:left="-57" w:right="-57"/>
                      <w:rPr>
                        <w:sz w:val="20"/>
                      </w:rPr>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851" w:type="dxa"/>
                    <w:shd w:val="clear" w:color="auto" w:fill="auto"/>
                  </w:tcPr>
                  <w:p>
                    <w:pPr>
                      <w:ind w:left="-57" w:right="-57"/>
                      <w:jc w:val="center"/>
                      <w:rPr>
                        <w:sz w:val="20"/>
                      </w:rPr>
                    </w:pPr>
                    <w:r>
                      <w:rPr>
                        <w:sz w:val="20"/>
                      </w:rPr>
                      <w:t>80</w:t>
                    </w:r>
                  </w:p>
                  <w:p>
                    <w:pPr>
                      <w:ind w:left="-57" w:right="-57"/>
                      <w:jc w:val="center"/>
                      <w:rPr>
                        <w:sz w:val="20"/>
                      </w:rPr>
                    </w:pPr>
                    <w:r>
                      <w:rPr>
                        <w:sz w:val="20"/>
                      </w:rPr>
                      <w:t>(2029 m.)</w:t>
                    </w: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tcPr>
                  <w:p>
                    <w:pPr>
                      <w:jc w:val="center"/>
                      <w:rPr>
                        <w:sz w:val="20"/>
                      </w:rPr>
                    </w:pPr>
                  </w:p>
                </w:tc>
              </w:tr>
              <w:tr>
                <w:trPr>
                  <w:trHeight w:val="946"/>
                </w:trPr>
                <w:tc>
                  <w:tcPr>
                    <w:tcW w:w="2410" w:type="dxa"/>
                    <w:vMerge w:val="restart"/>
                    <w:shd w:val="clear" w:color="auto" w:fill="auto"/>
                  </w:tcPr>
                  <w:p>
                    <w:pPr>
                      <w:rPr>
                        <w:iCs/>
                        <w:color w:val="000000"/>
                        <w:sz w:val="20"/>
                      </w:rPr>
                    </w:pPr>
                    <w:r>
                      <w:rPr>
                        <w:iCs/>
                        <w:color w:val="000000"/>
                        <w:sz w:val="20"/>
                      </w:rPr>
                      <w:t>10.3. Sveikatos priežiūros specialistų rengimas, pritraukimas, Vidurio ir vakarų Lietuvos regionas</w:t>
                    </w:r>
                  </w:p>
                </w:tc>
                <w:tc>
                  <w:tcPr>
                    <w:tcW w:w="709" w:type="dxa"/>
                    <w:vMerge w:val="restart"/>
                    <w:shd w:val="clear" w:color="auto" w:fill="auto"/>
                  </w:tcPr>
                  <w:p>
                    <w:pPr>
                      <w:rPr>
                        <w:sz w:val="20"/>
                      </w:rPr>
                    </w:pPr>
                    <w:r>
                      <w:rPr>
                        <w:sz w:val="20"/>
                      </w:rPr>
                      <w:t>I</w:t>
                    </w:r>
                  </w:p>
                </w:tc>
                <w:tc>
                  <w:tcPr>
                    <w:tcW w:w="1559" w:type="dxa"/>
                    <w:vMerge w:val="restart"/>
                    <w:shd w:val="clear" w:color="auto" w:fill="auto"/>
                  </w:tcPr>
                  <w:p>
                    <w:pPr>
                      <w:rPr>
                        <w:strike/>
                        <w:color w:val="000000"/>
                        <w:sz w:val="20"/>
                      </w:rPr>
                    </w:pPr>
                    <w:r>
                      <w:rPr>
                        <w:color w:val="000000"/>
                        <w:sz w:val="20"/>
                      </w:rPr>
                      <w:t>Savivaldybių administracijos</w:t>
                    </w:r>
                    <w:r>
                      <w:rPr>
                        <w:strike/>
                        <w:color w:val="000000"/>
                        <w:sz w:val="20"/>
                      </w:rPr>
                      <w:t xml:space="preserve"> </w:t>
                    </w:r>
                  </w:p>
                </w:tc>
                <w:tc>
                  <w:tcPr>
                    <w:tcW w:w="709" w:type="dxa"/>
                    <w:vMerge w:val="restart"/>
                    <w:shd w:val="clear" w:color="auto" w:fill="auto"/>
                  </w:tcPr>
                  <w:p>
                    <w:pPr>
                      <w:rPr>
                        <w:sz w:val="20"/>
                      </w:rPr>
                    </w:pPr>
                    <w:r>
                      <w:rPr>
                        <w:sz w:val="20"/>
                      </w:rPr>
                      <w:t>P</w:t>
                    </w:r>
                  </w:p>
                </w:tc>
                <w:tc>
                  <w:tcPr>
                    <w:tcW w:w="992" w:type="dxa"/>
                    <w:vMerge w:val="restart"/>
                    <w:shd w:val="clear" w:color="auto" w:fill="auto"/>
                  </w:tcPr>
                  <w:p>
                    <w:pPr>
                      <w:rPr>
                        <w:sz w:val="20"/>
                      </w:rPr>
                    </w:pPr>
                    <w:r>
                      <w:rPr>
                        <w:sz w:val="20"/>
                      </w:rPr>
                      <w:t>Taip</w:t>
                    </w:r>
                  </w:p>
                </w:tc>
                <w:tc>
                  <w:tcPr>
                    <w:tcW w:w="709" w:type="dxa"/>
                    <w:vMerge w:val="restart"/>
                    <w:shd w:val="clear" w:color="auto" w:fill="auto"/>
                  </w:tcPr>
                  <w:p>
                    <w:pPr>
                      <w:rPr>
                        <w:sz w:val="20"/>
                      </w:rPr>
                    </w:pPr>
                    <w:r>
                      <w:rPr>
                        <w:sz w:val="20"/>
                      </w:rPr>
                      <w:t>D</w:t>
                    </w:r>
                  </w:p>
                </w:tc>
                <w:tc>
                  <w:tcPr>
                    <w:tcW w:w="1276" w:type="dxa"/>
                    <w:tcBorders>
                      <w:top w:val="single" w:sz="4" w:space="0" w:color="auto"/>
                      <w:left w:val="single" w:sz="4" w:space="0" w:color="auto"/>
                      <w:bottom w:val="single" w:sz="4" w:space="0" w:color="auto"/>
                      <w:right w:val="single" w:sz="4" w:space="0" w:color="auto"/>
                    </w:tcBorders>
                  </w:tcPr>
                  <w:p>
                    <w:pPr>
                      <w:rPr>
                        <w:color w:val="000000"/>
                        <w:sz w:val="20"/>
                        <w:lang w:val="en-US"/>
                      </w:rPr>
                    </w:pPr>
                    <w:r>
                      <w:rPr>
                        <w:color w:val="000000"/>
                        <w:sz w:val="20"/>
                      </w:rPr>
                      <w:t>19 543,151</w:t>
                    </w:r>
                  </w:p>
                </w:tc>
                <w:tc>
                  <w:tcPr>
                    <w:tcW w:w="992" w:type="dxa"/>
                    <w:tcBorders>
                      <w:top w:val="single" w:sz="4" w:space="0" w:color="auto"/>
                      <w:left w:val="single" w:sz="4" w:space="0" w:color="auto"/>
                      <w:bottom w:val="single" w:sz="4" w:space="0" w:color="auto"/>
                      <w:right w:val="single" w:sz="4" w:space="0" w:color="auto"/>
                    </w:tcBorders>
                  </w:tcPr>
                  <w:p>
                    <w:pPr>
                      <w:rPr>
                        <w:color w:val="000000"/>
                        <w:sz w:val="20"/>
                      </w:rPr>
                    </w:pPr>
                    <w:r>
                      <w:rPr>
                        <w:color w:val="000000"/>
                        <w:sz w:val="20"/>
                      </w:rPr>
                      <w:t>2021–2027 m. IP (ESF+)</w:t>
                    </w:r>
                  </w:p>
                  <w:p>
                    <w:pPr>
                      <w:rPr>
                        <w:color w:val="000000"/>
                        <w:sz w:val="20"/>
                      </w:rPr>
                    </w:pPr>
                  </w:p>
                </w:tc>
                <w:tc>
                  <w:tcPr>
                    <w:tcW w:w="2551" w:type="dxa"/>
                    <w:tcBorders>
                      <w:top w:val="single" w:sz="4" w:space="0" w:color="auto"/>
                      <w:left w:val="single" w:sz="4" w:space="0" w:color="auto"/>
                      <w:right w:val="single" w:sz="4" w:space="0" w:color="auto"/>
                    </w:tcBorders>
                    <w:shd w:val="clear" w:color="auto" w:fill="auto"/>
                  </w:tcPr>
                  <w:p>
                    <w:pPr>
                      <w:rPr>
                        <w:color w:val="000000"/>
                        <w:sz w:val="20"/>
                      </w:rPr>
                    </w:pPr>
                    <w:r>
                      <w:rPr>
                        <w:color w:val="000000"/>
                        <w:sz w:val="20"/>
                      </w:rPr>
                      <w:t xml:space="preserve">P – Asmenys, dalyvavę kvalifikacijos įgijimo veiklose, asmenys </w:t>
                    </w:r>
                  </w:p>
                </w:tc>
                <w:tc>
                  <w:tcPr>
                    <w:tcW w:w="851" w:type="dxa"/>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240</w:t>
                    </w:r>
                  </w:p>
                  <w:p>
                    <w:pPr>
                      <w:jc w:val="center"/>
                      <w:rPr>
                        <w:color w:val="000000"/>
                        <w:sz w:val="20"/>
                      </w:rPr>
                    </w:pPr>
                    <w:r>
                      <w:rPr>
                        <w:color w:val="000000"/>
                        <w:sz w:val="20"/>
                      </w:rPr>
                      <w:t>(2029 m.)</w:t>
                    </w: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jc w:val="center"/>
                      <w:rPr>
                        <w:sz w:val="20"/>
                      </w:rPr>
                    </w:pPr>
                    <w:r>
                      <w:rPr>
                        <w:sz w:val="20"/>
                      </w:rPr>
                      <w:t>SAM</w:t>
                    </w:r>
                  </w:p>
                </w:tc>
              </w:tr>
              <w:tr>
                <w:trPr>
                  <w:trHeight w:val="341"/>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val="restart"/>
                    <w:tcBorders>
                      <w:top w:val="single" w:sz="4" w:space="0" w:color="auto"/>
                      <w:left w:val="single" w:sz="4" w:space="0" w:color="auto"/>
                      <w:bottom w:val="single" w:sz="4" w:space="0" w:color="auto"/>
                      <w:right w:val="single" w:sz="4" w:space="0" w:color="auto"/>
                    </w:tcBorders>
                  </w:tcPr>
                  <w:p>
                    <w:pPr>
                      <w:rPr>
                        <w:color w:val="000000"/>
                        <w:sz w:val="20"/>
                        <w:lang w:val="en-US"/>
                      </w:rPr>
                    </w:pPr>
                    <w:r>
                      <w:rPr>
                        <w:color w:val="000000"/>
                        <w:sz w:val="20"/>
                      </w:rPr>
                      <w:t>3 448,791</w:t>
                    </w:r>
                  </w:p>
                  <w:p>
                    <w:pPr>
                      <w:rPr>
                        <w:color w:val="000000"/>
                        <w:sz w:val="20"/>
                        <w:lang w:val="en-US"/>
                      </w:rPr>
                    </w:pPr>
                  </w:p>
                </w:tc>
                <w:tc>
                  <w:tcPr>
                    <w:tcW w:w="992"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color w:val="000000"/>
                        <w:sz w:val="20"/>
                      </w:rPr>
                      <w:t>2021–2027 m. IP (BF)</w:t>
                    </w:r>
                  </w:p>
                  <w:p>
                    <w:pPr>
                      <w:rPr>
                        <w:color w:val="000000"/>
                        <w:sz w:val="20"/>
                      </w:rPr>
                    </w:pPr>
                  </w:p>
                  <w:p>
                    <w:pPr>
                      <w:rPr>
                        <w:color w:val="000000"/>
                        <w:sz w:val="20"/>
                      </w:rPr>
                    </w:pPr>
                  </w:p>
                </w:tc>
                <w:tc>
                  <w:tcPr>
                    <w:tcW w:w="2551" w:type="dxa"/>
                    <w:tcBorders>
                      <w:left w:val="single" w:sz="4" w:space="0" w:color="auto"/>
                      <w:right w:val="single" w:sz="4" w:space="0" w:color="auto"/>
                    </w:tcBorders>
                    <w:shd w:val="clear" w:color="auto" w:fill="auto"/>
                  </w:tcPr>
                  <w:p>
                    <w:pPr>
                      <w:rPr>
                        <w:color w:val="000000"/>
                        <w:sz w:val="20"/>
                      </w:rPr>
                    </w:pPr>
                    <w:r>
                      <w:rPr>
                        <w:color w:val="000000"/>
                        <w:sz w:val="20"/>
                      </w:rPr>
                      <w:t xml:space="preserve">R – Asmenų, kurie po dalyvavimo veiklose įgijo  kvalifikaciją, dalis, proc.</w:t>
                    </w:r>
                  </w:p>
                </w:tc>
                <w:tc>
                  <w:tcPr>
                    <w:tcW w:w="851" w:type="dxa"/>
                    <w:tcBorders>
                      <w:left w:val="single" w:sz="4" w:space="0" w:color="auto"/>
                      <w:right w:val="single" w:sz="4" w:space="0" w:color="auto"/>
                    </w:tcBorders>
                    <w:shd w:val="clear" w:color="auto" w:fill="auto"/>
                  </w:tcPr>
                  <w:p>
                    <w:pPr>
                      <w:jc w:val="center"/>
                      <w:rPr>
                        <w:color w:val="000000"/>
                        <w:sz w:val="20"/>
                      </w:rPr>
                    </w:pPr>
                    <w:r>
                      <w:rPr>
                        <w:color w:val="000000"/>
                        <w:sz w:val="20"/>
                      </w:rPr>
                      <w:t>80</w:t>
                    </w:r>
                  </w:p>
                  <w:p>
                    <w:pPr>
                      <w:jc w:val="center"/>
                      <w:rPr>
                        <w:color w:val="000000"/>
                        <w:sz w:val="20"/>
                      </w:rPr>
                    </w:pPr>
                    <w:r>
                      <w:rPr>
                        <w:color w:val="000000"/>
                        <w:sz w:val="20"/>
                      </w:rPr>
                      <w:t>(2029 m.)</w:t>
                    </w:r>
                  </w:p>
                  <w:p>
                    <w:pPr>
                      <w:jc w:val="center"/>
                      <w:rPr>
                        <w:color w:val="000000"/>
                        <w:sz w:val="20"/>
                      </w:rPr>
                    </w:pP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rPr>
                        <w:sz w:val="20"/>
                      </w:rPr>
                    </w:pPr>
                  </w:p>
                </w:tc>
              </w:tr>
              <w:tr>
                <w:trPr>
                  <w:trHeight w:val="339"/>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shd w:val="clear" w:color="auto" w:fill="auto"/>
                  </w:tcPr>
                  <w:p>
                    <w:pPr>
                      <w:rPr>
                        <w:sz w:val="20"/>
                        <w:lang w:val="en-US"/>
                      </w:rPr>
                    </w:pPr>
                  </w:p>
                </w:tc>
                <w:tc>
                  <w:tcPr>
                    <w:tcW w:w="992" w:type="dxa"/>
                    <w:vMerge/>
                    <w:shd w:val="clear" w:color="auto" w:fill="CCC0D9" w:themeFill="accent4" w:themeFillTint="66"/>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rPr>
                        <w:color w:val="000000"/>
                        <w:sz w:val="20"/>
                      </w:rPr>
                    </w:pPr>
                    <w:r>
                      <w:rPr>
                        <w:color w:val="000000"/>
                        <w:sz w:val="20"/>
                      </w:rPr>
                      <w:t>P – Specialistai, dalyvavę kvalifikacijos tobulinimo ar perkvalifikavimo veiklose, asmenys</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10</w:t>
                    </w:r>
                  </w:p>
                  <w:p>
                    <w:pPr>
                      <w:jc w:val="center"/>
                      <w:rPr>
                        <w:color w:val="000000"/>
                        <w:sz w:val="20"/>
                      </w:rPr>
                    </w:pPr>
                    <w:r>
                      <w:rPr>
                        <w:color w:val="000000"/>
                        <w:sz w:val="20"/>
                      </w:rPr>
                      <w:t>(2029 m.)</w:t>
                    </w:r>
                  </w:p>
                  <w:p>
                    <w:pPr>
                      <w:jc w:val="center"/>
                      <w:rPr>
                        <w:color w:val="000000"/>
                        <w:sz w:val="20"/>
                      </w:rPr>
                    </w:pP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vAlign w:val="center"/>
                  </w:tcPr>
                  <w:p>
                    <w:pPr>
                      <w:rPr>
                        <w:sz w:val="20"/>
                      </w:rPr>
                    </w:pPr>
                  </w:p>
                </w:tc>
              </w:tr>
              <w:tr>
                <w:trPr>
                  <w:trHeight w:val="339"/>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vMerge/>
                    <w:shd w:val="clear" w:color="auto" w:fill="auto"/>
                  </w:tcPr>
                  <w:p>
                    <w:pPr>
                      <w:rPr>
                        <w:sz w:val="20"/>
                        <w:lang w:val="en-US"/>
                      </w:rPr>
                    </w:pPr>
                  </w:p>
                </w:tc>
                <w:tc>
                  <w:tcPr>
                    <w:tcW w:w="992" w:type="dxa"/>
                    <w:vMerge/>
                    <w:shd w:val="clear" w:color="auto" w:fill="CCC0D9" w:themeFill="accent4" w:themeFillTint="66"/>
                  </w:tcPr>
                  <w:p>
                    <w:pPr>
                      <w:rPr>
                        <w:sz w:val="20"/>
                      </w:rPr>
                    </w:pPr>
                  </w:p>
                </w:tc>
                <w:tc>
                  <w:tcPr>
                    <w:tcW w:w="2551" w:type="dxa"/>
                    <w:tcBorders>
                      <w:top w:val="single" w:sz="4" w:space="0" w:color="auto"/>
                      <w:left w:val="single" w:sz="4" w:space="0" w:color="auto"/>
                      <w:right w:val="single" w:sz="4" w:space="0" w:color="auto"/>
                    </w:tcBorders>
                    <w:shd w:val="clear" w:color="auto" w:fill="auto"/>
                  </w:tcPr>
                  <w:p>
                    <w:pPr>
                      <w:rPr>
                        <w:color w:val="000000"/>
                        <w:sz w:val="20"/>
                      </w:rPr>
                    </w:pPr>
                    <w:r>
                      <w:rPr>
                        <w:color w:val="000000"/>
                        <w:sz w:val="20"/>
                      </w:rPr>
                      <w:t>R – Specialistų, kurie po dalyvavimo veiklose įgijo ar patobulino kvalifikaciją, dalis, proc.</w:t>
                    </w:r>
                  </w:p>
                </w:tc>
                <w:tc>
                  <w:tcPr>
                    <w:tcW w:w="851" w:type="dxa"/>
                    <w:tcBorders>
                      <w:top w:val="single" w:sz="4" w:space="0" w:color="auto"/>
                      <w:left w:val="single" w:sz="4" w:space="0" w:color="auto"/>
                      <w:right w:val="single" w:sz="4" w:space="0" w:color="auto"/>
                    </w:tcBorders>
                    <w:shd w:val="clear" w:color="auto" w:fill="auto"/>
                  </w:tcPr>
                  <w:p>
                    <w:pPr>
                      <w:jc w:val="center"/>
                      <w:rPr>
                        <w:color w:val="000000"/>
                        <w:sz w:val="20"/>
                      </w:rPr>
                    </w:pPr>
                    <w:r>
                      <w:rPr>
                        <w:color w:val="000000"/>
                        <w:sz w:val="20"/>
                      </w:rPr>
                      <w:t>90</w:t>
                    </w:r>
                  </w:p>
                  <w:p>
                    <w:pPr>
                      <w:jc w:val="center"/>
                      <w:rPr>
                        <w:color w:val="000000"/>
                        <w:sz w:val="20"/>
                      </w:rPr>
                    </w:pPr>
                    <w:r>
                      <w:rPr>
                        <w:color w:val="000000"/>
                        <w:sz w:val="20"/>
                      </w:rPr>
                      <w:t>(2029 m.)</w:t>
                    </w: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vAlign w:val="center"/>
                  </w:tcPr>
                  <w:p>
                    <w:pPr>
                      <w:rPr>
                        <w:sz w:val="20"/>
                      </w:rPr>
                    </w:pPr>
                  </w:p>
                </w:tc>
              </w:tr>
              <w:tr>
                <w:trPr>
                  <w:trHeight w:val="414"/>
                </w:trPr>
                <w:tc>
                  <w:tcPr>
                    <w:tcW w:w="2410" w:type="dxa"/>
                    <w:vMerge/>
                    <w:shd w:val="clear" w:color="auto" w:fill="auto"/>
                  </w:tcPr>
                  <w:p>
                    <w:pPr>
                      <w:rPr>
                        <w:b/>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b/>
                        <w:bCs/>
                        <w:sz w:val="20"/>
                        <w:lang w:val="en-US"/>
                      </w:rPr>
                    </w:pPr>
                  </w:p>
                </w:tc>
                <w:tc>
                  <w:tcPr>
                    <w:tcW w:w="992" w:type="dxa"/>
                    <w:vMerge/>
                    <w:shd w:val="clear" w:color="auto" w:fill="auto"/>
                  </w:tcPr>
                  <w:p>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pPr>
                      <w:rPr>
                        <w:color w:val="000000"/>
                        <w:sz w:val="20"/>
                      </w:rPr>
                    </w:pPr>
                    <w:r>
                      <w:rPr>
                        <w:color w:val="000000"/>
                        <w:sz w:val="20"/>
                      </w:rPr>
                      <w:t>P – Sveikatos priežiūros įstaigos, įgyvendinusios sveikatos priežiūros specialistų įgalinimo, pritraukimo ir išlaikymo projektus, skaičius</w:t>
                    </w:r>
                  </w:p>
                </w:tc>
                <w:tc>
                  <w:tcPr>
                    <w:tcW w:w="851"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lang w:val="en-US"/>
                      </w:rPr>
                    </w:pPr>
                    <w:r>
                      <w:rPr>
                        <w:color w:val="000000"/>
                        <w:sz w:val="20"/>
                      </w:rPr>
                      <w:t>98</w:t>
                    </w:r>
                  </w:p>
                  <w:p>
                    <w:pPr>
                      <w:jc w:val="center"/>
                      <w:rPr>
                        <w:color w:val="000000"/>
                        <w:sz w:val="20"/>
                      </w:rPr>
                    </w:pPr>
                    <w:r>
                      <w:rPr>
                        <w:color w:val="000000"/>
                        <w:sz w:val="20"/>
                      </w:rPr>
                      <w:t>(2029 m.)</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tcPr>
                  <w:p>
                    <w:pPr>
                      <w:jc w:val="center"/>
                      <w:rPr>
                        <w:color w:val="000000"/>
                        <w:sz w:val="20"/>
                      </w:rPr>
                    </w:pPr>
                  </w:p>
                </w:tc>
              </w:tr>
              <w:tr>
                <w:trPr>
                  <w:trHeight w:val="414"/>
                </w:trPr>
                <w:tc>
                  <w:tcPr>
                    <w:tcW w:w="2410" w:type="dxa"/>
                    <w:vMerge/>
                    <w:shd w:val="clear" w:color="auto" w:fill="auto"/>
                  </w:tcPr>
                  <w:p>
                    <w:pPr>
                      <w:rPr>
                        <w:b/>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b/>
                        <w:bCs/>
                        <w:sz w:val="20"/>
                        <w:lang w:val="en-US"/>
                      </w:rPr>
                    </w:pPr>
                  </w:p>
                </w:tc>
                <w:tc>
                  <w:tcPr>
                    <w:tcW w:w="992" w:type="dxa"/>
                    <w:vMerge/>
                    <w:shd w:val="clear" w:color="auto" w:fill="auto"/>
                  </w:tcPr>
                  <w:p>
                    <w:pPr>
                      <w:rPr>
                        <w:sz w:val="20"/>
                      </w:rPr>
                    </w:pPr>
                  </w:p>
                </w:tc>
                <w:tc>
                  <w:tcPr>
                    <w:tcW w:w="2551" w:type="dxa"/>
                    <w:tcBorders>
                      <w:top w:val="single" w:sz="4" w:space="0" w:color="auto"/>
                      <w:left w:val="single" w:sz="4" w:space="0" w:color="auto"/>
                      <w:right w:val="single" w:sz="4" w:space="0" w:color="auto"/>
                    </w:tcBorders>
                    <w:shd w:val="clear" w:color="auto" w:fill="auto"/>
                  </w:tcPr>
                  <w:p>
                    <w:pPr>
                      <w:rPr>
                        <w:color w:val="000000"/>
                        <w:sz w:val="20"/>
                      </w:rPr>
                    </w:pPr>
                    <w:r>
                      <w:rPr>
                        <w:color w:val="000000"/>
                        <w:sz w:val="20"/>
                      </w:rPr>
                      <w:t>R – Sveikatos priežiūros specialistų, kurie po dalyvavimo veiklose mažiausiai 2 metus dirbo sveikatos priežiūros įstaigose, dalis, proc.</w:t>
                      <w:tab/>
                    </w:r>
                  </w:p>
                </w:tc>
                <w:tc>
                  <w:tcPr>
                    <w:tcW w:w="851" w:type="dxa"/>
                    <w:tcBorders>
                      <w:top w:val="single" w:sz="4" w:space="0" w:color="auto"/>
                      <w:left w:val="single" w:sz="4" w:space="0" w:color="auto"/>
                      <w:right w:val="single" w:sz="4" w:space="0" w:color="auto"/>
                    </w:tcBorders>
                    <w:shd w:val="clear" w:color="auto" w:fill="auto"/>
                  </w:tcPr>
                  <w:p>
                    <w:pPr>
                      <w:jc w:val="center"/>
                      <w:rPr>
                        <w:color w:val="000000"/>
                        <w:sz w:val="20"/>
                      </w:rPr>
                    </w:pPr>
                    <w:r>
                      <w:rPr>
                        <w:color w:val="000000"/>
                        <w:sz w:val="20"/>
                      </w:rPr>
                      <w:t>80</w:t>
                    </w:r>
                  </w:p>
                  <w:p>
                    <w:pPr>
                      <w:jc w:val="center"/>
                      <w:rPr>
                        <w:color w:val="000000"/>
                        <w:sz w:val="20"/>
                      </w:rPr>
                    </w:pPr>
                    <w:r>
                      <w:rPr>
                        <w:color w:val="000000"/>
                        <w:sz w:val="20"/>
                      </w:rPr>
                      <w:t>(2029 m.)</w:t>
                    </w: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tcPr>
                  <w:p>
                    <w:pPr>
                      <w:jc w:val="center"/>
                      <w:rPr>
                        <w:color w:val="000000"/>
                        <w:sz w:val="20"/>
                      </w:rPr>
                    </w:pPr>
                  </w:p>
                </w:tc>
              </w:tr>
              <w:tr>
                <w:trPr>
                  <w:trHeight w:val="824"/>
                </w:trPr>
                <w:tc>
                  <w:tcPr>
                    <w:tcW w:w="2410" w:type="dxa"/>
                    <w:vMerge w:val="restart"/>
                    <w:tcBorders>
                      <w:top w:val="single" w:sz="4" w:space="0" w:color="auto"/>
                      <w:left w:val="single" w:sz="4" w:space="0" w:color="auto"/>
                      <w:right w:val="single" w:sz="4" w:space="0" w:color="auto"/>
                    </w:tcBorders>
                  </w:tcPr>
                  <w:p>
                    <w:pPr>
                      <w:rPr>
                        <w:iCs/>
                        <w:color w:val="000000"/>
                        <w:sz w:val="20"/>
                      </w:rPr>
                    </w:pPr>
                    <w:r>
                      <w:rPr>
                        <w:iCs/>
                        <w:color w:val="000000"/>
                        <w:sz w:val="20"/>
                      </w:rPr>
                      <w:t>10.4. Sveikatos priežiūros specialistų rengimas, pritraukimas, Vidurio ir vakarų Lietuvos regionas</w:t>
                    </w:r>
                  </w:p>
                </w:tc>
                <w:tc>
                  <w:tcPr>
                    <w:tcW w:w="70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55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 VASPVT</w:t>
                    </w:r>
                  </w:p>
                </w:tc>
                <w:tc>
                  <w:tcPr>
                    <w:tcW w:w="709" w:type="dxa"/>
                    <w:vMerge w:val="restart"/>
                    <w:tcBorders>
                      <w:top w:val="single" w:sz="4" w:space="0" w:color="auto"/>
                      <w:left w:val="single" w:sz="4" w:space="0" w:color="auto"/>
                      <w:right w:val="single" w:sz="4" w:space="0" w:color="auto"/>
                    </w:tcBorders>
                  </w:tcPr>
                  <w:p>
                    <w:pPr>
                      <w:rPr>
                        <w:color w:val="000000"/>
                        <w:sz w:val="20"/>
                      </w:rPr>
                    </w:pPr>
                    <w:r>
                      <w:rPr>
                        <w:color w:val="000000"/>
                        <w:sz w:val="20"/>
                      </w:rPr>
                      <w:t>P</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Taip</w:t>
                    </w:r>
                  </w:p>
                </w:tc>
                <w:tc>
                  <w:tcPr>
                    <w:tcW w:w="709" w:type="dxa"/>
                    <w:vMerge w:val="restart"/>
                    <w:tcBorders>
                      <w:top w:val="single" w:sz="4" w:space="0" w:color="auto"/>
                      <w:left w:val="single" w:sz="4" w:space="0" w:color="auto"/>
                      <w:right w:val="single" w:sz="4" w:space="0" w:color="auto"/>
                    </w:tcBorders>
                  </w:tcPr>
                  <w:p>
                    <w:pPr>
                      <w:rPr>
                        <w:color w:val="000000"/>
                        <w:sz w:val="20"/>
                      </w:rPr>
                    </w:pPr>
                    <w:r>
                      <w:rPr>
                        <w:color w:val="000000"/>
                        <w:sz w:val="20"/>
                      </w:rPr>
                      <w:t>D</w:t>
                    </w:r>
                  </w:p>
                </w:tc>
                <w:tc>
                  <w:tcPr>
                    <w:tcW w:w="1276" w:type="dxa"/>
                    <w:tcBorders>
                      <w:top w:val="single" w:sz="4" w:space="0" w:color="auto"/>
                      <w:left w:val="single" w:sz="4" w:space="0" w:color="auto"/>
                      <w:bottom w:val="single" w:sz="4" w:space="0" w:color="auto"/>
                      <w:right w:val="single" w:sz="4" w:space="0" w:color="auto"/>
                    </w:tcBorders>
                  </w:tcPr>
                  <w:p>
                    <w:pPr>
                      <w:rPr>
                        <w:color w:val="000000"/>
                        <w:sz w:val="20"/>
                      </w:rPr>
                    </w:pPr>
                    <w:r>
                      <w:rPr>
                        <w:color w:val="000000"/>
                        <w:sz w:val="20"/>
                      </w:rPr>
                      <w:t>4 277,540</w:t>
                    </w:r>
                  </w:p>
                </w:tc>
                <w:tc>
                  <w:tcPr>
                    <w:tcW w:w="992" w:type="dxa"/>
                    <w:tcBorders>
                      <w:top w:val="single" w:sz="4" w:space="0" w:color="auto"/>
                      <w:left w:val="single" w:sz="4" w:space="0" w:color="auto"/>
                      <w:bottom w:val="single" w:sz="4" w:space="0" w:color="auto"/>
                      <w:right w:val="single" w:sz="4" w:space="0" w:color="auto"/>
                    </w:tcBorders>
                  </w:tcPr>
                  <w:p>
                    <w:pPr>
                      <w:rPr>
                        <w:color w:val="000000"/>
                        <w:sz w:val="20"/>
                      </w:rPr>
                    </w:pPr>
                    <w:r>
                      <w:rPr>
                        <w:color w:val="000000"/>
                        <w:sz w:val="20"/>
                      </w:rPr>
                      <w:t>2021–2027 m. IP (ESF+)</w:t>
                    </w:r>
                  </w:p>
                  <w:p>
                    <w:pPr>
                      <w:rPr>
                        <w:color w:val="000000"/>
                        <w:sz w:val="20"/>
                      </w:rPr>
                    </w:pPr>
                  </w:p>
                </w:tc>
                <w:tc>
                  <w:tcPr>
                    <w:tcW w:w="2551" w:type="dxa"/>
                    <w:tcBorders>
                      <w:top w:val="single" w:sz="4" w:space="0" w:color="auto"/>
                      <w:left w:val="single" w:sz="4" w:space="0" w:color="auto"/>
                      <w:right w:val="single" w:sz="4" w:space="0" w:color="auto"/>
                    </w:tcBorders>
                    <w:shd w:val="clear" w:color="auto" w:fill="auto"/>
                  </w:tcPr>
                  <w:p>
                    <w:pPr>
                      <w:rPr>
                        <w:color w:val="000000"/>
                        <w:sz w:val="20"/>
                      </w:rPr>
                    </w:pPr>
                    <w:r>
                      <w:rPr>
                        <w:color w:val="000000"/>
                        <w:sz w:val="20"/>
                      </w:rPr>
                      <w:t xml:space="preserve">P – Specialistai, dalyvavę kvalifikacijos tobulinimo ar perkvalifikavimo veiklose, asmenys </w:t>
                    </w:r>
                  </w:p>
                </w:tc>
                <w:tc>
                  <w:tcPr>
                    <w:tcW w:w="851" w:type="dxa"/>
                    <w:tcBorders>
                      <w:top w:val="single" w:sz="4" w:space="0" w:color="auto"/>
                      <w:left w:val="single" w:sz="4" w:space="0" w:color="auto"/>
                      <w:right w:val="single" w:sz="4" w:space="0" w:color="auto"/>
                    </w:tcBorders>
                    <w:shd w:val="clear" w:color="auto" w:fill="auto"/>
                  </w:tcPr>
                  <w:p>
                    <w:pPr>
                      <w:jc w:val="center"/>
                      <w:rPr>
                        <w:color w:val="000000"/>
                        <w:sz w:val="20"/>
                      </w:rPr>
                    </w:pPr>
                    <w:r>
                      <w:rPr>
                        <w:color w:val="000000"/>
                        <w:sz w:val="20"/>
                      </w:rPr>
                      <w:t>500</w:t>
                    </w:r>
                  </w:p>
                  <w:p>
                    <w:pPr>
                      <w:jc w:val="center"/>
                      <w:rPr>
                        <w:color w:val="000000"/>
                        <w:sz w:val="20"/>
                      </w:rPr>
                    </w:pPr>
                    <w:r>
                      <w:rPr>
                        <w:color w:val="000000"/>
                        <w:sz w:val="20"/>
                      </w:rPr>
                      <w:t>(2029 m.)</w:t>
                    </w:r>
                  </w:p>
                  <w:p>
                    <w:pPr>
                      <w:jc w:val="center"/>
                      <w:rPr>
                        <w:color w:val="000000"/>
                        <w:sz w:val="20"/>
                      </w:rPr>
                    </w:pP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6"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1132"/>
                </w:trPr>
                <w:tc>
                  <w:tcPr>
                    <w:tcW w:w="2410" w:type="dxa"/>
                    <w:vMerge/>
                    <w:tcBorders>
                      <w:left w:val="single" w:sz="4" w:space="0" w:color="auto"/>
                      <w:right w:val="single" w:sz="4" w:space="0" w:color="auto"/>
                    </w:tcBorders>
                  </w:tcPr>
                  <w:p>
                    <w:pPr>
                      <w:rPr>
                        <w:iCs/>
                        <w:color w:val="000000"/>
                        <w:sz w:val="20"/>
                      </w:rPr>
                    </w:pPr>
                  </w:p>
                </w:tc>
                <w:tc>
                  <w:tcPr>
                    <w:tcW w:w="709" w:type="dxa"/>
                    <w:vMerge/>
                    <w:tcBorders>
                      <w:left w:val="single" w:sz="4" w:space="0" w:color="auto"/>
                      <w:right w:val="single" w:sz="4" w:space="0" w:color="auto"/>
                    </w:tcBorders>
                  </w:tcPr>
                  <w:p>
                    <w:pPr>
                      <w:rPr>
                        <w:color w:val="000000"/>
                        <w:sz w:val="20"/>
                      </w:rPr>
                    </w:pPr>
                  </w:p>
                </w:tc>
                <w:tc>
                  <w:tcPr>
                    <w:tcW w:w="1559" w:type="dxa"/>
                    <w:vMerge/>
                    <w:tcBorders>
                      <w:left w:val="single" w:sz="4" w:space="0" w:color="auto"/>
                      <w:right w:val="single" w:sz="4" w:space="0" w:color="auto"/>
                    </w:tcBorders>
                  </w:tcPr>
                  <w:p>
                    <w:pPr>
                      <w:rPr>
                        <w:color w:val="000000"/>
                        <w:sz w:val="20"/>
                      </w:rPr>
                    </w:pPr>
                  </w:p>
                </w:tc>
                <w:tc>
                  <w:tcPr>
                    <w:tcW w:w="709" w:type="dxa"/>
                    <w:vMerge/>
                    <w:tcBorders>
                      <w:left w:val="single" w:sz="4" w:space="0" w:color="auto"/>
                      <w:right w:val="single" w:sz="4" w:space="0" w:color="auto"/>
                    </w:tcBorders>
                  </w:tcPr>
                  <w:p>
                    <w:pPr>
                      <w:rPr>
                        <w:color w:val="000000"/>
                        <w:sz w:val="20"/>
                      </w:rPr>
                    </w:pPr>
                  </w:p>
                </w:tc>
                <w:tc>
                  <w:tcPr>
                    <w:tcW w:w="992" w:type="dxa"/>
                    <w:vMerge/>
                    <w:tcBorders>
                      <w:left w:val="single" w:sz="4" w:space="0" w:color="auto"/>
                      <w:right w:val="single" w:sz="4" w:space="0" w:color="auto"/>
                    </w:tcBorders>
                  </w:tcPr>
                  <w:p>
                    <w:pPr>
                      <w:rPr>
                        <w:color w:val="000000"/>
                        <w:sz w:val="20"/>
                      </w:rPr>
                    </w:pPr>
                  </w:p>
                </w:tc>
                <w:tc>
                  <w:tcPr>
                    <w:tcW w:w="709" w:type="dxa"/>
                    <w:vMerge/>
                    <w:tcBorders>
                      <w:left w:val="single" w:sz="4" w:space="0" w:color="auto"/>
                      <w:right w:val="single" w:sz="4" w:space="0" w:color="auto"/>
                    </w:tcBorders>
                  </w:tcPr>
                  <w:p>
                    <w:pPr>
                      <w:rPr>
                        <w:color w:val="000000"/>
                        <w:sz w:val="20"/>
                      </w:rPr>
                    </w:pPr>
                  </w:p>
                </w:tc>
                <w:tc>
                  <w:tcPr>
                    <w:tcW w:w="1276" w:type="dxa"/>
                    <w:tcBorders>
                      <w:top w:val="single" w:sz="4" w:space="0" w:color="auto"/>
                      <w:left w:val="single" w:sz="4" w:space="0" w:color="auto"/>
                      <w:bottom w:val="single" w:sz="4" w:space="0" w:color="auto"/>
                      <w:right w:val="single" w:sz="4" w:space="0" w:color="auto"/>
                    </w:tcBorders>
                  </w:tcPr>
                  <w:p>
                    <w:pPr>
                      <w:rPr>
                        <w:color w:val="000000"/>
                        <w:sz w:val="20"/>
                        <w:lang w:val="en-US"/>
                      </w:rPr>
                    </w:pPr>
                    <w:r>
                      <w:rPr>
                        <w:color w:val="000000"/>
                        <w:sz w:val="20"/>
                      </w:rPr>
                      <w:t>754,860</w:t>
                    </w:r>
                  </w:p>
                </w:tc>
                <w:tc>
                  <w:tcPr>
                    <w:tcW w:w="992" w:type="dxa"/>
                    <w:tcBorders>
                      <w:top w:val="single" w:sz="4" w:space="0" w:color="auto"/>
                      <w:left w:val="single" w:sz="4" w:space="0" w:color="auto"/>
                      <w:bottom w:val="single" w:sz="4" w:space="0" w:color="auto"/>
                      <w:right w:val="single" w:sz="4" w:space="0" w:color="auto"/>
                    </w:tcBorders>
                  </w:tcPr>
                  <w:p>
                    <w:pPr>
                      <w:rPr>
                        <w:color w:val="000000"/>
                        <w:sz w:val="20"/>
                      </w:rPr>
                    </w:pPr>
                    <w:r>
                      <w:rPr>
                        <w:color w:val="000000"/>
                        <w:sz w:val="20"/>
                      </w:rPr>
                      <w:t>2021–2027 m. IP (BF)</w:t>
                    </w:r>
                  </w:p>
                  <w:p>
                    <w:pPr>
                      <w:rPr>
                        <w:color w:val="000000"/>
                        <w:sz w:val="20"/>
                      </w:rPr>
                    </w:pPr>
                  </w:p>
                  <w:p>
                    <w:pPr>
                      <w:rPr>
                        <w:color w:val="000000"/>
                        <w:sz w:val="20"/>
                      </w:rPr>
                    </w:pPr>
                  </w:p>
                </w:tc>
                <w:tc>
                  <w:tcPr>
                    <w:tcW w:w="2551" w:type="dxa"/>
                    <w:tcBorders>
                      <w:left w:val="single" w:sz="4" w:space="0" w:color="auto"/>
                      <w:right w:val="single" w:sz="4" w:space="0" w:color="auto"/>
                    </w:tcBorders>
                    <w:shd w:val="clear" w:color="auto" w:fill="auto"/>
                  </w:tcPr>
                  <w:p>
                    <w:pPr>
                      <w:rPr>
                        <w:color w:val="000000"/>
                        <w:sz w:val="20"/>
                      </w:rPr>
                    </w:pPr>
                    <w:r>
                      <w:rPr>
                        <w:color w:val="000000"/>
                        <w:sz w:val="20"/>
                      </w:rPr>
                      <w:t>R – Specialistų, kurie po dalyvavimo veiklose įgijo ar patobulino kvalifikaciją, dalis, proc.</w:t>
                    </w:r>
                  </w:p>
                </w:tc>
                <w:tc>
                  <w:tcPr>
                    <w:tcW w:w="851" w:type="dxa"/>
                    <w:tcBorders>
                      <w:left w:val="single" w:sz="4" w:space="0" w:color="auto"/>
                      <w:right w:val="single" w:sz="4" w:space="0" w:color="auto"/>
                    </w:tcBorders>
                    <w:shd w:val="clear" w:color="auto" w:fill="auto"/>
                  </w:tcPr>
                  <w:p>
                    <w:pPr>
                      <w:jc w:val="center"/>
                      <w:rPr>
                        <w:color w:val="000000"/>
                        <w:sz w:val="20"/>
                      </w:rPr>
                    </w:pPr>
                    <w:r>
                      <w:rPr>
                        <w:color w:val="000000"/>
                        <w:sz w:val="20"/>
                      </w:rPr>
                      <w:t>90</w:t>
                    </w:r>
                  </w:p>
                  <w:p>
                    <w:pPr>
                      <w:jc w:val="center"/>
                      <w:rPr>
                        <w:color w:val="000000"/>
                        <w:sz w:val="20"/>
                      </w:rPr>
                    </w:pPr>
                    <w:r>
                      <w:rPr>
                        <w:color w:val="000000"/>
                        <w:sz w:val="20"/>
                      </w:rPr>
                      <w:t>(2029 m.)</w:t>
                    </w:r>
                  </w:p>
                </w:tc>
                <w:tc>
                  <w:tcPr>
                    <w:tcW w:w="992" w:type="dxa"/>
                    <w:vMerge/>
                    <w:tcBorders>
                      <w:left w:val="single" w:sz="4" w:space="0" w:color="auto"/>
                      <w:right w:val="single" w:sz="4" w:space="0" w:color="auto"/>
                    </w:tcBorders>
                  </w:tcPr>
                  <w:p>
                    <w:pPr>
                      <w:rPr>
                        <w:color w:val="000000"/>
                        <w:szCs w:val="24"/>
                      </w:rPr>
                    </w:pPr>
                  </w:p>
                </w:tc>
                <w:tc>
                  <w:tcPr>
                    <w:tcW w:w="1276" w:type="dxa"/>
                    <w:vMerge/>
                    <w:tcBorders>
                      <w:left w:val="single" w:sz="4" w:space="0" w:color="auto"/>
                      <w:right w:val="single" w:sz="4" w:space="0" w:color="auto"/>
                    </w:tcBorders>
                  </w:tcPr>
                  <w:p>
                    <w:pPr>
                      <w:rPr>
                        <w:color w:val="000000"/>
                        <w:szCs w:val="24"/>
                      </w:rPr>
                    </w:pPr>
                  </w:p>
                </w:tc>
              </w:tr>
              <w:tr>
                <w:trPr>
                  <w:trHeight w:val="414"/>
                </w:trPr>
                <w:tc>
                  <w:tcPr>
                    <w:tcW w:w="2410" w:type="dxa"/>
                    <w:vMerge w:val="restart"/>
                    <w:shd w:val="clear" w:color="auto" w:fill="F2F2F2" w:themeFill="background1" w:themeFillShade="F2"/>
                  </w:tcPr>
                  <w:p>
                    <w:pPr>
                      <w:rPr>
                        <w:sz w:val="20"/>
                      </w:rPr>
                    </w:pPr>
                    <w:r>
                      <w:rPr>
                        <w:b/>
                        <w:sz w:val="20"/>
                      </w:rPr>
                      <w:t>11. Specialistų kvalifikacijos tobulinimas ir perkvalifikavimas</w:t>
                    </w:r>
                  </w:p>
                </w:tc>
                <w:tc>
                  <w:tcPr>
                    <w:tcW w:w="709" w:type="dxa"/>
                    <w:vMerge w:val="restart"/>
                    <w:shd w:val="clear" w:color="auto" w:fill="F2F2F2" w:themeFill="background1" w:themeFillShade="F2"/>
                  </w:tcPr>
                  <w:p>
                    <w:pPr>
                      <w:rPr>
                        <w:sz w:val="20"/>
                      </w:rPr>
                    </w:pPr>
                    <w:r>
                      <w:rPr>
                        <w:sz w:val="20"/>
                      </w:rPr>
                      <w:t>-</w:t>
                    </w:r>
                  </w:p>
                </w:tc>
                <w:tc>
                  <w:tcPr>
                    <w:tcW w:w="1559"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992" w:type="dxa"/>
                    <w:vMerge w:val="restart"/>
                    <w:shd w:val="clear" w:color="auto" w:fill="F2F2F2" w:themeFill="background1" w:themeFillShade="F2"/>
                  </w:tcPr>
                  <w:p>
                    <w:pPr>
                      <w:rPr>
                        <w:sz w:val="20"/>
                      </w:rPr>
                    </w:pPr>
                    <w:r>
                      <w:rPr>
                        <w:sz w:val="20"/>
                      </w:rPr>
                      <w:t>-</w:t>
                    </w:r>
                  </w:p>
                </w:tc>
                <w:tc>
                  <w:tcPr>
                    <w:tcW w:w="709" w:type="dxa"/>
                    <w:vMerge w:val="restart"/>
                    <w:shd w:val="clear" w:color="auto" w:fill="F2F2F2" w:themeFill="background1" w:themeFillShade="F2"/>
                  </w:tcPr>
                  <w:p>
                    <w:pPr>
                      <w:rPr>
                        <w:sz w:val="20"/>
                      </w:rPr>
                    </w:pPr>
                    <w:r>
                      <w:rPr>
                        <w:sz w:val="20"/>
                      </w:rPr>
                      <w:t>-</w:t>
                    </w:r>
                  </w:p>
                </w:tc>
                <w:tc>
                  <w:tcPr>
                    <w:tcW w:w="1276" w:type="dxa"/>
                    <w:shd w:val="clear" w:color="auto" w:fill="F2F2F2" w:themeFill="background1" w:themeFillShade="F2"/>
                  </w:tcPr>
                  <w:p>
                    <w:pPr>
                      <w:rPr>
                        <w:sz w:val="20"/>
                        <w:lang w:val="en-US"/>
                      </w:rPr>
                    </w:pPr>
                    <w:r>
                      <w:rPr>
                        <w:b/>
                        <w:bCs/>
                        <w:sz w:val="20"/>
                        <w:lang w:val="en-US"/>
                      </w:rPr>
                      <w:t>18 303,358</w:t>
                    </w:r>
                  </w:p>
                </w:tc>
                <w:tc>
                  <w:tcPr>
                    <w:tcW w:w="992" w:type="dxa"/>
                    <w:shd w:val="clear" w:color="auto" w:fill="F2F2F2" w:themeFill="background1" w:themeFillShade="F2"/>
                  </w:tcPr>
                  <w:p>
                    <w:pPr>
                      <w:rPr>
                        <w:sz w:val="20"/>
                      </w:rPr>
                    </w:pPr>
                    <w:r>
                      <w:rPr>
                        <w:sz w:val="20"/>
                      </w:rPr>
                      <w:t>-</w:t>
                    </w:r>
                  </w:p>
                </w:tc>
                <w:tc>
                  <w:tcPr>
                    <w:tcW w:w="2551" w:type="dxa"/>
                    <w:vMerge w:val="restart"/>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851" w:type="dxa"/>
                    <w:vMerge w:val="restart"/>
                    <w:shd w:val="clear" w:color="auto" w:fill="F2F2F2" w:themeFill="background1" w:themeFillShade="F2"/>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sz w:val="20"/>
                      </w:rPr>
                    </w:pPr>
                    <w:r>
                      <w:rPr>
                        <w:sz w:val="20"/>
                      </w:rPr>
                      <w:t>-</w:t>
                    </w:r>
                  </w:p>
                </w:tc>
                <w:tc>
                  <w:tcPr>
                    <w:tcW w:w="1276" w:type="dxa"/>
                    <w:vMerge w:val="restart"/>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410" w:type="dxa"/>
                    <w:vMerge/>
                    <w:shd w:val="clear" w:color="auto" w:fill="CCC0D9" w:themeFill="accent4" w:themeFillTint="66"/>
                  </w:tcPr>
                  <w:p>
                    <w:pPr>
                      <w:rPr>
                        <w:b/>
                        <w:sz w:val="20"/>
                      </w:rPr>
                    </w:pPr>
                  </w:p>
                </w:tc>
                <w:tc>
                  <w:tcPr>
                    <w:tcW w:w="709" w:type="dxa"/>
                    <w:vMerge/>
                    <w:shd w:val="clear" w:color="auto" w:fill="CCC0D9" w:themeFill="accent4" w:themeFillTint="66"/>
                  </w:tcPr>
                  <w:p>
                    <w:pPr>
                      <w:rPr>
                        <w:sz w:val="20"/>
                      </w:rPr>
                    </w:pPr>
                  </w:p>
                </w:tc>
                <w:tc>
                  <w:tcPr>
                    <w:tcW w:w="1559"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992"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276" w:type="dxa"/>
                    <w:shd w:val="clear" w:color="auto" w:fill="F2F2F2" w:themeFill="background1" w:themeFillShade="F2"/>
                  </w:tcPr>
                  <w:p>
                    <w:pPr>
                      <w:rPr>
                        <w:sz w:val="20"/>
                        <w:lang w:val="en-US"/>
                      </w:rPr>
                    </w:pPr>
                    <w:r>
                      <w:rPr>
                        <w:sz w:val="20"/>
                        <w:lang w:val="en-US"/>
                      </w:rPr>
                      <w:t>9 148,854</w:t>
                    </w:r>
                  </w:p>
                </w:tc>
                <w:tc>
                  <w:tcPr>
                    <w:tcW w:w="992" w:type="dxa"/>
                    <w:shd w:val="clear" w:color="auto" w:fill="F2F2F2" w:themeFill="background1" w:themeFillShade="F2"/>
                  </w:tcPr>
                  <w:p>
                    <w:pPr>
                      <w:rPr>
                        <w:sz w:val="20"/>
                      </w:rPr>
                    </w:pPr>
                    <w:r>
                      <w:rPr>
                        <w:sz w:val="20"/>
                      </w:rPr>
                      <w:t xml:space="preserve">2021–2027 m. IP (ESF+, VVL regionas) </w:t>
                    </w:r>
                  </w:p>
                </w:tc>
                <w:tc>
                  <w:tcPr>
                    <w:tcW w:w="2551" w:type="dxa"/>
                    <w:vMerge/>
                    <w:shd w:val="clear" w:color="auto" w:fill="CCC0D9" w:themeFill="accent4" w:themeFillTint="66"/>
                  </w:tcPr>
                  <w:p>
                    <w:pPr>
                      <w:ind w:left="-57" w:right="-57"/>
                      <w:rPr>
                        <w:color w:val="FF0000"/>
                        <w:sz w:val="20"/>
                      </w:rPr>
                    </w:pPr>
                  </w:p>
                </w:tc>
                <w:tc>
                  <w:tcPr>
                    <w:tcW w:w="851" w:type="dxa"/>
                    <w:vMerge/>
                    <w:shd w:val="clear" w:color="auto" w:fill="CCC0D9" w:themeFill="accent4" w:themeFillTint="66"/>
                  </w:tcPr>
                  <w:p>
                    <w:pPr>
                      <w:ind w:left="-57" w:right="-57"/>
                      <w:jc w:val="center"/>
                      <w:rPr>
                        <w:color w:val="FF0000"/>
                        <w:sz w:val="20"/>
                      </w:rPr>
                    </w:pP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414"/>
                </w:trPr>
                <w:tc>
                  <w:tcPr>
                    <w:tcW w:w="2410" w:type="dxa"/>
                    <w:vMerge/>
                    <w:shd w:val="clear" w:color="auto" w:fill="CCC0D9" w:themeFill="accent4" w:themeFillTint="66"/>
                  </w:tcPr>
                  <w:p>
                    <w:pPr>
                      <w:rPr>
                        <w:b/>
                        <w:sz w:val="20"/>
                      </w:rPr>
                    </w:pPr>
                  </w:p>
                </w:tc>
                <w:tc>
                  <w:tcPr>
                    <w:tcW w:w="709" w:type="dxa"/>
                    <w:vMerge/>
                    <w:shd w:val="clear" w:color="auto" w:fill="CCC0D9" w:themeFill="accent4" w:themeFillTint="66"/>
                  </w:tcPr>
                  <w:p>
                    <w:pPr>
                      <w:rPr>
                        <w:sz w:val="20"/>
                      </w:rPr>
                    </w:pPr>
                  </w:p>
                </w:tc>
                <w:tc>
                  <w:tcPr>
                    <w:tcW w:w="1559"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992"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276" w:type="dxa"/>
                    <w:shd w:val="clear" w:color="auto" w:fill="F2F2F2" w:themeFill="background1" w:themeFillShade="F2"/>
                  </w:tcPr>
                  <w:p>
                    <w:pPr>
                      <w:rPr>
                        <w:sz w:val="20"/>
                        <w:lang w:val="en-US"/>
                      </w:rPr>
                    </w:pPr>
                    <w:r>
                      <w:rPr>
                        <w:sz w:val="20"/>
                        <w:lang w:val="en-US"/>
                      </w:rPr>
                      <w:t>1 614,504</w:t>
                    </w:r>
                  </w:p>
                </w:tc>
                <w:tc>
                  <w:tcPr>
                    <w:tcW w:w="992" w:type="dxa"/>
                    <w:shd w:val="clear" w:color="auto" w:fill="F2F2F2" w:themeFill="background1" w:themeFillShade="F2"/>
                  </w:tcPr>
                  <w:p>
                    <w:pPr>
                      <w:rPr>
                        <w:sz w:val="20"/>
                        <w:lang w:val="it-IT"/>
                      </w:rPr>
                    </w:pPr>
                    <w:r>
                      <w:rPr>
                        <w:sz w:val="20"/>
                      </w:rPr>
                      <w:t>2021–2027 m. IP (BF, VVL regionas)</w:t>
                    </w:r>
                  </w:p>
                </w:tc>
                <w:tc>
                  <w:tcPr>
                    <w:tcW w:w="2551" w:type="dxa"/>
                    <w:vMerge/>
                    <w:shd w:val="clear" w:color="auto" w:fill="CCC0D9" w:themeFill="accent4" w:themeFillTint="66"/>
                  </w:tcPr>
                  <w:p>
                    <w:pPr>
                      <w:ind w:left="-57" w:right="-57"/>
                      <w:rPr>
                        <w:color w:val="FF0000"/>
                        <w:sz w:val="20"/>
                      </w:rPr>
                    </w:pPr>
                  </w:p>
                </w:tc>
                <w:tc>
                  <w:tcPr>
                    <w:tcW w:w="851" w:type="dxa"/>
                    <w:vMerge/>
                    <w:shd w:val="clear" w:color="auto" w:fill="CCC0D9" w:themeFill="accent4" w:themeFillTint="66"/>
                  </w:tcPr>
                  <w:p>
                    <w:pPr>
                      <w:ind w:left="-57" w:right="-57"/>
                      <w:jc w:val="center"/>
                      <w:rPr>
                        <w:color w:val="FF0000"/>
                        <w:sz w:val="20"/>
                      </w:rPr>
                    </w:pP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414"/>
                </w:trPr>
                <w:tc>
                  <w:tcPr>
                    <w:tcW w:w="2410" w:type="dxa"/>
                    <w:vMerge/>
                    <w:shd w:val="clear" w:color="auto" w:fill="CCC0D9" w:themeFill="accent4" w:themeFillTint="66"/>
                  </w:tcPr>
                  <w:p>
                    <w:pPr>
                      <w:rPr>
                        <w:b/>
                        <w:sz w:val="20"/>
                      </w:rPr>
                    </w:pPr>
                  </w:p>
                </w:tc>
                <w:tc>
                  <w:tcPr>
                    <w:tcW w:w="709" w:type="dxa"/>
                    <w:vMerge/>
                    <w:shd w:val="clear" w:color="auto" w:fill="CCC0D9" w:themeFill="accent4" w:themeFillTint="66"/>
                  </w:tcPr>
                  <w:p>
                    <w:pPr>
                      <w:rPr>
                        <w:sz w:val="20"/>
                      </w:rPr>
                    </w:pPr>
                  </w:p>
                </w:tc>
                <w:tc>
                  <w:tcPr>
                    <w:tcW w:w="1559"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992"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276" w:type="dxa"/>
                    <w:shd w:val="clear" w:color="auto" w:fill="F2F2F2" w:themeFill="background1" w:themeFillShade="F2"/>
                  </w:tcPr>
                  <w:p>
                    <w:pPr>
                      <w:rPr>
                        <w:sz w:val="20"/>
                        <w:lang w:val="en-US"/>
                      </w:rPr>
                    </w:pPr>
                    <w:r>
                      <w:rPr>
                        <w:sz w:val="20"/>
                        <w:lang w:val="en-US"/>
                      </w:rPr>
                      <w:t>2 100</w:t>
                    </w:r>
                  </w:p>
                </w:tc>
                <w:tc>
                  <w:tcPr>
                    <w:tcW w:w="992" w:type="dxa"/>
                    <w:shd w:val="clear" w:color="auto" w:fill="F2F2F2" w:themeFill="background1" w:themeFillShade="F2"/>
                  </w:tcPr>
                  <w:p>
                    <w:pPr>
                      <w:rPr>
                        <w:sz w:val="20"/>
                      </w:rPr>
                    </w:pPr>
                    <w:r>
                      <w:rPr>
                        <w:sz w:val="20"/>
                      </w:rPr>
                      <w:t>EGADP</w:t>
                    </w:r>
                  </w:p>
                </w:tc>
                <w:tc>
                  <w:tcPr>
                    <w:tcW w:w="2551" w:type="dxa"/>
                    <w:vMerge/>
                    <w:shd w:val="clear" w:color="auto" w:fill="CCC0D9" w:themeFill="accent4" w:themeFillTint="66"/>
                  </w:tcPr>
                  <w:p>
                    <w:pPr>
                      <w:ind w:left="-57" w:right="-57"/>
                      <w:rPr>
                        <w:color w:val="FF0000"/>
                        <w:sz w:val="20"/>
                      </w:rPr>
                    </w:pPr>
                  </w:p>
                </w:tc>
                <w:tc>
                  <w:tcPr>
                    <w:tcW w:w="851" w:type="dxa"/>
                    <w:vMerge/>
                    <w:shd w:val="clear" w:color="auto" w:fill="CCC0D9" w:themeFill="accent4" w:themeFillTint="66"/>
                  </w:tcPr>
                  <w:p>
                    <w:pPr>
                      <w:ind w:left="-57" w:right="-57"/>
                      <w:jc w:val="center"/>
                      <w:rPr>
                        <w:color w:val="FF0000"/>
                        <w:sz w:val="20"/>
                      </w:rPr>
                    </w:pP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414"/>
                </w:trPr>
                <w:tc>
                  <w:tcPr>
                    <w:tcW w:w="2410" w:type="dxa"/>
                    <w:vMerge/>
                    <w:shd w:val="clear" w:color="auto" w:fill="CCC0D9" w:themeFill="accent4" w:themeFillTint="66"/>
                  </w:tcPr>
                  <w:p>
                    <w:pPr>
                      <w:rPr>
                        <w:b/>
                        <w:sz w:val="20"/>
                      </w:rPr>
                    </w:pPr>
                  </w:p>
                </w:tc>
                <w:tc>
                  <w:tcPr>
                    <w:tcW w:w="709" w:type="dxa"/>
                    <w:vMerge/>
                    <w:shd w:val="clear" w:color="auto" w:fill="CCC0D9" w:themeFill="accent4" w:themeFillTint="66"/>
                  </w:tcPr>
                  <w:p>
                    <w:pPr>
                      <w:rPr>
                        <w:sz w:val="20"/>
                      </w:rPr>
                    </w:pPr>
                  </w:p>
                </w:tc>
                <w:tc>
                  <w:tcPr>
                    <w:tcW w:w="1559"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992"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276" w:type="dxa"/>
                    <w:shd w:val="clear" w:color="auto" w:fill="F2F2F2" w:themeFill="background1" w:themeFillShade="F2"/>
                  </w:tcPr>
                  <w:p>
                    <w:pPr>
                      <w:rPr>
                        <w:sz w:val="20"/>
                        <w:lang w:val="en-US"/>
                      </w:rPr>
                    </w:pPr>
                    <w:r>
                      <w:rPr>
                        <w:sz w:val="20"/>
                        <w:lang w:val="en-US"/>
                      </w:rPr>
                      <w:t>440</w:t>
                    </w:r>
                  </w:p>
                </w:tc>
                <w:tc>
                  <w:tcPr>
                    <w:tcW w:w="992" w:type="dxa"/>
                    <w:shd w:val="clear" w:color="auto" w:fill="F2F2F2" w:themeFill="background1" w:themeFillShade="F2"/>
                  </w:tcPr>
                  <w:p>
                    <w:pPr>
                      <w:rPr>
                        <w:sz w:val="20"/>
                      </w:rPr>
                    </w:pPr>
                    <w:r>
                      <w:rPr>
                        <w:sz w:val="20"/>
                      </w:rPr>
                      <w:t>PVM iš VB</w:t>
                    </w:r>
                  </w:p>
                </w:tc>
                <w:tc>
                  <w:tcPr>
                    <w:tcW w:w="2551" w:type="dxa"/>
                    <w:vMerge/>
                    <w:shd w:val="clear" w:color="auto" w:fill="CCC0D9" w:themeFill="accent4" w:themeFillTint="66"/>
                  </w:tcPr>
                  <w:p>
                    <w:pPr>
                      <w:ind w:left="-57" w:right="-57"/>
                      <w:rPr>
                        <w:color w:val="FF0000"/>
                        <w:sz w:val="20"/>
                      </w:rPr>
                    </w:pPr>
                  </w:p>
                </w:tc>
                <w:tc>
                  <w:tcPr>
                    <w:tcW w:w="851" w:type="dxa"/>
                    <w:vMerge/>
                    <w:shd w:val="clear" w:color="auto" w:fill="CCC0D9" w:themeFill="accent4" w:themeFillTint="66"/>
                  </w:tcPr>
                  <w:p>
                    <w:pPr>
                      <w:ind w:left="-57" w:right="-57"/>
                      <w:jc w:val="center"/>
                      <w:rPr>
                        <w:color w:val="FF0000"/>
                        <w:sz w:val="20"/>
                      </w:rPr>
                    </w:pP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414"/>
                </w:trPr>
                <w:tc>
                  <w:tcPr>
                    <w:tcW w:w="2410" w:type="dxa"/>
                    <w:vMerge/>
                    <w:shd w:val="clear" w:color="auto" w:fill="CCC0D9" w:themeFill="accent4" w:themeFillTint="66"/>
                  </w:tcPr>
                  <w:p>
                    <w:pPr>
                      <w:rPr>
                        <w:b/>
                        <w:sz w:val="20"/>
                      </w:rPr>
                    </w:pPr>
                  </w:p>
                </w:tc>
                <w:tc>
                  <w:tcPr>
                    <w:tcW w:w="709" w:type="dxa"/>
                    <w:vMerge/>
                    <w:shd w:val="clear" w:color="auto" w:fill="CCC0D9" w:themeFill="accent4" w:themeFillTint="66"/>
                  </w:tcPr>
                  <w:p>
                    <w:pPr>
                      <w:rPr>
                        <w:sz w:val="20"/>
                      </w:rPr>
                    </w:pPr>
                  </w:p>
                </w:tc>
                <w:tc>
                  <w:tcPr>
                    <w:tcW w:w="1559"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992" w:type="dxa"/>
                    <w:vMerge/>
                    <w:shd w:val="clear" w:color="auto" w:fill="CCC0D9" w:themeFill="accent4" w:themeFillTint="66"/>
                  </w:tcPr>
                  <w:p>
                    <w:pPr>
                      <w:rPr>
                        <w:sz w:val="20"/>
                      </w:rPr>
                    </w:pPr>
                  </w:p>
                </w:tc>
                <w:tc>
                  <w:tcPr>
                    <w:tcW w:w="709" w:type="dxa"/>
                    <w:vMerge/>
                    <w:shd w:val="clear" w:color="auto" w:fill="CCC0D9" w:themeFill="accent4" w:themeFillTint="66"/>
                  </w:tcPr>
                  <w:p>
                    <w:pPr>
                      <w:rPr>
                        <w:sz w:val="20"/>
                      </w:rPr>
                    </w:pPr>
                  </w:p>
                </w:tc>
                <w:tc>
                  <w:tcPr>
                    <w:tcW w:w="1276" w:type="dxa"/>
                    <w:shd w:val="clear" w:color="auto" w:fill="F2F2F2" w:themeFill="background1" w:themeFillShade="F2"/>
                  </w:tcPr>
                  <w:p>
                    <w:pPr>
                      <w:rPr>
                        <w:sz w:val="20"/>
                        <w:lang w:val="en-US"/>
                      </w:rPr>
                    </w:pPr>
                    <w:r>
                      <w:rPr>
                        <w:sz w:val="20"/>
                        <w:lang w:val="en-US"/>
                      </w:rPr>
                      <w:t>5 000</w:t>
                    </w:r>
                  </w:p>
                </w:tc>
                <w:tc>
                  <w:tcPr>
                    <w:tcW w:w="992" w:type="dxa"/>
                    <w:shd w:val="clear" w:color="auto" w:fill="F2F2F2" w:themeFill="background1" w:themeFillShade="F2"/>
                  </w:tcPr>
                  <w:p>
                    <w:pPr>
                      <w:rPr>
                        <w:sz w:val="20"/>
                      </w:rPr>
                    </w:pPr>
                    <w:r>
                      <w:rPr>
                        <w:sz w:val="20"/>
                      </w:rPr>
                      <w:t>VB</w:t>
                    </w:r>
                  </w:p>
                </w:tc>
                <w:tc>
                  <w:tcPr>
                    <w:tcW w:w="2551" w:type="dxa"/>
                    <w:vMerge/>
                    <w:shd w:val="clear" w:color="auto" w:fill="CCC0D9" w:themeFill="accent4" w:themeFillTint="66"/>
                  </w:tcPr>
                  <w:p>
                    <w:pPr>
                      <w:ind w:left="-57" w:right="-57"/>
                      <w:rPr>
                        <w:color w:val="FF0000"/>
                        <w:sz w:val="20"/>
                      </w:rPr>
                    </w:pPr>
                  </w:p>
                </w:tc>
                <w:tc>
                  <w:tcPr>
                    <w:tcW w:w="851" w:type="dxa"/>
                    <w:vMerge/>
                    <w:shd w:val="clear" w:color="auto" w:fill="CCC0D9" w:themeFill="accent4" w:themeFillTint="66"/>
                  </w:tcPr>
                  <w:p>
                    <w:pPr>
                      <w:ind w:left="-57" w:right="-57"/>
                      <w:jc w:val="center"/>
                      <w:rPr>
                        <w:color w:val="FF0000"/>
                        <w:sz w:val="20"/>
                      </w:rPr>
                    </w:pPr>
                  </w:p>
                </w:tc>
                <w:tc>
                  <w:tcPr>
                    <w:tcW w:w="992" w:type="dxa"/>
                    <w:vMerge/>
                    <w:shd w:val="clear" w:color="auto" w:fill="CCC0D9" w:themeFill="accent4" w:themeFillTint="66"/>
                  </w:tcPr>
                  <w:p>
                    <w:pPr>
                      <w:rPr>
                        <w:sz w:val="20"/>
                      </w:rPr>
                    </w:pPr>
                  </w:p>
                </w:tc>
                <w:tc>
                  <w:tcPr>
                    <w:tcW w:w="1276" w:type="dxa"/>
                    <w:vMerge/>
                    <w:tcBorders>
                      <w:left w:val="single" w:sz="4" w:space="0" w:color="auto"/>
                      <w:right w:val="single" w:sz="4" w:space="0" w:color="auto"/>
                    </w:tcBorders>
                    <w:shd w:val="clear" w:color="auto" w:fill="CCC0D9" w:themeFill="accent4" w:themeFillTint="66"/>
                    <w:vAlign w:val="center"/>
                  </w:tcPr>
                  <w:p>
                    <w:pPr>
                      <w:rPr>
                        <w:color w:val="000000"/>
                        <w:sz w:val="20"/>
                      </w:rPr>
                    </w:pPr>
                  </w:p>
                </w:tc>
              </w:tr>
              <w:tr>
                <w:trPr>
                  <w:trHeight w:val="1198"/>
                </w:trPr>
                <w:tc>
                  <w:tcPr>
                    <w:tcW w:w="2410" w:type="dxa"/>
                    <w:shd w:val="clear" w:color="auto" w:fill="auto"/>
                  </w:tcPr>
                  <w:p>
                    <w:pPr>
                      <w:rPr>
                        <w:sz w:val="20"/>
                      </w:rPr>
                    </w:pPr>
                    <w:r>
                      <w:rPr>
                        <w:sz w:val="20"/>
                      </w:rPr>
                      <w:t xml:space="preserve">11.1. Sveikatos priežiūros  specialistų kvalifikaciją ir darbo sąlygas tobulinančių teisės aktų rengimas</w:t>
                    </w:r>
                  </w:p>
                </w:tc>
                <w:tc>
                  <w:tcPr>
                    <w:tcW w:w="709" w:type="dxa"/>
                    <w:shd w:val="clear" w:color="auto" w:fill="auto"/>
                  </w:tcPr>
                  <w:p>
                    <w:pPr>
                      <w:rPr>
                        <w:sz w:val="20"/>
                      </w:rPr>
                    </w:pPr>
                    <w:r>
                      <w:rPr>
                        <w:sz w:val="20"/>
                      </w:rPr>
                      <w:t>R</w:t>
                    </w:r>
                  </w:p>
                </w:tc>
                <w:tc>
                  <w:tcPr>
                    <w:tcW w:w="1559" w:type="dxa"/>
                    <w:shd w:val="clear" w:color="auto" w:fill="auto"/>
                  </w:tcPr>
                  <w:p>
                    <w:pPr>
                      <w:rPr>
                        <w:sz w:val="20"/>
                      </w:rPr>
                    </w:pPr>
                    <w:r>
                      <w:rPr>
                        <w:sz w:val="20"/>
                      </w:rPr>
                      <w:t>-</w:t>
                    </w:r>
                  </w:p>
                </w:tc>
                <w:tc>
                  <w:tcPr>
                    <w:tcW w:w="709" w:type="dxa"/>
                    <w:shd w:val="clear" w:color="auto" w:fill="auto"/>
                  </w:tcPr>
                  <w:p>
                    <w:pPr>
                      <w:rPr>
                        <w:sz w:val="20"/>
                      </w:rPr>
                    </w:pPr>
                    <w:r>
                      <w:rPr>
                        <w:sz w:val="20"/>
                      </w:rPr>
                      <w:t>-</w:t>
                    </w:r>
                  </w:p>
                </w:tc>
                <w:tc>
                  <w:tcPr>
                    <w:tcW w:w="992" w:type="dxa"/>
                    <w:shd w:val="clear" w:color="auto" w:fill="auto"/>
                  </w:tcPr>
                  <w:p>
                    <w:pPr>
                      <w:rPr>
                        <w:sz w:val="20"/>
                      </w:rPr>
                    </w:pPr>
                    <w:r>
                      <w:rPr>
                        <w:sz w:val="20"/>
                      </w:rPr>
                      <w:t>Taip</w:t>
                    </w:r>
                  </w:p>
                </w:tc>
                <w:tc>
                  <w:tcPr>
                    <w:tcW w:w="709" w:type="dxa"/>
                    <w:shd w:val="clear" w:color="auto" w:fill="auto"/>
                  </w:tcPr>
                  <w:p>
                    <w:pPr>
                      <w:rPr>
                        <w:sz w:val="20"/>
                      </w:rPr>
                    </w:pPr>
                    <w:r>
                      <w:rPr>
                        <w:sz w:val="20"/>
                      </w:rPr>
                      <w:t>-</w:t>
                    </w:r>
                  </w:p>
                </w:tc>
                <w:tc>
                  <w:tcPr>
                    <w:tcW w:w="1276" w:type="dxa"/>
                    <w:shd w:val="clear" w:color="auto" w:fill="auto"/>
                  </w:tcPr>
                  <w:p>
                    <w:pPr>
                      <w:rPr>
                        <w:sz w:val="20"/>
                        <w:lang w:val="en-US"/>
                      </w:rPr>
                    </w:pPr>
                    <w:r>
                      <w:rPr>
                        <w:sz w:val="20"/>
                        <w:lang w:val="en-US"/>
                      </w:rPr>
                      <w:t>-</w:t>
                    </w:r>
                  </w:p>
                </w:tc>
                <w:tc>
                  <w:tcPr>
                    <w:tcW w:w="992" w:type="dxa"/>
                    <w:shd w:val="clear" w:color="auto" w:fill="auto"/>
                  </w:tcPr>
                  <w:p>
                    <w:pPr>
                      <w:rPr>
                        <w:sz w:val="20"/>
                      </w:rPr>
                    </w:pPr>
                    <w:r>
                      <w:rPr>
                        <w:sz w:val="20"/>
                      </w:rPr>
                      <w:t>-</w:t>
                    </w:r>
                  </w:p>
                </w:tc>
                <w:tc>
                  <w:tcPr>
                    <w:tcW w:w="2551" w:type="dxa"/>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851" w:type="dxa"/>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410" w:type="dxa"/>
                    <w:vMerge w:val="restart"/>
                    <w:shd w:val="clear" w:color="auto" w:fill="auto"/>
                  </w:tcPr>
                  <w:p>
                    <w:pPr>
                      <w:rPr>
                        <w:sz w:val="20"/>
                      </w:rPr>
                    </w:pPr>
                    <w:r>
                      <w:rPr>
                        <w:sz w:val="20"/>
                      </w:rPr>
                      <w:t xml:space="preserve">11.2. Sveikatos priežiūros  specialistų kvalifikacijos tobulinimas, Vidurio ir vakarų Lietuvos regionas</w:t>
                    </w:r>
                  </w:p>
                </w:tc>
                <w:tc>
                  <w:tcPr>
                    <w:tcW w:w="709" w:type="dxa"/>
                    <w:vMerge w:val="restart"/>
                    <w:shd w:val="clear" w:color="auto" w:fill="auto"/>
                  </w:tcPr>
                  <w:p>
                    <w:pPr>
                      <w:rPr>
                        <w:sz w:val="20"/>
                      </w:rPr>
                    </w:pPr>
                    <w:r>
                      <w:rPr>
                        <w:sz w:val="20"/>
                      </w:rPr>
                      <w:t>I</w:t>
                    </w:r>
                  </w:p>
                </w:tc>
                <w:tc>
                  <w:tcPr>
                    <w:tcW w:w="1559" w:type="dxa"/>
                    <w:vMerge w:val="restart"/>
                    <w:shd w:val="clear" w:color="auto" w:fill="auto"/>
                  </w:tcPr>
                  <w:p>
                    <w:pPr>
                      <w:rPr>
                        <w:sz w:val="20"/>
                      </w:rPr>
                    </w:pPr>
                    <w:r>
                      <w:rPr>
                        <w:sz w:val="20"/>
                      </w:rPr>
                      <w:t>SAM</w:t>
                    </w:r>
                  </w:p>
                </w:tc>
                <w:tc>
                  <w:tcPr>
                    <w:tcW w:w="709" w:type="dxa"/>
                    <w:vMerge w:val="restart"/>
                    <w:shd w:val="clear" w:color="auto" w:fill="auto"/>
                  </w:tcPr>
                  <w:p>
                    <w:pPr>
                      <w:rPr>
                        <w:sz w:val="20"/>
                      </w:rPr>
                    </w:pPr>
                    <w:r>
                      <w:rPr>
                        <w:sz w:val="20"/>
                      </w:rPr>
                      <w:t>P</w:t>
                    </w:r>
                  </w:p>
                </w:tc>
                <w:tc>
                  <w:tcPr>
                    <w:tcW w:w="992" w:type="dxa"/>
                    <w:vMerge w:val="restart"/>
                    <w:shd w:val="clear" w:color="auto" w:fill="auto"/>
                  </w:tcPr>
                  <w:p>
                    <w:pPr>
                      <w:rPr>
                        <w:sz w:val="20"/>
                      </w:rPr>
                    </w:pPr>
                    <w:r>
                      <w:rPr>
                        <w:sz w:val="20"/>
                      </w:rPr>
                      <w:t>Taip</w:t>
                    </w:r>
                  </w:p>
                </w:tc>
                <w:tc>
                  <w:tcPr>
                    <w:tcW w:w="709" w:type="dxa"/>
                    <w:vMerge w:val="restart"/>
                    <w:shd w:val="clear" w:color="auto" w:fill="auto"/>
                  </w:tcPr>
                  <w:p>
                    <w:pPr>
                      <w:rPr>
                        <w:sz w:val="20"/>
                      </w:rPr>
                    </w:pPr>
                    <w:r>
                      <w:rPr>
                        <w:sz w:val="20"/>
                      </w:rPr>
                      <w:t>D</w:t>
                    </w:r>
                  </w:p>
                </w:tc>
                <w:tc>
                  <w:tcPr>
                    <w:tcW w:w="1276" w:type="dxa"/>
                    <w:shd w:val="clear" w:color="auto" w:fill="auto"/>
                  </w:tcPr>
                  <w:p>
                    <w:pPr>
                      <w:rPr>
                        <w:sz w:val="20"/>
                        <w:lang w:val="en-US"/>
                      </w:rPr>
                    </w:pPr>
                    <w:r>
                      <w:rPr>
                        <w:sz w:val="20"/>
                        <w:lang w:val="en-US"/>
                      </w:rPr>
                      <w:t>9 148,854</w:t>
                    </w:r>
                  </w:p>
                </w:tc>
                <w:tc>
                  <w:tcPr>
                    <w:tcW w:w="992" w:type="dxa"/>
                    <w:shd w:val="clear" w:color="auto" w:fill="auto"/>
                  </w:tcPr>
                  <w:p>
                    <w:pPr>
                      <w:rPr>
                        <w:sz w:val="20"/>
                      </w:rPr>
                    </w:pPr>
                    <w:r>
                      <w:rPr>
                        <w:sz w:val="20"/>
                      </w:rPr>
                      <w:t xml:space="preserve">2021–2027 m. IP (ESF+) </w:t>
                    </w:r>
                  </w:p>
                </w:tc>
                <w:tc>
                  <w:tcPr>
                    <w:tcW w:w="2551" w:type="dxa"/>
                    <w:vMerge w:val="restart"/>
                    <w:shd w:val="clear" w:color="auto" w:fill="auto"/>
                  </w:tcPr>
                  <w:p>
                    <w:pPr>
                      <w:ind w:right="-57"/>
                      <w:rPr>
                        <w:sz w:val="20"/>
                      </w:rPr>
                    </w:pPr>
                    <w:r>
                      <w:rPr>
                        <w:sz w:val="20"/>
                      </w:rPr>
                      <w:t>P – Specialistai, dalyvavę kvalifikacijos tobulinimo ar perkvalifikavimo veiklose, asmenys</w:t>
                    </w:r>
                  </w:p>
                </w:tc>
                <w:tc>
                  <w:tcPr>
                    <w:tcW w:w="851" w:type="dxa"/>
                    <w:vMerge w:val="restart"/>
                    <w:shd w:val="clear" w:color="auto" w:fill="auto"/>
                  </w:tcPr>
                  <w:p>
                    <w:pPr>
                      <w:ind w:left="-57" w:right="-57"/>
                      <w:jc w:val="center"/>
                      <w:rPr>
                        <w:sz w:val="20"/>
                        <w:lang w:val="en-US"/>
                      </w:rPr>
                    </w:pPr>
                    <w:r>
                      <w:rPr>
                        <w:sz w:val="20"/>
                      </w:rPr>
                      <w:t>27 600</w:t>
                    </w:r>
                  </w:p>
                  <w:p>
                    <w:pPr>
                      <w:ind w:left="-57" w:right="-57"/>
                      <w:jc w:val="center"/>
                      <w:rPr>
                        <w:sz w:val="20"/>
                      </w:rPr>
                    </w:pPr>
                    <w:r>
                      <w:rPr>
                        <w:sz w:val="20"/>
                      </w:rPr>
                      <w:t>(2029 m.)</w:t>
                    </w:r>
                  </w:p>
                  <w:p>
                    <w:pPr>
                      <w:rPr>
                        <w:sz w:val="20"/>
                      </w:rPr>
                    </w:pP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230"/>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val="restart"/>
                    <w:shd w:val="clear" w:color="auto" w:fill="auto"/>
                  </w:tcPr>
                  <w:p>
                    <w:pPr>
                      <w:rPr>
                        <w:sz w:val="20"/>
                        <w:lang w:val="en-US"/>
                      </w:rPr>
                    </w:pPr>
                    <w:r>
                      <w:rPr>
                        <w:sz w:val="20"/>
                        <w:lang w:val="en-US"/>
                      </w:rPr>
                      <w:t>1 614,504</w:t>
                    </w:r>
                  </w:p>
                </w:tc>
                <w:tc>
                  <w:tcPr>
                    <w:tcW w:w="992" w:type="dxa"/>
                    <w:vMerge w:val="restart"/>
                    <w:shd w:val="clear" w:color="auto" w:fill="auto"/>
                  </w:tcPr>
                  <w:p>
                    <w:pPr>
                      <w:rPr>
                        <w:sz w:val="20"/>
                      </w:rPr>
                    </w:pPr>
                    <w:r>
                      <w:rPr>
                        <w:sz w:val="20"/>
                      </w:rPr>
                      <w:t>2021–2027 m. IP (BF)</w:t>
                    </w:r>
                  </w:p>
                  <w:p>
                    <w:pPr>
                      <w:rPr>
                        <w:sz w:val="20"/>
                      </w:rPr>
                    </w:pPr>
                  </w:p>
                </w:tc>
                <w:tc>
                  <w:tcPr>
                    <w:tcW w:w="2551" w:type="dxa"/>
                    <w:vMerge/>
                    <w:shd w:val="clear" w:color="auto" w:fill="auto"/>
                  </w:tcPr>
                  <w:p>
                    <w:pPr>
                      <w:ind w:right="-57"/>
                      <w:rPr>
                        <w:sz w:val="20"/>
                      </w:rPr>
                    </w:pPr>
                  </w:p>
                </w:tc>
                <w:tc>
                  <w:tcPr>
                    <w:tcW w:w="851" w:type="dxa"/>
                    <w:vMerge/>
                    <w:shd w:val="clear" w:color="auto" w:fill="auto"/>
                  </w:tcPr>
                  <w:p>
                    <w:pPr>
                      <w:ind w:left="-57" w:right="-57"/>
                      <w:jc w:val="center"/>
                      <w:rPr>
                        <w:sz w:val="20"/>
                      </w:rPr>
                    </w:pP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rPr>
                        <w:color w:val="000000"/>
                        <w:sz w:val="20"/>
                      </w:rPr>
                    </w:pPr>
                  </w:p>
                </w:tc>
              </w:tr>
              <w:tr>
                <w:trPr>
                  <w:trHeight w:val="833"/>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rPr>
                        <w:sz w:val="20"/>
                      </w:rPr>
                    </w:pPr>
                  </w:p>
                </w:tc>
                <w:tc>
                  <w:tcPr>
                    <w:tcW w:w="1276" w:type="dxa"/>
                    <w:vMerge/>
                    <w:shd w:val="clear" w:color="auto" w:fill="auto"/>
                  </w:tcPr>
                  <w:p>
                    <w:pPr>
                      <w:rPr>
                        <w:sz w:val="20"/>
                        <w:lang w:val="en-US"/>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R –</w:t>
                    </w:r>
                    <w:r>
                      <w:rPr>
                        <w:sz w:val="20"/>
                        <w:lang w:eastAsia="lt-LT"/>
                      </w:rPr>
                      <w:t xml:space="preserve"> Specialistų, kurie po dalyvavimo veiklose įgijo ar patobulino kvalifikaciją, dalis proc.</w:t>
                    </w:r>
                  </w:p>
                </w:tc>
                <w:tc>
                  <w:tcPr>
                    <w:tcW w:w="851" w:type="dxa"/>
                    <w:shd w:val="clear" w:color="auto" w:fill="auto"/>
                  </w:tcPr>
                  <w:p>
                    <w:pPr>
                      <w:ind w:left="-57" w:right="-57"/>
                      <w:jc w:val="center"/>
                      <w:rPr>
                        <w:sz w:val="20"/>
                      </w:rPr>
                    </w:pPr>
                    <w:r>
                      <w:rPr>
                        <w:sz w:val="20"/>
                      </w:rPr>
                      <w:t>90</w:t>
                    </w:r>
                  </w:p>
                  <w:p>
                    <w:pPr>
                      <w:ind w:left="-57" w:right="-57"/>
                      <w:jc w:val="center"/>
                      <w:rPr>
                        <w:sz w:val="20"/>
                      </w:rPr>
                    </w:pPr>
                    <w:r>
                      <w:rPr>
                        <w:sz w:val="20"/>
                      </w:rPr>
                      <w:t>(2029 m.)</w:t>
                    </w:r>
                  </w:p>
                  <w:p>
                    <w:pPr>
                      <w:jc w:val="center"/>
                      <w:rPr>
                        <w:b/>
                        <w:bCs/>
                        <w:sz w:val="20"/>
                      </w:rPr>
                    </w:pPr>
                  </w:p>
                </w:tc>
                <w:tc>
                  <w:tcPr>
                    <w:tcW w:w="992" w:type="dxa"/>
                    <w:vMerge/>
                    <w:shd w:val="clear" w:color="auto" w:fill="auto"/>
                  </w:tcPr>
                  <w:p>
                    <w:pPr>
                      <w:rPr>
                        <w:sz w:val="20"/>
                      </w:rPr>
                    </w:pPr>
                  </w:p>
                </w:tc>
                <w:tc>
                  <w:tcPr>
                    <w:tcW w:w="1276" w:type="dxa"/>
                    <w:vMerge/>
                    <w:tcBorders>
                      <w:left w:val="single" w:sz="4" w:space="0" w:color="auto"/>
                      <w:right w:val="single" w:sz="4" w:space="0" w:color="auto"/>
                    </w:tcBorders>
                    <w:shd w:val="clear" w:color="auto" w:fill="auto"/>
                    <w:vAlign w:val="center"/>
                  </w:tcPr>
                  <w:p>
                    <w:pPr>
                      <w:rPr>
                        <w:color w:val="000000"/>
                        <w:sz w:val="20"/>
                      </w:rPr>
                    </w:pPr>
                  </w:p>
                </w:tc>
              </w:tr>
              <w:tr>
                <w:trPr>
                  <w:trHeight w:val="414"/>
                </w:trPr>
                <w:tc>
                  <w:tcPr>
                    <w:tcW w:w="2410" w:type="dxa"/>
                    <w:shd w:val="clear" w:color="auto" w:fill="auto"/>
                  </w:tcPr>
                  <w:p>
                    <w:pPr>
                      <w:rPr>
                        <w:sz w:val="20"/>
                      </w:rPr>
                    </w:pPr>
                    <w:r>
                      <w:rPr>
                        <w:sz w:val="20"/>
                      </w:rPr>
                      <w:t>11.3. Sveikatos priežiūros specialistų kvalifikacijos tobulinimas</w:t>
                    </w:r>
                  </w:p>
                </w:tc>
                <w:tc>
                  <w:tcPr>
                    <w:tcW w:w="709" w:type="dxa"/>
                    <w:shd w:val="clear" w:color="auto" w:fill="auto"/>
                  </w:tcPr>
                  <w:p>
                    <w:pPr>
                      <w:rPr>
                        <w:sz w:val="20"/>
                      </w:rPr>
                    </w:pPr>
                    <w:r>
                      <w:rPr>
                        <w:sz w:val="20"/>
                      </w:rPr>
                      <w:t>I</w:t>
                    </w:r>
                  </w:p>
                </w:tc>
                <w:tc>
                  <w:tcPr>
                    <w:tcW w:w="1559" w:type="dxa"/>
                    <w:shd w:val="clear" w:color="auto" w:fill="auto"/>
                  </w:tcPr>
                  <w:p>
                    <w:pPr>
                      <w:rPr>
                        <w:sz w:val="20"/>
                      </w:rPr>
                    </w:pPr>
                    <w:r>
                      <w:rPr>
                        <w:sz w:val="20"/>
                      </w:rPr>
                      <w:t>SAM</w:t>
                    </w:r>
                  </w:p>
                </w:tc>
                <w:tc>
                  <w:tcPr>
                    <w:tcW w:w="709" w:type="dxa"/>
                    <w:shd w:val="clear" w:color="auto" w:fill="auto"/>
                  </w:tcPr>
                  <w:p>
                    <w:pPr>
                      <w:rPr>
                        <w:sz w:val="20"/>
                      </w:rPr>
                    </w:pPr>
                    <w:r>
                      <w:rPr>
                        <w:sz w:val="20"/>
                      </w:rPr>
                      <w:t>P</w:t>
                    </w:r>
                  </w:p>
                </w:tc>
                <w:tc>
                  <w:tcPr>
                    <w:tcW w:w="992" w:type="dxa"/>
                    <w:shd w:val="clear" w:color="auto" w:fill="auto"/>
                  </w:tcPr>
                  <w:p>
                    <w:pPr>
                      <w:rPr>
                        <w:sz w:val="20"/>
                      </w:rPr>
                    </w:pPr>
                    <w:r>
                      <w:rPr>
                        <w:sz w:val="20"/>
                      </w:rPr>
                      <w:t>Taip</w:t>
                    </w:r>
                  </w:p>
                </w:tc>
                <w:tc>
                  <w:tcPr>
                    <w:tcW w:w="709" w:type="dxa"/>
                    <w:shd w:val="clear" w:color="auto" w:fill="auto"/>
                  </w:tcPr>
                  <w:p>
                    <w:pPr>
                      <w:rPr>
                        <w:sz w:val="20"/>
                      </w:rPr>
                    </w:pPr>
                    <w:r>
                      <w:rPr>
                        <w:sz w:val="20"/>
                      </w:rPr>
                      <w:t>D</w:t>
                    </w:r>
                  </w:p>
                </w:tc>
                <w:tc>
                  <w:tcPr>
                    <w:tcW w:w="1276" w:type="dxa"/>
                    <w:shd w:val="clear" w:color="auto" w:fill="auto"/>
                  </w:tcPr>
                  <w:p>
                    <w:pPr>
                      <w:rPr>
                        <w:sz w:val="20"/>
                        <w:lang w:val="en-US"/>
                      </w:rPr>
                    </w:pPr>
                    <w:r>
                      <w:rPr>
                        <w:sz w:val="20"/>
                        <w:lang w:val="en-US"/>
                      </w:rPr>
                      <w:t>5 000</w:t>
                    </w:r>
                  </w:p>
                  <w:p>
                    <w:pPr>
                      <w:rPr>
                        <w:sz w:val="20"/>
                        <w:lang w:val="en-US"/>
                      </w:rPr>
                    </w:pPr>
                  </w:p>
                </w:tc>
                <w:tc>
                  <w:tcPr>
                    <w:tcW w:w="992" w:type="dxa"/>
                    <w:shd w:val="clear" w:color="auto" w:fill="auto"/>
                  </w:tcPr>
                  <w:p>
                    <w:pPr>
                      <w:ind w:left="-57" w:right="-57"/>
                      <w:rPr>
                        <w:sz w:val="20"/>
                      </w:rPr>
                    </w:pPr>
                    <w:r>
                      <w:rPr>
                        <w:sz w:val="20"/>
                      </w:rPr>
                      <w:t>VB</w:t>
                    </w:r>
                  </w:p>
                </w:tc>
                <w:tc>
                  <w:tcPr>
                    <w:tcW w:w="2551" w:type="dxa"/>
                    <w:shd w:val="clear" w:color="auto" w:fill="auto"/>
                  </w:tcPr>
                  <w:p>
                    <w:pPr>
                      <w:ind w:left="-57" w:right="-57"/>
                      <w:rPr>
                        <w:sz w:val="20"/>
                      </w:rPr>
                    </w:pPr>
                    <w:r>
                      <w:rPr>
                        <w:sz w:val="20"/>
                      </w:rPr>
                      <w:t>P – Specialistai, dalyvavę kvalifikacijos tobulinimo veiklose, asmenys</w:t>
                    </w:r>
                  </w:p>
                </w:tc>
                <w:tc>
                  <w:tcPr>
                    <w:tcW w:w="851" w:type="dxa"/>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6"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410" w:type="dxa"/>
                    <w:vMerge w:val="restart"/>
                    <w:shd w:val="clear" w:color="auto" w:fill="auto"/>
                  </w:tcPr>
                  <w:p>
                    <w:pPr>
                      <w:rPr>
                        <w:sz w:val="20"/>
                      </w:rPr>
                    </w:pPr>
                    <w:r>
                      <w:rPr>
                        <w:sz w:val="20"/>
                      </w:rPr>
                      <w:t>11.4. Ilgalaikės priežiūros paslaugas teikiančių specialistų parengimas</w:t>
                    </w:r>
                  </w:p>
                </w:tc>
                <w:tc>
                  <w:tcPr>
                    <w:tcW w:w="709" w:type="dxa"/>
                    <w:vMerge w:val="restart"/>
                    <w:shd w:val="clear" w:color="auto" w:fill="auto"/>
                  </w:tcPr>
                  <w:p>
                    <w:pPr>
                      <w:rPr>
                        <w:sz w:val="20"/>
                      </w:rPr>
                    </w:pPr>
                    <w:r>
                      <w:rPr>
                        <w:sz w:val="20"/>
                      </w:rPr>
                      <w:t>I</w:t>
                    </w:r>
                  </w:p>
                </w:tc>
                <w:tc>
                  <w:tcPr>
                    <w:tcW w:w="1559" w:type="dxa"/>
                    <w:vMerge w:val="restart"/>
                    <w:shd w:val="clear" w:color="auto" w:fill="auto"/>
                  </w:tcPr>
                  <w:p>
                    <w:pPr>
                      <w:rPr>
                        <w:sz w:val="20"/>
                      </w:rPr>
                    </w:pPr>
                    <w:r>
                      <w:rPr>
                        <w:sz w:val="20"/>
                      </w:rPr>
                      <w:t>SAM</w:t>
                    </w:r>
                  </w:p>
                </w:tc>
                <w:tc>
                  <w:tcPr>
                    <w:tcW w:w="709" w:type="dxa"/>
                    <w:vMerge w:val="restart"/>
                    <w:shd w:val="clear" w:color="auto" w:fill="auto"/>
                  </w:tcPr>
                  <w:p>
                    <w:pPr>
                      <w:rPr>
                        <w:sz w:val="20"/>
                      </w:rPr>
                    </w:pPr>
                    <w:r>
                      <w:rPr>
                        <w:sz w:val="20"/>
                      </w:rPr>
                      <w:t>P</w:t>
                    </w:r>
                  </w:p>
                </w:tc>
                <w:tc>
                  <w:tcPr>
                    <w:tcW w:w="992" w:type="dxa"/>
                    <w:vMerge w:val="restart"/>
                    <w:shd w:val="clear" w:color="auto" w:fill="auto"/>
                  </w:tcPr>
                  <w:p>
                    <w:pPr>
                      <w:rPr>
                        <w:sz w:val="20"/>
                      </w:rPr>
                    </w:pPr>
                    <w:r>
                      <w:rPr>
                        <w:sz w:val="20"/>
                      </w:rPr>
                      <w:t>Taip</w:t>
                    </w:r>
                  </w:p>
                </w:tc>
                <w:tc>
                  <w:tcPr>
                    <w:tcW w:w="709" w:type="dxa"/>
                    <w:vMerge w:val="restart"/>
                    <w:shd w:val="clear" w:color="auto" w:fill="auto"/>
                  </w:tcPr>
                  <w:p>
                    <w:pPr>
                      <w:rPr>
                        <w:sz w:val="20"/>
                      </w:rPr>
                    </w:pPr>
                    <w:r>
                      <w:rPr>
                        <w:sz w:val="20"/>
                      </w:rPr>
                      <w:t>D</w:t>
                    </w:r>
                  </w:p>
                </w:tc>
                <w:tc>
                  <w:tcPr>
                    <w:tcW w:w="1276" w:type="dxa"/>
                    <w:shd w:val="clear" w:color="auto" w:fill="auto"/>
                  </w:tcPr>
                  <w:p>
                    <w:pPr>
                      <w:rPr>
                        <w:sz w:val="20"/>
                        <w:lang w:val="en-US"/>
                      </w:rPr>
                    </w:pPr>
                    <w:r>
                      <w:rPr>
                        <w:sz w:val="20"/>
                        <w:lang w:val="en-US"/>
                      </w:rPr>
                      <w:t>2 100</w:t>
                    </w:r>
                  </w:p>
                  <w:p>
                    <w:pPr>
                      <w:rPr>
                        <w:sz w:val="20"/>
                        <w:lang w:val="en-US"/>
                      </w:rPr>
                    </w:pPr>
                  </w:p>
                </w:tc>
                <w:tc>
                  <w:tcPr>
                    <w:tcW w:w="992" w:type="dxa"/>
                    <w:shd w:val="clear" w:color="auto" w:fill="auto"/>
                  </w:tcPr>
                  <w:p>
                    <w:pPr>
                      <w:ind w:left="-57" w:right="-57"/>
                      <w:rPr>
                        <w:sz w:val="20"/>
                      </w:rPr>
                    </w:pPr>
                    <w:r>
                      <w:rPr>
                        <w:sz w:val="20"/>
                      </w:rPr>
                      <w:t>EGADP</w:t>
                    </w:r>
                  </w:p>
                  <w:p>
                    <w:pPr>
                      <w:ind w:left="-57" w:right="-57"/>
                      <w:rPr>
                        <w:sz w:val="20"/>
                      </w:rPr>
                    </w:pPr>
                  </w:p>
                </w:tc>
                <w:tc>
                  <w:tcPr>
                    <w:tcW w:w="2551" w:type="dxa"/>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851" w:type="dxa"/>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6"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410" w:type="dxa"/>
                    <w:vMerge/>
                  </w:tcPr>
                  <w:p>
                    <w:pPr>
                      <w:rPr>
                        <w:sz w:val="20"/>
                      </w:rPr>
                    </w:pPr>
                  </w:p>
                </w:tc>
                <w:tc>
                  <w:tcPr>
                    <w:tcW w:w="709" w:type="dxa"/>
                    <w:vMerge/>
                  </w:tcPr>
                  <w:p>
                    <w:pPr>
                      <w:rPr>
                        <w:sz w:val="20"/>
                      </w:rPr>
                    </w:pPr>
                  </w:p>
                </w:tc>
                <w:tc>
                  <w:tcPr>
                    <w:tcW w:w="1559" w:type="dxa"/>
                    <w:vMerge/>
                  </w:tcPr>
                  <w:p>
                    <w:pPr>
                      <w:rPr>
                        <w:sz w:val="20"/>
                      </w:rPr>
                    </w:pPr>
                  </w:p>
                </w:tc>
                <w:tc>
                  <w:tcPr>
                    <w:tcW w:w="709" w:type="dxa"/>
                    <w:vMerge/>
                  </w:tcPr>
                  <w:p>
                    <w:pPr>
                      <w:rPr>
                        <w:sz w:val="20"/>
                      </w:rPr>
                    </w:pPr>
                  </w:p>
                </w:tc>
                <w:tc>
                  <w:tcPr>
                    <w:tcW w:w="992" w:type="dxa"/>
                    <w:vMerge/>
                  </w:tcPr>
                  <w:p>
                    <w:pPr>
                      <w:rPr>
                        <w:sz w:val="20"/>
                      </w:rPr>
                    </w:pPr>
                  </w:p>
                </w:tc>
                <w:tc>
                  <w:tcPr>
                    <w:tcW w:w="709" w:type="dxa"/>
                    <w:vMerge/>
                  </w:tcPr>
                  <w:p>
                    <w:pPr>
                      <w:rPr>
                        <w:sz w:val="20"/>
                      </w:rPr>
                    </w:pPr>
                  </w:p>
                </w:tc>
                <w:tc>
                  <w:tcPr>
                    <w:tcW w:w="1276" w:type="dxa"/>
                    <w:shd w:val="clear" w:color="auto" w:fill="auto"/>
                  </w:tcPr>
                  <w:p>
                    <w:pPr>
                      <w:rPr>
                        <w:sz w:val="20"/>
                        <w:lang w:val="en-US"/>
                      </w:rPr>
                    </w:pPr>
                    <w:r>
                      <w:rPr>
                        <w:sz w:val="20"/>
                        <w:lang w:val="en-US"/>
                      </w:rPr>
                      <w:t>440</w:t>
                    </w:r>
                  </w:p>
                </w:tc>
                <w:tc>
                  <w:tcPr>
                    <w:tcW w:w="992" w:type="dxa"/>
                    <w:shd w:val="clear" w:color="auto" w:fill="auto"/>
                  </w:tcPr>
                  <w:p>
                    <w:pPr>
                      <w:rPr>
                        <w:sz w:val="20"/>
                      </w:rPr>
                    </w:pPr>
                    <w:r>
                      <w:rPr>
                        <w:sz w:val="20"/>
                      </w:rPr>
                      <w:t>PVM iš VB</w:t>
                    </w:r>
                  </w:p>
                </w:tc>
                <w:tc>
                  <w:tcPr>
                    <w:tcW w:w="2551" w:type="dxa"/>
                    <w:vMerge/>
                    <w:tcBorders>
                      <w:bottom w:val="single" w:sz="4" w:space="0" w:color="auto"/>
                    </w:tcBorders>
                    <w:shd w:val="clear" w:color="auto" w:fill="FFFFFF" w:themeFill="background1"/>
                  </w:tcPr>
                  <w:p>
                    <w:pPr>
                      <w:ind w:left="-57" w:right="-57"/>
                      <w:rPr>
                        <w:sz w:val="20"/>
                      </w:rPr>
                    </w:pPr>
                  </w:p>
                </w:tc>
                <w:tc>
                  <w:tcPr>
                    <w:tcW w:w="851" w:type="dxa"/>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6" w:type="dxa"/>
                    <w:vMerge/>
                    <w:tcBorders>
                      <w:left w:val="single" w:sz="4" w:space="0" w:color="auto"/>
                      <w:right w:val="single" w:sz="4" w:space="0" w:color="auto"/>
                    </w:tcBorders>
                    <w:vAlign w:val="center"/>
                  </w:tcPr>
                  <w:p>
                    <w:pPr>
                      <w:rPr>
                        <w:color w:val="000000"/>
                        <w:sz w:val="20"/>
                      </w:rPr>
                    </w:pPr>
                  </w:p>
                </w:tc>
              </w:tr>
              <w:tr>
                <w:trPr>
                  <w:trHeight w:val="414"/>
                </w:trPr>
                <w:tc>
                  <w:tcPr>
                    <w:tcW w:w="2410" w:type="dxa"/>
                    <w:vMerge w:val="restart"/>
                    <w:shd w:val="clear" w:color="auto" w:fill="F2F2F2" w:themeFill="background1" w:themeFillShade="F2"/>
                  </w:tcPr>
                  <w:p>
                    <w:pPr>
                      <w:rPr>
                        <w:b/>
                        <w:bCs/>
                        <w:sz w:val="20"/>
                      </w:rPr>
                    </w:pPr>
                    <w:r>
                      <w:rPr>
                        <w:b/>
                        <w:bCs/>
                        <w:sz w:val="20"/>
                      </w:rPr>
                      <w:t>12. ASPĮ tinklo optimizavimo reformos valdymas ir komunikacija</w:t>
                    </w:r>
                  </w:p>
                </w:tc>
                <w:tc>
                  <w:tcPr>
                    <w:tcW w:w="709" w:type="dxa"/>
                    <w:vMerge w:val="restart"/>
                    <w:shd w:val="clear" w:color="auto" w:fill="F2F2F2" w:themeFill="background1" w:themeFillShade="F2"/>
                  </w:tcPr>
                  <w:p>
                    <w:pPr>
                      <w:rPr>
                        <w:sz w:val="20"/>
                      </w:rPr>
                    </w:pPr>
                    <w:r>
                      <w:rPr>
                        <w:sz w:val="20"/>
                      </w:rPr>
                      <w:t>M</w:t>
                    </w:r>
                  </w:p>
                </w:tc>
                <w:tc>
                  <w:tcPr>
                    <w:tcW w:w="1559" w:type="dxa"/>
                    <w:vMerge w:val="restart"/>
                    <w:shd w:val="clear" w:color="auto" w:fill="F2F2F2" w:themeFill="background1" w:themeFillShade="F2"/>
                  </w:tcPr>
                  <w:p>
                    <w:pPr>
                      <w:rPr>
                        <w:sz w:val="20"/>
                      </w:rPr>
                    </w:pPr>
                    <w:r>
                      <w:rPr>
                        <w:sz w:val="20"/>
                      </w:rPr>
                      <w:t>SAM</w:t>
                    </w:r>
                  </w:p>
                </w:tc>
                <w:tc>
                  <w:tcPr>
                    <w:tcW w:w="709" w:type="dxa"/>
                    <w:vMerge w:val="restart"/>
                    <w:shd w:val="clear" w:color="auto" w:fill="F2F2F2" w:themeFill="background1" w:themeFillShade="F2"/>
                  </w:tcPr>
                  <w:p>
                    <w:pPr>
                      <w:rPr>
                        <w:sz w:val="20"/>
                      </w:rPr>
                    </w:pPr>
                    <w:r>
                      <w:rPr>
                        <w:sz w:val="20"/>
                      </w:rPr>
                      <w:t>P</w:t>
                    </w:r>
                  </w:p>
                </w:tc>
                <w:tc>
                  <w:tcPr>
                    <w:tcW w:w="992" w:type="dxa"/>
                    <w:vMerge w:val="restart"/>
                    <w:shd w:val="clear" w:color="auto" w:fill="F2F2F2" w:themeFill="background1" w:themeFillShade="F2"/>
                  </w:tcPr>
                  <w:p>
                    <w:pPr>
                      <w:rPr>
                        <w:sz w:val="20"/>
                      </w:rPr>
                    </w:pPr>
                    <w:r>
                      <w:rPr>
                        <w:sz w:val="20"/>
                      </w:rPr>
                      <w:t>Taip</w:t>
                    </w:r>
                  </w:p>
                </w:tc>
                <w:tc>
                  <w:tcPr>
                    <w:tcW w:w="709" w:type="dxa"/>
                    <w:vMerge w:val="restart"/>
                    <w:shd w:val="clear" w:color="auto" w:fill="F2F2F2" w:themeFill="background1" w:themeFillShade="F2"/>
                  </w:tcPr>
                  <w:p>
                    <w:pPr>
                      <w:rPr>
                        <w:sz w:val="20"/>
                      </w:rPr>
                    </w:pPr>
                    <w:r>
                      <w:rPr>
                        <w:sz w:val="20"/>
                      </w:rPr>
                      <w:t>D</w:t>
                    </w:r>
                  </w:p>
                </w:tc>
                <w:tc>
                  <w:tcPr>
                    <w:tcW w:w="1276" w:type="dxa"/>
                    <w:vMerge w:val="restart"/>
                    <w:shd w:val="clear" w:color="auto" w:fill="F2F2F2" w:themeFill="background1" w:themeFillShade="F2"/>
                  </w:tcPr>
                  <w:p>
                    <w:pPr>
                      <w:rPr>
                        <w:b/>
                        <w:bCs/>
                        <w:sz w:val="20"/>
                        <w:lang w:val="en-US"/>
                      </w:rPr>
                    </w:pPr>
                    <w:r>
                      <w:rPr>
                        <w:b/>
                        <w:bCs/>
                        <w:sz w:val="20"/>
                        <w:lang w:val="en-US"/>
                      </w:rPr>
                      <w:t>1750</w:t>
                    </w:r>
                  </w:p>
                </w:tc>
                <w:tc>
                  <w:tcPr>
                    <w:tcW w:w="992" w:type="dxa"/>
                    <w:vMerge w:val="restart"/>
                    <w:shd w:val="clear" w:color="auto" w:fill="F2F2F2" w:themeFill="background1" w:themeFillShade="F2"/>
                  </w:tcPr>
                  <w:p>
                    <w:pPr>
                      <w:rPr>
                        <w:sz w:val="20"/>
                      </w:rPr>
                    </w:pPr>
                    <w:r>
                      <w:rPr>
                        <w:sz w:val="20"/>
                      </w:rPr>
                      <w:t>VB</w:t>
                    </w:r>
                  </w:p>
                </w:tc>
                <w:tc>
                  <w:tcPr>
                    <w:tcW w:w="2551" w:type="dxa"/>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851" w:type="dxa"/>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410" w:type="dxa"/>
                    <w:vMerge/>
                    <w:shd w:val="clear" w:color="auto" w:fill="F2F2F2" w:themeFill="background1" w:themeFillShade="F2"/>
                  </w:tcPr>
                  <w:p>
                    <w:pPr>
                      <w:rPr>
                        <w:b/>
                        <w:bCs/>
                        <w:sz w:val="20"/>
                      </w:rPr>
                    </w:pPr>
                  </w:p>
                </w:tc>
                <w:tc>
                  <w:tcPr>
                    <w:tcW w:w="709" w:type="dxa"/>
                    <w:vMerge/>
                    <w:shd w:val="clear" w:color="auto" w:fill="F2F2F2" w:themeFill="background1" w:themeFillShade="F2"/>
                  </w:tcPr>
                  <w:p>
                    <w:pPr>
                      <w:rPr>
                        <w:sz w:val="20"/>
                      </w:rPr>
                    </w:pPr>
                  </w:p>
                </w:tc>
                <w:tc>
                  <w:tcPr>
                    <w:tcW w:w="1559"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992" w:type="dxa"/>
                    <w:vMerge/>
                    <w:shd w:val="clear" w:color="auto" w:fill="F2F2F2" w:themeFill="background1" w:themeFillShade="F2"/>
                  </w:tcPr>
                  <w:p>
                    <w:pPr>
                      <w:rPr>
                        <w:sz w:val="20"/>
                      </w:rPr>
                    </w:pPr>
                  </w:p>
                </w:tc>
                <w:tc>
                  <w:tcPr>
                    <w:tcW w:w="709" w:type="dxa"/>
                    <w:vMerge/>
                    <w:shd w:val="clear" w:color="auto" w:fill="F2F2F2" w:themeFill="background1" w:themeFillShade="F2"/>
                  </w:tcPr>
                  <w:p>
                    <w:pPr>
                      <w:rPr>
                        <w:sz w:val="20"/>
                      </w:rPr>
                    </w:pPr>
                  </w:p>
                </w:tc>
                <w:tc>
                  <w:tcPr>
                    <w:tcW w:w="1276" w:type="dxa"/>
                    <w:vMerge/>
                    <w:shd w:val="clear" w:color="auto" w:fill="F2F2F2" w:themeFill="background1" w:themeFillShade="F2"/>
                  </w:tcPr>
                  <w:p>
                    <w:pPr>
                      <w:rPr>
                        <w:b/>
                        <w:bCs/>
                        <w:sz w:val="20"/>
                        <w:lang w:val="en-US"/>
                      </w:rPr>
                    </w:pPr>
                  </w:p>
                </w:tc>
                <w:tc>
                  <w:tcPr>
                    <w:tcW w:w="992" w:type="dxa"/>
                    <w:vMerge/>
                    <w:shd w:val="clear" w:color="auto" w:fill="F2F2F2" w:themeFill="background1" w:themeFillShade="F2"/>
                  </w:tcPr>
                  <w:p>
                    <w:pPr>
                      <w:rPr>
                        <w:sz w:val="20"/>
                      </w:rPr>
                    </w:pPr>
                  </w:p>
                </w:tc>
                <w:tc>
                  <w:tcPr>
                    <w:tcW w:w="2551" w:type="dxa"/>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851" w:type="dxa"/>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6"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410" w:type="dxa"/>
                    <w:vMerge w:val="restart"/>
                    <w:shd w:val="clear" w:color="auto" w:fill="auto"/>
                  </w:tcPr>
                  <w:p>
                    <w:pPr>
                      <w:rPr>
                        <w:sz w:val="20"/>
                      </w:rPr>
                    </w:pPr>
                    <w:r>
                      <w:rPr>
                        <w:b/>
                        <w:bCs/>
                        <w:sz w:val="20"/>
                      </w:rPr>
                      <w:t>13. Programos „Motinos ir vaiko sveikata bei gerovė“ įgyvendinimas</w:t>
                    </w:r>
                  </w:p>
                </w:tc>
                <w:tc>
                  <w:tcPr>
                    <w:tcW w:w="709" w:type="dxa"/>
                    <w:vMerge w:val="restart"/>
                    <w:shd w:val="clear" w:color="auto" w:fill="auto"/>
                  </w:tcPr>
                  <w:p>
                    <w:pPr>
                      <w:rPr>
                        <w:sz w:val="20"/>
                      </w:rPr>
                    </w:pPr>
                    <w:r>
                      <w:rPr>
                        <w:sz w:val="20"/>
                      </w:rPr>
                      <w:t>I</w:t>
                    </w:r>
                  </w:p>
                </w:tc>
                <w:tc>
                  <w:tcPr>
                    <w:tcW w:w="1559" w:type="dxa"/>
                    <w:vMerge w:val="restart"/>
                    <w:shd w:val="clear" w:color="auto" w:fill="auto"/>
                  </w:tcPr>
                  <w:p>
                    <w:pPr>
                      <w:rPr>
                        <w:sz w:val="20"/>
                      </w:rPr>
                    </w:pPr>
                    <w:r>
                      <w:rPr>
                        <w:sz w:val="20"/>
                      </w:rPr>
                      <w:t>Lietuvos sveikatos mokslų universiteto ligoninė Kauno klinikos</w:t>
                    </w:r>
                  </w:p>
                </w:tc>
                <w:tc>
                  <w:tcPr>
                    <w:tcW w:w="709" w:type="dxa"/>
                    <w:vMerge w:val="restart"/>
                    <w:shd w:val="clear" w:color="auto" w:fill="auto"/>
                  </w:tcPr>
                  <w:p>
                    <w:pPr>
                      <w:rPr>
                        <w:sz w:val="20"/>
                      </w:rPr>
                    </w:pPr>
                    <w:r>
                      <w:rPr>
                        <w:sz w:val="20"/>
                      </w:rPr>
                      <w:t>P</w:t>
                    </w:r>
                  </w:p>
                </w:tc>
                <w:tc>
                  <w:tcPr>
                    <w:tcW w:w="992" w:type="dxa"/>
                    <w:vMerge w:val="restart"/>
                    <w:shd w:val="clear" w:color="auto" w:fill="auto"/>
                  </w:tcPr>
                  <w:p>
                    <w:pPr>
                      <w:rPr>
                        <w:sz w:val="20"/>
                      </w:rPr>
                    </w:pPr>
                    <w:r>
                      <w:rPr>
                        <w:sz w:val="20"/>
                      </w:rPr>
                      <w:t>Ne</w:t>
                    </w:r>
                  </w:p>
                </w:tc>
                <w:tc>
                  <w:tcPr>
                    <w:tcW w:w="709" w:type="dxa"/>
                    <w:vMerge w:val="restart"/>
                    <w:shd w:val="clear" w:color="auto" w:fill="auto"/>
                  </w:tcPr>
                  <w:p>
                    <w:pPr>
                      <w:jc w:val="center"/>
                      <w:rPr>
                        <w:sz w:val="20"/>
                      </w:rPr>
                    </w:pPr>
                    <w:r>
                      <w:rPr>
                        <w:sz w:val="20"/>
                      </w:rPr>
                      <w:t>D</w:t>
                    </w:r>
                  </w:p>
                </w:tc>
                <w:tc>
                  <w:tcPr>
                    <w:tcW w:w="1276" w:type="dxa"/>
                    <w:tcBorders>
                      <w:bottom w:val="single" w:sz="4" w:space="0" w:color="auto"/>
                    </w:tcBorders>
                    <w:shd w:val="clear" w:color="auto" w:fill="auto"/>
                  </w:tcPr>
                  <w:p>
                    <w:pPr>
                      <w:rPr>
                        <w:b/>
                        <w:bCs/>
                        <w:sz w:val="20"/>
                      </w:rPr>
                    </w:pPr>
                    <w:r>
                      <w:rPr>
                        <w:b/>
                        <w:bCs/>
                        <w:sz w:val="20"/>
                      </w:rPr>
                      <w:t>34 219,646</w:t>
                    </w:r>
                  </w:p>
                </w:tc>
                <w:tc>
                  <w:tcPr>
                    <w:tcW w:w="992" w:type="dxa"/>
                    <w:tcBorders>
                      <w:bottom w:val="single" w:sz="4" w:space="0" w:color="auto"/>
                    </w:tcBorders>
                    <w:shd w:val="clear" w:color="auto" w:fill="auto"/>
                  </w:tcPr>
                  <w:p>
                    <w:pPr>
                      <w:rPr>
                        <w:sz w:val="20"/>
                      </w:rPr>
                    </w:pPr>
                    <w:r>
                      <w:rPr>
                        <w:sz w:val="20"/>
                      </w:rPr>
                      <w:t>-</w:t>
                    </w:r>
                  </w:p>
                </w:tc>
                <w:tc>
                  <w:tcPr>
                    <w:tcW w:w="2551" w:type="dxa"/>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851" w:type="dxa"/>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6"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shd w:val="clear" w:color="auto" w:fill="auto"/>
                  </w:tcPr>
                  <w:p>
                    <w:pPr>
                      <w:rPr>
                        <w:sz w:val="20"/>
                      </w:rPr>
                    </w:pPr>
                    <w:r>
                      <w:rPr>
                        <w:sz w:val="20"/>
                      </w:rPr>
                      <w:t>29 086,699</w:t>
                    </w:r>
                  </w:p>
                </w:tc>
                <w:tc>
                  <w:tcPr>
                    <w:tcW w:w="992" w:type="dxa"/>
                    <w:shd w:val="clear" w:color="auto" w:fill="auto"/>
                  </w:tcPr>
                  <w:p>
                    <w:pPr>
                      <w:rPr>
                        <w:sz w:val="20"/>
                      </w:rPr>
                    </w:pPr>
                    <w:r>
                      <w:rPr>
                        <w:sz w:val="20"/>
                      </w:rPr>
                      <w:t>AŠĮFP</w:t>
                    </w:r>
                  </w:p>
                </w:tc>
                <w:tc>
                  <w:tcPr>
                    <w:tcW w:w="2551" w:type="dxa"/>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851" w:type="dxa"/>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val="restart"/>
                    <w:shd w:val="clear" w:color="auto" w:fill="auto"/>
                  </w:tcPr>
                  <w:p>
                    <w:pPr>
                      <w:rPr>
                        <w:sz w:val="20"/>
                      </w:rPr>
                    </w:pPr>
                    <w:r>
                      <w:rPr>
                        <w:sz w:val="20"/>
                      </w:rPr>
                      <w:t>5 132,947</w:t>
                    </w:r>
                  </w:p>
                </w:tc>
                <w:tc>
                  <w:tcPr>
                    <w:tcW w:w="992" w:type="dxa"/>
                    <w:vMerge w:val="restart"/>
                    <w:shd w:val="clear" w:color="auto" w:fill="auto"/>
                  </w:tcPr>
                  <w:p>
                    <w:pPr>
                      <w:rPr>
                        <w:sz w:val="20"/>
                      </w:rPr>
                    </w:pPr>
                    <w:r>
                      <w:rPr>
                        <w:sz w:val="20"/>
                      </w:rPr>
                      <w:t>AŠĮFP</w:t>
                    </w:r>
                  </w:p>
                  <w:p>
                    <w:pPr>
                      <w:rPr>
                        <w:sz w:val="20"/>
                      </w:rPr>
                    </w:pPr>
                    <w:r>
                      <w:rPr>
                        <w:sz w:val="20"/>
                      </w:rPr>
                      <w:t>(BF)</w:t>
                    </w:r>
                  </w:p>
                </w:tc>
                <w:tc>
                  <w:tcPr>
                    <w:tcW w:w="2551" w:type="dxa"/>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851" w:type="dxa"/>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851" w:type="dxa"/>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8"/>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851" w:type="dxa"/>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6" w:type="dxa"/>
                  </w:tcPr>
                  <w:p>
                    <w:pPr>
                      <w:jc w:val="center"/>
                      <w:rPr>
                        <w:sz w:val="20"/>
                      </w:rPr>
                    </w:pPr>
                    <w:r>
                      <w:rPr>
                        <w:sz w:val="20"/>
                      </w:rPr>
                      <w:t>SAM</w:t>
                    </w:r>
                  </w:p>
                </w:tc>
              </w:tr>
              <w:tr>
                <w:trPr>
                  <w:trHeight w:val="552"/>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P – Sukurti paslaugų teikimo metodikos ir organizacinių procesų aprašai, vnt.</w:t>
                    </w:r>
                  </w:p>
                </w:tc>
                <w:tc>
                  <w:tcPr>
                    <w:tcW w:w="851" w:type="dxa"/>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851" w:type="dxa"/>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851" w:type="dxa"/>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r>
                <w:trPr>
                  <w:trHeight w:val="552"/>
                </w:trPr>
                <w:tc>
                  <w:tcPr>
                    <w:tcW w:w="2410" w:type="dxa"/>
                    <w:vMerge/>
                    <w:shd w:val="clear" w:color="auto" w:fill="auto"/>
                  </w:tcPr>
                  <w:p>
                    <w:pPr>
                      <w:rPr>
                        <w:sz w:val="20"/>
                      </w:rPr>
                    </w:pPr>
                  </w:p>
                </w:tc>
                <w:tc>
                  <w:tcPr>
                    <w:tcW w:w="709" w:type="dxa"/>
                    <w:vMerge/>
                    <w:shd w:val="clear" w:color="auto" w:fill="auto"/>
                  </w:tcPr>
                  <w:p>
                    <w:pPr>
                      <w:rPr>
                        <w:sz w:val="20"/>
                      </w:rPr>
                    </w:pPr>
                  </w:p>
                </w:tc>
                <w:tc>
                  <w:tcPr>
                    <w:tcW w:w="1559" w:type="dxa"/>
                    <w:vMerge/>
                    <w:shd w:val="clear" w:color="auto" w:fill="auto"/>
                  </w:tcPr>
                  <w:p>
                    <w:pPr>
                      <w:rPr>
                        <w:sz w:val="20"/>
                      </w:rPr>
                    </w:pPr>
                  </w:p>
                </w:tc>
                <w:tc>
                  <w:tcPr>
                    <w:tcW w:w="709" w:type="dxa"/>
                    <w:vMerge/>
                    <w:shd w:val="clear" w:color="auto" w:fill="auto"/>
                  </w:tcPr>
                  <w:p>
                    <w:pPr>
                      <w:rPr>
                        <w:sz w:val="20"/>
                      </w:rPr>
                    </w:pPr>
                  </w:p>
                </w:tc>
                <w:tc>
                  <w:tcPr>
                    <w:tcW w:w="992" w:type="dxa"/>
                    <w:vMerge/>
                    <w:shd w:val="clear" w:color="auto" w:fill="auto"/>
                  </w:tcPr>
                  <w:p>
                    <w:pPr>
                      <w:rPr>
                        <w:sz w:val="20"/>
                      </w:rPr>
                    </w:pPr>
                  </w:p>
                </w:tc>
                <w:tc>
                  <w:tcPr>
                    <w:tcW w:w="709" w:type="dxa"/>
                    <w:vMerge/>
                    <w:shd w:val="clear" w:color="auto" w:fill="auto"/>
                  </w:tcPr>
                  <w:p>
                    <w:pPr>
                      <w:jc w:val="center"/>
                      <w:rPr>
                        <w:sz w:val="20"/>
                      </w:rPr>
                    </w:pPr>
                  </w:p>
                </w:tc>
                <w:tc>
                  <w:tcPr>
                    <w:tcW w:w="1276" w:type="dxa"/>
                    <w:vMerge/>
                    <w:shd w:val="clear" w:color="auto" w:fill="auto"/>
                  </w:tcPr>
                  <w:p>
                    <w:pPr>
                      <w:rPr>
                        <w:sz w:val="20"/>
                      </w:rPr>
                    </w:pPr>
                  </w:p>
                </w:tc>
                <w:tc>
                  <w:tcPr>
                    <w:tcW w:w="992" w:type="dxa"/>
                    <w:vMerge/>
                    <w:shd w:val="clear" w:color="auto" w:fill="auto"/>
                  </w:tcPr>
                  <w:p>
                    <w:pPr>
                      <w:rPr>
                        <w:sz w:val="20"/>
                      </w:rPr>
                    </w:pPr>
                  </w:p>
                </w:tc>
                <w:tc>
                  <w:tcPr>
                    <w:tcW w:w="2551" w:type="dxa"/>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851" w:type="dxa"/>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6"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rPr>
                  <w:sz w:val="22"/>
                  <w:szCs w:val="22"/>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de74d06f3d11efa9a4c2046a78b308">
                <w:r w:rsidRPr="00532B9F">
                  <w:rPr>
                    <w:rFonts w:ascii="Times New Roman" w:eastAsia="MS Mincho" w:hAnsi="Times New Roman"/>
                    <w:sz w:val="20"/>
                    <w:i/>
                    <w:iCs/>
                    <w:color w:val="0000FF" w:themeColor="hyperlink"/>
                    <w:u w:val="single"/>
                  </w:rPr>
                  <w:t>V-888</w:t>
                </w:r>
              </w:fldSimple>
              <w:r>
                <w:rPr>
                  <w:rFonts w:ascii="Times New Roman" w:eastAsia="MS Mincho" w:hAnsi="Times New Roman"/>
                  <w:sz w:val="20"/>
                  <w:i/>
                  <w:iCs/>
                </w:rPr>
                <w:t>,
2024-09-10,
paskelbta TAR 2024-09-10, i. k. 2024-15910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sdtContent>
        </w:sdt>
        <w:sdt>
          <w:sdtPr>
            <w:alias w:val="pabaiga"/>
            <w:tag w:val="part_409a53616be741a5b39ea703920f091a"/>
            <w:lock w:val="sdtLocked"/>
            <w:richText/>
          </w:sdtPr>
          <w:sdtContent>
            <w:p>
              <w:pPr>
                <w:jc w:val="center"/>
              </w:pPr>
              <w:r>
                <w:rPr>
                  <w:sz w:val="22"/>
                  <w:szCs w:val="22"/>
                </w:rPr>
                <w:t>________________</w:t>
              </w:r>
            </w:p>
          </w:sdtContent>
        </w:sdt>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(V-1131)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(V-1392)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p4</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(V-151)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(V-1081)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(V-572)</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(V-132)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(V-1131)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(V-1131)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5409"/>
    <o:shapelayout v:ext="edit">
      <o:idmap v:ext="edit" data="1"/>
    </o:shapelayout>
  </w:shapeDefaults>
  <w:decimalSymbol w:val=","/>
  <w:listSeparator w:val=";"/>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webSettings" Target="webSettings.xml"/>
  <Relationship Id="rId12" Type="http://schemas.openxmlformats.org/officeDocument/2006/relationships/image" Target="media/image146.png"/>
  <Relationship Id="rId13" Type="http://schemas.openxmlformats.org/officeDocument/2006/relationships/oleObject" Target="embeddings/oleObject146.bin"/>
  <Relationship Id="rId14" Type="http://schemas.openxmlformats.org/officeDocument/2006/relationships/header" Target="header97.xml"/>
  <Relationship Id="rId15" Type="http://schemas.openxmlformats.org/officeDocument/2006/relationships/header" Target="header98.xml"/>
  <Relationship Id="rId16" Type="http://schemas.openxmlformats.org/officeDocument/2006/relationships/footer" Target="footer97.xml"/>
  <Relationship Id="rId17" Type="http://schemas.openxmlformats.org/officeDocument/2006/relationships/footer" Target="footer98.xml"/>
  <Relationship Id="rId18" Type="http://schemas.openxmlformats.org/officeDocument/2006/relationships/header" Target="header99.xml"/>
  <Relationship Id="rId19" Type="http://schemas.openxmlformats.org/officeDocument/2006/relationships/footer" Target="footer99.xml"/>
  <Relationship Id="rId2" Type="http://schemas.openxmlformats.org/officeDocument/2006/relationships/customXml" Target="../customXml/item2.xml"/>
  <Relationship Id="rId20" Type="http://schemas.openxmlformats.org/officeDocument/2006/relationships/header" Target="header139.xml"/>
  <Relationship Id="rId21" Type="http://schemas.openxmlformats.org/officeDocument/2006/relationships/header" Target="header140.xml"/>
  <Relationship Id="rId22" Type="http://schemas.openxmlformats.org/officeDocument/2006/relationships/footer" Target="footer139.xml"/>
  <Relationship Id="rId23" Type="http://schemas.openxmlformats.org/officeDocument/2006/relationships/footer" Target="footer140.xml"/>
  <Relationship Id="rId24" Type="http://schemas.openxmlformats.org/officeDocument/2006/relationships/header" Target="header141.xml"/>
  <Relationship Id="rId25" Type="http://schemas.openxmlformats.org/officeDocument/2006/relationships/footer" Target="footer141.xml"/>
  <Relationship Id="rId26" Type="http://schemas.openxmlformats.org/officeDocument/2006/relationships/customXml" Target="../customXml/item4.xml"/>
  <Relationship Id="rId3" Type="http://schemas.openxmlformats.org/officeDocument/2006/relationships/customXml" Target="../customXml/item3.xml"/>
  <Relationship Id="rId4" Type="http://schemas.openxmlformats.org/officeDocument/2006/relationships/customXml" Target="../customXml/item6.xml"/>
  <Relationship Id="rId5" Type="http://schemas.openxmlformats.org/officeDocument/2006/relationships/endnotes" Target="endnotes.xml"/>
  <Relationship Id="rId6" Type="http://schemas.openxmlformats.org/officeDocument/2006/relationships/fontTable" Target="fontTable.xml"/>
  <Relationship Id="rId7" Type="http://schemas.openxmlformats.org/officeDocument/2006/relationships/footnotes" Target="footnotes.xml"/>
  <Relationship Id="rId8" Type="http://schemas.openxmlformats.org/officeDocument/2006/relationships/settings" Target="settings.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arts xmlns="http://lrs.lt/TAIS/DocParts">
  <Part Type="pagrindine" DocPartId="f8c1caabe0df49e198502b4b17034264" PartId="fbe7822d34e747e2a3c85f1a862b5105">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b30ab63848c54765864e9b4d7813cc3a">
    <Part Type="skyrius" Nr="1" Title="PLĖTROS PROGRAMOS PAŽANGOS PRIEMONĖS SIEKIAMI REZULTATAI" DocPartId="e80e9b157a5a4ed1972c3b4a13590405" PartId="3cd88d542e3c4ac994befb62ec5e09b1"/>
    <Part Type="skyrius" Nr="II" Title="PLĖTROS PROGRAMOS PAŽANGOS PRIEMONĖS FINANSAVIMO ŠALTINIAI" DocPartId="fdb43120fd5945b0b28f372d3638606d" PartId="1106cf607dad4a3e9b69a66cb720f4d0"/>
    <Part Type="skyrius" Nr="3" Title="PLĖTROS PROGRAMOS PAŽANGOS PRIEMONĖS VEIKLŲ SUVESTINĖ" DocPartId="1bddb33c08254707be163cb39811516b" PartId="88926ed82c0f4680bef77166df1dc7c9"/>
    <Part Type="pabaiga" DocPartId="0439090d9a81489fa451252c8b318e94" PartId="409a53616be741a5b39ea703920f091a"/>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4.xml><?xml version="1.0" encoding="utf-8"?>
<ds:datastoreItem xmlns:ds="http://schemas.openxmlformats.org/officeDocument/2006/customXml" ds:itemID="{8F35C9C9-A828-4E9B-8B2D-9D9D6CE3F0F6}">
  <ds:schemaRefs>
    <ds:schemaRef ds:uri="http://lrs.lt/TAIS/DocParts"/>
  </ds:schemaRefs>
</ds:datastoreItem>
</file>

<file path=customXml/itemProps6.xml><?xml version="1.0" encoding="utf-8"?>
<ds:datastoreItem xmlns:ds="http://schemas.openxmlformats.org/officeDocument/2006/customXml" ds:itemID="{6818B187-4E04-4855-99C5-9773773F0FB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90</TotalTime>
  <Pages>36</Pages>
  <Words>7433</Words>
  <Characters>47944</Characters>
  <Application>Microsoft Office Word</Application>
  <DocSecurity>0</DocSecurity>
  <Lines>399</Lines>
  <Paragraphs>110</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55267</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2025-05-05T08:48:00Z</dcterms:modified>
  <revision>77</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