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38c53cc72e64e39806f6e64bfa99048"/>
        <w:lock w:val="sdtLocked"/>
        <w:richText/>
      </w:sdtPr>
      <w:sdtContent>
        <w:p>
          <w:pPr>
            <w:jc w:val="both"/>
            <w:rPr>
              <w:rFonts w:ascii="Arial" w:hAnsi="Arial"/>
            </w:rPr>
          </w:pPr>
          <w:r>
            <w:rPr>
              <w:rFonts w:ascii="Arial" w:hAnsi="Arial"/>
              <w:b/>
              <w:i/>
            </w:rPr>
            <w:t>Suvestinė redakcija nuo 2024-08-28 iki 2024-09-09</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2022-05-20, i. k. 2022-10683</w:t>
          </w:r>
        </w:p>
        <w:p>
          <w:pPr>
            <w:jc w:val="both"/>
            <w:rPr>
              <w:rFonts w:ascii="Arial" w:hAnsi="Arial"/>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85pt" o:ole="" fillcolor="window">
                <v:imagedata r:id="rId11" o:title=""/>
              </v:shape>
              <o:OLEObject Type="Embed" ProgID="Word.Picture.8" ShapeID="_x0000_i1025" DrawAspect="Content" ObjectID="_0000000001" r:id="rId12"/>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8d04719570ea4e7899eed59ab7a0f072"/>
            <w:lock w:val="sdtLocked"/>
            <w:richText/>
          </w:sdtPr>
          <w:sdtContent>
            <w:p/>
            <w:p/>
            <w:p/>
            <w:p>
              <w:r>
                <w:rPr>
                  <w:szCs w:val="24"/>
                </w:rPr>
                <w:t xml:space="preserve">Sveikatos apsaugos ministras </w:t>
                <w:tab/>
                <w:tab/>
                <w:tab/>
                <w:t xml:space="preserve">   </w:t>
                <w:tab/>
                <w:tab/>
                <w:tab/>
                <w:tab/>
                <w:t xml:space="preserve">  Arūnas Dulkys</w:t>
              </w:r>
            </w:p>
          </w:sdtContent>
        </w:sdt>
      </w:sdtContent>
    </w:sdt>
    <w:sdt>
      <w:sdtPr>
        <w:alias w:val="patvirtinta"/>
        <w:tag w:val="part_14c280c049e8456f9fb493e56e50b766"/>
        <w:lock w:val="sdtLocked"/>
        <w:richText/>
      </w:sdtPr>
      <w:sdtContent>
        <w:p>
          <w:pPr>
            <w:ind w:left="6521"/>
            <w:sectPr>
              <w:headerReference w:type="even" r:id="rId13"/>
              <w:headerReference w:type="default" r:id="rId14"/>
              <w:footerReference w:type="even" r:id="rId15"/>
              <w:footerReference w:type="default" r:id="rId16"/>
              <w:headerReference w:type="first" r:id="rId17"/>
              <w:footerReference w:type="first" r:id="rId18"/>
              <w:pgSz w:w="11906" w:h="16838" w:code="9"/>
              <w:pgMar w:top="851" w:right="567" w:bottom="1134" w:left="992" w:header="567" w:footer="567" w:gutter="0"/>
              <w:pgNumType w:start="1"/>
              <w:cols w:space="1296"/>
              <w:titlePg/>
              <w:docGrid w:linePitch="360"/>
            </w:sectPr>
          </w:pPr>
        </w:p>
        <w:p>
          <w:pPr>
            <w:ind w:left="6521"/>
            <w:rPr>
              <w:sz w:val="22"/>
              <w:szCs w:val="22"/>
            </w:rPr>
          </w:pPr>
          <w:r>
            <w:rPr>
              <w:sz w:val="22"/>
              <w:szCs w:val="22"/>
            </w:rPr>
            <w:t>PATVIRTINTA</w:t>
          </w:r>
        </w:p>
        <w:p>
          <w:pPr>
            <w:ind w:left="6521"/>
            <w:rPr>
              <w:sz w:val="22"/>
              <w:szCs w:val="22"/>
            </w:rPr>
          </w:pPr>
          <w:r>
            <w:rPr>
              <w:sz w:val="22"/>
              <w:szCs w:val="22"/>
            </w:rPr>
            <w:t>Lietuvos Respublikos sveikatos apsaugos ministro 2022 m. gegužės 20 d. įsakymu</w:t>
          </w:r>
        </w:p>
        <w:p>
          <w:pPr>
            <w:ind w:left="6521"/>
            <w:rPr>
              <w:sz w:val="22"/>
              <w:szCs w:val="22"/>
            </w:rPr>
          </w:pPr>
          <w:r>
            <w:rPr>
              <w:sz w:val="22"/>
              <w:szCs w:val="22"/>
            </w:rPr>
            <w:t>Nr. V-988</w:t>
          </w:r>
        </w:p>
        <w:p>
          <w:pPr>
            <w:ind w:left="6521"/>
            <w:rPr>
              <w:sz w:val="22"/>
              <w:szCs w:val="22"/>
            </w:rPr>
          </w:pPr>
          <w:r>
            <w:rPr>
              <w:sz w:val="22"/>
              <w:szCs w:val="22"/>
            </w:rPr>
            <w:t>(Lietuvos Respublikos sveikatos apsaugos ministro 202</w:t>
          </w:r>
          <w:r>
            <w:rPr>
              <w:sz w:val="22"/>
              <w:szCs w:val="22"/>
              <w:lang w:val="nb-NO"/>
            </w:rPr>
            <w:t>4</w:t>
          </w:r>
          <w:r>
            <w:rPr>
              <w:sz w:val="22"/>
              <w:szCs w:val="22"/>
            </w:rPr>
            <w:t xml:space="preserve"> m.  gegužės 20 d. įsakymo Nr. V-572  redakcija)</w:t>
          </w:r>
        </w:p>
        <w:p>
          <w:pPr>
            <w:jc w:val="center"/>
            <w:rPr>
              <w:b/>
              <w:szCs w:val="24"/>
            </w:rPr>
          </w:pPr>
        </w:p>
        <w:p>
          <w:pPr>
            <w:jc w:val="center"/>
            <w:rPr>
              <w:b/>
              <w:sz w:val="22"/>
              <w:szCs w:val="22"/>
              <w:lang w:eastAsia="lt-LT"/>
            </w:rPr>
          </w:pPr>
          <w:sdt>
            <w:sdtPr>
              <w:alias w:val="Pavadinimas"/>
              <w:tag w:val="title_14c280c049e8456f9fb493e56e50b766"/>
              <w:lock w:val="sdtLocked"/>
              <w:richText/>
            </w:sdtPr>
            <w:sdtContent>
              <w:r>
                <w:rPr>
                  <w:b/>
                  <w:bCs/>
                  <w:sz w:val="22"/>
                  <w:szCs w:val="22"/>
                </w:rPr>
                <w:t xml:space="preserve">2022-2030 METŲ PLĖTROS PROGRAMOS VALDYTOJOS LIETUVOS RESPUBLIKOS SVEIKATOS APSAUGOS MINISTERIJOS SVEIKATOS PRIEŽIŪROS KOKYBĖS IR EFEKTYVUMO DIDINIMO PLĖTROS PROGRAMOS </w:t>
              </w:r>
              <w:r>
                <w:rPr>
                  <w:b/>
                  <w:sz w:val="22"/>
                  <w:szCs w:val="22"/>
                </w:rPr>
                <w:t>PAŽANGOS PRIEMONĖS</w:t>
              </w:r>
              <w:r>
                <w:rPr>
                  <w:b/>
                  <w:bCs/>
                  <w:sz w:val="22"/>
                  <w:szCs w:val="22"/>
                  <w:lang w:eastAsia="lt-LT"/>
                </w:rPr>
                <w:t xml:space="preserve"> NR</w:t>
              </w:r>
              <w:r>
                <w:rPr>
                  <w:b/>
                  <w:sz w:val="22"/>
                  <w:szCs w:val="22"/>
                </w:rPr>
                <w:t>. 11-002-02-11-</w:t>
              </w:r>
              <w:r>
                <w:rPr>
                  <w:b/>
                  <w:color w:val="000000"/>
                  <w:sz w:val="22"/>
                  <w:szCs w:val="22"/>
                  <w:lang w:eastAsia="lt-LT"/>
                </w:rPr>
                <w:t xml:space="preserve">01 „GERINTI SVEIKATOS PRIEŽIŪROS PASLAUGŲ KOKYBĘ IR PRIEINAMUMĄ“ </w:t>
              </w:r>
              <w:r>
                <w:rPr>
                  <w:b/>
                  <w:sz w:val="22"/>
                  <w:szCs w:val="22"/>
                  <w:lang w:eastAsia="lt-LT"/>
                </w:rPr>
                <w:t xml:space="preserve">APRAŠAS </w:t>
              </w:r>
            </w:sdtContent>
          </w:sdt>
        </w:p>
        <w:p>
          <w:pPr>
            <w:jc w:val="center"/>
            <w:rPr>
              <w:b/>
              <w:sz w:val="22"/>
              <w:szCs w:val="22"/>
              <w:lang w:eastAsia="lt-LT"/>
            </w:rPr>
          </w:pPr>
        </w:p>
        <w:sdt>
          <w:sdtPr>
            <w:alias w:val="skyrius"/>
            <w:tag w:val="part_cb2e19ccf0f640c7b40cf9cf5a50c66b"/>
            <w:lock w:val="sdtLocked"/>
            <w:richText/>
          </w:sdtPr>
          <w:sdtContent>
            <w:p>
              <w:pPr>
                <w:tabs>
                  <w:tab w:val="left" w:pos="1985"/>
                </w:tabs>
                <w:jc w:val="center"/>
                <w:rPr>
                  <w:b/>
                  <w:bCs/>
                  <w:sz w:val="22"/>
                  <w:szCs w:val="22"/>
                </w:rPr>
              </w:pPr>
              <w:sdt>
                <w:sdtPr>
                  <w:alias w:val="Numeris"/>
                  <w:tag w:val="nr_cb2e19ccf0f640c7b40cf9cf5a50c66b"/>
                  <w:lock w:val="sdtLocked"/>
                  <w:richText/>
                </w:sdtPr>
                <w:sdtContent>
                  <w:r>
                    <w:rPr>
                      <w:b/>
                      <w:bCs/>
                      <w:sz w:val="22"/>
                      <w:szCs w:val="22"/>
                    </w:rPr>
                    <w:t>I</w:t>
                  </w:r>
                </w:sdtContent>
              </w:sdt>
              <w:r>
                <w:rPr>
                  <w:b/>
                  <w:bCs/>
                  <w:sz w:val="22"/>
                  <w:szCs w:val="22"/>
                </w:rPr>
                <w:t xml:space="preserve"> SKYRIUS</w:t>
              </w:r>
            </w:p>
            <w:p>
              <w:pPr>
                <w:jc w:val="center"/>
                <w:rPr>
                  <w:b/>
                  <w:bCs/>
                  <w:lang w:eastAsia="lt-LT"/>
                </w:rPr>
              </w:pPr>
              <w:sdt>
                <w:sdtPr>
                  <w:alias w:val="Pavadinimas"/>
                  <w:tag w:val="title_cb2e19ccf0f640c7b40cf9cf5a50c66b"/>
                  <w:lock w:val="sdtLocked"/>
                  <w:richText/>
                </w:sdtPr>
                <w:sdtContent>
                  <w:r>
                    <w:rPr>
                      <w:b/>
                      <w:bCs/>
                      <w:sz w:val="22"/>
                      <w:szCs w:val="22"/>
                      <w:lang w:eastAsia="lt-LT"/>
                    </w:rPr>
                    <w:t>PLĖTROS PROGRAMOS PAŽANGOS PRIEMONĖS SIEKIAMI REZULTATAI</w:t>
                  </w:r>
                </w:sdtContent>
              </w:sdt>
            </w:p>
            <w:p>
              <w:pPr>
                <w:jc w:val="center"/>
                <w:rPr>
                  <w:b/>
                  <w:bCs/>
                  <w:lang w:eastAsia="lt-LT"/>
                </w:rPr>
              </w:pP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6"/>
                <w:gridCol w:w="1079"/>
                <w:gridCol w:w="2541"/>
                <w:gridCol w:w="1078"/>
                <w:gridCol w:w="1078"/>
                <w:gridCol w:w="945"/>
                <w:gridCol w:w="1079"/>
                <w:gridCol w:w="1344"/>
              </w:tblGrid>
              <w:tr>
                <w:trPr>
                  <w:trHeight w:val="348"/>
                </w:trPr>
                <w:tc>
                  <w:tcPr>
                    <w:tcW w:w="1346" w:type="dxa"/>
                    <w:vMerge w:val="restart"/>
                    <w:shd w:val="clear" w:color="auto" w:fill="DBE5F1" w:themeFill="accent1" w:themeFillTint="33"/>
                    <w:vAlign w:val="center"/>
                  </w:tcPr>
                  <w:p>
                    <w:pPr>
                      <w:jc w:val="center"/>
                      <w:rPr>
                        <w:b/>
                        <w:sz w:val="20"/>
                      </w:rPr>
                    </w:pPr>
                    <w:r>
                      <w:rPr>
                        <w:b/>
                        <w:sz w:val="20"/>
                      </w:rPr>
                      <w:t>Rodiklio kodas</w:t>
                    </w:r>
                  </w:p>
                </w:tc>
                <w:tc>
                  <w:tcPr>
                    <w:tcW w:w="1079" w:type="dxa"/>
                    <w:vMerge w:val="restart"/>
                    <w:shd w:val="clear" w:color="auto" w:fill="DBE5F1" w:themeFill="accent1" w:themeFillTint="33"/>
                  </w:tcPr>
                  <w:p>
                    <w:pPr>
                      <w:jc w:val="center"/>
                      <w:rPr>
                        <w:b/>
                        <w:sz w:val="20"/>
                      </w:rPr>
                    </w:pPr>
                    <w:r>
                      <w:rPr>
                        <w:b/>
                        <w:sz w:val="20"/>
                      </w:rPr>
                      <w:t>Rodiklio tipas (rezultato / produkto)</w:t>
                    </w:r>
                  </w:p>
                </w:tc>
                <w:tc>
                  <w:tcPr>
                    <w:tcW w:w="2541" w:type="dxa"/>
                    <w:vMerge w:val="restart"/>
                    <w:shd w:val="clear" w:color="auto" w:fill="DBE5F1" w:themeFill="accent1" w:themeFillTint="33"/>
                    <w:vAlign w:val="center"/>
                  </w:tcPr>
                  <w:p>
                    <w:pPr>
                      <w:jc w:val="both"/>
                      <w:rPr>
                        <w:b/>
                        <w:sz w:val="20"/>
                      </w:rPr>
                    </w:pPr>
                    <w:r>
                      <w:rPr>
                        <w:b/>
                        <w:sz w:val="20"/>
                      </w:rPr>
                      <w:t>Rodiklio pavadinimas</w:t>
                    </w:r>
                  </w:p>
                </w:tc>
                <w:tc>
                  <w:tcPr>
                    <w:tcW w:w="1078" w:type="dxa"/>
                    <w:vMerge w:val="restart"/>
                    <w:shd w:val="clear" w:color="auto" w:fill="DBE5F1" w:themeFill="accent1" w:themeFillTint="33"/>
                    <w:vAlign w:val="center"/>
                  </w:tcPr>
                  <w:p>
                    <w:pPr>
                      <w:jc w:val="center"/>
                      <w:rPr>
                        <w:b/>
                        <w:sz w:val="20"/>
                      </w:rPr>
                    </w:pPr>
                    <w:r>
                      <w:rPr>
                        <w:b/>
                        <w:sz w:val="20"/>
                      </w:rPr>
                      <w:t>Matavimo vienetas</w:t>
                    </w:r>
                  </w:p>
                </w:tc>
                <w:tc>
                  <w:tcPr>
                    <w:tcW w:w="1078" w:type="dxa"/>
                    <w:vMerge w:val="restart"/>
                    <w:shd w:val="clear" w:color="auto" w:fill="DBE5F1" w:themeFill="accent1" w:themeFillTint="33"/>
                  </w:tcPr>
                  <w:p>
                    <w:pPr>
                      <w:jc w:val="center"/>
                      <w:rPr>
                        <w:b/>
                        <w:sz w:val="20"/>
                      </w:rPr>
                    </w:pPr>
                    <w:r>
                      <w:rPr>
                        <w:b/>
                        <w:sz w:val="20"/>
                      </w:rPr>
                      <w:t>Pradinė rodiklio reikšmė (metai)</w:t>
                    </w:r>
                  </w:p>
                </w:tc>
                <w:tc>
                  <w:tcPr>
                    <w:tcW w:w="2024" w:type="dxa"/>
                    <w:gridSpan w:val="2"/>
                    <w:shd w:val="clear" w:color="auto" w:fill="DBE5F1" w:themeFill="accent1" w:themeFillTint="33"/>
                  </w:tcPr>
                  <w:p>
                    <w:pPr>
                      <w:jc w:val="center"/>
                      <w:rPr>
                        <w:b/>
                        <w:sz w:val="20"/>
                      </w:rPr>
                    </w:pPr>
                    <w:r>
                      <w:rPr>
                        <w:b/>
                        <w:sz w:val="20"/>
                      </w:rPr>
                      <w:t>Siektinos rodiklio reikšmės</w:t>
                    </w:r>
                  </w:p>
                </w:tc>
                <w:tc>
                  <w:tcPr>
                    <w:tcW w:w="1344" w:type="dxa"/>
                    <w:shd w:val="clear" w:color="auto" w:fill="DBE5F1" w:themeFill="accent1" w:themeFillTint="33"/>
                  </w:tcPr>
                  <w:p>
                    <w:pPr>
                      <w:rPr>
                        <w:b/>
                        <w:sz w:val="20"/>
                      </w:rPr>
                    </w:pPr>
                  </w:p>
                </w:tc>
              </w:tr>
              <w:tr>
                <w:trPr>
                  <w:trHeight w:val="852"/>
                </w:trPr>
                <w:tc>
                  <w:tcPr>
                    <w:tcW w:w="1346" w:type="dxa"/>
                    <w:vMerge/>
                    <w:shd w:val="clear" w:color="auto" w:fill="DBE5F1" w:themeFill="accent1" w:themeFillTint="33"/>
                    <w:vAlign w:val="center"/>
                  </w:tcPr>
                  <w:p>
                    <w:pPr>
                      <w:spacing w:line="276" w:lineRule="auto"/>
                      <w:jc w:val="center"/>
                      <w:rPr>
                        <w:b/>
                        <w:sz w:val="20"/>
                      </w:rPr>
                    </w:pPr>
                  </w:p>
                </w:tc>
                <w:tc>
                  <w:tcPr>
                    <w:tcW w:w="1079" w:type="dxa"/>
                    <w:vMerge/>
                    <w:shd w:val="clear" w:color="auto" w:fill="DBE5F1" w:themeFill="accent1" w:themeFillTint="33"/>
                  </w:tcPr>
                  <w:p>
                    <w:pPr>
                      <w:spacing w:line="276" w:lineRule="auto"/>
                      <w:jc w:val="center"/>
                      <w:rPr>
                        <w:b/>
                        <w:sz w:val="20"/>
                      </w:rPr>
                    </w:pPr>
                  </w:p>
                </w:tc>
                <w:tc>
                  <w:tcPr>
                    <w:tcW w:w="2541" w:type="dxa"/>
                    <w:vMerge/>
                    <w:shd w:val="clear" w:color="auto" w:fill="DBE5F1" w:themeFill="accent1" w:themeFillTint="33"/>
                    <w:vAlign w:val="center"/>
                  </w:tcPr>
                  <w:p>
                    <w:pPr>
                      <w:spacing w:line="276" w:lineRule="auto"/>
                      <w:jc w:val="both"/>
                      <w:rPr>
                        <w:b/>
                        <w:sz w:val="20"/>
                      </w:rPr>
                    </w:pPr>
                  </w:p>
                </w:tc>
                <w:tc>
                  <w:tcPr>
                    <w:tcW w:w="1078" w:type="dxa"/>
                    <w:vMerge/>
                    <w:shd w:val="clear" w:color="auto" w:fill="DBE5F1" w:themeFill="accent1" w:themeFillTint="33"/>
                    <w:vAlign w:val="center"/>
                  </w:tcPr>
                  <w:p>
                    <w:pPr>
                      <w:spacing w:line="276" w:lineRule="auto"/>
                      <w:jc w:val="center"/>
                      <w:rPr>
                        <w:b/>
                        <w:sz w:val="20"/>
                      </w:rPr>
                    </w:pPr>
                  </w:p>
                </w:tc>
                <w:tc>
                  <w:tcPr>
                    <w:tcW w:w="1078" w:type="dxa"/>
                    <w:vMerge/>
                    <w:shd w:val="clear" w:color="auto" w:fill="DBE5F1" w:themeFill="accent1" w:themeFillTint="33"/>
                  </w:tcPr>
                  <w:p>
                    <w:pPr>
                      <w:spacing w:line="276" w:lineRule="auto"/>
                      <w:jc w:val="center"/>
                      <w:rPr>
                        <w:b/>
                        <w:sz w:val="20"/>
                      </w:rPr>
                    </w:pPr>
                  </w:p>
                </w:tc>
                <w:tc>
                  <w:tcPr>
                    <w:tcW w:w="945" w:type="dxa"/>
                    <w:shd w:val="clear" w:color="auto" w:fill="DBE5F1" w:themeFill="accent1" w:themeFillTint="33"/>
                  </w:tcPr>
                  <w:p>
                    <w:pPr>
                      <w:jc w:val="center"/>
                      <w:rPr>
                        <w:b/>
                        <w:sz w:val="20"/>
                      </w:rPr>
                    </w:pPr>
                    <w:r>
                      <w:rPr>
                        <w:b/>
                        <w:sz w:val="20"/>
                      </w:rPr>
                      <w:t>Tarpinė reikšmė 2025 m.</w:t>
                    </w:r>
                  </w:p>
                </w:tc>
                <w:tc>
                  <w:tcPr>
                    <w:tcW w:w="1079" w:type="dxa"/>
                    <w:shd w:val="clear" w:color="auto" w:fill="DBE5F1" w:themeFill="accent1" w:themeFillTint="33"/>
                  </w:tcPr>
                  <w:p>
                    <w:pPr>
                      <w:jc w:val="center"/>
                      <w:rPr>
                        <w:b/>
                        <w:sz w:val="20"/>
                      </w:rPr>
                    </w:pPr>
                    <w:r>
                      <w:rPr>
                        <w:b/>
                        <w:sz w:val="20"/>
                      </w:rPr>
                      <w:t>Galutinė reikšmė</w:t>
                    </w:r>
                  </w:p>
                  <w:p>
                    <w:pPr>
                      <w:jc w:val="center"/>
                      <w:rPr>
                        <w:b/>
                        <w:sz w:val="20"/>
                      </w:rPr>
                    </w:pPr>
                    <w:r>
                      <w:rPr>
                        <w:b/>
                        <w:sz w:val="20"/>
                      </w:rPr>
                      <w:t xml:space="preserve">2030 m. </w:t>
                    </w:r>
                  </w:p>
                </w:tc>
                <w:tc>
                  <w:tcPr>
                    <w:tcW w:w="1344" w:type="dxa"/>
                    <w:shd w:val="clear" w:color="auto" w:fill="DBE5F1" w:themeFill="accent1" w:themeFillTint="33"/>
                  </w:tcPr>
                  <w:p>
                    <w:pPr>
                      <w:spacing w:line="276" w:lineRule="auto"/>
                      <w:jc w:val="center"/>
                      <w:rPr>
                        <w:b/>
                        <w:sz w:val="20"/>
                      </w:rPr>
                    </w:pPr>
                    <w:r>
                      <w:rPr>
                        <w:b/>
                        <w:sz w:val="20"/>
                      </w:rPr>
                      <w:t>Finansavimo šaltinis</w:t>
                    </w:r>
                  </w:p>
                </w:tc>
              </w:tr>
              <w:tr>
                <w:trPr>
                  <w:trHeight w:val="193"/>
                </w:trPr>
                <w:tc>
                  <w:tcPr>
                    <w:tcW w:w="1346" w:type="dxa"/>
                    <w:shd w:val="clear" w:color="auto" w:fill="DBE5F1" w:themeFill="accent1" w:themeFillTint="33"/>
                    <w:vAlign w:val="center"/>
                  </w:tcPr>
                  <w:p>
                    <w:pPr>
                      <w:spacing w:line="276" w:lineRule="auto"/>
                      <w:jc w:val="center"/>
                      <w:rPr>
                        <w:b/>
                        <w:sz w:val="20"/>
                      </w:rPr>
                    </w:pPr>
                    <w:r>
                      <w:rPr>
                        <w:b/>
                        <w:sz w:val="20"/>
                      </w:rPr>
                      <w:t>1</w:t>
                    </w:r>
                  </w:p>
                </w:tc>
                <w:tc>
                  <w:tcPr>
                    <w:tcW w:w="1079" w:type="dxa"/>
                    <w:shd w:val="clear" w:color="auto" w:fill="DBE5F1" w:themeFill="accent1" w:themeFillTint="33"/>
                  </w:tcPr>
                  <w:p>
                    <w:pPr>
                      <w:spacing w:line="276" w:lineRule="auto"/>
                      <w:jc w:val="center"/>
                      <w:rPr>
                        <w:b/>
                        <w:sz w:val="20"/>
                      </w:rPr>
                    </w:pPr>
                    <w:r>
                      <w:rPr>
                        <w:b/>
                        <w:sz w:val="20"/>
                      </w:rPr>
                      <w:t>2</w:t>
                    </w:r>
                  </w:p>
                </w:tc>
                <w:tc>
                  <w:tcPr>
                    <w:tcW w:w="2541" w:type="dxa"/>
                    <w:shd w:val="clear" w:color="auto" w:fill="DBE5F1" w:themeFill="accent1" w:themeFillTint="33"/>
                    <w:vAlign w:val="center"/>
                  </w:tcPr>
                  <w:p>
                    <w:pPr>
                      <w:spacing w:line="276" w:lineRule="auto"/>
                      <w:jc w:val="center"/>
                      <w:rPr>
                        <w:b/>
                        <w:sz w:val="20"/>
                      </w:rPr>
                    </w:pPr>
                    <w:r>
                      <w:rPr>
                        <w:b/>
                        <w:sz w:val="20"/>
                      </w:rPr>
                      <w:t>3</w:t>
                    </w:r>
                  </w:p>
                </w:tc>
                <w:tc>
                  <w:tcPr>
                    <w:tcW w:w="1078" w:type="dxa"/>
                    <w:shd w:val="clear" w:color="auto" w:fill="DBE5F1" w:themeFill="accent1" w:themeFillTint="33"/>
                    <w:vAlign w:val="center"/>
                  </w:tcPr>
                  <w:p>
                    <w:pPr>
                      <w:spacing w:line="276" w:lineRule="auto"/>
                      <w:jc w:val="center"/>
                      <w:rPr>
                        <w:b/>
                        <w:sz w:val="20"/>
                      </w:rPr>
                    </w:pPr>
                    <w:r>
                      <w:rPr>
                        <w:b/>
                        <w:sz w:val="20"/>
                      </w:rPr>
                      <w:t>4</w:t>
                    </w:r>
                  </w:p>
                </w:tc>
                <w:tc>
                  <w:tcPr>
                    <w:tcW w:w="1078" w:type="dxa"/>
                    <w:shd w:val="clear" w:color="auto" w:fill="DBE5F1" w:themeFill="accent1" w:themeFillTint="33"/>
                  </w:tcPr>
                  <w:p>
                    <w:pPr>
                      <w:spacing w:line="276" w:lineRule="auto"/>
                      <w:jc w:val="center"/>
                      <w:rPr>
                        <w:b/>
                        <w:sz w:val="20"/>
                      </w:rPr>
                    </w:pPr>
                    <w:r>
                      <w:rPr>
                        <w:b/>
                        <w:sz w:val="20"/>
                      </w:rPr>
                      <w:t>5</w:t>
                    </w:r>
                  </w:p>
                </w:tc>
                <w:tc>
                  <w:tcPr>
                    <w:tcW w:w="945" w:type="dxa"/>
                    <w:shd w:val="clear" w:color="auto" w:fill="DBE5F1" w:themeFill="accent1" w:themeFillTint="33"/>
                  </w:tcPr>
                  <w:p>
                    <w:pPr>
                      <w:jc w:val="center"/>
                      <w:rPr>
                        <w:b/>
                        <w:sz w:val="20"/>
                      </w:rPr>
                    </w:pPr>
                    <w:r>
                      <w:rPr>
                        <w:b/>
                        <w:sz w:val="20"/>
                      </w:rPr>
                      <w:t>6</w:t>
                    </w:r>
                  </w:p>
                </w:tc>
                <w:tc>
                  <w:tcPr>
                    <w:tcW w:w="1079" w:type="dxa"/>
                    <w:shd w:val="clear" w:color="auto" w:fill="DBE5F1" w:themeFill="accent1" w:themeFillTint="33"/>
                  </w:tcPr>
                  <w:p>
                    <w:pPr>
                      <w:jc w:val="center"/>
                      <w:rPr>
                        <w:b/>
                        <w:sz w:val="20"/>
                      </w:rPr>
                    </w:pPr>
                    <w:r>
                      <w:rPr>
                        <w:b/>
                        <w:sz w:val="20"/>
                      </w:rPr>
                      <w:t>7</w:t>
                    </w:r>
                  </w:p>
                </w:tc>
                <w:tc>
                  <w:tcPr>
                    <w:tcW w:w="1344" w:type="dxa"/>
                    <w:shd w:val="clear" w:color="auto" w:fill="DBE5F1" w:themeFill="accent1" w:themeFillTint="33"/>
                  </w:tcPr>
                  <w:p>
                    <w:pPr>
                      <w:spacing w:line="276" w:lineRule="auto"/>
                      <w:jc w:val="center"/>
                      <w:rPr>
                        <w:b/>
                        <w:sz w:val="20"/>
                      </w:rPr>
                    </w:pPr>
                    <w:r>
                      <w:rPr>
                        <w:b/>
                        <w:sz w:val="20"/>
                      </w:rPr>
                      <w:t>8</w:t>
                    </w:r>
                  </w:p>
                </w:tc>
              </w:tr>
              <w:tr>
                <w:trPr>
                  <w:trHeight w:val="330"/>
                </w:trPr>
                <w:tc>
                  <w:tcPr>
                    <w:tcW w:w="1346" w:type="dxa"/>
                    <w:shd w:val="clear" w:color="auto" w:fill="FFFFFF" w:themeFill="background1"/>
                  </w:tcPr>
                  <w:p>
                    <w:pPr>
                      <w:rPr>
                        <w:color w:val="FFFFFF"/>
                        <w:sz w:val="20"/>
                      </w:rPr>
                    </w:pPr>
                    <w:r>
                      <w:rPr>
                        <w:sz w:val="20"/>
                      </w:rPr>
                      <w:t>R-11-002-02-11-01-01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Išvengiamų hospitalizacijų skaičius </w:t>
                    </w:r>
                  </w:p>
                </w:tc>
                <w:tc>
                  <w:tcPr>
                    <w:tcW w:w="1078" w:type="dxa"/>
                    <w:shd w:val="clear" w:color="auto" w:fill="FFFFFF" w:themeFill="background1"/>
                  </w:tcPr>
                  <w:p>
                    <w:pPr>
                      <w:jc w:val="center"/>
                      <w:rPr>
                        <w:color w:val="FFFFFF"/>
                        <w:sz w:val="20"/>
                      </w:rPr>
                    </w:pPr>
                    <w:r>
                      <w:rPr>
                        <w:sz w:val="20"/>
                      </w:rPr>
                      <w:t>Skaičius 1000 gyventojų</w:t>
                    </w:r>
                  </w:p>
                </w:tc>
                <w:tc>
                  <w:tcPr>
                    <w:tcW w:w="1078" w:type="dxa"/>
                    <w:shd w:val="clear" w:color="auto" w:fill="FFFFFF" w:themeFill="background1"/>
                  </w:tcPr>
                  <w:p>
                    <w:pPr>
                      <w:jc w:val="center"/>
                      <w:rPr>
                        <w:sz w:val="20"/>
                      </w:rPr>
                    </w:pPr>
                    <w:r>
                      <w:rPr>
                        <w:sz w:val="20"/>
                      </w:rPr>
                      <w:t>31,4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17</w:t>
                    </w:r>
                  </w:p>
                </w:tc>
                <w:tc>
                  <w:tcPr>
                    <w:tcW w:w="1079" w:type="dxa"/>
                    <w:shd w:val="clear" w:color="auto" w:fill="FFFFFF" w:themeFill="background1"/>
                  </w:tcPr>
                  <w:p>
                    <w:pPr>
                      <w:jc w:val="center"/>
                      <w:rPr>
                        <w:sz w:val="20"/>
                        <w:lang w:val="en-US"/>
                      </w:rPr>
                    </w:pPr>
                    <w:r>
                      <w:rPr>
                        <w:sz w:val="20"/>
                        <w:lang w:val="en-US"/>
                      </w:rPr>
                      <w:t>16</w:t>
                    </w:r>
                  </w:p>
                  <w:p>
                    <w:pPr>
                      <w:jc w:val="center"/>
                      <w:rPr>
                        <w:color w:val="FFFFFF"/>
                        <w:sz w:val="20"/>
                      </w:rPr>
                    </w:pPr>
                    <w:r>
                      <w:rPr>
                        <w:sz w:val="20"/>
                        <w:lang w:val="en-US"/>
                      </w:rPr>
                      <w:t>(2 029 m.)</w:t>
                    </w:r>
                  </w:p>
                </w:tc>
                <w:tc>
                  <w:tcPr>
                    <w:tcW w:w="1344" w:type="dxa"/>
                    <w:shd w:val="clear" w:color="auto" w:fill="FFFFFF" w:themeFill="background1"/>
                  </w:tcPr>
                  <w:p>
                    <w:pPr>
                      <w:jc w:val="center"/>
                      <w:rPr>
                        <w:bCs/>
                        <w:sz w:val="20"/>
                      </w:rPr>
                    </w:pPr>
                    <w:r>
                      <w:rPr>
                        <w:bCs/>
                        <w:sz w:val="20"/>
                      </w:rPr>
                      <w:t>Ekonomikos gaivinimo ir atsparumo didinimo priemonės lėšos (toliau – EGADP); 2021–2027 m. Europos Sąjungos fondų investicijų programos lėšos (toliau – 2021</w:t>
                    </w:r>
                    <w:r>
                      <w:rPr>
                        <w:color w:val="000000"/>
                        <w:szCs w:val="24"/>
                      </w:rPr>
                      <w:t>–</w:t>
                    </w:r>
                    <w:r>
                      <w:rPr>
                        <w:bCs/>
                        <w:sz w:val="20"/>
                      </w:rPr>
                      <w:t xml:space="preserve">2027 m. IP) </w:t>
                    </w:r>
                  </w:p>
                  <w:p>
                    <w:pPr>
                      <w:jc w:val="center"/>
                      <w:rPr>
                        <w:color w:val="FFFFFF"/>
                        <w:sz w:val="20"/>
                      </w:rPr>
                    </w:pPr>
                    <w:r>
                      <w:rPr>
                        <w:bCs/>
                        <w:sz w:val="20"/>
                      </w:rPr>
                      <w:t xml:space="preserve">Europos regioninės plėtros fondas (toliau </w:t>
                    </w:r>
                    <w:r>
                      <w:rPr>
                        <w:color w:val="000000"/>
                        <w:szCs w:val="24"/>
                      </w:rPr>
                      <w:t>–</w:t>
                    </w:r>
                    <w:r>
                      <w:rPr>
                        <w:bCs/>
                        <w:sz w:val="20"/>
                      </w:rPr>
                      <w:t xml:space="preserve"> ERPF))  </w:t>
                    </w:r>
                  </w:p>
                </w:tc>
              </w:tr>
              <w:tr>
                <w:trPr>
                  <w:trHeight w:val="330"/>
                </w:trPr>
                <w:tc>
                  <w:tcPr>
                    <w:tcW w:w="1346" w:type="dxa"/>
                    <w:shd w:val="clear" w:color="auto" w:fill="FFFFFF" w:themeFill="background1"/>
                  </w:tcPr>
                  <w:p>
                    <w:pPr>
                      <w:rPr>
                        <w:color w:val="FFFFFF"/>
                        <w:sz w:val="20"/>
                      </w:rPr>
                    </w:pPr>
                    <w:r>
                      <w:rPr>
                        <w:sz w:val="20"/>
                      </w:rPr>
                      <w:t>R-11-002-02-11-01-02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Šeimos gydytojo ir jo komandos narių suteiktų sveikatos priežiūros paslaugų santykis</w:t>
                    </w:r>
                    <w:r>
                      <w:rPr>
                        <w:sz w:val="20"/>
                        <w:vertAlign w:val="superscript"/>
                      </w:rPr>
                      <w:t>1</w:t>
                    </w:r>
                  </w:p>
                </w:tc>
                <w:tc>
                  <w:tcPr>
                    <w:tcW w:w="1078" w:type="dxa"/>
                    <w:shd w:val="clear" w:color="auto" w:fill="FFFFFF" w:themeFill="background1"/>
                  </w:tcPr>
                  <w:p>
                    <w:pPr>
                      <w:jc w:val="center"/>
                      <w:rPr>
                        <w:color w:val="FFFFFF"/>
                        <w:sz w:val="20"/>
                      </w:rPr>
                    </w:pPr>
                    <w:r>
                      <w:rPr>
                        <w:sz w:val="20"/>
                      </w:rPr>
                      <w:t>Santykis</w:t>
                    </w:r>
                  </w:p>
                </w:tc>
                <w:tc>
                  <w:tcPr>
                    <w:tcW w:w="1078" w:type="dxa"/>
                    <w:shd w:val="clear" w:color="auto" w:fill="FFFFFF" w:themeFill="background1"/>
                  </w:tcPr>
                  <w:p>
                    <w:pPr>
                      <w:jc w:val="center"/>
                      <w:rPr>
                        <w:sz w:val="20"/>
                      </w:rPr>
                    </w:pPr>
                    <w:r>
                      <w:rPr>
                        <w:sz w:val="20"/>
                      </w:rPr>
                      <w:t>86/14</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 xml:space="preserve">60/40 </w:t>
                    </w:r>
                  </w:p>
                  <w:p>
                    <w:pPr>
                      <w:jc w:val="center"/>
                      <w:rPr>
                        <w:color w:val="FFFFFF"/>
                        <w:sz w:val="20"/>
                      </w:rPr>
                    </w:pPr>
                  </w:p>
                </w:tc>
                <w:tc>
                  <w:tcPr>
                    <w:tcW w:w="1079" w:type="dxa"/>
                    <w:shd w:val="clear" w:color="auto" w:fill="FFFFFF" w:themeFill="background1"/>
                  </w:tcPr>
                  <w:p>
                    <w:pPr>
                      <w:jc w:val="center"/>
                      <w:rPr>
                        <w:sz w:val="20"/>
                      </w:rPr>
                    </w:pPr>
                    <w:r>
                      <w:rPr>
                        <w:sz w:val="20"/>
                      </w:rPr>
                      <w:t>40/60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sz w:val="20"/>
                      </w:rPr>
                    </w:pPr>
                    <w:r>
                      <w:rPr>
                        <w:sz w:val="20"/>
                      </w:rPr>
                      <w:t>R-11-002-02-11-01-03</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Tikslinių grupių asmenų, kurių gyvenimo kokybė pagerėjo gavus naujas ar patobulintas psichikos sveikatos priežiūros paslaugas,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2021–2027 m. IP (Europos socialinis fondas + (toliau – ESF+))</w:t>
                    </w:r>
                  </w:p>
                </w:tc>
              </w:tr>
              <w:tr>
                <w:trPr>
                  <w:trHeight w:val="330"/>
                </w:trPr>
                <w:tc>
                  <w:tcPr>
                    <w:tcW w:w="1346" w:type="dxa"/>
                    <w:shd w:val="clear" w:color="auto" w:fill="FFFFFF" w:themeFill="background1"/>
                  </w:tcPr>
                  <w:p>
                    <w:pPr>
                      <w:rPr>
                        <w:color w:val="FFFFFF"/>
                        <w:sz w:val="20"/>
                      </w:rPr>
                    </w:pPr>
                    <w:r>
                      <w:rPr>
                        <w:sz w:val="20"/>
                      </w:rPr>
                      <w:t>R-11-002-02-11-01-04</w:t>
                    </w:r>
                  </w:p>
                </w:tc>
                <w:tc>
                  <w:tcPr>
                    <w:tcW w:w="1079" w:type="dxa"/>
                    <w:shd w:val="clear" w:color="auto" w:fill="FFFFFF" w:themeFill="background1"/>
                  </w:tcPr>
                  <w:p>
                    <w:pPr>
                      <w:rPr>
                        <w:color w:val="FFFFFF"/>
                        <w:sz w:val="20"/>
                      </w:rPr>
                    </w:pPr>
                    <w:r>
                      <w:rPr>
                        <w:sz w:val="20"/>
                      </w:rPr>
                      <w:t xml:space="preserve">Rezultato </w:t>
                    </w:r>
                  </w:p>
                </w:tc>
                <w:tc>
                  <w:tcPr>
                    <w:tcW w:w="2541" w:type="dxa"/>
                    <w:shd w:val="clear" w:color="auto" w:fill="FFFFFF" w:themeFill="background1"/>
                  </w:tcPr>
                  <w:p>
                    <w:pPr>
                      <w:rPr>
                        <w:color w:val="FFFFFF"/>
                        <w:sz w:val="20"/>
                      </w:rPr>
                    </w:pPr>
                    <w:r>
                      <w:rPr>
                        <w:sz w:val="20"/>
                      </w:rPr>
                      <w:t xml:space="preserve">Ambulatorines ilgalaikės priežiūros paslaugas gaunančių pacientų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30</w:t>
                    </w:r>
                  </w:p>
                  <w:p>
                    <w:pPr>
                      <w:jc w:val="center"/>
                      <w:rPr>
                        <w:sz w:val="20"/>
                      </w:rPr>
                    </w:pPr>
                    <w:r>
                      <w:rPr>
                        <w:sz w:val="20"/>
                      </w:rPr>
                      <w:t>(2025 m. II ketv.)</w:t>
                    </w:r>
                  </w:p>
                  <w:p>
                    <w:pPr>
                      <w:jc w:val="center"/>
                      <w:rPr>
                        <w:color w:val="FFFFFF"/>
                        <w:sz w:val="20"/>
                      </w:rPr>
                    </w:pPr>
                  </w:p>
                </w:tc>
                <w:tc>
                  <w:tcPr>
                    <w:tcW w:w="1079" w:type="dxa"/>
                    <w:shd w:val="clear" w:color="auto" w:fill="FFFFFF" w:themeFill="background1"/>
                  </w:tcPr>
                  <w:p>
                    <w:pPr>
                      <w:jc w:val="center"/>
                      <w:rPr>
                        <w:sz w:val="20"/>
                      </w:rPr>
                    </w:pPr>
                    <w:r>
                      <w:rPr>
                        <w:sz w:val="20"/>
                      </w:rPr>
                      <w:t>60</w:t>
                    </w:r>
                  </w:p>
                  <w:p>
                    <w:pPr>
                      <w:jc w:val="center"/>
                      <w:rPr>
                        <w:sz w:val="20"/>
                      </w:rPr>
                    </w:pPr>
                    <w:r>
                      <w:rPr>
                        <w:sz w:val="20"/>
                      </w:rPr>
                      <w:t>(2026 m. 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 xml:space="preserve">EGADP </w:t>
                    </w:r>
                  </w:p>
                </w:tc>
              </w:tr>
              <w:tr>
                <w:trPr>
                  <w:trHeight w:val="330"/>
                </w:trPr>
                <w:tc>
                  <w:tcPr>
                    <w:tcW w:w="1346" w:type="dxa"/>
                    <w:shd w:val="clear" w:color="auto" w:fill="FFFFFF" w:themeFill="background1"/>
                  </w:tcPr>
                  <w:p>
                    <w:pPr>
                      <w:rPr>
                        <w:color w:val="FFFFFF"/>
                        <w:sz w:val="20"/>
                      </w:rPr>
                    </w:pPr>
                    <w:r>
                      <w:rPr>
                        <w:sz w:val="20"/>
                      </w:rPr>
                      <w:t>R-11-002-02-11-01-05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Mirštamumas nuo miokardo infarkto per 30 dienų nuo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13,3</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11,5</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9</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sz w:val="20"/>
                      </w:rPr>
                      <w:t>2021</w:t>
                    </w:r>
                    <w:r>
                      <w:rPr>
                        <w:color w:val="000000"/>
                        <w:szCs w:val="24"/>
                      </w:rPr>
                      <w:t>–</w:t>
                    </w:r>
                    <w:r>
                      <w:rPr>
                        <w:sz w:val="20"/>
                      </w:rPr>
                      <w:t>2027 m. IP (ERPF, ESF+)</w:t>
                    </w:r>
                  </w:p>
                </w:tc>
              </w:tr>
              <w:tr>
                <w:trPr>
                  <w:trHeight w:val="330"/>
                </w:trPr>
                <w:tc>
                  <w:tcPr>
                    <w:tcW w:w="1346" w:type="dxa"/>
                    <w:shd w:val="clear" w:color="auto" w:fill="FFFFFF" w:themeFill="background1"/>
                  </w:tcPr>
                  <w:p>
                    <w:pPr>
                      <w:rPr>
                        <w:color w:val="FFFFFF"/>
                        <w:sz w:val="20"/>
                      </w:rPr>
                    </w:pPr>
                    <w:r>
                      <w:rPr>
                        <w:sz w:val="20"/>
                      </w:rPr>
                      <w:t>R-11-002-02-11-01-06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Mirštamumas nuo išeminio galvos smegenų insulto per 30 dienų po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18,24</w:t>
                    </w:r>
                  </w:p>
                  <w:p>
                    <w:pPr>
                      <w:jc w:val="center"/>
                      <w:rPr>
                        <w:color w:val="FFFFFF"/>
                        <w:sz w:val="20"/>
                      </w:rPr>
                    </w:pPr>
                    <w:r>
                      <w:rPr>
                        <w:sz w:val="20"/>
                      </w:rPr>
                      <w:t xml:space="preserve">(2019 m.)  </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12</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(ERPF, ESF+)</w:t>
                    </w:r>
                  </w:p>
                  <w:p>
                    <w:pPr>
                      <w:jc w:val="center"/>
                      <w:rPr>
                        <w:color w:val="FFFFFF"/>
                        <w:sz w:val="20"/>
                      </w:rPr>
                    </w:pPr>
                    <w:r>
                      <w:rPr>
                        <w:color w:val="FFFFFF"/>
                        <w:sz w:val="20"/>
                      </w:rPr>
                      <w:t>EFPR; ESF+</w:t>
                    </w:r>
                  </w:p>
                </w:tc>
              </w:tr>
              <w:tr>
                <w:trPr>
                  <w:trHeight w:val="330"/>
                </w:trPr>
                <w:tc>
                  <w:tcPr>
                    <w:tcW w:w="1346" w:type="dxa"/>
                    <w:shd w:val="clear" w:color="auto" w:fill="FFFFFF" w:themeFill="background1"/>
                  </w:tcPr>
                  <w:p>
                    <w:pPr>
                      <w:rPr>
                        <w:color w:val="FFFFFF"/>
                        <w:sz w:val="20"/>
                      </w:rPr>
                    </w:pPr>
                    <w:r>
                      <w:rPr>
                        <w:sz w:val="20"/>
                      </w:rPr>
                      <w:t>R-11-002-02-11-01-07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kuriems onkologinė liga diagnozuota ankstyvoje stadijoje (I–II st.), dalis</w:t>
                    </w:r>
                    <w:r>
                      <w:rPr>
                        <w:sz w:val="20"/>
                        <w:vertAlign w:val="superscript"/>
                      </w:rPr>
                      <w:t>1</w:t>
                    </w:r>
                  </w:p>
                </w:tc>
                <w:tc>
                  <w:tcPr>
                    <w:tcW w:w="1078" w:type="dxa"/>
                    <w:shd w:val="clear" w:color="auto" w:fill="FFFFFF" w:themeFill="background1"/>
                  </w:tcPr>
                  <w:p>
                    <w:pPr>
                      <w:jc w:val="center"/>
                      <w:rPr>
                        <w:color w:val="FFFFFF"/>
                        <w:sz w:val="20"/>
                      </w:rPr>
                    </w:pPr>
                    <w:r>
                      <w:rPr>
                        <w:sz w:val="20"/>
                      </w:rPr>
                      <w:t>Proc. nuo visų naujai diagnozuo-tų navikų</w:t>
                    </w:r>
                  </w:p>
                </w:tc>
                <w:tc>
                  <w:tcPr>
                    <w:tcW w:w="1078" w:type="dxa"/>
                    <w:shd w:val="clear" w:color="auto" w:fill="FFFFFF" w:themeFill="background1"/>
                  </w:tcPr>
                  <w:p>
                    <w:pPr>
                      <w:jc w:val="center"/>
                      <w:rPr>
                        <w:sz w:val="20"/>
                      </w:rPr>
                    </w:pPr>
                    <w:r>
                      <w:rPr>
                        <w:sz w:val="20"/>
                      </w:rPr>
                      <w:t>47,0</w:t>
                    </w:r>
                  </w:p>
                  <w:p>
                    <w:pPr>
                      <w:jc w:val="center"/>
                      <w:rPr>
                        <w:color w:val="FFFFFF"/>
                        <w:sz w:val="20"/>
                      </w:rPr>
                    </w:pPr>
                    <w:r>
                      <w:rPr>
                        <w:sz w:val="20"/>
                      </w:rPr>
                      <w:t>(2014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60,0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R-11-002-02-11-01-08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Bendras 5 metų išgyvenamumas sergant krūties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77,1</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rPr>
                    </w:pPr>
                    <w:r>
                      <w:rPr>
                        <w:sz w:val="20"/>
                      </w:rPr>
                      <w:t>83</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valstybės biudžeto lėšos (toliau –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R-11-002-02-11-01-09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5 metų išgyvenamumas sergant gimdos kaklelio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62,9</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64,8</w:t>
                    </w:r>
                  </w:p>
                  <w:p>
                    <w:pPr>
                      <w:jc w:val="center"/>
                      <w:rPr>
                        <w:color w:val="FFFFFF"/>
                        <w:sz w:val="20"/>
                      </w:rPr>
                    </w:pPr>
                  </w:p>
                </w:tc>
                <w:tc>
                  <w:tcPr>
                    <w:tcW w:w="1079" w:type="dxa"/>
                    <w:shd w:val="clear" w:color="auto" w:fill="FFFFFF" w:themeFill="background1"/>
                  </w:tcPr>
                  <w:p>
                    <w:pPr>
                      <w:jc w:val="center"/>
                      <w:rPr>
                        <w:sz w:val="20"/>
                      </w:rPr>
                    </w:pPr>
                    <w:r>
                      <w:rPr>
                        <w:sz w:val="20"/>
                      </w:rPr>
                      <w:t>67,9</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Vyrų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rPr>
                    </w:pPr>
                    <w:r>
                      <w:rPr>
                        <w:sz w:val="20"/>
                      </w:rPr>
                      <w:t>55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r>
                      <w:rPr>
                        <w:color w:val="FFFFFF"/>
                        <w:sz w:val="20"/>
                      </w:rPr>
                      <w:t>ESF+; VB</w:t>
                    </w:r>
                  </w:p>
                </w:tc>
              </w:tr>
              <w:tr>
                <w:trPr>
                  <w:trHeight w:val="330"/>
                </w:trPr>
                <w:tc>
                  <w:tcPr>
                    <w:tcW w:w="1346" w:type="dxa"/>
                    <w:shd w:val="clear" w:color="auto" w:fill="FFFFFF" w:themeFill="background1"/>
                  </w:tcPr>
                  <w:p>
                    <w:pPr>
                      <w:rPr>
                        <w:color w:val="FFFFFF"/>
                        <w:sz w:val="20"/>
                      </w:rPr>
                    </w:pPr>
                    <w:r>
                      <w:rPr>
                        <w:sz w:val="20"/>
                      </w:rPr>
                      <w:t>R-11-002-02-11-01-11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Moterų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57,5</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59</w:t>
                    </w:r>
                  </w:p>
                  <w:p>
                    <w:pPr>
                      <w:jc w:val="center"/>
                      <w:rPr>
                        <w:color w:val="FFFFFF"/>
                        <w:sz w:val="20"/>
                      </w:rPr>
                    </w:pPr>
                  </w:p>
                </w:tc>
                <w:tc>
                  <w:tcPr>
                    <w:tcW w:w="1079" w:type="dxa"/>
                    <w:shd w:val="clear" w:color="auto" w:fill="FFFFFF" w:themeFill="background1"/>
                  </w:tcPr>
                  <w:p>
                    <w:pPr>
                      <w:jc w:val="center"/>
                      <w:rPr>
                        <w:sz w:val="20"/>
                      </w:rPr>
                    </w:pPr>
                    <w:r>
                      <w:rPr>
                        <w:sz w:val="20"/>
                      </w:rPr>
                      <w:t>62,5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Efektyvių organų donorų skaičius 1 mln. gyventojų</w:t>
                    </w:r>
                    <w:r>
                      <w:rPr>
                        <w:sz w:val="20"/>
                        <w:vertAlign w:val="superscript"/>
                      </w:rPr>
                      <w:t>1</w:t>
                    </w:r>
                  </w:p>
                </w:tc>
                <w:tc>
                  <w:tcPr>
                    <w:tcW w:w="1078" w:type="dxa"/>
                    <w:shd w:val="clear" w:color="auto" w:fill="FFFFFF" w:themeFill="background1"/>
                  </w:tcPr>
                  <w:p>
                    <w:pPr>
                      <w:jc w:val="center"/>
                      <w:rPr>
                        <w:color w:val="FFFFFF"/>
                        <w:sz w:val="20"/>
                      </w:rPr>
                    </w:pPr>
                    <w:r>
                      <w:rPr>
                        <w:sz w:val="20"/>
                      </w:rPr>
                      <w:t>Vnt.</w:t>
                    </w:r>
                  </w:p>
                </w:tc>
                <w:tc>
                  <w:tcPr>
                    <w:tcW w:w="1078" w:type="dxa"/>
                    <w:shd w:val="clear" w:color="auto" w:fill="FFFFFF" w:themeFill="background1"/>
                  </w:tcPr>
                  <w:p>
                    <w:pPr>
                      <w:jc w:val="center"/>
                      <w:rPr>
                        <w:sz w:val="20"/>
                      </w:rPr>
                    </w:pPr>
                    <w:r>
                      <w:rPr>
                        <w:sz w:val="20"/>
                      </w:rPr>
                      <w:t>18,6</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25</w:t>
                    </w:r>
                  </w:p>
                  <w:p>
                    <w:pPr>
                      <w:jc w:val="center"/>
                      <w:rPr>
                        <w:color w:val="FFFFFF"/>
                        <w:sz w:val="20"/>
                      </w:rPr>
                    </w:pPr>
                  </w:p>
                </w:tc>
                <w:tc>
                  <w:tcPr>
                    <w:tcW w:w="1079" w:type="dxa"/>
                    <w:shd w:val="clear" w:color="auto" w:fill="FFFFFF" w:themeFill="background1"/>
                  </w:tcPr>
                  <w:p>
                    <w:pPr>
                      <w:jc w:val="center"/>
                      <w:rPr>
                        <w:sz w:val="20"/>
                      </w:rPr>
                    </w:pPr>
                    <w:r>
                      <w:rPr>
                        <w:sz w:val="20"/>
                      </w:rPr>
                      <w:t>30</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(ERPF)</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R-11-002-02-11-01-13</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chirurgijos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56 169</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65360 </w:t>
                    </w:r>
                  </w:p>
                </w:tc>
                <w:tc>
                  <w:tcPr>
                    <w:tcW w:w="1079" w:type="dxa"/>
                    <w:shd w:val="clear" w:color="auto" w:fill="FFFFFF" w:themeFill="background1"/>
                  </w:tcPr>
                  <w:p>
                    <w:pPr>
                      <w:jc w:val="center"/>
                      <w:rPr>
                        <w:color w:val="FFFFFF"/>
                        <w:sz w:val="20"/>
                      </w:rPr>
                    </w:pPr>
                    <w:r>
                      <w:rPr>
                        <w:sz w:val="20"/>
                        <w:lang w:val="en-US"/>
                      </w:rPr>
                      <w:t xml:space="preserve">73 020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stacionaro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241 495</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307358 </w:t>
                    </w:r>
                  </w:p>
                </w:tc>
                <w:tc>
                  <w:tcPr>
                    <w:tcW w:w="1079" w:type="dxa"/>
                    <w:shd w:val="clear" w:color="auto" w:fill="FFFFFF" w:themeFill="background1"/>
                  </w:tcPr>
                  <w:p>
                    <w:pPr>
                      <w:jc w:val="center"/>
                      <w:rPr>
                        <w:color w:val="FFFFFF"/>
                        <w:sz w:val="20"/>
                      </w:rPr>
                    </w:pPr>
                    <w:r>
                      <w:rPr>
                        <w:sz w:val="20"/>
                        <w:lang w:val="en-US"/>
                      </w:rPr>
                      <w:t xml:space="preserve">362 243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Stacionarinio aktyvaus gydymo atvejų skaičiaus sumažėjimas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color w:val="FFFFFF"/>
                        <w:sz w:val="20"/>
                      </w:rPr>
                    </w:pPr>
                    <w:r>
                      <w:rPr>
                        <w:sz w:val="20"/>
                      </w:rPr>
                      <w:t>616 734 (2019 m.)</w:t>
                    </w:r>
                  </w:p>
                </w:tc>
                <w:tc>
                  <w:tcPr>
                    <w:tcW w:w="945" w:type="dxa"/>
                    <w:shd w:val="clear" w:color="auto" w:fill="FFFFFF" w:themeFill="background1"/>
                  </w:tcPr>
                  <w:p>
                    <w:pPr>
                      <w:jc w:val="center"/>
                      <w:rPr>
                        <w:color w:val="FFFFFF"/>
                        <w:sz w:val="20"/>
                      </w:rPr>
                    </w:pPr>
                    <w:r>
                      <w:rPr>
                        <w:sz w:val="20"/>
                      </w:rPr>
                      <w:t>515814</w:t>
                    </w:r>
                    <w:r>
                      <w:rPr>
                        <w:sz w:val="20"/>
                        <w:lang w:val="en-US"/>
                      </w:rPr>
                      <w:t xml:space="preserve"> </w:t>
                    </w:r>
                  </w:p>
                </w:tc>
                <w:tc>
                  <w:tcPr>
                    <w:tcW w:w="1079" w:type="dxa"/>
                    <w:shd w:val="clear" w:color="auto" w:fill="FFFFFF" w:themeFill="background1"/>
                  </w:tcPr>
                  <w:p>
                    <w:pPr>
                      <w:jc w:val="center"/>
                      <w:rPr>
                        <w:sz w:val="20"/>
                        <w:lang w:val="en-US"/>
                      </w:rPr>
                    </w:pPr>
                    <w:r>
                      <w:rPr>
                        <w:sz w:val="20"/>
                        <w:lang w:val="en-US"/>
                      </w:rPr>
                      <w:t>431 714</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667"/>
                </w:trPr>
                <w:tc>
                  <w:tcPr>
                    <w:tcW w:w="1346" w:type="dxa"/>
                    <w:shd w:val="clear" w:color="auto" w:fill="FFFFFF" w:themeFill="background1"/>
                  </w:tcPr>
                  <w:p>
                    <w:pPr>
                      <w:rPr>
                        <w:color w:val="FFFFFF"/>
                        <w:sz w:val="20"/>
                      </w:rPr>
                    </w:pPr>
                    <w:r>
                      <w:rPr>
                        <w:sz w:val="20"/>
                      </w:rPr>
                      <w:t>R-11-002-02-11-01-16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Aktyvaus gydymo lovų užimtumas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73</w:t>
                    </w:r>
                  </w:p>
                  <w:p>
                    <w:pPr>
                      <w:jc w:val="center"/>
                      <w:rPr>
                        <w:color w:val="FFFFFF"/>
                        <w:sz w:val="20"/>
                      </w:rPr>
                    </w:pPr>
                    <w:r>
                      <w:rPr>
                        <w:sz w:val="20"/>
                      </w:rPr>
                      <w:t>(2018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82</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gavusių tęstines ambulatorines ir (ar) dienos stacionaro psichikos sveikatos paslaugas per 30 dienų nuo išrašymo iš stacionaro,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50,2</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60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Gyventojų, dėl laukimo laiko (ilgų eilių) atidėjusių kreipimąsi dėl sveikatos priežiūros paslaugų,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19,7</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 ESF+)</w:t>
                    </w:r>
                  </w:p>
                </w:tc>
              </w:tr>
              <w:tr>
                <w:trPr>
                  <w:trHeight w:val="330"/>
                </w:trPr>
                <w:tc>
                  <w:tcPr>
                    <w:tcW w:w="1346" w:type="dxa"/>
                    <w:shd w:val="clear" w:color="auto" w:fill="FFFFFF" w:themeFill="background1"/>
                  </w:tcPr>
                  <w:p>
                    <w:pPr>
                      <w:rPr>
                        <w:color w:val="FFFFFF"/>
                        <w:sz w:val="20"/>
                      </w:rPr>
                    </w:pPr>
                    <w:r>
                      <w:rPr>
                        <w:sz w:val="20"/>
                      </w:rPr>
                      <w:t>R-11-002-02-11-01-19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Greitosios medicinos pagalbos skubių įvykdytų iškvietimų paslaugų, suteiktų per 15 min. (mieste),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91,4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sz w:val="20"/>
                      </w:rPr>
                      <w:t>2021</w:t>
                    </w:r>
                    <w:r>
                      <w:rPr>
                        <w:color w:val="000000"/>
                        <w:szCs w:val="24"/>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R-11-002-02-11-01-20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Greitosios medicinos pagalbos skubių įvykdytų iškvietimų paslaugų, suteiktų per 25 min. (kaime), dalis</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81,6</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R-11-002-02-11-01-21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Slaugytojų, tenkančių vienam gydytojui, skaičius</w:t>
                    </w:r>
                    <w:r>
                      <w:rPr>
                        <w:sz w:val="20"/>
                        <w:vertAlign w:val="superscript"/>
                      </w:rPr>
                      <w:t>1</w:t>
                    </w:r>
                  </w:p>
                </w:tc>
                <w:tc>
                  <w:tcPr>
                    <w:tcW w:w="1078" w:type="dxa"/>
                    <w:shd w:val="clear" w:color="auto" w:fill="FFFFFF" w:themeFill="background1"/>
                  </w:tcPr>
                  <w:p>
                    <w:pPr>
                      <w:jc w:val="center"/>
                      <w:rPr>
                        <w:color w:val="FFFFFF"/>
                        <w:sz w:val="20"/>
                      </w:rPr>
                    </w:pPr>
                    <w:r>
                      <w:rPr>
                        <w:sz w:val="20"/>
                      </w:rPr>
                      <w:t>Skaičius</w:t>
                    </w:r>
                  </w:p>
                </w:tc>
                <w:tc>
                  <w:tcPr>
                    <w:tcW w:w="1078" w:type="dxa"/>
                    <w:shd w:val="clear" w:color="auto" w:fill="FFFFFF" w:themeFill="background1"/>
                  </w:tcPr>
                  <w:p>
                    <w:pPr>
                      <w:jc w:val="center"/>
                      <w:rPr>
                        <w:sz w:val="20"/>
                      </w:rPr>
                    </w:pPr>
                    <w:r>
                      <w:rPr>
                        <w:sz w:val="20"/>
                      </w:rPr>
                      <w:t>1,8</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2,5</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w:t>
                    </w:r>
                  </w:p>
                </w:tc>
              </w:tr>
              <w:tr>
                <w:trPr>
                  <w:trHeight w:val="330"/>
                </w:trPr>
                <w:tc>
                  <w:tcPr>
                    <w:tcW w:w="1346" w:type="dxa"/>
                    <w:shd w:val="clear" w:color="auto" w:fill="FFFFFF" w:themeFill="background1"/>
                  </w:tcPr>
                  <w:p>
                    <w:pPr>
                      <w:spacing w:line="276" w:lineRule="auto"/>
                      <w:rPr>
                        <w:sz w:val="20"/>
                      </w:rPr>
                    </w:pPr>
                    <w:r>
                      <w:rPr>
                        <w:sz w:val="20"/>
                      </w:rPr>
                      <w:t>P-11-002-02-11-01-22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b/>
                        <w:bCs/>
                        <w:sz w:val="20"/>
                      </w:rPr>
                    </w:pPr>
                    <w:r>
                      <w:rPr>
                        <w:sz w:val="20"/>
                      </w:rPr>
                      <w:t>Paramą gavusių nacionalinio, regionų ar vietos lygmens viešojo administravimo ar viešąsias paslaugas teikiančių įstaigų skaičius</w:t>
                    </w:r>
                  </w:p>
                </w:tc>
                <w:tc>
                  <w:tcPr>
                    <w:tcW w:w="1078" w:type="dxa"/>
                    <w:shd w:val="clear" w:color="auto" w:fill="FFFFFF" w:themeFill="background1"/>
                  </w:tcPr>
                  <w:p>
                    <w:pPr>
                      <w:spacing w:line="276" w:lineRule="auto"/>
                      <w:jc w:val="center"/>
                      <w:rPr>
                        <w:sz w:val="20"/>
                      </w:rPr>
                    </w:pPr>
                    <w:r>
                      <w:rPr>
                        <w:sz w:val="20"/>
                      </w:rPr>
                      <w:t>Subjektų skaičius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18</w:t>
                    </w:r>
                  </w:p>
                  <w:p>
                    <w:pPr>
                      <w:jc w:val="center"/>
                      <w:rPr>
                        <w:sz w:val="20"/>
                      </w:rPr>
                    </w:pPr>
                    <w:r>
                      <w:rPr>
                        <w:sz w:val="20"/>
                      </w:rPr>
                      <w:t>(2024m.)</w:t>
                    </w:r>
                  </w:p>
                </w:tc>
                <w:tc>
                  <w:tcPr>
                    <w:tcW w:w="1079" w:type="dxa"/>
                    <w:shd w:val="clear" w:color="auto" w:fill="FFFFFF" w:themeFill="background1"/>
                  </w:tcPr>
                  <w:p>
                    <w:pPr>
                      <w:jc w:val="center"/>
                      <w:rPr>
                        <w:sz w:val="20"/>
                      </w:rPr>
                    </w:pPr>
                    <w:r>
                      <w:rPr>
                        <w:sz w:val="20"/>
                      </w:rPr>
                      <w:t>200</w:t>
                    </w:r>
                  </w:p>
                  <w:p>
                    <w:pPr>
                      <w:jc w:val="center"/>
                      <w:rPr>
                        <w:strike/>
                        <w:sz w:val="20"/>
                      </w:rPr>
                    </w:pPr>
                    <w:r>
                      <w:rPr>
                        <w:sz w:val="20"/>
                      </w:rPr>
                      <w:t>(2029 m.)</w:t>
                    </w:r>
                  </w:p>
                </w:tc>
                <w:tc>
                  <w:tcPr>
                    <w:tcW w:w="1344" w:type="dxa"/>
                    <w:shd w:val="clear" w:color="auto" w:fill="FFFFFF" w:themeFill="background1"/>
                  </w:tcPr>
                  <w:p>
                    <w:pPr>
                      <w:jc w:val="center"/>
                      <w:rPr>
                        <w:bCs/>
                        <w:sz w:val="20"/>
                      </w:rPr>
                    </w:pPr>
                    <w:r>
                      <w:rPr>
                        <w:bCs/>
                        <w:sz w:val="20"/>
                      </w:rPr>
                      <w:t>2021–2027 m.</w:t>
                    </w:r>
                  </w:p>
                  <w:p>
                    <w:pPr>
                      <w:ind w:firstLine="53"/>
                      <w:jc w:val="center"/>
                      <w:rPr>
                        <w:bCs/>
                        <w:sz w:val="20"/>
                      </w:rPr>
                    </w:pPr>
                    <w:r>
                      <w:rPr>
                        <w:bCs/>
                        <w:sz w:val="20"/>
                      </w:rPr>
                      <w:t>IP (ESF+)</w:t>
                    </w:r>
                  </w:p>
                </w:tc>
              </w:tr>
              <w:tr>
                <w:trPr>
                  <w:trHeight w:val="330"/>
                </w:trPr>
                <w:tc>
                  <w:tcPr>
                    <w:tcW w:w="1346" w:type="dxa"/>
                    <w:shd w:val="clear" w:color="auto" w:fill="FFFFFF" w:themeFill="background1"/>
                  </w:tcPr>
                  <w:p>
                    <w:pPr>
                      <w:rPr>
                        <w:color w:val="FFFFFF"/>
                        <w:sz w:val="20"/>
                      </w:rPr>
                    </w:pPr>
                    <w:r>
                      <w:rPr>
                        <w:sz w:val="20"/>
                      </w:rPr>
                      <w:t>R-11-002-02-11-01-23</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įstaigų, įtrauktų į veiklos rezultatų rodiklių rinkiniu grindžiamą Lietuvos nacionalinės sveikatos sistemos švieslentę,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70</w:t>
                    </w:r>
                  </w:p>
                  <w:p>
                    <w:pPr>
                      <w:jc w:val="center"/>
                      <w:rPr>
                        <w:sz w:val="20"/>
                      </w:rPr>
                    </w:pPr>
                    <w:r>
                      <w:rPr>
                        <w:sz w:val="20"/>
                      </w:rPr>
                      <w:t>(2023 m. II ketv.)</w:t>
                    </w:r>
                  </w:p>
                  <w:p>
                    <w:pPr>
                      <w:jc w:val="center"/>
                      <w:rPr>
                        <w:color w:val="FFFFFF"/>
                        <w:sz w:val="20"/>
                      </w:rPr>
                    </w:pPr>
                  </w:p>
                </w:tc>
                <w:tc>
                  <w:tcPr>
                    <w:tcW w:w="1079" w:type="dxa"/>
                    <w:shd w:val="clear" w:color="auto" w:fill="FFFFFF" w:themeFill="background1"/>
                  </w:tcPr>
                  <w:p>
                    <w:pPr>
                      <w:jc w:val="center"/>
                      <w:rPr>
                        <w:sz w:val="20"/>
                      </w:rPr>
                    </w:pPr>
                    <w:r>
                      <w:rPr>
                        <w:sz w:val="20"/>
                      </w:rPr>
                      <w:t>100</w:t>
                    </w:r>
                  </w:p>
                  <w:p>
                    <w:pPr>
                      <w:jc w:val="center"/>
                      <w:rPr>
                        <w:sz w:val="20"/>
                        <w:lang w:val="en-US"/>
                      </w:rPr>
                    </w:pPr>
                    <w:r>
                      <w:rPr>
                        <w:sz w:val="20"/>
                      </w:rPr>
                      <w:t>(202</w:t>
                    </w:r>
                    <w:r>
                      <w:rPr>
                        <w:sz w:val="20"/>
                        <w:lang w:val="en-US"/>
                      </w:rPr>
                      <w:t>5</w:t>
                    </w:r>
                    <w:r>
                      <w:rPr>
                        <w:sz w:val="20"/>
                      </w:rPr>
                      <w:t xml:space="preserve"> m. II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Aktyviojo gydymo sveikatos priežiūros įstaigose nustatytų invazinių </w:t>
                    </w:r>
                    <w:r>
                      <w:rPr>
                        <w:i/>
                        <w:iCs/>
                        <w:sz w:val="20"/>
                      </w:rPr>
                      <w:t>Klebsiella pneumoniae</w:t>
                    </w:r>
                    <w:r>
                      <w:rPr>
                        <w:sz w:val="20"/>
                      </w:rPr>
                      <w:t xml:space="preserve">, atsparių  trečios kartos cefalosporinams, dalis (EARS-Net duomenimis)</w:t>
                    </w:r>
                    <w:r>
                      <w:rPr>
                        <w:sz w:val="20"/>
                        <w:vertAlign w:val="superscript"/>
                      </w:rPr>
                      <w:t xml:space="preserve"> 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55,2</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36</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30</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R-11-002-02-11-01-25</w:t>
                    </w:r>
                  </w:p>
                </w:tc>
                <w:tc>
                  <w:tcPr>
                    <w:tcW w:w="1079" w:type="dxa"/>
                    <w:shd w:val="clear" w:color="auto" w:fill="FFFFFF" w:themeFill="background1"/>
                  </w:tcPr>
                  <w:p>
                    <w:pPr>
                      <w:rPr>
                        <w:iCs/>
                        <w:sz w:val="20"/>
                      </w:rPr>
                    </w:pPr>
                    <w:r>
                      <w:rPr>
                        <w:iCs/>
                        <w:sz w:val="20"/>
                      </w:rPr>
                      <w:t xml:space="preserve">Rezultato </w:t>
                    </w:r>
                  </w:p>
                </w:tc>
                <w:tc>
                  <w:tcPr>
                    <w:tcW w:w="2541" w:type="dxa"/>
                    <w:shd w:val="clear" w:color="auto" w:fill="FFFFFF" w:themeFill="background1"/>
                  </w:tcPr>
                  <w:p>
                    <w:pPr>
                      <w:rPr>
                        <w:sz w:val="20"/>
                      </w:rPr>
                    </w:pPr>
                    <w:r>
                      <w:rPr>
                        <w:sz w:val="20"/>
                      </w:rPr>
                      <w:t xml:space="preserve">Šalies gyventojų, kuriems teikiamos su sveikata susijusios elektroninės paslaugos,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30</w:t>
                    </w:r>
                  </w:p>
                  <w:p>
                    <w:pPr>
                      <w:jc w:val="center"/>
                      <w:rPr>
                        <w:sz w:val="20"/>
                      </w:rPr>
                    </w:pPr>
                    <w:r>
                      <w:rPr>
                        <w:sz w:val="20"/>
                      </w:rPr>
                      <w:t>(2021 m.)</w:t>
                    </w:r>
                  </w:p>
                  <w:p>
                    <w:pPr>
                      <w:jc w:val="center"/>
                      <w:rPr>
                        <w:sz w:val="20"/>
                      </w:rPr>
                    </w:pPr>
                  </w:p>
                </w:tc>
                <w:tc>
                  <w:tcPr>
                    <w:tcW w:w="945" w:type="dxa"/>
                    <w:shd w:val="clear" w:color="auto" w:fill="FFFFFF" w:themeFill="background1"/>
                  </w:tcPr>
                  <w:p>
                    <w:pPr>
                      <w:jc w:val="center"/>
                      <w:rPr>
                        <w:sz w:val="20"/>
                      </w:rPr>
                    </w:pPr>
                    <w:r>
                      <w:rPr>
                        <w:sz w:val="20"/>
                      </w:rPr>
                      <w:t>60</w:t>
                    </w:r>
                  </w:p>
                  <w:p>
                    <w:pPr>
                      <w:jc w:val="center"/>
                      <w:rPr>
                        <w:sz w:val="20"/>
                      </w:rPr>
                    </w:pPr>
                    <w:r>
                      <w:rPr>
                        <w:sz w:val="20"/>
                      </w:rPr>
                      <w:t>(2025 m. IV ketv.)</w:t>
                    </w:r>
                  </w:p>
                  <w:p>
                    <w:pPr>
                      <w:jc w:val="center"/>
                      <w:rPr>
                        <w:sz w:val="20"/>
                      </w:rPr>
                    </w:pPr>
                  </w:p>
                </w:tc>
                <w:tc>
                  <w:tcPr>
                    <w:tcW w:w="1079" w:type="dxa"/>
                    <w:shd w:val="clear" w:color="auto" w:fill="FFFFFF" w:themeFill="background1"/>
                  </w:tcPr>
                  <w:p>
                    <w:pPr>
                      <w:jc w:val="center"/>
                      <w:rPr>
                        <w:sz w:val="20"/>
                      </w:rPr>
                    </w:pPr>
                    <w:r>
                      <w:rPr>
                        <w:sz w:val="20"/>
                      </w:rPr>
                      <w:t>98</w:t>
                    </w:r>
                  </w:p>
                  <w:p>
                    <w:pPr>
                      <w:jc w:val="center"/>
                      <w:rPr>
                        <w:sz w:val="20"/>
                      </w:rPr>
                    </w:pP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Asmenų, teigusių, kad pagerėjo jų gyvenimo kokybė po dalyvavimo veiklose, skirtose savarankiškam lėtinės ligos valdymui,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R-11-002-02-11-01-27</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Pacientų pasitenkinimas gautomis paslaugomis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56</w:t>
                    </w:r>
                  </w:p>
                  <w:p>
                    <w:pPr>
                      <w:jc w:val="center"/>
                      <w:rPr>
                        <w:sz w:val="20"/>
                      </w:rPr>
                    </w:pPr>
                    <w:r>
                      <w:rPr>
                        <w:sz w:val="20"/>
                      </w:rPr>
                      <w:t>(2020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R-11-002-02-11-01-28</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Naujos arba modernizuotos sveikatos priežiūros infrastruktūros naudotojų skaičius per metus </w:t>
                    </w:r>
                  </w:p>
                </w:tc>
                <w:tc>
                  <w:tcPr>
                    <w:tcW w:w="1078" w:type="dxa"/>
                    <w:shd w:val="clear" w:color="auto" w:fill="FFFFFF" w:themeFill="background1"/>
                  </w:tcPr>
                  <w:p>
                    <w:pPr>
                      <w:jc w:val="center"/>
                      <w:rPr>
                        <w:sz w:val="20"/>
                      </w:rPr>
                    </w:pPr>
                    <w:r>
                      <w:rPr>
                        <w:sz w:val="20"/>
                      </w:rPr>
                      <w:t>Naudotojai per metus</w:t>
                    </w:r>
                  </w:p>
                </w:tc>
                <w:tc>
                  <w:tcPr>
                    <w:tcW w:w="1078" w:type="dxa"/>
                    <w:shd w:val="clear" w:color="auto" w:fill="FFFFFF" w:themeFill="background1"/>
                  </w:tcPr>
                  <w:p>
                    <w:pPr>
                      <w:jc w:val="center"/>
                      <w:rPr>
                        <w:sz w:val="20"/>
                      </w:rPr>
                    </w:pPr>
                    <w:r>
                      <w:rPr>
                        <w:sz w:val="20"/>
                      </w:rPr>
                      <w:t>1 801 000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1 818 000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R-11-002-02-11-01-29</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Ambulatorinių ir stacionarinių asmens sveikatos priežiūros įstaigų, naudojančių e. sveikatos produktus,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color w:val="FFFFFF"/>
                        <w:sz w:val="20"/>
                      </w:rPr>
                    </w:pPr>
                    <w:r>
                      <w:rPr>
                        <w:sz w:val="20"/>
                      </w:rPr>
                      <w:t>50 (2021 m.)</w:t>
                    </w:r>
                  </w:p>
                </w:tc>
                <w:tc>
                  <w:tcPr>
                    <w:tcW w:w="945" w:type="dxa"/>
                    <w:shd w:val="clear" w:color="auto" w:fill="FFFFFF" w:themeFill="background1"/>
                  </w:tcPr>
                  <w:p>
                    <w:pPr>
                      <w:jc w:val="center"/>
                      <w:rPr>
                        <w:sz w:val="20"/>
                      </w:rPr>
                    </w:pPr>
                    <w:r>
                      <w:rPr>
                        <w:sz w:val="20"/>
                      </w:rPr>
                      <w:t>60</w:t>
                    </w:r>
                  </w:p>
                  <w:p>
                    <w:pPr>
                      <w:jc w:val="center"/>
                      <w:rPr>
                        <w:sz w:val="20"/>
                      </w:rPr>
                    </w:pPr>
                    <w:r>
                      <w:rPr>
                        <w:sz w:val="20"/>
                      </w:rPr>
                      <w:t>(2023 m. IV ketv.)</w:t>
                    </w:r>
                  </w:p>
                  <w:p>
                    <w:pPr>
                      <w:jc w:val="center"/>
                      <w:rPr>
                        <w:sz w:val="20"/>
                      </w:rPr>
                    </w:pPr>
                    <w:r>
                      <w:rPr>
                        <w:sz w:val="20"/>
                      </w:rPr>
                      <w:t>70</w:t>
                    </w:r>
                  </w:p>
                  <w:p>
                    <w:pPr>
                      <w:jc w:val="center"/>
                      <w:rPr>
                        <w:color w:val="FFFFFF"/>
                        <w:sz w:val="20"/>
                      </w:rPr>
                    </w:pPr>
                    <w:r>
                      <w:rPr>
                        <w:sz w:val="20"/>
                      </w:rPr>
                      <w:t>(2025 m. IV ketv.)</w:t>
                    </w:r>
                  </w:p>
                </w:tc>
                <w:tc>
                  <w:tcPr>
                    <w:tcW w:w="1079" w:type="dxa"/>
                    <w:shd w:val="clear" w:color="auto" w:fill="FFFFFF" w:themeFill="background1"/>
                  </w:tcPr>
                  <w:p>
                    <w:pPr>
                      <w:jc w:val="center"/>
                      <w:rPr>
                        <w:color w:val="FFFFFF"/>
                        <w:sz w:val="20"/>
                      </w:rPr>
                    </w:pPr>
                    <w:r>
                      <w:rPr>
                        <w:sz w:val="20"/>
                      </w:rPr>
                      <w:t>98</w:t>
                    </w: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R-11-002-02-11-01-30</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specialistų, kurių licencija įregistruota ir jos priežiūra vykdoma skaitmeniniu būdu,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50</w:t>
                    </w:r>
                  </w:p>
                  <w:p>
                    <w:pPr>
                      <w:jc w:val="center"/>
                      <w:rPr>
                        <w:color w:val="FFFFFF"/>
                        <w:sz w:val="20"/>
                      </w:rPr>
                    </w:pPr>
                    <w:r>
                      <w:rPr>
                        <w:sz w:val="20"/>
                      </w:rPr>
                      <w:t>(2026 m. I ketv.)</w:t>
                    </w:r>
                  </w:p>
                </w:tc>
                <w:tc>
                  <w:tcPr>
                    <w:tcW w:w="1079" w:type="dxa"/>
                    <w:shd w:val="clear" w:color="auto" w:fill="FFFFFF" w:themeFill="background1"/>
                  </w:tcPr>
                  <w:p>
                    <w:pPr>
                      <w:jc w:val="center"/>
                      <w:rPr>
                        <w:sz w:val="20"/>
                      </w:rPr>
                    </w:pPr>
                    <w:r>
                      <w:rPr>
                        <w:sz w:val="20"/>
                      </w:rPr>
                      <w:t>90</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P-11-002-02-11-01-31</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Naujos arba modernizuotos sveikatos priežiūros infrastruktūros talpumas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sz w:val="20"/>
                      </w:rPr>
                    </w:pPr>
                    <w:r>
                      <w:rPr>
                        <w:sz w:val="20"/>
                      </w:rPr>
                      <w:t>0</w:t>
                    </w:r>
                  </w:p>
                  <w:p>
                    <w:pPr>
                      <w:jc w:val="center"/>
                      <w:rPr>
                        <w:color w:val="FFFFFF"/>
                        <w:sz w:val="20"/>
                      </w:rPr>
                    </w:pPr>
                  </w:p>
                </w:tc>
                <w:tc>
                  <w:tcPr>
                    <w:tcW w:w="945" w:type="dxa"/>
                    <w:shd w:val="clear" w:color="auto" w:fill="FFFFFF" w:themeFill="background1"/>
                  </w:tcPr>
                  <w:p>
                    <w:pPr>
                      <w:jc w:val="center"/>
                      <w:rPr>
                        <w:sz w:val="20"/>
                      </w:rPr>
                    </w:pPr>
                    <w:r>
                      <w:rPr>
                        <w:sz w:val="20"/>
                      </w:rPr>
                      <w:t>426 000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2 138 000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P-11-002-02-11-01-32</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Greitosios medicinos pagalbos paslaugų infrastruktūros, kuriai skirta parama, pajėgumas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color w:val="FFFFFF"/>
                        <w:sz w:val="20"/>
                      </w:rPr>
                    </w:pPr>
                    <w:r>
                      <w:rPr>
                        <w:sz w:val="20"/>
                      </w:rPr>
                      <w:t>0</w:t>
                    </w:r>
                  </w:p>
                </w:tc>
                <w:tc>
                  <w:tcPr>
                    <w:tcW w:w="945" w:type="dxa"/>
                    <w:shd w:val="clear" w:color="auto" w:fill="FFFFFF" w:themeFill="background1"/>
                  </w:tcPr>
                  <w:p>
                    <w:pPr>
                      <w:jc w:val="center"/>
                      <w:rPr>
                        <w:sz w:val="20"/>
                      </w:rPr>
                    </w:pPr>
                    <w:r>
                      <w:rPr>
                        <w:sz w:val="20"/>
                      </w:rPr>
                      <w:t>558 000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2 790 000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R-11-002-02-11-01-33</w:t>
                    </w:r>
                  </w:p>
                </w:tc>
                <w:tc>
                  <w:tcPr>
                    <w:tcW w:w="1079" w:type="dxa"/>
                    <w:shd w:val="clear" w:color="auto" w:fill="FFFFFF" w:themeFill="background1"/>
                  </w:tcPr>
                  <w:p>
                    <w:pPr>
                      <w:rPr>
                        <w:sz w:val="20"/>
                      </w:rPr>
                    </w:pPr>
                    <w:r>
                      <w:rPr>
                        <w:iCs/>
                        <w:sz w:val="20"/>
                      </w:rPr>
                      <w:t>Rezultato</w:t>
                    </w:r>
                  </w:p>
                </w:tc>
                <w:tc>
                  <w:tcPr>
                    <w:tcW w:w="2541" w:type="dxa"/>
                    <w:shd w:val="clear" w:color="auto" w:fill="FFFFFF" w:themeFill="background1"/>
                  </w:tcPr>
                  <w:p>
                    <w:pPr>
                      <w:rPr>
                        <w:sz w:val="20"/>
                      </w:rPr>
                    </w:pPr>
                    <w:r>
                      <w:rPr>
                        <w:sz w:val="20"/>
                      </w:rPr>
                      <w:t>Naujos arba modernizuotos sveikatos priežiūros infrastruktūros talpumas</w:t>
                    </w:r>
                    <w:r>
                      <w:rPr>
                        <w:sz w:val="20"/>
                        <w:vertAlign w:val="superscript"/>
                      </w:rPr>
                      <w:t>2</w:t>
                    </w:r>
                  </w:p>
                </w:tc>
                <w:tc>
                  <w:tcPr>
                    <w:tcW w:w="1078" w:type="dxa"/>
                    <w:shd w:val="clear" w:color="auto" w:fill="FFFFFF" w:themeFill="background1"/>
                  </w:tcPr>
                  <w:p>
                    <w:pPr>
                      <w:jc w:val="center"/>
                      <w:rPr>
                        <w:sz w:val="20"/>
                      </w:rPr>
                    </w:pPr>
                    <w:r>
                      <w:rPr>
                        <w:sz w:val="20"/>
                      </w:rPr>
                      <w:t>Asmenys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41"/>
                </w:trPr>
                <w:tc>
                  <w:tcPr>
                    <w:tcW w:w="1346" w:type="dxa"/>
                    <w:shd w:val="clear" w:color="auto" w:fill="FFFFFF" w:themeFill="background1"/>
                  </w:tcPr>
                  <w:p>
                    <w:pPr>
                      <w:rPr>
                        <w:sz w:val="20"/>
                      </w:rPr>
                    </w:pPr>
                    <w:r>
                      <w:rPr>
                        <w:sz w:val="20"/>
                      </w:rPr>
                      <w:t>R-11-002-02-11-01-34</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Naujų ir patobulintų viešųjų skaitmeninių paslaugų, produktų ir procesų naudotojai</w:t>
                    </w:r>
                    <w:r>
                      <w:rPr>
                        <w:sz w:val="20"/>
                        <w:vertAlign w:val="superscript"/>
                      </w:rPr>
                      <w:t>2</w:t>
                    </w:r>
                  </w:p>
                </w:tc>
                <w:tc>
                  <w:tcPr>
                    <w:tcW w:w="1078" w:type="dxa"/>
                    <w:shd w:val="clear" w:color="auto" w:fill="FFFFFF" w:themeFill="background1"/>
                  </w:tcPr>
                  <w:p>
                    <w:pPr>
                      <w:jc w:val="center"/>
                      <w:rPr>
                        <w:sz w:val="20"/>
                      </w:rPr>
                    </w:pPr>
                    <w:r>
                      <w:rPr>
                        <w:sz w:val="20"/>
                      </w:rPr>
                      <w:t>Naudotojų skaičius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P-11-002-02-11-01-35</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 xml:space="preserve">Socialiniams partneriams pristatytas ir viešai konsultacijai pateiktas ilgalaikės priežiūros  paslaugų teikimo ir finansavimo modelis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P-11-002-02-11-01-36</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ind w:left="38"/>
                      <w:rPr>
                        <w:sz w:val="20"/>
                      </w:rPr>
                    </w:pPr>
                    <w:r>
                      <w:rPr>
                        <w:sz w:val="20"/>
                      </w:rPr>
                      <w:t xml:space="preserve">Įsigalioję teisės aktai, reglamentuojantys ilgalaikės priežiūros paslaugų modelio įgyvendinimą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P-11-002-02-11-01-37</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8"/>
                        <w:szCs w:val="8"/>
                      </w:rPr>
                    </w:pPr>
                  </w:p>
                  <w:p>
                    <w:pPr>
                      <w:rPr>
                        <w:sz w:val="20"/>
                        <w:lang w:eastAsia="lt-LT"/>
                      </w:rPr>
                    </w:pPr>
                    <w:r>
                      <w:rPr>
                        <w:sz w:val="20"/>
                      </w:rPr>
                      <w:t>Sukurtų ilgalaikės priežiūros specialistų komandų, teikiančių paslaugas gyventojų namuose, skaičius</w:t>
                    </w:r>
                    <w:r>
                      <w:rPr>
                        <w:sz w:val="20"/>
                        <w:lang w:eastAsia="lt-LT"/>
                      </w:rPr>
                      <w:t xml:space="preserve">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auto"/>
                  </w:tcPr>
                  <w:p>
                    <w:pPr>
                      <w:jc w:val="center"/>
                      <w:rPr>
                        <w:sz w:val="20"/>
                      </w:rPr>
                    </w:pPr>
                    <w:r>
                      <w:rPr>
                        <w:sz w:val="20"/>
                      </w:rPr>
                      <w:t>90</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P-11-002-02-11-01-38</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Įkurtų specializuotų dienos priežiūros centrų, skirtų integruotoms ilgalaikės priežiūros paslaugoms teikti,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10</w:t>
                    </w:r>
                  </w:p>
                  <w:p>
                    <w:pPr>
                      <w:jc w:val="center"/>
                      <w:rPr>
                        <w:sz w:val="20"/>
                      </w:rPr>
                    </w:pPr>
                    <w:r>
                      <w:rPr>
                        <w:sz w:val="20"/>
                      </w:rPr>
                      <w:t>(2024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P-11-002-02-11-01-39</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color w:val="000000"/>
                        <w:sz w:val="20"/>
                      </w:rPr>
                    </w:pPr>
                    <w:r>
                      <w:rPr>
                        <w:color w:val="000000"/>
                        <w:sz w:val="20"/>
                      </w:rPr>
                      <w:t xml:space="preserve">Sveikatos priežiūros įstaigų bendradarbiavimo gerinimo ir infrastruktūros pritaikymo ekstremalioms situacijoms modernizavimo veiksmų plano projektas pateiktas konsultacijoms su socialiniais partneriais ir kitomis suinteresuotomis šalimis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P-11-002-02-11-01-40</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sz w:val="20"/>
                      </w:rPr>
                    </w:pPr>
                    <w:r>
                      <w:rPr>
                        <w:sz w:val="20"/>
                      </w:rPr>
                      <w:t xml:space="preserve">Įsigaliojęs sveikatos priežiūros įstaigų bendradarbiavimo gerinimo ir infrastruktūros pritaikymo ekstremaliosioms situacijoms modernizavimo veiksmų planas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P-11-002-02-11-01-41</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jc w:val="both"/>
                      <w:rPr>
                        <w:color w:val="000000"/>
                        <w:sz w:val="20"/>
                      </w:rPr>
                    </w:pPr>
                    <w:r>
                      <w:rPr>
                        <w:sz w:val="20"/>
                        <w:lang w:eastAsia="lt-LT"/>
                      </w:rPr>
                      <w:t xml:space="preserve">Nustatyti infekcinių ligų centrų infrastruktūros reikalavimai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Atlikta ligoninių tinklo veiklos rezultatų analizė, parodanti, kaip pokyčiai, įskaitant investicijas pagal Ekonomikos gaivinimo ir atsparumo didinimo priemonę, prisideda prie galimybių geriau užtikrinti tam tikrą gydomųjų</w:t>
                    </w:r>
                    <w:r>
                      <w:rPr>
                        <w:b/>
                        <w:bCs/>
                        <w:sz w:val="20"/>
                        <w:lang w:eastAsia="lt-LT"/>
                      </w:rPr>
                      <w:t xml:space="preserve"> </w:t>
                    </w:r>
                    <w:r>
                      <w:rPr>
                        <w:sz w:val="20"/>
                        <w:lang w:eastAsia="lt-LT"/>
                      </w:rPr>
                      <w:t>lovų skaičių jo nedidinant. Analizė taip pat turėtų būti perspektyvinė ir ją atliekant turėtų būti atsižvelgiama į prognozuojamą paklausą</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P-11-002-02-11-01-43</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color w:val="000000"/>
                        <w:sz w:val="20"/>
                      </w:rPr>
                    </w:pPr>
                    <w:r>
                      <w:rPr>
                        <w:sz w:val="20"/>
                      </w:rPr>
                      <w:t xml:space="preserve">Modernizuotų sveikatos priežiūros įstaigų, įskaitant infekcinių ligų klasterio kompetencijos </w:t>
                    </w:r>
                    <w:r>
                      <w:rPr>
                        <w:color w:val="000000"/>
                        <w:sz w:val="20"/>
                      </w:rPr>
                      <w:t xml:space="preserve">centrus,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5</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P-11-002-02-11-01-44</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Nustatyti ligoninių skubiosios medicinos pagalbos, reanimacijos ir intensyviosios terapijos skyrių infrastruktūros reikalavimai</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P-11-002-02-11-01-45</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color w:val="7030A0"/>
                        <w:sz w:val="20"/>
                      </w:rPr>
                    </w:pPr>
                    <w:r>
                      <w:rPr>
                        <w:sz w:val="20"/>
                      </w:rPr>
                      <w:t xml:space="preserve">Modernizuotos ligoninių skubiosios medicinos pagalbos ir reanimacijos bei intensyviosios terapijos skyrių sveikatos priežiūros infrastruktūros objektų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7</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P-11-002-02-11-01-46</w:t>
                    </w:r>
                  </w:p>
                </w:tc>
                <w:tc>
                  <w:tcPr>
                    <w:tcW w:w="1079" w:type="dxa"/>
                    <w:shd w:val="clear" w:color="auto" w:fill="FFFFFF" w:themeFill="background1"/>
                  </w:tcPr>
                  <w:p>
                    <w:pPr>
                      <w:spacing w:line="276" w:lineRule="auto"/>
                      <w:rPr>
                        <w:sz w:val="20"/>
                      </w:rPr>
                    </w:pPr>
                    <w:r>
                      <w:rPr>
                        <w:iCs/>
                        <w:sz w:val="20"/>
                      </w:rPr>
                      <w:t>Produkto</w:t>
                    </w:r>
                  </w:p>
                </w:tc>
                <w:tc>
                  <w:tcPr>
                    <w:tcW w:w="2541" w:type="dxa"/>
                    <w:shd w:val="clear" w:color="auto" w:fill="FFFFFF" w:themeFill="background1"/>
                  </w:tcPr>
                  <w:p>
                    <w:pPr>
                      <w:spacing w:line="276" w:lineRule="auto"/>
                      <w:rPr>
                        <w:sz w:val="20"/>
                      </w:rPr>
                    </w:pPr>
                    <w:r>
                      <w:rPr>
                        <w:sz w:val="20"/>
                      </w:rPr>
                      <w:t xml:space="preserve">Pažangiosios terapijos centro pastato statybos darbų viešojo pirkimo procedūrų užbaigimas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spacing w:line="276" w:lineRule="auto"/>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spacing w:line="276" w:lineRule="auto"/>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spacing w:line="276" w:lineRule="auto"/>
                      <w:rPr>
                        <w:sz w:val="20"/>
                      </w:rPr>
                    </w:pPr>
                    <w:r>
                      <w:rPr>
                        <w:sz w:val="20"/>
                      </w:rPr>
                      <w:t xml:space="preserve">Sukurtas pažangios terapijos centras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(2025 m. IV ketv.)</w:t>
                    </w:r>
                  </w:p>
                </w:tc>
                <w:tc>
                  <w:tcPr>
                    <w:tcW w:w="1344" w:type="dxa"/>
                    <w:shd w:val="clear" w:color="auto" w:fill="FFFFFF" w:themeFill="background1"/>
                  </w:tcPr>
                  <w:p>
                    <w:pPr>
                      <w:spacing w:line="276" w:lineRule="auto"/>
                      <w:jc w:val="center"/>
                      <w:rPr>
                        <w:iCs/>
                        <w:sz w:val="20"/>
                      </w:rPr>
                    </w:pPr>
                    <w:r>
                      <w:rPr>
                        <w:bCs/>
                        <w:sz w:val="20"/>
                      </w:rPr>
                      <w:t>EGADP</w:t>
                    </w:r>
                  </w:p>
                </w:tc>
              </w:tr>
              <w:tr>
                <w:trPr>
                  <w:trHeight w:val="889"/>
                </w:trPr>
                <w:tc>
                  <w:tcPr>
                    <w:tcW w:w="1346" w:type="dxa"/>
                    <w:shd w:val="clear" w:color="auto" w:fill="FFFFFF" w:themeFill="background1"/>
                  </w:tcPr>
                  <w:p>
                    <w:pPr>
                      <w:rPr>
                        <w:sz w:val="20"/>
                      </w:rPr>
                    </w:pPr>
                    <w:r>
                      <w:rPr>
                        <w:sz w:val="20"/>
                      </w:rPr>
                      <w:t>P-11-002-02-11-01-48</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color w:val="000000"/>
                        <w:sz w:val="20"/>
                        <w:lang w:eastAsia="lt-LT"/>
                      </w:rPr>
                      <w:t xml:space="preserve">Patvirtinti teisės aktai dėl genomo tyrimų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P-11-002-02-11-01-49</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jc w:val="both"/>
                      <w:rPr>
                        <w:sz w:val="20"/>
                      </w:rPr>
                    </w:pPr>
                    <w:r>
                      <w:rPr>
                        <w:sz w:val="20"/>
                      </w:rPr>
                      <w:t xml:space="preserve">Atliktų viso žmogaus genomo sekos nustatymo tyrimų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750</w:t>
                    </w:r>
                  </w:p>
                  <w:p>
                    <w:pPr>
                      <w:jc w:val="center"/>
                      <w:rPr>
                        <w:sz w:val="20"/>
                      </w:rPr>
                    </w:pPr>
                    <w:r>
                      <w:rPr>
                        <w:sz w:val="20"/>
                      </w:rPr>
                      <w:t>(2025 m.</w:t>
                    </w:r>
                  </w:p>
                  <w:p>
                    <w:pPr>
                      <w:jc w:val="center"/>
                      <w:rPr>
                        <w:sz w:val="20"/>
                      </w:rPr>
                    </w:pPr>
                    <w:r>
                      <w:rPr>
                        <w:sz w:val="20"/>
                      </w:rPr>
                      <w:t>II ketv.)</w:t>
                    </w:r>
                  </w:p>
                  <w:p>
                    <w:pPr>
                      <w:jc w:val="center"/>
                      <w:rPr>
                        <w:sz w:val="20"/>
                      </w:rPr>
                    </w:pPr>
                  </w:p>
                </w:tc>
                <w:tc>
                  <w:tcPr>
                    <w:tcW w:w="1079" w:type="dxa"/>
                    <w:shd w:val="clear" w:color="auto" w:fill="FFFFFF" w:themeFill="background1"/>
                  </w:tcPr>
                  <w:p>
                    <w:pPr>
                      <w:jc w:val="center"/>
                      <w:rPr>
                        <w:sz w:val="20"/>
                      </w:rPr>
                    </w:pPr>
                    <w:r>
                      <w:rPr>
                        <w:sz w:val="20"/>
                      </w:rPr>
                      <w:t>1 570</w:t>
                    </w:r>
                  </w:p>
                  <w:p>
                    <w:pPr>
                      <w:jc w:val="center"/>
                      <w:rPr>
                        <w:sz w:val="20"/>
                      </w:rPr>
                    </w:pPr>
                    <w:r>
                      <w:rPr>
                        <w:sz w:val="20"/>
                      </w:rPr>
                      <w:t>(2026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P-11-002-02-11-01-50</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rPr>
                      <w:t xml:space="preserve">Sudarytas  sveikatos priežiūros sistemos informacinių išteklių žemėlapis ir atlikta informacinių  sistemų brandos analizė, įvertinant integralumą su kitomis informacinėmis sistemomis, siekiant sveikatos priežiūros sistemos skaitmeninimo</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P-11-002-02-11-01-51</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rPr>
                      <w:t xml:space="preserve">Įsigalioję teisės aktai, reglamentuojantys pakartotinį  sveikatos duomenų naudojimą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lang w:eastAsia="lt-LT"/>
                      </w:rPr>
                      <w:t>Atviros viešųjų pirkimų procedūros, skirtos sveikatos priežiūros specialistų gebėjimų platformos informacinių technologijų priemonei įdiegti, užbaigimas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P-11-002-02-11-01-53</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Sveikatos priežiūros specialistų kompetencijų platformos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sz w:val="20"/>
                      </w:rPr>
                    </w:pPr>
                    <w:r>
                      <w:rPr>
                        <w:sz w:val="20"/>
                      </w:rPr>
                      <w:t>EGADP</w:t>
                    </w:r>
                  </w:p>
                </w:tc>
              </w:tr>
              <w:tr>
                <w:trPr>
                  <w:trHeight w:val="330"/>
                </w:trPr>
                <w:tc>
                  <w:tcPr>
                    <w:tcW w:w="1346" w:type="dxa"/>
                    <w:shd w:val="clear" w:color="auto" w:fill="FFFFFF" w:themeFill="background1"/>
                  </w:tcPr>
                  <w:p>
                    <w:pPr>
                      <w:rPr>
                        <w:sz w:val="20"/>
                      </w:rPr>
                    </w:pPr>
                    <w:r>
                      <w:rPr>
                        <w:sz w:val="20"/>
                      </w:rPr>
                      <w:t>P-11-002-02-11-01-54</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lang w:eastAsia="lt-LT"/>
                      </w:rPr>
                      <w:t>Informacinės sistemos (platformos), skirtos sveikatos priežiūros specialistų licencijoms registruoti ir skaitmeninei stebėsenai vykdyti,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P-11-002-02-11-01-55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Atliktų sveikatos sektoriaus analizių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6</w:t>
                    </w:r>
                  </w:p>
                  <w:p>
                    <w:pPr>
                      <w:jc w:val="center"/>
                      <w:rPr>
                        <w:sz w:val="20"/>
                      </w:rPr>
                    </w:pPr>
                    <w:r>
                      <w:rPr>
                        <w:sz w:val="20"/>
                      </w:rPr>
                      <w:t>(2022 m.)</w:t>
                    </w:r>
                  </w:p>
                </w:tc>
                <w:tc>
                  <w:tcPr>
                    <w:tcW w:w="1079" w:type="dxa"/>
                    <w:shd w:val="clear" w:color="auto" w:fill="FFFFFF" w:themeFill="background1"/>
                  </w:tcPr>
                  <w:p>
                    <w:pPr>
                      <w:jc w:val="center"/>
                      <w:rPr>
                        <w:sz w:val="20"/>
                        <w:lang w:val="en-US"/>
                      </w:rPr>
                    </w:pPr>
                    <w:r>
                      <w:rPr>
                        <w:sz w:val="20"/>
                        <w:lang w:val="en-US"/>
                      </w:rPr>
                      <w:t>6</w:t>
                    </w:r>
                  </w:p>
                  <w:p>
                    <w:pPr>
                      <w:jc w:val="center"/>
                      <w:rPr>
                        <w:sz w:val="20"/>
                      </w:rPr>
                    </w:pPr>
                    <w:r>
                      <w:rPr>
                        <w:sz w:val="20"/>
                      </w:rPr>
                      <w:t>(2022 m. )</w:t>
                    </w:r>
                  </w:p>
                </w:tc>
                <w:tc>
                  <w:tcPr>
                    <w:tcW w:w="1344" w:type="dxa"/>
                    <w:shd w:val="clear" w:color="auto" w:fill="FFFFFF" w:themeFill="background1"/>
                  </w:tcPr>
                  <w:p>
                    <w:pPr>
                      <w:spacing w:line="276" w:lineRule="auto"/>
                      <w:ind w:firstLine="53"/>
                      <w:jc w:val="center"/>
                      <w:rPr>
                        <w:bCs/>
                        <w:sz w:val="20"/>
                      </w:rPr>
                    </w:pPr>
                    <w:r>
                      <w:rPr>
                        <w:bCs/>
                        <w:sz w:val="20"/>
                      </w:rPr>
                      <w:t>VB</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R-11-002-02-11-01-56</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Rezultato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lang w:eastAsia="lt-LT"/>
                      </w:rPr>
                      <w:t>Specialistų, kurie po dalyvavimo veiklose įgijo ar patobulino kvalifikaciją, dalis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Proc.</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38</w:t>
                    </w:r>
                  </w:p>
                  <w:p>
                    <w:pPr>
                      <w:jc w:val="center"/>
                      <w:rPr>
                        <w:sz w:val="20"/>
                      </w:rPr>
                    </w:pPr>
                    <w:r>
                      <w:rPr>
                        <w:sz w:val="20"/>
                      </w:rPr>
                      <w:t>(2021 m.)</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n/a</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90</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P-11-002-02-11-01-57</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Produkto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Sveikatos priežiūros įstaigos, įgyvendinusios sveikatos priežiūros specialistų įgalinimo, pritraukimo ir išlaikymo projektus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Skaičius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0</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5</w:t>
                    </w:r>
                  </w:p>
                  <w:p>
                    <w:pPr>
                      <w:jc w:val="center"/>
                      <w:rPr>
                        <w:sz w:val="20"/>
                      </w:rPr>
                    </w:pPr>
                    <w:r>
                      <w:rPr>
                        <w:sz w:val="20"/>
                      </w:rPr>
                      <w:t>(2024 m.)</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lang w:val="en-US"/>
                      </w:rPr>
                    </w:pPr>
                    <w:r>
                      <w:rPr>
                        <w:sz w:val="20"/>
                        <w:lang w:val="en-US"/>
                      </w:rPr>
                      <w:t>104</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P-11-002-02-11-01-58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Tikslinių grupių asmenys, gavę naujas ar patobulintas psichikos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1 050</w:t>
                    </w:r>
                  </w:p>
                  <w:p>
                    <w:pPr>
                      <w:jc w:val="center"/>
                      <w:rPr>
                        <w:sz w:val="20"/>
                      </w:rPr>
                    </w:pPr>
                    <w:r>
                      <w:rPr>
                        <w:sz w:val="20"/>
                      </w:rPr>
                      <w:t>(2024 m.)</w:t>
                    </w:r>
                  </w:p>
                </w:tc>
                <w:tc>
                  <w:tcPr>
                    <w:tcW w:w="1079" w:type="dxa"/>
                    <w:shd w:val="clear" w:color="auto" w:fill="FFFFFF" w:themeFill="background1"/>
                  </w:tcPr>
                  <w:p>
                    <w:pPr>
                      <w:jc w:val="center"/>
                      <w:rPr>
                        <w:b/>
                        <w:bCs/>
                        <w:sz w:val="20"/>
                      </w:rPr>
                    </w:pPr>
                    <w:r>
                      <w:rPr>
                        <w:sz w:val="20"/>
                      </w:rPr>
                      <w:t>7 000</w:t>
                    </w:r>
                    <w:r>
                      <w:rPr>
                        <w:b/>
                        <w:bCs/>
                        <w:sz w:val="20"/>
                      </w:rPr>
                      <w:t xml:space="preserve"> </w:t>
                    </w:r>
                  </w:p>
                  <w:p>
                    <w:pPr>
                      <w:jc w:val="center"/>
                      <w:rPr>
                        <w:sz w:val="20"/>
                      </w:rPr>
                    </w:pPr>
                    <w:r>
                      <w:rPr>
                        <w:sz w:val="20"/>
                      </w:rPr>
                      <w:t>(2029 m.)</w:t>
                    </w:r>
                  </w:p>
                </w:tc>
                <w:tc>
                  <w:tcPr>
                    <w:tcW w:w="1344" w:type="dxa"/>
                    <w:shd w:val="clear" w:color="auto" w:fill="FFFFFF" w:themeFill="background1"/>
                  </w:tcPr>
                  <w:p>
                    <w:pPr>
                      <w:ind w:left="-112" w:firstLine="112"/>
                      <w:jc w:val="center"/>
                      <w:rPr>
                        <w:bCs/>
                        <w:sz w:val="20"/>
                      </w:rPr>
                    </w:pPr>
                    <w:r>
                      <w:rPr>
                        <w:bCs/>
                        <w:sz w:val="20"/>
                      </w:rPr>
                      <w:t>2021</w:t>
                    </w:r>
                    <w:r>
                      <w:rPr>
                        <w:color w:val="000000"/>
                        <w:szCs w:val="24"/>
                      </w:rPr>
                      <w:t>–</w:t>
                    </w:r>
                    <w:r>
                      <w:rPr>
                        <w:color w:val="000000"/>
                        <w:sz w:val="20"/>
                      </w:rPr>
                      <w:t>2</w:t>
                    </w:r>
                    <w:r>
                      <w:rPr>
                        <w:bCs/>
                        <w:sz w:val="20"/>
                      </w:rPr>
                      <w:t>027 m. IP (ESF+)</w:t>
                    </w:r>
                  </w:p>
                </w:tc>
              </w:tr>
              <w:tr>
                <w:trPr>
                  <w:trHeight w:val="330"/>
                </w:trPr>
                <w:tc>
                  <w:tcPr>
                    <w:tcW w:w="1346" w:type="dxa"/>
                    <w:shd w:val="clear" w:color="auto" w:fill="FFFFFF" w:themeFill="background1"/>
                  </w:tcPr>
                  <w:p>
                    <w:pPr>
                      <w:spacing w:line="276" w:lineRule="auto"/>
                      <w:rPr>
                        <w:sz w:val="20"/>
                      </w:rPr>
                    </w:pPr>
                    <w:r>
                      <w:rPr>
                        <w:sz w:val="20"/>
                      </w:rPr>
                      <w:t>P-11-002-02-11-01-59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ar perkvalifikavimo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900</w:t>
                    </w:r>
                  </w:p>
                  <w:p>
                    <w:pPr>
                      <w:jc w:val="center"/>
                      <w:rPr>
                        <w:sz w:val="20"/>
                      </w:rPr>
                    </w:pPr>
                    <w:r>
                      <w:rPr>
                        <w:sz w:val="20"/>
                      </w:rPr>
                      <w:t>(2024 m.)</w:t>
                    </w:r>
                  </w:p>
                </w:tc>
                <w:tc>
                  <w:tcPr>
                    <w:tcW w:w="1079" w:type="dxa"/>
                    <w:shd w:val="clear" w:color="auto" w:fill="FFFFFF" w:themeFill="background1"/>
                  </w:tcPr>
                  <w:p>
                    <w:pPr>
                      <w:jc w:val="center"/>
                      <w:rPr>
                        <w:sz w:val="20"/>
                      </w:rPr>
                    </w:pPr>
                    <w:r>
                      <w:rPr>
                        <w:sz w:val="20"/>
                      </w:rPr>
                      <w:t>29 800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Asmenys, dalyvavę kvalifikacijos įgijimo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0</w:t>
                    </w:r>
                  </w:p>
                  <w:p>
                    <w:pPr>
                      <w:jc w:val="center"/>
                      <w:rPr>
                        <w:sz w:val="20"/>
                      </w:rPr>
                    </w:pPr>
                    <w:r>
                      <w:rPr>
                        <w:sz w:val="20"/>
                      </w:rPr>
                      <w:t>(2024 m.)</w:t>
                    </w:r>
                  </w:p>
                </w:tc>
                <w:tc>
                  <w:tcPr>
                    <w:tcW w:w="1079" w:type="dxa"/>
                    <w:shd w:val="clear" w:color="auto" w:fill="FFFFFF" w:themeFill="background1"/>
                  </w:tcPr>
                  <w:p>
                    <w:pPr>
                      <w:jc w:val="center"/>
                      <w:rPr>
                        <w:sz w:val="20"/>
                      </w:rPr>
                    </w:pPr>
                    <w:r>
                      <w:rPr>
                        <w:sz w:val="20"/>
                      </w:rPr>
                      <w:t>240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Sukurtas ir išbandytas pacientų pavėžėjimo paslaugų teikimo modelis</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lang w:val="en-US"/>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R-11-002-02-11-01-62</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Suteiktų pavėžėjimo paslaugų skaičius pagal bandomąjį pavėžėjimo paslaugų teikimo modelį</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40 000</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R-11-002-02-11-01-63</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Asmenų, kurie po dalyvavimo veiklose įgijo kvalifikaciją,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17</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80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VB </w:t>
                    </w:r>
                  </w:p>
                </w:tc>
              </w:tr>
              <w:tr>
                <w:trPr>
                  <w:trHeight w:val="330"/>
                </w:trPr>
                <w:tc>
                  <w:tcPr>
                    <w:tcW w:w="1346" w:type="dxa"/>
                    <w:shd w:val="clear" w:color="auto" w:fill="FFFFFF" w:themeFill="background1"/>
                  </w:tcPr>
                  <w:p>
                    <w:pPr>
                      <w:spacing w:line="276" w:lineRule="auto"/>
                      <w:rPr>
                        <w:sz w:val="20"/>
                      </w:rPr>
                    </w:pPr>
                    <w:r>
                      <w:rPr>
                        <w:sz w:val="20"/>
                      </w:rPr>
                      <w:t>P-11-002-02-11-01-64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rFonts w:eastAsia="Calibri"/>
                        <w:sz w:val="20"/>
                        <w:lang w:eastAsia="lt-LT" w:bidi="lt-LT"/>
                      </w:rPr>
                      <w:t>Asmenys, dalyvavę veiklose, skirtose lėtinei ligai savarankiškai valdyti</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5 000</w:t>
                    </w:r>
                  </w:p>
                  <w:p>
                    <w:pPr>
                      <w:jc w:val="center"/>
                      <w:rPr>
                        <w:sz w:val="20"/>
                      </w:rPr>
                    </w:pPr>
                    <w:r>
                      <w:rPr>
                        <w:sz w:val="20"/>
                      </w:rPr>
                      <w:t>(2024 m.)</w:t>
                    </w:r>
                  </w:p>
                </w:tc>
                <w:tc>
                  <w:tcPr>
                    <w:tcW w:w="1079" w:type="dxa"/>
                    <w:shd w:val="clear" w:color="auto" w:fill="FFFFFF" w:themeFill="background1"/>
                  </w:tcPr>
                  <w:p>
                    <w:pPr>
                      <w:jc w:val="center"/>
                      <w:rPr>
                        <w:sz w:val="20"/>
                      </w:rPr>
                    </w:pPr>
                    <w:r>
                      <w:rPr>
                        <w:sz w:val="20"/>
                      </w:rPr>
                      <w:t>25 000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R-11-002-02-11-01-65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Sveikatos priežiūros specialistų, kurie po dalyvavimo veiklose mažiausiai 2 metus dirbo sveikatos priežiūros įstaigose, dalis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80</w:t>
                    </w:r>
                  </w:p>
                  <w:p>
                    <w:pPr>
                      <w:jc w:val="center"/>
                      <w:rPr>
                        <w:sz w:val="20"/>
                        <w:lang w:val="en-US"/>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w:t>
                    </w:r>
                  </w:p>
                </w:tc>
              </w:tr>
              <w:tr>
                <w:trPr>
                  <w:trHeight w:val="330"/>
                </w:trPr>
                <w:tc>
                  <w:tcPr>
                    <w:tcW w:w="1346" w:type="dxa"/>
                    <w:shd w:val="clear" w:color="auto" w:fill="FFFFFF" w:themeFill="background1"/>
                  </w:tcPr>
                  <w:p>
                    <w:pPr>
                      <w:spacing w:line="276" w:lineRule="auto"/>
                      <w:rPr>
                        <w:sz w:val="20"/>
                      </w:rPr>
                    </w:pPr>
                    <w:r>
                      <w:rPr>
                        <w:sz w:val="20"/>
                      </w:rPr>
                      <w:t>P-11-002-02-11-01-66</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Modernizuotų asmens sveikatos priežiūros įstaigų skaičius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13</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P-11-002-02-11-01-67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Lietuvos Respublikos sveikatos priežiūros įstaigų įstatymo, Lietuvos Respublikos sveikatos sistemos įstatymo ir susijusių teisės aktų pakeitimų įsigaliojimas</w:t>
                    </w:r>
                    <w:r>
                      <w:rPr>
                        <w:sz w:val="20"/>
                      </w:rPr>
                      <w:t xml:space="preserve"> </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(2022 m. IV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kompetencijos centrų ir regioninio bendradarbiavimo modeliu pagrįsto asmens sveikatos priežiūros įstaigų tinklo sukūrimo ir reglamentavimo</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(2023 m. III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Struktūrinius sveikatos priežiūros paslaugų teikimo pokyčius įgyvendinusių ASPĮ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250</w:t>
                    </w:r>
                  </w:p>
                </w:tc>
                <w:tc>
                  <w:tcPr>
                    <w:tcW w:w="1344" w:type="dxa"/>
                    <w:shd w:val="clear" w:color="auto" w:fill="FFFFFF" w:themeFill="background1"/>
                  </w:tcPr>
                  <w:p>
                    <w:pPr>
                      <w:jc w:val="center"/>
                      <w:rPr>
                        <w:bCs/>
                        <w:sz w:val="20"/>
                      </w:rPr>
                    </w:pPr>
                    <w:r>
                      <w:rPr>
                        <w:bCs/>
                        <w:sz w:val="20"/>
                      </w:rPr>
                      <w:t>VB</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Baigtas mažiausiai 1 000 ilgalaikės priežiūros specialistų mokymas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1 000</w:t>
                    </w:r>
                  </w:p>
                  <w:p>
                    <w:pPr>
                      <w:jc w:val="center"/>
                      <w:rPr>
                        <w:sz w:val="20"/>
                        <w:lang w:val="en-US"/>
                      </w:rPr>
                    </w:pPr>
                    <w:r>
                      <w:rPr>
                        <w:sz w:val="20"/>
                        <w:lang w:val="en-US"/>
                      </w:rPr>
                      <w:t>(2024 m. IV ketv.)</w:t>
                    </w:r>
                  </w:p>
                </w:tc>
                <w:tc>
                  <w:tcPr>
                    <w:tcW w:w="1344" w:type="dxa"/>
                    <w:shd w:val="clear" w:color="auto" w:fill="FFFFFF" w:themeFill="background1"/>
                  </w:tcPr>
                  <w:p>
                    <w:pPr>
                      <w:ind w:left="-57" w:right="-57"/>
                      <w:jc w:val="center"/>
                      <w:rPr>
                        <w:sz w:val="20"/>
                      </w:rPr>
                    </w:pPr>
                    <w:r>
                      <w:rPr>
                        <w:sz w:val="20"/>
                      </w:rPr>
                      <w:t>EGADP</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Parengta reformos komunikacijos strategija</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w:t>
                    </w:r>
                  </w:p>
                </w:tc>
                <w:tc>
                  <w:tcPr>
                    <w:tcW w:w="1344" w:type="dxa"/>
                    <w:shd w:val="clear" w:color="auto" w:fill="FFFFFF" w:themeFill="background1"/>
                  </w:tcPr>
                  <w:p>
                    <w:pPr>
                      <w:spacing w:line="276" w:lineRule="auto"/>
                      <w:jc w:val="center"/>
                      <w:rPr>
                        <w:bCs/>
                        <w:sz w:val="20"/>
                      </w:rPr>
                    </w:pPr>
                    <w:r>
                      <w:rPr>
                        <w:sz w:val="20"/>
                      </w:rPr>
                      <w:t>VB</w:t>
                    </w:r>
                  </w:p>
                </w:tc>
              </w:tr>
              <w:tr>
                <w:trPr>
                  <w:trHeight w:val="330"/>
                </w:trPr>
                <w:tc>
                  <w:tcPr>
                    <w:tcW w:w="1346" w:type="dxa"/>
                    <w:shd w:val="clear" w:color="auto" w:fill="FFFFFF" w:themeFill="background1"/>
                  </w:tcPr>
                  <w:p>
                    <w:pPr>
                      <w:spacing w:line="276" w:lineRule="auto"/>
                      <w:rPr>
                        <w:sz w:val="20"/>
                      </w:rPr>
                    </w:pPr>
                    <w:r>
                      <w:rPr>
                        <w:sz w:val="20"/>
                      </w:rPr>
                      <w:t>P-11-002-02-11-01-72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Sprendimo dėl reguliavimo, investavimo ir komunikacijos veiksmų siekiant sukurti tvarų sveikatos priežiūros įstaigų tinklą, priėmimas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 xml:space="preserve">(2023 m. I ketv.) </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sz w:val="20"/>
                      </w:rPr>
                    </w:pPr>
                    <w:r>
                      <w:rPr>
                        <w:sz w:val="20"/>
                      </w:rPr>
                      <w:t>P-11-002-02-11-01-73</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reglamentuojantys, pavėžėjimo paslaugų teikimo ir organizavimo reikalavimus</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P-11-002-02-11-01-74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veiklose</w:t>
                    </w:r>
                  </w:p>
                </w:tc>
                <w:tc>
                  <w:tcPr>
                    <w:tcW w:w="1078" w:type="dxa"/>
                    <w:shd w:val="clear" w:color="auto" w:fill="FFFFFF" w:themeFill="background1"/>
                  </w:tcPr>
                  <w:p>
                    <w:pPr>
                      <w:spacing w:line="276" w:lineRule="auto"/>
                      <w:jc w:val="center"/>
                      <w:rPr>
                        <w:sz w:val="20"/>
                      </w:rPr>
                    </w:pPr>
                    <w:r>
                      <w:rPr>
                        <w:iCs/>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18 000</w:t>
                    </w:r>
                  </w:p>
                </w:tc>
                <w:tc>
                  <w:tcPr>
                    <w:tcW w:w="1344" w:type="dxa"/>
                    <w:shd w:val="clear" w:color="auto" w:fill="FFFFFF" w:themeFill="background1"/>
                  </w:tcPr>
                  <w:p>
                    <w:pPr>
                      <w:spacing w:line="276" w:lineRule="auto"/>
                      <w:jc w:val="center"/>
                      <w:rPr>
                        <w:bCs/>
                        <w:sz w:val="20"/>
                      </w:rPr>
                    </w:pPr>
                    <w:r>
                      <w:rPr>
                        <w:sz w:val="20"/>
                      </w:rPr>
                      <w:t>VB</w:t>
                    </w:r>
                    <w:r>
                      <w:rPr>
                        <w:bCs/>
                        <w:sz w:val="20"/>
                      </w:rPr>
                      <w:t xml:space="preserve"> </w:t>
                    </w:r>
                  </w:p>
                </w:tc>
              </w:tr>
              <w:tr>
                <w:trPr>
                  <w:trHeight w:val="330"/>
                </w:trPr>
                <w:tc>
                  <w:tcPr>
                    <w:tcW w:w="1346" w:type="dxa"/>
                    <w:shd w:val="clear" w:color="auto" w:fill="FFFFFF" w:themeFill="background1"/>
                  </w:tcPr>
                  <w:p>
                    <w:pPr>
                      <w:spacing w:line="276" w:lineRule="auto"/>
                      <w:rPr>
                        <w:sz w:val="20"/>
                      </w:rPr>
                    </w:pPr>
                    <w:r>
                      <w:rPr>
                        <w:sz w:val="20"/>
                      </w:rPr>
                      <w:t>P-11-002-02-11-01-75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 xml:space="preserve">Patvirtintas atnaujintas Šeimos medicinos plėtros 2016–2025 m. veiksmų planas </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1 </w:t>
                    </w:r>
                  </w:p>
                  <w:p>
                    <w:pPr>
                      <w:jc w:val="center"/>
                      <w:rPr>
                        <w:sz w:val="20"/>
                        <w:lang w:val="en-US"/>
                      </w:rPr>
                    </w:pPr>
                    <w:r>
                      <w:rPr>
                        <w:sz w:val="20"/>
                      </w:rPr>
                      <w:t>(2022 m. IV ketv.)</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color w:val="000000"/>
                        <w:sz w:val="20"/>
                      </w:rPr>
                    </w:pPr>
                    <w:r>
                      <w:rPr>
                        <w:color w:val="000000"/>
                        <w:sz w:val="20"/>
                      </w:rPr>
                      <w:t>P-11-002-02-11-01-76</w:t>
                    </w:r>
                  </w:p>
                </w:tc>
                <w:tc>
                  <w:tcPr>
                    <w:tcW w:w="1079" w:type="dxa"/>
                    <w:shd w:val="clear" w:color="auto" w:fill="FFFFFF" w:themeFill="background1"/>
                  </w:tcPr>
                  <w:p>
                    <w:pPr>
                      <w:spacing w:line="276" w:lineRule="auto"/>
                      <w:rPr>
                        <w:color w:val="000000"/>
                        <w:sz w:val="20"/>
                      </w:rPr>
                    </w:pPr>
                    <w:r>
                      <w:rPr>
                        <w:color w:val="000000"/>
                        <w:sz w:val="20"/>
                      </w:rPr>
                      <w:t>Produkto</w:t>
                    </w:r>
                  </w:p>
                </w:tc>
                <w:tc>
                  <w:tcPr>
                    <w:tcW w:w="2541" w:type="dxa"/>
                    <w:shd w:val="clear" w:color="auto" w:fill="FFFFFF" w:themeFill="background1"/>
                  </w:tcPr>
                  <w:p>
                    <w:pPr>
                      <w:rPr>
                        <w:color w:val="000000"/>
                        <w:sz w:val="20"/>
                      </w:rPr>
                    </w:pPr>
                    <w:r>
                      <w:rPr>
                        <w:color w:val="000000"/>
                        <w:sz w:val="20"/>
                      </w:rPr>
                      <w:t>Parengta ir patvirtinta ilgalaikė sveikatos žmogiškųjų išteklių valdymo strategija</w:t>
                    </w:r>
                    <w:r>
                      <w:rPr>
                        <w:color w:val="000000"/>
                        <w:sz w:val="20"/>
                        <w:vertAlign w:val="superscript"/>
                      </w:rPr>
                      <w:t>1</w:t>
                    </w:r>
                  </w:p>
                </w:tc>
                <w:tc>
                  <w:tcPr>
                    <w:tcW w:w="1078" w:type="dxa"/>
                    <w:shd w:val="clear" w:color="auto" w:fill="FFFFFF" w:themeFill="background1"/>
                  </w:tcPr>
                  <w:p>
                    <w:pPr>
                      <w:spacing w:line="276" w:lineRule="auto"/>
                      <w:jc w:val="center"/>
                      <w:rPr>
                        <w:color w:val="000000"/>
                        <w:sz w:val="20"/>
                      </w:rPr>
                    </w:pPr>
                    <w:r>
                      <w:rPr>
                        <w:color w:val="000000"/>
                        <w:sz w:val="20"/>
                      </w:rPr>
                      <w:t xml:space="preserve">Vnt. </w:t>
                    </w:r>
                  </w:p>
                </w:tc>
                <w:tc>
                  <w:tcPr>
                    <w:tcW w:w="1078" w:type="dxa"/>
                    <w:shd w:val="clear" w:color="auto" w:fill="FFFFFF" w:themeFill="background1"/>
                  </w:tcPr>
                  <w:p>
                    <w:pPr>
                      <w:jc w:val="center"/>
                      <w:rPr>
                        <w:color w:val="000000"/>
                        <w:sz w:val="20"/>
                      </w:rPr>
                    </w:pPr>
                    <w:r>
                      <w:rPr>
                        <w:color w:val="000000"/>
                        <w:sz w:val="20"/>
                      </w:rPr>
                      <w:t>n/d</w:t>
                    </w:r>
                  </w:p>
                </w:tc>
                <w:tc>
                  <w:tcPr>
                    <w:tcW w:w="945" w:type="dxa"/>
                    <w:shd w:val="clear" w:color="auto" w:fill="FFFFFF" w:themeFill="background1"/>
                  </w:tcPr>
                  <w:p>
                    <w:pPr>
                      <w:jc w:val="center"/>
                      <w:rPr>
                        <w:color w:val="000000"/>
                        <w:sz w:val="20"/>
                      </w:rPr>
                    </w:pPr>
                    <w:r>
                      <w:rPr>
                        <w:color w:val="000000"/>
                        <w:sz w:val="20"/>
                      </w:rPr>
                      <w:t>n/d</w:t>
                    </w:r>
                  </w:p>
                </w:tc>
                <w:tc>
                  <w:tcPr>
                    <w:tcW w:w="1079" w:type="dxa"/>
                    <w:shd w:val="clear" w:color="auto" w:fill="FFFFFF" w:themeFill="background1"/>
                  </w:tcPr>
                  <w:p>
                    <w:pPr>
                      <w:ind w:firstLine="53"/>
                      <w:jc w:val="center"/>
                      <w:rPr>
                        <w:color w:val="000000"/>
                        <w:sz w:val="20"/>
                      </w:rPr>
                    </w:pPr>
                    <w:r>
                      <w:rPr>
                        <w:color w:val="000000"/>
                        <w:sz w:val="20"/>
                      </w:rPr>
                      <w:t>1</w:t>
                    </w:r>
                  </w:p>
                  <w:p>
                    <w:pPr>
                      <w:ind w:firstLine="53"/>
                      <w:jc w:val="center"/>
                      <w:rPr>
                        <w:color w:val="000000"/>
                        <w:sz w:val="20"/>
                      </w:rPr>
                    </w:pPr>
                    <w:r>
                      <w:rPr>
                        <w:color w:val="000000"/>
                        <w:sz w:val="20"/>
                      </w:rPr>
                      <w:t>(2026 m.)</w:t>
                    </w:r>
                  </w:p>
                </w:tc>
                <w:tc>
                  <w:tcPr>
                    <w:tcW w:w="1344" w:type="dxa"/>
                    <w:shd w:val="clear" w:color="auto" w:fill="FFFFFF" w:themeFill="background1"/>
                  </w:tcPr>
                  <w:p>
                    <w:pPr>
                      <w:spacing w:line="276" w:lineRule="auto"/>
                      <w:jc w:val="center"/>
                      <w:rPr>
                        <w:bCs/>
                        <w:color w:val="000000"/>
                        <w:sz w:val="20"/>
                      </w:rPr>
                    </w:pPr>
                    <w:r>
                      <w:rPr>
                        <w:bCs/>
                        <w:color w:val="000000"/>
                        <w:sz w:val="20"/>
                      </w:rPr>
                      <w:t>2021</w:t>
                    </w:r>
                    <w:r>
                      <w:rPr>
                        <w:color w:val="000000"/>
                        <w:szCs w:val="24"/>
                      </w:rPr>
                      <w:t>–</w:t>
                    </w:r>
                    <w:r>
                      <w:rPr>
                        <w:bCs/>
                        <w:color w:val="000000"/>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P-11-002-02-11-01-77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sveikatos priežiūros specialistų darbo sąlygų gerinimo ir profesinės kvalifikacijos tobulinimo</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 xml:space="preserve">n/d </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w:t>
                    </w:r>
                    <w:r>
                      <w:rPr>
                        <w:sz w:val="20"/>
                        <w:lang w:val="en-US"/>
                      </w:rPr>
                      <w:t>6</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Patvirtintas 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(2024 m. 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P-11-002-02-11-01-80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Sveikatos įstaigų ir agentūrų viešųjų pirkimų centralizavimo plano priėmimas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w:t>
                    </w:r>
                    <w:r>
                      <w:rPr>
                        <w:sz w:val="20"/>
                        <w:lang w:val="en-US"/>
                      </w:rPr>
                      <w:t>3</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bl>
            <w:p>
              <w:pPr>
                <w:rPr>
                  <w:sz w:val="10"/>
                  <w:szCs w:val="10"/>
                </w:rPr>
              </w:pPr>
            </w:p>
            <w:p>
              <w:pPr>
                <w:jc w:val="both"/>
                <w:rPr>
                  <w:b/>
                  <w:bCs/>
                  <w:sz w:val="20"/>
                  <w:lang w:eastAsia="lt-LT"/>
                </w:rPr>
              </w:pPr>
              <w:r>
                <w:rPr>
                  <w:b/>
                  <w:bCs/>
                  <w:sz w:val="20"/>
                  <w:lang w:eastAsia="lt-LT"/>
                </w:rPr>
                <w:t>Pastabos:</w:t>
              </w:r>
            </w:p>
            <w:p>
              <w:pPr>
                <w:jc w:val="both"/>
                <w:rPr>
                  <w:i/>
                  <w:iCs/>
                  <w:sz w:val="20"/>
                  <w:lang w:eastAsia="lt-LT"/>
                </w:rPr>
              </w:pPr>
              <w:r>
                <w:rPr>
                  <w:sz w:val="20"/>
                  <w:lang w:eastAsia="lt-LT"/>
                </w:rPr>
                <w:t>1. N</w:t>
              </w:r>
              <w:r>
                <w:rPr>
                  <w:sz w:val="20"/>
                </w:rPr>
                <w:t>acionaliniai rodikliai, kurių bus siekiama vykdant veiklas, finansuojamas iš 2021</w:t>
              </w:r>
              <w:r>
                <w:rPr>
                  <w:color w:val="000000"/>
                  <w:szCs w:val="24"/>
                </w:rPr>
                <w:t>–</w:t>
              </w:r>
              <w:r>
                <w:rPr>
                  <w:sz w:val="20"/>
                </w:rPr>
                <w:t>2027 m. IP ir (arba) EGDAP lėšų.</w:t>
              </w:r>
              <w:r>
                <w:rPr>
                  <w:i/>
                  <w:iCs/>
                  <w:sz w:val="20"/>
                  <w:lang w:eastAsia="lt-LT"/>
                </w:rPr>
                <w:t xml:space="preserve"> </w:t>
              </w:r>
            </w:p>
            <w:p>
              <w:pPr>
                <w:jc w:val="both"/>
                <w:rPr>
                  <w:sz w:val="20"/>
                  <w:lang w:eastAsia="lt-LT"/>
                </w:rPr>
              </w:pPr>
              <w:r>
                <w:rPr>
                  <w:sz w:val="20"/>
                  <w:lang w:eastAsia="lt-LT"/>
                </w:rPr>
                <w:t xml:space="preserve">2. </w:t>
              </w:r>
              <w:r>
                <w:rPr>
                  <w:sz w:val="20"/>
                </w:rPr>
                <w:t>EGADP bendrieji rodikliai.</w:t>
              </w:r>
              <w:r>
                <w:rPr>
                  <w:sz w:val="20"/>
                  <w:lang w:eastAsia="lt-LT"/>
                </w:rPr>
                <w:t xml:space="preserve"> Bendrieji rodikliai </w:t>
              </w:r>
              <w:r>
                <w:rPr>
                  <w:sz w:val="20"/>
                </w:rPr>
                <w:t xml:space="preserve">nurodyti Ekonomikos gaivinimo ir atsparumo didinimo plane „Naujos kartos Lietuva“ ir neturi siektinų reikšmių. Duomenys bus renkami iš susijusių reformų ir investicijų rodiklių. Ataskaitinis laikotarpis </w:t>
              </w:r>
              <w:r>
                <w:rPr>
                  <w:color w:val="000000"/>
                  <w:szCs w:val="24"/>
                </w:rPr>
                <w:t>–</w:t>
              </w:r>
              <w:r>
                <w:rPr>
                  <w:sz w:val="20"/>
                </w:rPr>
                <w:t xml:space="preserve"> iki 2026 m. IV ketv. </w:t>
              </w:r>
            </w:p>
            <w:p>
              <w:pPr>
                <w:rPr>
                  <w:sz w:val="10"/>
                  <w:szCs w:val="10"/>
                </w:rPr>
              </w:pPr>
            </w:p>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sdtContent>
        </w:sdt>
        <w:sdt>
          <w:sdtPr>
            <w:alias w:val="skyrius"/>
            <w:tag w:val="part_4604f1929c584b729069b54cbc0b8fc4"/>
            <w:lock w:val="sdtLocked"/>
            <w:richText/>
          </w:sdtPr>
          <w:sdtContent>
            <w:p>
              <w:pPr>
                <w:jc w:val="center"/>
                <w:rPr>
                  <w:b/>
                  <w:sz w:val="22"/>
                  <w:szCs w:val="22"/>
                </w:rPr>
              </w:pPr>
              <w:sdt>
                <w:sdtPr>
                  <w:alias w:val="Numeris"/>
                  <w:tag w:val="nr_4604f1929c584b729069b54cbc0b8fc4"/>
                  <w:lock w:val="sdtLocked"/>
                  <w:richText/>
                </w:sdtPr>
                <w:sdtContent>
                  <w:r>
                    <w:rPr>
                      <w:b/>
                      <w:sz w:val="22"/>
                      <w:szCs w:val="22"/>
                    </w:rPr>
                    <w:t>II</w:t>
                  </w:r>
                </w:sdtContent>
              </w:sdt>
              <w:r>
                <w:rPr>
                  <w:b/>
                  <w:sz w:val="22"/>
                  <w:szCs w:val="22"/>
                </w:rPr>
                <w:t xml:space="preserve"> SKYRIUS</w:t>
              </w:r>
            </w:p>
            <w:p>
              <w:pPr>
                <w:jc w:val="center"/>
                <w:rPr>
                  <w:b/>
                  <w:sz w:val="22"/>
                  <w:szCs w:val="22"/>
                </w:rPr>
              </w:pPr>
              <w:sdt>
                <w:sdtPr>
                  <w:alias w:val="Pavadinimas"/>
                  <w:tag w:val="title_4604f1929c584b729069b54cbc0b8fc4"/>
                  <w:lock w:val="sdtLocked"/>
                  <w:richText/>
                </w:sdtPr>
                <w:sdtContent>
                  <w:r>
                    <w:rPr>
                      <w:b/>
                      <w:sz w:val="22"/>
                      <w:szCs w:val="22"/>
                    </w:rPr>
                    <w:t>PLĖTROS PROGRAMOS PAŽANGOS PRIEMONĖS FINANSAVIMO ŠALTINIAI</w:t>
                  </w:r>
                </w:sdtContent>
              </w:sdt>
            </w:p>
            <w:p>
              <w:pPr>
                <w:jc w:val="center"/>
                <w:rPr>
                  <w:b/>
                  <w:sz w:val="22"/>
                  <w:szCs w:val="22"/>
                </w:rPr>
              </w:pPr>
            </w:p>
            <w:tbl>
              <w:tblPr>
                <w:tblW w:w="10348" w:type="dxa"/>
                <w:tblInd w:w="-147" w:type="dxa"/>
                <w:tblLayout w:type="fixed"/>
                <w:tblCellMar>
                  <w:left w:w="30" w:type="dxa"/>
                  <w:right w:w="30" w:type="dxa"/>
                </w:tblCellMar>
                <w:tblLook w:val="04A0" w:firstRow="1" w:lastRow="0" w:firstColumn="1" w:lastColumn="0" w:noHBand="0" w:noVBand="1"/>
              </w:tblPr>
              <w:tblGrid>
                <w:gridCol w:w="7513"/>
                <w:gridCol w:w="2835"/>
              </w:tblGrid>
              <w:tr>
                <w:trPr>
                  <w:cantSplit/>
                  <w:trHeight w:val="557"/>
                </w:trPr>
                <w:tc>
                  <w:tcPr>
                    <w:tcW w:w="751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pPr>
                      <w:jc w:val="center"/>
                      <w:rPr>
                        <w:b/>
                        <w:sz w:val="20"/>
                      </w:rPr>
                    </w:pPr>
                    <w:r>
                      <w:rPr>
                        <w:b/>
                        <w:sz w:val="20"/>
                      </w:rPr>
                      <w:t>Finansavimo apimtis ir šaltiniai</w:t>
                    </w:r>
                  </w:p>
                </w:tc>
                <w:tc>
                  <w:tcPr>
                    <w:tcW w:w="283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pPr>
                      <w:ind w:left="15" w:hanging="15"/>
                      <w:jc w:val="center"/>
                      <w:rPr>
                        <w:b/>
                        <w:sz w:val="20"/>
                      </w:rPr>
                    </w:pPr>
                    <w:r>
                      <w:rPr>
                        <w:b/>
                        <w:sz w:val="20"/>
                      </w:rPr>
                      <w:t>Lėšų poreikis (tūkst. eurų)</w:t>
                    </w:r>
                  </w:p>
                </w:tc>
              </w:tr>
              <w:tr>
                <w:trPr>
                  <w:cantSplit/>
                  <w:trHeight w:val="272"/>
                </w:trPr>
                <w:tc>
                  <w:tcPr>
                    <w:tcW w:w="751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jc w:val="center"/>
                      <w:rPr>
                        <w:b/>
                        <w:sz w:val="20"/>
                      </w:rPr>
                    </w:pPr>
                    <w:r>
                      <w:rPr>
                        <w:b/>
                        <w:sz w:val="20"/>
                      </w:rPr>
                      <w:t>1</w:t>
                    </w:r>
                  </w:p>
                </w:tc>
                <w:tc>
                  <w:tcPr>
                    <w:tcW w:w="2835" w:type="dxa"/>
                    <w:tcBorders>
                      <w:top w:val="single" w:sz="4" w:space="0" w:color="auto"/>
                      <w:left w:val="single" w:sz="4" w:space="0" w:color="auto"/>
                      <w:right w:val="single" w:sz="4" w:space="0" w:color="auto"/>
                    </w:tcBorders>
                    <w:shd w:val="clear" w:color="auto" w:fill="DBE5F1" w:themeFill="accent1" w:themeFillTint="33"/>
                  </w:tcPr>
                  <w:p>
                    <w:pPr>
                      <w:ind w:left="15" w:hanging="15"/>
                      <w:jc w:val="center"/>
                      <w:rPr>
                        <w:b/>
                        <w:sz w:val="20"/>
                      </w:rPr>
                    </w:pPr>
                    <w:r>
                      <w:rPr>
                        <w:b/>
                        <w:sz w:val="20"/>
                      </w:rPr>
                      <w:t>2</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111 199, 719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54 919,719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1.1.1.1.2. Valstybės biudžeto lėšos, skirtos apmokėti bendrai finansuojamų iš ES fondų lėšų projektų netinkamam finansuoti iš ES fondų lėšų pirkimo ir (arba) importo PVM</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56 280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1.2. Europos Sąjungos ir kitos tarptautinės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80 648,806</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Cs/>
                        <w:sz w:val="20"/>
                      </w:rPr>
                    </w:pPr>
                    <w:r>
                      <w:rPr>
                        <w:bCs/>
                        <w:sz w:val="20"/>
                      </w:rPr>
                      <w:t>1.2.2.8.1. 2021–2027 m. ES struktūrinių fondų bendrojo finansavimo lėšos, Sostinės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1.2.2.8.1. 2021–2027 m. ES struktūrinių fondų bendrojo finansavimo lėšos, Vidurio ir vakarų Lietuvos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47 677,773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1.3. Europos Sąjungos ir kita tarptautinė finansinė parama</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571 145,080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Vidurio ir vakarų Lietuvos regionas (Europos socialinis fondas +)</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88 047,443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Sostinės regionas (Europos regioninės plėtros fondas)</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1.3.2.8.1. 2021–2027 m. ES struktūrinių fondų lėšos,</w:t>
                    </w:r>
                    <w:r>
                      <w:t xml:space="preserve"> </w:t>
                    </w:r>
                    <w:r>
                      <w:rPr>
                        <w:sz w:val="20"/>
                      </w:rPr>
                      <w:t>Vidurio ir vakarų Lietuvos regionas (Europos regioninės plėtros fondas)</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182 126,604</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 xml:space="preserve">1.3.3.1.57. Ekonomikos gaivinimo ir atsparumo didinimo priemonės lėšos </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268 000</w:t>
                    </w:r>
                  </w:p>
                </w:tc>
              </w:tr>
              <w:tr>
                <w:trPr>
                  <w:cantSplit/>
                  <w:trHeight w:val="228"/>
                </w:trPr>
                <w:tc>
                  <w:tcPr>
                    <w:tcW w:w="7513" w:type="dxa"/>
                    <w:tcBorders>
                      <w:top w:val="single" w:sz="4" w:space="0" w:color="auto"/>
                      <w:left w:val="single" w:sz="4" w:space="0" w:color="auto"/>
                      <w:bottom w:val="single" w:sz="4" w:space="0" w:color="auto"/>
                      <w:right w:val="single" w:sz="4" w:space="0" w:color="auto"/>
                    </w:tcBorders>
                    <w:vAlign w:val="center"/>
                  </w:tcPr>
                  <w:p>
                    <w:pPr>
                      <w:spacing w:line="276" w:lineRule="auto"/>
                      <w:ind w:left="1276" w:hanging="1276"/>
                      <w:jc w:val="both"/>
                      <w:rPr>
                        <w:b/>
                        <w:sz w:val="20"/>
                      </w:rPr>
                    </w:pPr>
                    <w:r>
                      <w:rPr>
                        <w:b/>
                        <w:sz w:val="20"/>
                      </w:rPr>
                      <w:t xml:space="preserve">1.4. Biudžetinių įstaigų pajamų įmokos ir kitos pajamos </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2. Kitos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2.1.Savivaldybių biudžetų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2.2. Privačios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2.3. Kitos viešosios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rPr>
                        <w:b/>
                        <w:sz w:val="20"/>
                      </w:rPr>
                    </w:pPr>
                    <w:r>
                      <w:rPr>
                        <w:b/>
                        <w:sz w:val="20"/>
                      </w:rPr>
                      <w:t>IŠ VISO:</w:t>
                    </w:r>
                  </w:p>
                </w:tc>
                <w:tc>
                  <w:tcPr>
                    <w:tcW w:w="283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pPr>
                      <w:jc w:val="center"/>
                      <w:rPr>
                        <w:b/>
                        <w:sz w:val="20"/>
                      </w:rPr>
                    </w:pPr>
                    <w:r>
                      <w:rPr>
                        <w:b/>
                        <w:sz w:val="20"/>
                      </w:rPr>
                      <w:t xml:space="preserve">762 993,605 </w:t>
                    </w:r>
                  </w:p>
                </w:tc>
              </w:tr>
            </w:tbl>
            <w:p>
              <w:pPr>
                <w:rPr>
                  <w:b/>
                  <w:sz w:val="18"/>
                  <w:szCs w:val="18"/>
                </w:rPr>
              </w:pPr>
            </w:p>
            <w:p/>
            <w:p>
              <w:pPr>
                <w:sectPr>
                  <w:pgSz w:w="11906" w:h="16838" w:code="9"/>
                  <w:pgMar w:top="851" w:right="567" w:bottom="1134" w:left="992" w:header="567" w:footer="567" w:gutter="0"/>
                  <w:pgNumType w:start="1"/>
                  <w:cols w:space="1296"/>
                  <w:titlePg/>
                  <w:docGrid w:linePitch="360"/>
                </w:sectPr>
              </w:pPr>
            </w:p>
            <w:p>
              <w:pPr>
                <w:tabs>
                  <w:tab w:val="center" w:pos="4819"/>
                  <w:tab w:val="right" w:pos="9638"/>
                </w:tabs>
                <w:jc w:val="center"/>
                <w:rPr>
                  <w:szCs w:val="24"/>
                </w:rPr>
              </w:pPr>
            </w:p>
          </w:sdtContent>
        </w:sdt>
        <w:sdt>
          <w:sdtPr>
            <w:alias w:val="skyrius"/>
            <w:tag w:val="part_5db8ac39fbbd447dbb4913153dfff212"/>
            <w:lock w:val="sdtLocked"/>
            <w:richText/>
          </w:sdtPr>
          <w:sdtContent>
            <w:p>
              <w:pPr>
                <w:ind w:left="-284"/>
                <w:jc w:val="center"/>
                <w:sectPr>
                  <w:headerReference w:type="even" r:id="rId19"/>
                  <w:headerReference w:type="default" r:id="rId20"/>
                  <w:footerReference w:type="even" r:id="rId21"/>
                  <w:footerReference w:type="default" r:id="rId22"/>
                  <w:headerReference w:type="first" r:id="rId23"/>
                  <w:footerReference w:type="first" r:id="rId24"/>
                  <w:pgSz w:w="11906" w:h="16838" w:code="9"/>
                  <w:pgMar w:top="1701" w:right="567" w:bottom="1134" w:left="1701" w:header="1134" w:footer="1134" w:gutter="0"/>
                  <w:cols w:space="1296"/>
                  <w:titlePg/>
                  <w:docGrid w:linePitch="326"/>
                </w:sectPr>
              </w:pPr>
            </w:p>
            <w:p>
              <w:pPr>
                <w:ind w:left="-284"/>
                <w:jc w:val="center"/>
                <w:rPr>
                  <w:b/>
                  <w:bCs/>
                </w:rPr>
              </w:pPr>
              <w:sdt>
                <w:sdtPr>
                  <w:alias w:val="Numeris"/>
                  <w:tag w:val="nr_5db8ac39fbbd447dbb4913153dfff212"/>
                  <w:lock w:val="sdtLocked"/>
                  <w:richText/>
                </w:sdtPr>
                <w:sdtContent>
                  <w:r>
                    <w:rPr>
                      <w:b/>
                      <w:bCs/>
                    </w:rPr>
                    <w:t>III</w:t>
                  </w:r>
                </w:sdtContent>
              </w:sdt>
              <w:r>
                <w:rPr>
                  <w:b/>
                  <w:bCs/>
                </w:rPr>
                <w:t xml:space="preserve"> SKYRIUS</w:t>
              </w:r>
            </w:p>
            <w:p>
              <w:pPr>
                <w:jc w:val="center"/>
                <w:rPr>
                  <w:b/>
                  <w:bCs/>
                </w:rPr>
              </w:pPr>
              <w:sdt>
                <w:sdtPr>
                  <w:alias w:val="Pavadinimas"/>
                  <w:tag w:val="title_5db8ac39fbbd447dbb4913153dfff212"/>
                  <w:lock w:val="sdtLocked"/>
                  <w:richText/>
                </w:sdtPr>
                <w:sdtContent>
                  <w:r>
                    <w:rPr>
                      <w:b/>
                      <w:bCs/>
                    </w:rPr>
                    <w:t>PLĖTROS PROGRAMOS PAŽANGOS PRIEMONĖS VEIKLŲ SUVESTINĖ</w:t>
                  </w:r>
                </w:sdtContent>
              </w:sdt>
            </w:p>
            <w:p>
              <w:pPr>
                <w:jc w:val="center"/>
                <w:rPr>
                  <w:b/>
                  <w:bCs/>
                </w:rPr>
              </w:pP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709"/>
                <w:gridCol w:w="1559"/>
                <w:gridCol w:w="709"/>
                <w:gridCol w:w="992"/>
                <w:gridCol w:w="709"/>
                <w:gridCol w:w="1276"/>
                <w:gridCol w:w="992"/>
                <w:gridCol w:w="2551"/>
                <w:gridCol w:w="851"/>
                <w:gridCol w:w="992"/>
                <w:gridCol w:w="1276"/>
              </w:tblGrid>
              <w:tr>
                <w:trPr>
                  <w:trHeight w:val="1425"/>
                </w:trPr>
                <w:tc>
                  <w:tcPr>
                    <w:tcW w:w="2410"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Veikla</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Veiklos (poveik-lės, projekto) tipas</w:t>
                    </w:r>
                  </w:p>
                </w:tc>
                <w:tc>
                  <w:tcPr>
                    <w:tcW w:w="155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Galimi pareiškėjai</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forma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suma(tūkst. eurų)</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25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Rodiklio pavadinimas ir tipas</w:t>
                    </w:r>
                  </w:p>
                </w:tc>
                <w:tc>
                  <w:tcPr>
                    <w:tcW w:w="8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Siektina galutinė rodiklio reikšmė, metai</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trike/>
                        <w:sz w:val="16"/>
                        <w:szCs w:val="16"/>
                      </w:rPr>
                    </w:pPr>
                    <w:r>
                      <w:rPr>
                        <w:b/>
                        <w:sz w:val="16"/>
                        <w:szCs w:val="16"/>
                      </w:rPr>
                      <w:t>Adminis-truojančioji institucija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Dalyvaujanti institucija</w:t>
                    </w:r>
                  </w:p>
                </w:tc>
              </w:tr>
              <w:tr>
                <w:trPr>
                  <w:trHeight w:val="279"/>
                </w:trPr>
                <w:tc>
                  <w:tcPr>
                    <w:tcW w:w="2410"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2</w:t>
                    </w:r>
                  </w:p>
                </w:tc>
                <w:tc>
                  <w:tcPr>
                    <w:tcW w:w="155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3</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4</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5</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6</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7</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8</w:t>
                    </w:r>
                  </w:p>
                </w:tc>
                <w:tc>
                  <w:tcPr>
                    <w:tcW w:w="25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9</w:t>
                    </w:r>
                  </w:p>
                </w:tc>
                <w:tc>
                  <w:tcPr>
                    <w:tcW w:w="8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10</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11</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12</w:t>
                    </w:r>
                  </w:p>
                </w:tc>
              </w:tr>
              <w:tr>
                <w:trPr>
                  <w:trHeight w:val="382"/>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b/>
                        <w:bCs/>
                        <w:iCs/>
                        <w:sz w:val="20"/>
                      </w:rPr>
                    </w:pPr>
                    <w:r>
                      <w:rPr>
                        <w:b/>
                        <w:bCs/>
                        <w:iCs/>
                        <w:sz w:val="20"/>
                      </w:rPr>
                      <w:t>1. Ilgalaikės priežiūros paslaugų diegimas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b/>
                        <w:bCs/>
                        <w:color w:val="000000"/>
                        <w:sz w:val="20"/>
                      </w:rPr>
                    </w:pPr>
                    <w:r>
                      <w:rPr>
                        <w:b/>
                        <w:bCs/>
                        <w:color w:val="000000"/>
                        <w:sz w:val="20"/>
                      </w:rPr>
                      <w:t>18 770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sz w:val="20"/>
                      </w:rPr>
                    </w:pPr>
                  </w:p>
                  <w:p>
                    <w:pPr>
                      <w:ind w:left="-57" w:right="-57"/>
                      <w:rPr>
                        <w:color w:val="000000"/>
                        <w:sz w:val="20"/>
                      </w:rPr>
                    </w:pP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r>
              <w:tr>
                <w:trPr>
                  <w:trHeight w:val="382"/>
                </w:trPr>
                <w:tc>
                  <w:tcPr>
                    <w:tcW w:w="2410"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8 900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415"/>
                </w:trPr>
                <w:tc>
                  <w:tcPr>
                    <w:tcW w:w="2410" w:type="dxa"/>
                    <w:vMerge/>
                    <w:tcBorders>
                      <w:left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1 870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 xml:space="preserve">VB lėšos netinka-mam PVM apmokėti (toliau – PVM iš VB </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265"/>
                </w:trPr>
                <w:tc>
                  <w:tcPr>
                    <w:tcW w:w="2410"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8 000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1112"/>
                </w:trPr>
                <w:tc>
                  <w:tcPr>
                    <w:tcW w:w="2410" w:type="dxa"/>
                    <w:vMerge w:val="restart"/>
                    <w:tcBorders>
                      <w:top w:val="single" w:sz="4" w:space="0" w:color="auto"/>
                      <w:left w:val="single" w:sz="4" w:space="0" w:color="auto"/>
                      <w:right w:val="single" w:sz="4" w:space="0" w:color="auto"/>
                    </w:tcBorders>
                  </w:tcPr>
                  <w:p>
                    <w:pPr>
                      <w:ind w:left="-57" w:right="-57"/>
                      <w:rPr>
                        <w:b/>
                        <w:bCs/>
                        <w:sz w:val="20"/>
                      </w:rPr>
                    </w:pPr>
                    <w:r>
                      <w:rPr>
                        <w:sz w:val="20"/>
                      </w:rPr>
                      <w:t xml:space="preserve">1.1. Ilgalaikę priežiūrą reglamentuojančių teisės aktų  parengimas</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Socialiniams partneriams pristatytas ir viešai konsultacijai pateiktas ilgalaikės priežiūros paslaugų teikimo ir finansavimo modelis, vnt.</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(2022 m. III ketv.)</w:t>
                    </w:r>
                  </w:p>
                </w:tc>
                <w:tc>
                  <w:tcPr>
                    <w:tcW w:w="992" w:type="dxa"/>
                    <w:vMerge w:val="restart"/>
                    <w:tcBorders>
                      <w:top w:val="single" w:sz="4" w:space="0" w:color="auto"/>
                      <w:left w:val="single" w:sz="4" w:space="0" w:color="auto"/>
                      <w:right w:val="single" w:sz="4" w:space="0" w:color="auto"/>
                    </w:tcBorders>
                  </w:tcPr>
                  <w:p>
                    <w:pP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Sveikatos apsaugos ministerija (toliau – SAM);</w:t>
                    </w:r>
                  </w:p>
                  <w:p>
                    <w:pPr>
                      <w:ind w:left="-57" w:right="-57"/>
                      <w:jc w:val="center"/>
                      <w:rPr>
                        <w:sz w:val="20"/>
                      </w:rPr>
                    </w:pPr>
                    <w:r>
                      <w:rPr>
                        <w:sz w:val="20"/>
                      </w:rPr>
                      <w:t xml:space="preserve">Socialinės apsaugos ir darbo ministerija (toliau – SADM) </w:t>
                    </w:r>
                  </w:p>
                </w:tc>
              </w:tr>
              <w:tr>
                <w:trPr>
                  <w:trHeight w:val="599"/>
                </w:trPr>
                <w:tc>
                  <w:tcPr>
                    <w:tcW w:w="2410" w:type="dxa"/>
                    <w:vMerge/>
                    <w:tcBorders>
                      <w:left w:val="single" w:sz="4" w:space="0" w:color="auto"/>
                      <w:bottom w:val="single" w:sz="4" w:space="0" w:color="auto"/>
                      <w:right w:val="single" w:sz="4" w:space="0" w:color="auto"/>
                    </w:tcBorders>
                  </w:tcPr>
                  <w:p>
                    <w:pPr>
                      <w:ind w:left="-57" w:right="-57"/>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Įsigalioję teisės aktai, reglamentuojantys ilgalaikės priežiūros paslaugų modelio įgyvendinimą, kompl.</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926"/>
                </w:trPr>
                <w:tc>
                  <w:tcPr>
                    <w:tcW w:w="2410"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iCs/>
                        <w:sz w:val="20"/>
                      </w:rPr>
                    </w:pPr>
                    <w:r>
                      <w:rPr>
                        <w:iCs/>
                        <w:sz w:val="20"/>
                      </w:rPr>
                      <w:t>1.2.</w:t>
                    </w:r>
                    <w:r>
                      <w:rPr>
                        <w:iCs/>
                        <w:sz w:val="20"/>
                        <w:lang w:eastAsia="lt-LT"/>
                      </w:rPr>
                      <w:t xml:space="preserve"> </w:t>
                    </w:r>
                    <w:r>
                      <w:rPr>
                        <w:iCs/>
                        <w:sz w:val="20"/>
                      </w:rPr>
                      <w:t>Ilgalaikės priežiūros dienos centrų įrengimas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I</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Asmens sveikatos priežiūros įstaigos (toliau – ASPĮ); savivaldybių administracijos; savivaldybių įstaigos, teikiančios globos paslaugas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D</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5 400</w:t>
                    </w:r>
                  </w:p>
                  <w:p>
                    <w:pPr>
                      <w:ind w:left="-57" w:right="-57"/>
                      <w:jc w:val="center"/>
                      <w:rPr>
                        <w:sz w:val="20"/>
                      </w:rPr>
                    </w:pPr>
                  </w:p>
                  <w:p>
                    <w:pPr>
                      <w:rPr>
                        <w:sz w:val="20"/>
                      </w:rPr>
                    </w:pPr>
                  </w:p>
                  <w:p>
                    <w:pPr>
                      <w:rPr>
                        <w:sz w:val="20"/>
                      </w:rPr>
                    </w:pPr>
                  </w:p>
                  <w:p>
                    <w:pPr>
                      <w:ind w:left="-57" w:right="-57"/>
                      <w:jc w:val="center"/>
                      <w:rPr>
                        <w:sz w:val="20"/>
                      </w:rPr>
                    </w:pPr>
                    <w:r>
                      <w:rPr>
                        <w:color w:val="000000"/>
                        <w:sz w:val="20"/>
                      </w:rPr>
                      <w:t>1 130</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EGADP</w:t>
                    </w:r>
                  </w:p>
                  <w:p>
                    <w:pPr>
                      <w:ind w:left="-57" w:right="-57"/>
                      <w:rPr>
                        <w:color w:val="000000"/>
                        <w:sz w:val="20"/>
                      </w:rPr>
                    </w:pPr>
                  </w:p>
                  <w:p>
                    <w:pPr>
                      <w:ind w:left="-57" w:right="-57"/>
                      <w:rPr>
                        <w:color w:val="000000"/>
                        <w:sz w:val="20"/>
                      </w:rPr>
                    </w:pPr>
                  </w:p>
                  <w:p>
                    <w:pPr>
                      <w:ind w:left="-57" w:right="-57"/>
                      <w:rPr>
                        <w:color w:val="000000"/>
                        <w:sz w:val="20"/>
                      </w:rPr>
                    </w:pPr>
                  </w:p>
                  <w:p>
                    <w:pPr>
                      <w:ind w:left="-57" w:right="-57"/>
                      <w:rPr>
                        <w:sz w:val="20"/>
                      </w:rPr>
                    </w:pPr>
                    <w:r>
                      <w:rPr>
                        <w:color w:val="000000"/>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Įkurtų specializuotų dienos priežiūros centrų, skirtų integruotoms ilgalaikės priežiūros paslaugoms teikti, skaičius,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10</w:t>
                    </w:r>
                  </w:p>
                  <w:p>
                    <w:pPr>
                      <w:ind w:left="-57" w:right="-57"/>
                      <w:jc w:val="center"/>
                      <w:rPr>
                        <w:sz w:val="20"/>
                      </w:rPr>
                    </w:pPr>
                    <w:r>
                      <w:rPr>
                        <w:sz w:val="20"/>
                      </w:rPr>
                      <w:t>2024 m. (IV ketv.)</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VšĮ Centrinė projektų valdymo agentūra (toliau – CPVA)</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SAM; SADM</w:t>
                    </w: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n/a</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38"/>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42"/>
                </w:trPr>
                <w:tc>
                  <w:tcPr>
                    <w:tcW w:w="2410" w:type="dxa"/>
                    <w:vMerge w:val="restart"/>
                    <w:tcBorders>
                      <w:top w:val="single" w:sz="4" w:space="0" w:color="auto"/>
                      <w:left w:val="single" w:sz="4" w:space="0" w:color="auto"/>
                      <w:right w:val="single" w:sz="4" w:space="0" w:color="auto"/>
                    </w:tcBorders>
                  </w:tcPr>
                  <w:p>
                    <w:pPr>
                      <w:ind w:left="-57" w:right="-57"/>
                      <w:rPr>
                        <w:sz w:val="20"/>
                        <w:u w:val="single"/>
                      </w:rPr>
                    </w:pPr>
                    <w:r>
                      <w:rPr>
                        <w:iCs/>
                        <w:sz w:val="20"/>
                      </w:rPr>
                      <w:t xml:space="preserve">1.3. </w:t>
                    </w:r>
                    <w:r>
                      <w:rPr>
                        <w:sz w:val="20"/>
                      </w:rPr>
                      <w:t>Paslaugų teikimas ilgalaikės priežiūros dienos centruose</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I</w:t>
                    </w:r>
                  </w:p>
                  <w:p>
                    <w:pPr>
                      <w:rPr>
                        <w:sz w:val="20"/>
                      </w:rPr>
                    </w:pPr>
                  </w:p>
                  <w:p>
                    <w:pPr>
                      <w:rPr>
                        <w:sz w:val="20"/>
                      </w:rPr>
                    </w:pPr>
                  </w:p>
                </w:tc>
                <w:tc>
                  <w:tcPr>
                    <w:tcW w:w="1559" w:type="dxa"/>
                    <w:vMerge w:val="restart"/>
                    <w:tcBorders>
                      <w:top w:val="single" w:sz="4" w:space="0" w:color="auto"/>
                      <w:left w:val="single" w:sz="4" w:space="0" w:color="auto"/>
                      <w:right w:val="single" w:sz="4" w:space="0" w:color="auto"/>
                    </w:tcBorders>
                  </w:tcPr>
                  <w:p>
                    <w:pPr>
                      <w:ind w:left="-57" w:right="-57" w:firstLine="53"/>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vMerge w:val="restart"/>
                    <w:tcBorders>
                      <w:top w:val="single" w:sz="4" w:space="0" w:color="auto"/>
                      <w:left w:val="single" w:sz="4" w:space="0" w:color="auto"/>
                      <w:right w:val="single" w:sz="4" w:space="0" w:color="auto"/>
                    </w:tcBorders>
                  </w:tcPr>
                  <w:p>
                    <w:pPr>
                      <w:jc w:val="center"/>
                      <w:rPr>
                        <w:color w:val="000000"/>
                        <w:sz w:val="20"/>
                      </w:rPr>
                    </w:pPr>
                    <w:r>
                      <w:rPr>
                        <w:color w:val="000000"/>
                        <w:sz w:val="20"/>
                      </w:rPr>
                      <w:t>8 000</w:t>
                    </w:r>
                  </w:p>
                  <w:p>
                    <w:pPr>
                      <w:jc w:val="center"/>
                      <w:rPr>
                        <w:sz w:val="20"/>
                      </w:rPr>
                    </w:pPr>
                  </w:p>
                  <w:p>
                    <w:pPr>
                      <w:jc w:val="center"/>
                      <w:rPr>
                        <w:sz w:val="20"/>
                      </w:rPr>
                    </w:pPr>
                  </w:p>
                  <w:p>
                    <w:pPr>
                      <w:jc w:val="center"/>
                      <w:rPr>
                        <w:sz w:val="20"/>
                      </w:rPr>
                    </w:pPr>
                  </w:p>
                  <w:p>
                    <w:pPr>
                      <w:jc w:val="center"/>
                      <w:rPr>
                        <w:sz w:val="20"/>
                      </w:rPr>
                    </w:pPr>
                  </w:p>
                  <w:p>
                    <w:pPr>
                      <w:jc w:val="center"/>
                      <w:rPr>
                        <w:color w:val="000000"/>
                        <w:sz w:val="20"/>
                      </w:rPr>
                    </w:pPr>
                  </w:p>
                  <w:p>
                    <w:pPr>
                      <w:jc w:val="center"/>
                      <w:rPr>
                        <w:sz w:val="20"/>
                      </w:rPr>
                    </w:pPr>
                  </w:p>
                </w:tc>
                <w:tc>
                  <w:tcPr>
                    <w:tcW w:w="992" w:type="dxa"/>
                    <w:vMerge w:val="restart"/>
                    <w:tcBorders>
                      <w:top w:val="single" w:sz="4" w:space="0" w:color="auto"/>
                      <w:left w:val="single" w:sz="4" w:space="0" w:color="auto"/>
                      <w:right w:val="single" w:sz="4" w:space="0" w:color="auto"/>
                    </w:tcBorders>
                  </w:tcPr>
                  <w:p>
                    <w:pPr>
                      <w:jc w:val="center"/>
                      <w:rPr>
                        <w:sz w:val="20"/>
                      </w:rPr>
                    </w:pPr>
                    <w:r>
                      <w:rPr>
                        <w:color w:val="000000"/>
                        <w:sz w:val="20"/>
                      </w:rPr>
                      <w:t>VB</w:t>
                    </w: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SAM; SADM</w:t>
                    </w:r>
                  </w:p>
                  <w:p>
                    <w:pPr>
                      <w:rPr>
                        <w:sz w:val="20"/>
                      </w:rPr>
                    </w:pPr>
                  </w:p>
                  <w:p>
                    <w:pPr>
                      <w:rPr>
                        <w:sz w:val="20"/>
                      </w:rPr>
                    </w:pPr>
                  </w:p>
                  <w:p>
                    <w:pPr>
                      <w:rPr>
                        <w:sz w:val="20"/>
                      </w:rPr>
                    </w:pPr>
                  </w:p>
                </w:tc>
              </w:tr>
              <w:tr>
                <w:trPr>
                  <w:trHeight w:val="1130"/>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firstLine="53"/>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jc w:val="center"/>
                      <w:rPr>
                        <w:color w:val="000000"/>
                        <w:sz w:val="20"/>
                      </w:rPr>
                    </w:pPr>
                  </w:p>
                </w:tc>
                <w:tc>
                  <w:tcPr>
                    <w:tcW w:w="992" w:type="dxa"/>
                    <w:vMerge/>
                    <w:tcBorders>
                      <w:left w:val="single" w:sz="4" w:space="0" w:color="auto"/>
                      <w:bottom w:val="single" w:sz="4" w:space="0" w:color="auto"/>
                      <w:right w:val="single" w:sz="4" w:space="0" w:color="auto"/>
                    </w:tcBorders>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sz w:val="20"/>
                      </w:rPr>
                    </w:pPr>
                    <w:r>
                      <w:rPr>
                        <w:sz w:val="20"/>
                      </w:rPr>
                      <w:t>60</w:t>
                    </w:r>
                  </w:p>
                  <w:p>
                    <w:pPr>
                      <w:ind w:left="-57" w:right="-57"/>
                      <w:jc w:val="center"/>
                      <w:rPr>
                        <w:sz w:val="20"/>
                      </w:rPr>
                    </w:pPr>
                    <w:r>
                      <w:rPr>
                        <w:sz w:val="20"/>
                      </w:rPr>
                      <w:t>(2026 m. I ketv.)</w:t>
                    </w:r>
                  </w:p>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31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1.4. Mobiliųjų komandų aprūpinimas įranga ir transporto priemonėmis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p>
                    <w:pPr>
                      <w:ind w:left="-57" w:right="-57"/>
                      <w:jc w:val="center"/>
                      <w:rPr>
                        <w:color w:val="FF0000"/>
                        <w:sz w:val="20"/>
                      </w:rPr>
                    </w:pPr>
                    <w:r>
                      <w:rPr>
                        <w:sz w:val="20"/>
                      </w:rPr>
                      <w:t>savivaldybių administracijos</w:t>
                    </w:r>
                    <w:r>
                      <w:rPr>
                        <w:color w:val="FF0000"/>
                        <w:sz w:val="20"/>
                      </w:rPr>
                      <w:t xml:space="preserve"> </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3 500</w:t>
                    </w: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Sukurtų ilgalaikės priežiūros specialistų komandų, teikiančių paslaugas gyventojų namuose,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90</w:t>
                    </w:r>
                  </w:p>
                  <w:p>
                    <w:pPr>
                      <w:ind w:left="-57" w:right="-57"/>
                      <w:jc w:val="center"/>
                      <w:rPr>
                        <w:sz w:val="20"/>
                      </w:rPr>
                    </w:pPr>
                    <w:r>
                      <w:rPr>
                        <w:sz w:val="20"/>
                      </w:rPr>
                      <w:t>(2024 m. IV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SAM; SADM</w:t>
                    </w:r>
                  </w:p>
                </w:tc>
              </w:tr>
              <w:tr>
                <w:trPr>
                  <w:trHeight w:val="453"/>
                </w:trPr>
                <w:tc>
                  <w:tcPr>
                    <w:tcW w:w="2410" w:type="dxa"/>
                    <w:vMerge/>
                    <w:tcBorders>
                      <w:left w:val="single" w:sz="4" w:space="0" w:color="auto"/>
                      <w:right w:val="single" w:sz="4" w:space="0" w:color="auto"/>
                    </w:tcBorders>
                  </w:tcPr>
                  <w:p>
                    <w:pPr>
                      <w:ind w:left="-57" w:right="-57"/>
                      <w:rPr>
                        <w:iCs/>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276" w:type="dxa"/>
                    <w:tcBorders>
                      <w:left w:val="single" w:sz="4" w:space="0" w:color="auto"/>
                      <w:right w:val="single" w:sz="4" w:space="0" w:color="auto"/>
                    </w:tcBorders>
                  </w:tcPr>
                  <w:p>
                    <w:pPr>
                      <w:ind w:left="-57" w:right="-57"/>
                      <w:jc w:val="center"/>
                      <w:rPr>
                        <w:sz w:val="20"/>
                      </w:rPr>
                    </w:pPr>
                    <w:r>
                      <w:rPr>
                        <w:sz w:val="20"/>
                      </w:rPr>
                      <w:t>740</w:t>
                    </w:r>
                  </w:p>
                </w:tc>
                <w:tc>
                  <w:tcPr>
                    <w:tcW w:w="992" w:type="dxa"/>
                    <w:tcBorders>
                      <w:top w:val="single" w:sz="4" w:space="0" w:color="auto"/>
                      <w:left w:val="single" w:sz="4" w:space="0" w:color="auto"/>
                      <w:right w:val="single" w:sz="4" w:space="0" w:color="auto"/>
                    </w:tcBorders>
                  </w:tcPr>
                  <w:p>
                    <w:pPr>
                      <w:ind w:left="-57" w:right="-57"/>
                      <w:rPr>
                        <w:sz w:val="20"/>
                      </w:rPr>
                    </w:pPr>
                    <w:r>
                      <w:rPr>
                        <w:sz w:val="20"/>
                      </w:rPr>
                      <w:t>PVM iš VB</w:t>
                    </w:r>
                  </w:p>
                </w:tc>
                <w:tc>
                  <w:tcPr>
                    <w:tcW w:w="2551" w:type="dxa"/>
                    <w:vMerge/>
                    <w:tcBorders>
                      <w:left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9"/>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val="restart"/>
                    <w:tcBorders>
                      <w:left w:val="single" w:sz="4" w:space="0" w:color="auto"/>
                      <w:bottom w:val="single" w:sz="4" w:space="0" w:color="auto"/>
                      <w:right w:val="single" w:sz="4" w:space="0" w:color="auto"/>
                    </w:tcBorders>
                    <w:vAlign w:val="center"/>
                  </w:tcPr>
                  <w:p>
                    <w:pPr>
                      <w:ind w:left="-57" w:right="-57"/>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vAlign w:val="center"/>
                  </w:tcPr>
                  <w:p>
                    <w:pPr>
                      <w:ind w:left="-57" w:right="-57"/>
                      <w:rPr>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b/>
                        <w:bCs/>
                        <w:color w:val="000000"/>
                        <w:sz w:val="20"/>
                      </w:rPr>
                    </w:pPr>
                    <w:r>
                      <w:rPr>
                        <w:b/>
                        <w:bCs/>
                        <w:color w:val="000000"/>
                        <w:sz w:val="20"/>
                      </w:rPr>
                      <w:t>2. Pasirengimo grėsmėms stiprinimas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b/>
                        <w:bCs/>
                        <w:color w:val="000000"/>
                        <w:sz w:val="20"/>
                      </w:rPr>
                    </w:pPr>
                    <w:r>
                      <w:rPr>
                        <w:b/>
                        <w:bCs/>
                        <w:color w:val="000000"/>
                        <w:sz w:val="20"/>
                      </w:rPr>
                      <w:t>253 823,507</w:t>
                    </w:r>
                  </w:p>
                  <w:p>
                    <w:pP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Mirštamumas nuo miokardo infarkto per 30 dienų nuo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9</w:t>
                    </w:r>
                  </w:p>
                  <w:p>
                    <w:pPr>
                      <w:ind w:left="-57" w:right="-57"/>
                      <w:jc w:val="center"/>
                      <w:rPr>
                        <w:color w:val="000000"/>
                        <w:sz w:val="20"/>
                      </w:rPr>
                    </w:pPr>
                    <w:r>
                      <w:rPr>
                        <w:color w:val="000000"/>
                        <w:sz w:val="20"/>
                      </w:rPr>
                      <w:t>(2030 m.)</w:t>
                    </w:r>
                  </w:p>
                  <w:p>
                    <w:pPr>
                      <w:ind w:left="-57" w:right="-57"/>
                      <w:jc w:val="center"/>
                      <w:rPr>
                        <w:color w:val="000000"/>
                        <w:sz w:val="20"/>
                      </w:rPr>
                    </w:pPr>
                  </w:p>
                  <w:p>
                    <w:pPr>
                      <w:ind w:left="-57" w:right="-57"/>
                      <w:jc w:val="center"/>
                      <w:rPr>
                        <w:color w:val="000000"/>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p>
                    <w:pPr>
                      <w:jc w:val="center"/>
                      <w:rPr>
                        <w:color w:val="000000"/>
                        <w:sz w:val="20"/>
                      </w:rPr>
                    </w:pPr>
                    <w:r>
                      <w:rPr>
                        <w:color w:val="000000"/>
                        <w:sz w:val="20"/>
                      </w:rPr>
                      <w:t>148 153,509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Mirštamumas nuo išeminio galvos smegenų insulto per 30 dienų po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12</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p>
                    <w:pPr>
                      <w:jc w:val="center"/>
                      <w:rPr>
                        <w:color w:val="000000"/>
                        <w:sz w:val="20"/>
                      </w:rPr>
                    </w:pPr>
                    <w:r>
                      <w:rPr>
                        <w:color w:val="000000"/>
                        <w:sz w:val="20"/>
                      </w:rPr>
                      <w:t>31 111,338</w:t>
                    </w:r>
                  </w:p>
                  <w:p>
                    <w:pPr>
                      <w:jc w:val="cente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Efektyvių organų donorų skaičius 1 mln. gyventojų, vnt.</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30</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2021–2027 m. IP (ERPF, Sostinės regionas)</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 xml:space="preserve">R – Aktyviojo gydymo sveikatos priežiūros įstaigose nustatytų invazinių </w:t>
                    </w:r>
                    <w:r>
                      <w:rPr>
                        <w:i/>
                        <w:iCs/>
                        <w:color w:val="000000"/>
                        <w:sz w:val="20"/>
                      </w:rPr>
                      <w:t>Klebsiella pneumoniae</w:t>
                    </w:r>
                    <w:r>
                      <w:rPr>
                        <w:color w:val="000000"/>
                        <w:sz w:val="20"/>
                      </w:rPr>
                      <w:t xml:space="preserve">, atsparių  trečios kartos cefalosporinams, dalis (EARS-Net duomenimis),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30</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 xml:space="preserve">2021–2027 m. IP (BF, Sostinės regionas) </w:t>
                    </w:r>
                  </w:p>
                </w:tc>
                <w:tc>
                  <w:tcPr>
                    <w:tcW w:w="25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47 847,749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2021–2027 m. IP (ERPF,</w:t>
                    </w:r>
                  </w:p>
                  <w:p>
                    <w:pPr>
                      <w:jc w:val="center"/>
                      <w:rPr>
                        <w:sz w:val="20"/>
                      </w:rPr>
                    </w:pPr>
                    <w:r>
                      <w:rPr>
                        <w:sz w:val="20"/>
                      </w:rPr>
                      <w:t>Vidurio ir vakarų Lietuvos (toliau – VVL) regionas)</w:t>
                    </w:r>
                  </w:p>
                </w:tc>
                <w:tc>
                  <w:tcPr>
                    <w:tcW w:w="25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8 443,721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 xml:space="preserve">2021–2027 m. IP (BF, VVL regionas) </w:t>
                    </w:r>
                  </w:p>
                </w:tc>
                <w:tc>
                  <w:tcPr>
                    <w:tcW w:w="2551" w:type="dxa"/>
                    <w:vMerge/>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212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2.1. Teisės aktų, skirtų įstaigų pasirengimui dirbti ekstremaliomis situacijomis didinti, parengimas</w:t>
                    </w:r>
                  </w:p>
                </w:tc>
                <w:tc>
                  <w:tcPr>
                    <w:tcW w:w="709" w:type="dxa"/>
                    <w:vMerge w:val="restart"/>
                    <w:tcBorders>
                      <w:top w:val="single" w:sz="4" w:space="0" w:color="auto"/>
                      <w:left w:val="single" w:sz="4" w:space="0" w:color="auto"/>
                      <w:right w:val="single" w:sz="4" w:space="0" w:color="auto"/>
                    </w:tcBorders>
                  </w:tcPr>
                  <w:p>
                    <w:pPr>
                      <w:ind w:left="-57" w:right="-57"/>
                      <w:rPr>
                        <w:iCs/>
                        <w:sz w:val="20"/>
                      </w:rPr>
                    </w:pPr>
                    <w:r>
                      <w:rPr>
                        <w:iCs/>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color w:val="FF0000"/>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tcPr>
                  <w:p>
                    <w:pPr>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Sveikatos priežiūros įstaigų bendradarbiavimo gerinimo ir infrastruktūros pritaikymo ekstremalioms situacijoms modernizavimo veiksmų plano projektas pateiktas konsultacijoms su socialiniais partneriais ir kitomis suinteresuotomis šalimis,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102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Įsigaliojęs sveikatos priežiūros įstaigų bendradarbiavimo gerinimo ir infrastruktūros pritaikymo ekstremaliosioms situacijoms modernizavimo veiksmų planas, vnt.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87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ind w:left="-57" w:right="-57"/>
                      <w:jc w:val="center"/>
                      <w:rPr>
                        <w:color w:val="000000"/>
                        <w:sz w:val="20"/>
                      </w:rPr>
                    </w:pPr>
                  </w:p>
                </w:tc>
                <w:tc>
                  <w:tcPr>
                    <w:tcW w:w="992" w:type="dxa"/>
                    <w:vMerge/>
                    <w:tcBorders>
                      <w:left w:val="single" w:sz="4" w:space="0" w:color="auto"/>
                      <w:right w:val="single" w:sz="4" w:space="0" w:color="auto"/>
                    </w:tcBorders>
                    <w:vAlign w:val="center"/>
                  </w:tcPr>
                  <w:p>
                    <w:pPr>
                      <w:ind w:left="-57" w:right="-57"/>
                      <w:jc w:val="cente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Nustatyti infekcinių ligų centrų infrastruktūros reikalavimai, </w:t>
                    </w:r>
                    <w:r>
                      <w:rPr>
                        <w:color w:val="000000"/>
                        <w:sz w:val="20"/>
                      </w:rPr>
                      <w:t>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w:t>
                    </w:r>
                    <w:r>
                      <w:rPr>
                        <w:sz w:val="20"/>
                        <w:lang w:eastAsia="lt-LT"/>
                      </w:rPr>
                      <w:t>Nustatyti ligoninių skubiosios medicinos pagalbos, reanimacijos ir intensyviosios terapijos skyrių infrastruktūros reikalavimai, 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Atlikta ligoninių tinklo veiklos rezultatų analizė, parodanti, kaip pokyčiai, įskaitant investicijas pagal Ekonomikos gaivinimo ir atsparumo didinimo priemonę, prisideda prie galimybių geriau užtikrinti tam tikrą  gydomųjų lovų skaičių, jo nedidinant. Analizė taip pat turėtų būti perspektyvinė ir ją atliekant turėtų būti atsižvelgiama į prognozuojamą paklausą,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III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val="restart"/>
                    <w:tcBorders>
                      <w:top w:val="single" w:sz="4" w:space="0" w:color="auto"/>
                      <w:left w:val="single" w:sz="4" w:space="0" w:color="auto"/>
                      <w:right w:val="single" w:sz="4" w:space="0" w:color="auto"/>
                    </w:tcBorders>
                  </w:tcPr>
                  <w:p>
                    <w:pPr>
                      <w:rPr>
                        <w:color w:val="000000"/>
                        <w:sz w:val="20"/>
                      </w:rPr>
                    </w:pPr>
                    <w:r>
                      <w:rPr>
                        <w:color w:val="000000"/>
                        <w:sz w:val="20"/>
                      </w:rPr>
                      <w:t>2.2. Infekcinių ligų klasterių centrų įrengimas</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124 153,509</w:t>
                    </w:r>
                  </w:p>
                  <w:p>
                    <w:pPr>
                      <w:rPr>
                        <w:sz w:val="20"/>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Modernizuotų sveikatos priežiūros įstaigų, įskaitant infekcinių ligų klasterio kompetencijos centrus,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5</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497"/>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vAlign w:val="center"/>
                  </w:tcPr>
                  <w:p>
                    <w:pPr>
                      <w:rPr>
                        <w:sz w:val="20"/>
                      </w:rPr>
                    </w:pPr>
                  </w:p>
                </w:tc>
                <w:tc>
                  <w:tcPr>
                    <w:tcW w:w="992"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26 071,338</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tcBorders>
                      <w:left w:val="single" w:sz="4" w:space="0" w:color="auto"/>
                      <w:bottom w:val="single" w:sz="4" w:space="0" w:color="auto"/>
                      <w:right w:val="single" w:sz="4" w:space="0" w:color="auto"/>
                    </w:tcBorders>
                    <w:vAlign w:val="center"/>
                  </w:tcPr>
                  <w:p>
                    <w:pPr>
                      <w:rPr>
                        <w:color w:val="000000"/>
                        <w:sz w:val="20"/>
                      </w:rPr>
                    </w:pPr>
                  </w:p>
                </w:tc>
                <w:tc>
                  <w:tcPr>
                    <w:tcW w:w="709" w:type="dxa"/>
                    <w:vMerge/>
                    <w:tcBorders>
                      <w:left w:val="single" w:sz="4" w:space="0" w:color="auto"/>
                      <w:bottom w:val="single" w:sz="4" w:space="0" w:color="auto"/>
                      <w:right w:val="single" w:sz="4" w:space="0" w:color="auto"/>
                    </w:tcBorders>
                    <w:vAlign w:val="center"/>
                  </w:tcPr>
                  <w:p>
                    <w:pPr>
                      <w:rPr>
                        <w:color w:val="000000"/>
                        <w:sz w:val="20"/>
                      </w:rPr>
                    </w:pPr>
                  </w:p>
                </w:tc>
                <w:tc>
                  <w:tcPr>
                    <w:tcW w:w="1559"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992"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70"/>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2.3. Regioninių sveikatos priežiūros įstaigų infrastruktūros modernizavimas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24 000</w:t>
                    </w:r>
                  </w:p>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Modernizuotos ligoninių skubiosios medicinos pagalbos ir reanimacijos bei intensyviosios terapijos skyrių sveikatos priežiūros infrastruktūros objektų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7</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801"/>
                </w:trPr>
                <w:tc>
                  <w:tcPr>
                    <w:tcW w:w="2410" w:type="dxa"/>
                    <w:vMerge/>
                    <w:tcBorders>
                      <w:top w:val="single" w:sz="4" w:space="0" w:color="auto"/>
                      <w:left w:val="single" w:sz="4" w:space="0" w:color="auto"/>
                      <w:bottom w:val="single" w:sz="4" w:space="0" w:color="auto"/>
                      <w:right w:val="single" w:sz="4" w:space="0" w:color="auto"/>
                    </w:tcBorders>
                  </w:tcPr>
                  <w:p>
                    <w:pPr>
                      <w:ind w:left="-57" w:right="-57"/>
                      <w:rPr>
                        <w:iCs/>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color w:val="000000"/>
                        <w:sz w:val="20"/>
                      </w:rPr>
                      <w:t>5 040</w:t>
                    </w:r>
                  </w:p>
                </w:tc>
                <w:tc>
                  <w:tcPr>
                    <w:tcW w:w="992" w:type="dxa"/>
                    <w:vMerge w:val="restart"/>
                    <w:tcBorders>
                      <w:top w:val="single" w:sz="4" w:space="0" w:color="auto"/>
                      <w:left w:val="single" w:sz="4" w:space="0" w:color="auto"/>
                      <w:bottom w:val="single" w:sz="4" w:space="0" w:color="auto"/>
                      <w:right w:val="single" w:sz="4" w:space="0" w:color="auto"/>
                    </w:tcBorders>
                  </w:tcPr>
                  <w:p>
                    <w:pPr>
                      <w:ind w:left="-57" w:right="-57"/>
                      <w:rPr>
                        <w:sz w:val="20"/>
                      </w:rPr>
                    </w:pPr>
                    <w:r>
                      <w:rPr>
                        <w:color w:val="000000"/>
                        <w:sz w:val="20"/>
                      </w:rPr>
                      <w:t>PVM iš VB</w:t>
                    </w:r>
                  </w:p>
                </w:tc>
                <w:tc>
                  <w:tcPr>
                    <w:tcW w:w="2551" w:type="dxa"/>
                    <w:vMerge/>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r>
              <w:tr>
                <w:trPr>
                  <w:trHeight w:val="719"/>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1025"/>
                </w:trPr>
                <w:tc>
                  <w:tcPr>
                    <w:tcW w:w="2410" w:type="dxa"/>
                    <w:vMerge w:val="restart"/>
                  </w:tcPr>
                  <w:p>
                    <w:pPr>
                      <w:rPr>
                        <w:sz w:val="20"/>
                      </w:rPr>
                    </w:pPr>
                    <w:r>
                      <w:rPr>
                        <w:sz w:val="20"/>
                      </w:rPr>
                      <w:t>2.4 Regionų ir savivaldybių sveikatos priežiūros įstaigų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left w:val="single" w:sz="4" w:space="0" w:color="auto"/>
                      <w:bottom w:val="single" w:sz="4" w:space="0" w:color="auto"/>
                      <w:right w:val="single" w:sz="4" w:space="0" w:color="auto"/>
                    </w:tcBorders>
                    <w:shd w:val="clear" w:color="auto" w:fill="auto"/>
                  </w:tcPr>
                  <w:p>
                    <w:pPr>
                      <w:rPr>
                        <w:sz w:val="20"/>
                      </w:rPr>
                    </w:pPr>
                    <w:r>
                      <w:rPr>
                        <w:color w:val="000000"/>
                        <w:sz w:val="20"/>
                      </w:rPr>
                      <w:t>9 133,595</w:t>
                    </w:r>
                  </w:p>
                </w:tc>
                <w:tc>
                  <w:tcPr>
                    <w:tcW w:w="992" w:type="dxa"/>
                  </w:tcPr>
                  <w:p>
                    <w:pPr>
                      <w:rPr>
                        <w:sz w:val="20"/>
                      </w:rPr>
                    </w:pPr>
                    <w:r>
                      <w:rPr>
                        <w:sz w:val="20"/>
                      </w:rPr>
                      <w:t>2021–2027 m. IP (ERPF)</w:t>
                    </w:r>
                  </w:p>
                  <w:p>
                    <w:pPr>
                      <w:rPr>
                        <w:sz w:val="20"/>
                      </w:rPr>
                    </w:pPr>
                  </w:p>
                </w:tc>
                <w:tc>
                  <w:tcPr>
                    <w:tcW w:w="2551" w:type="dxa"/>
                  </w:tcPr>
                  <w:p>
                    <w:pPr>
                      <w:ind w:left="-57" w:right="-57"/>
                      <w:rPr>
                        <w:sz w:val="20"/>
                      </w:rPr>
                    </w:pPr>
                    <w:r>
                      <w:rPr>
                        <w:sz w:val="20"/>
                      </w:rPr>
                      <w:t>P</w:t>
                    </w:r>
                    <w:r>
                      <w:t xml:space="preserve">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96 410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83"/>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tcBorders>
                      <w:left w:val="single" w:sz="4" w:space="0" w:color="auto"/>
                      <w:bottom w:val="single" w:sz="4" w:space="0" w:color="auto"/>
                      <w:right w:val="single" w:sz="4" w:space="0" w:color="auto"/>
                    </w:tcBorders>
                    <w:shd w:val="clear" w:color="auto" w:fill="auto"/>
                  </w:tcPr>
                  <w:p>
                    <w:pPr>
                      <w:rPr>
                        <w:color w:val="000000"/>
                        <w:sz w:val="20"/>
                      </w:rPr>
                    </w:pPr>
                    <w:r>
                      <w:rPr>
                        <w:color w:val="000000"/>
                        <w:sz w:val="20"/>
                      </w:rPr>
                      <w:t>9 133,595</w:t>
                    </w:r>
                  </w:p>
                </w:tc>
                <w:tc>
                  <w:tcPr>
                    <w:tcW w:w="992" w:type="dxa"/>
                  </w:tcPr>
                  <w:p>
                    <w:pPr>
                      <w:rPr>
                        <w:sz w:val="20"/>
                      </w:rPr>
                    </w:pPr>
                    <w:r>
                      <w:rPr>
                        <w:sz w:val="20"/>
                      </w:rPr>
                      <w:t>2021–2027 m. IP (BF)</w:t>
                    </w:r>
                  </w:p>
                </w:tc>
                <w:tc>
                  <w:tcPr>
                    <w:tcW w:w="2551" w:type="dxa"/>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p>
                    <w:pPr>
                      <w:ind w:left="-57" w:right="-57"/>
                      <w:rPr>
                        <w:sz w:val="20"/>
                      </w:rPr>
                    </w:pPr>
                    <w:r>
                      <w:rPr>
                        <w:sz w:val="20"/>
                      </w:rPr>
                      <w:t xml:space="preserve">asmenys per metus </w:t>
                    </w:r>
                  </w:p>
                </w:tc>
                <w:tc>
                  <w:tcPr>
                    <w:tcW w:w="851" w:type="dxa"/>
                    <w:shd w:val="clear" w:color="auto" w:fill="auto"/>
                  </w:tcPr>
                  <w:p>
                    <w:pPr>
                      <w:ind w:left="-57" w:right="-57"/>
                      <w:jc w:val="center"/>
                      <w:rPr>
                        <w:sz w:val="20"/>
                      </w:rPr>
                    </w:pPr>
                    <w:r>
                      <w:rPr>
                        <w:sz w:val="20"/>
                      </w:rPr>
                      <w:t>91 590</w:t>
                    </w:r>
                  </w:p>
                  <w:p>
                    <w:pPr>
                      <w:ind w:left="-57" w:right="-57"/>
                      <w:jc w:val="center"/>
                      <w:rPr>
                        <w:sz w:val="20"/>
                      </w:rPr>
                    </w:pPr>
                    <w:r>
                      <w:rPr>
                        <w:sz w:val="20"/>
                      </w:rPr>
                      <w:t>(2029 m.)</w:t>
                    </w: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1023"/>
                </w:trPr>
                <w:tc>
                  <w:tcPr>
                    <w:tcW w:w="2410" w:type="dxa"/>
                    <w:vMerge w:val="restart"/>
                  </w:tcPr>
                  <w:p>
                    <w:pPr>
                      <w:rPr>
                        <w:sz w:val="20"/>
                      </w:rPr>
                    </w:pPr>
                    <w:r>
                      <w:rPr>
                        <w:sz w:val="20"/>
                      </w:rPr>
                      <w:t>2.5. Regionų ir savivaldybių sveikatos priežiūros įstaigų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shd w:val="clear" w:color="auto" w:fill="auto"/>
                  </w:tcPr>
                  <w:p>
                    <w:pPr>
                      <w:rPr>
                        <w:sz w:val="20"/>
                      </w:rPr>
                    </w:pPr>
                    <w:r>
                      <w:rPr>
                        <w:sz w:val="20"/>
                      </w:rPr>
                      <w:t>44 022,749</w:t>
                    </w:r>
                  </w:p>
                </w:tc>
                <w:tc>
                  <w:tcPr>
                    <w:tcW w:w="992" w:type="dxa"/>
                  </w:tcPr>
                  <w:p>
                    <w:pPr>
                      <w:rPr>
                        <w:sz w:val="20"/>
                      </w:rPr>
                    </w:pPr>
                    <w:r>
                      <w:rPr>
                        <w:sz w:val="20"/>
                      </w:rPr>
                      <w:t>2021–2027 m. IP (ERPF)</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shd w:val="clear" w:color="auto" w:fill="auto"/>
                  </w:tcPr>
                  <w:p>
                    <w:pPr>
                      <w:ind w:left="-57" w:right="-57"/>
                      <w:jc w:val="center"/>
                      <w:rPr>
                        <w:sz w:val="20"/>
                      </w:rPr>
                    </w:pPr>
                    <w:r>
                      <w:rPr>
                        <w:sz w:val="20"/>
                      </w:rPr>
                      <w:t>295 640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58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rPr>
                    </w:pPr>
                    <w:r>
                      <w:rPr>
                        <w:sz w:val="20"/>
                      </w:rPr>
                      <w:t>7 768,721</w:t>
                    </w:r>
                  </w:p>
                </w:tc>
                <w:tc>
                  <w:tcPr>
                    <w:tcW w:w="992" w:type="dxa"/>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rPr>
                    </w:pPr>
                    <w:r>
                      <w:rPr>
                        <w:sz w:val="20"/>
                      </w:rPr>
                      <w:t>280 860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60"/>
                </w:trPr>
                <w:tc>
                  <w:tcPr>
                    <w:tcW w:w="2410" w:type="dxa"/>
                    <w:vMerge w:val="restart"/>
                  </w:tcPr>
                  <w:p>
                    <w:pPr>
                      <w:rPr>
                        <w:sz w:val="20"/>
                      </w:rPr>
                    </w:pPr>
                    <w:r>
                      <w:rPr>
                        <w:sz w:val="20"/>
                      </w:rPr>
                      <w:t>2.6. Skubios telemedicinos paslaugų diegimas,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3 825</w:t>
                    </w:r>
                  </w:p>
                  <w:p>
                    <w:pPr>
                      <w:rPr>
                        <w:sz w:val="20"/>
                      </w:rPr>
                    </w:pPr>
                  </w:p>
                </w:tc>
                <w:tc>
                  <w:tcPr>
                    <w:tcW w:w="992" w:type="dxa"/>
                  </w:tcPr>
                  <w:p>
                    <w:pPr>
                      <w:rPr>
                        <w:sz w:val="20"/>
                      </w:rPr>
                    </w:pPr>
                    <w:r>
                      <w:rPr>
                        <w:sz w:val="20"/>
                      </w:rPr>
                      <w:t>2021–2027 m. IP (ERPF)</w:t>
                    </w:r>
                  </w:p>
                </w:tc>
                <w:tc>
                  <w:tcPr>
                    <w:tcW w:w="2551" w:type="dxa"/>
                    <w:vMerge w:val="restart"/>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vMerge w:val="restart"/>
                    <w:shd w:val="clear" w:color="auto" w:fill="auto"/>
                  </w:tcPr>
                  <w:p>
                    <w:pPr>
                      <w:ind w:left="-57" w:right="-57"/>
                      <w:jc w:val="center"/>
                      <w:rPr>
                        <w:sz w:val="20"/>
                      </w:rPr>
                    </w:pPr>
                    <w:r>
                      <w:rPr>
                        <w:sz w:val="20"/>
                      </w:rPr>
                      <w:t>8 000</w:t>
                    </w:r>
                  </w:p>
                  <w:p>
                    <w:pPr>
                      <w:ind w:left="-57" w:right="-57"/>
                      <w:jc w:val="center"/>
                      <w:rPr>
                        <w:sz w:val="20"/>
                      </w:rPr>
                    </w:pPr>
                    <w:r>
                      <w:rPr>
                        <w:sz w:val="20"/>
                      </w:rPr>
                      <w:t>(2029 m.)</w:t>
                    </w:r>
                  </w:p>
                </w:tc>
                <w:tc>
                  <w:tcPr>
                    <w:tcW w:w="992" w:type="dxa"/>
                    <w:vMerge w:val="restart"/>
                  </w:tcPr>
                  <w:p>
                    <w:pPr>
                      <w:ind w:firstLine="53"/>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vMerge w:val="restart"/>
                  </w:tcPr>
                  <w:p>
                    <w:pPr>
                      <w:rPr>
                        <w:sz w:val="20"/>
                      </w:rPr>
                    </w:pPr>
                    <w:r>
                      <w:rPr>
                        <w:sz w:val="20"/>
                      </w:rPr>
                      <w:t>675</w:t>
                    </w:r>
                  </w:p>
                  <w:p>
                    <w:pPr>
                      <w:rPr>
                        <w:color w:val="000000"/>
                        <w:sz w:val="20"/>
                      </w:rPr>
                    </w:pPr>
                  </w:p>
                </w:tc>
                <w:tc>
                  <w:tcPr>
                    <w:tcW w:w="992" w:type="dxa"/>
                    <w:vMerge w:val="restart"/>
                  </w:tcPr>
                  <w:p>
                    <w:pPr>
                      <w:rPr>
                        <w:color w:val="000000"/>
                        <w:sz w:val="20"/>
                      </w:rPr>
                    </w:pPr>
                    <w:r>
                      <w:rPr>
                        <w:sz w:val="20"/>
                      </w:rPr>
                      <w:t>2021–2027 m. IP (BF)</w:t>
                    </w:r>
                  </w:p>
                </w:tc>
                <w:tc>
                  <w:tcPr>
                    <w:tcW w:w="2551" w:type="dxa"/>
                    <w:vMerge/>
                  </w:tcPr>
                  <w:p>
                    <w:pPr>
                      <w:ind w:left="-57" w:right="-57"/>
                      <w:rPr>
                        <w:color w:val="FF0000"/>
                        <w:sz w:val="20"/>
                      </w:rPr>
                    </w:pPr>
                  </w:p>
                </w:tc>
                <w:tc>
                  <w:tcPr>
                    <w:tcW w:w="851" w:type="dxa"/>
                    <w:vMerge/>
                    <w:shd w:val="clear" w:color="auto" w:fill="auto"/>
                  </w:tcPr>
                  <w:p>
                    <w:pPr>
                      <w:ind w:left="-57" w:right="-57"/>
                      <w:jc w:val="center"/>
                      <w:rPr>
                        <w:color w:val="FF0000"/>
                        <w:sz w:val="20"/>
                      </w:rPr>
                    </w:pP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970"/>
                </w:trPr>
                <w:tc>
                  <w:tcPr>
                    <w:tcW w:w="2410" w:type="dxa"/>
                    <w:vMerge/>
                    <w:vAlign w:val="center"/>
                  </w:tcPr>
                  <w:p>
                    <w:pPr>
                      <w:rPr>
                        <w:color w:val="000000"/>
                        <w:sz w:val="20"/>
                      </w:rPr>
                    </w:pPr>
                  </w:p>
                </w:tc>
                <w:tc>
                  <w:tcPr>
                    <w:tcW w:w="709" w:type="dxa"/>
                    <w:vMerge/>
                    <w:vAlign w:val="center"/>
                  </w:tcPr>
                  <w:p>
                    <w:pPr>
                      <w:rPr>
                        <w:color w:val="000000"/>
                        <w:sz w:val="20"/>
                      </w:rPr>
                    </w:pPr>
                  </w:p>
                </w:tc>
                <w:tc>
                  <w:tcPr>
                    <w:tcW w:w="1559" w:type="dxa"/>
                    <w:vMerge/>
                    <w:vAlign w:val="center"/>
                  </w:tcPr>
                  <w:p>
                    <w:pPr>
                      <w:rPr>
                        <w:color w:val="000000"/>
                        <w:sz w:val="20"/>
                      </w:rPr>
                    </w:pPr>
                  </w:p>
                </w:tc>
                <w:tc>
                  <w:tcPr>
                    <w:tcW w:w="709" w:type="dxa"/>
                    <w:vMerge/>
                    <w:vAlign w:val="center"/>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ign w:val="center"/>
                  </w:tcPr>
                  <w:p>
                    <w:pPr>
                      <w:rPr>
                        <w:color w:val="000000"/>
                        <w:sz w:val="20"/>
                      </w:rPr>
                    </w:pPr>
                  </w:p>
                </w:tc>
                <w:tc>
                  <w:tcPr>
                    <w:tcW w:w="992" w:type="dxa"/>
                    <w:vMerge/>
                    <w:vAlign w:val="center"/>
                  </w:tcPr>
                  <w:p>
                    <w:pPr>
                      <w:rPr>
                        <w:color w:val="000000"/>
                        <w:sz w:val="20"/>
                      </w:rPr>
                    </w:pPr>
                  </w:p>
                </w:tc>
                <w:tc>
                  <w:tcPr>
                    <w:tcW w:w="2551" w:type="dxa"/>
                    <w:shd w:val="clear" w:color="auto" w:fill="auto"/>
                  </w:tcPr>
                  <w:p>
                    <w:pPr>
                      <w:ind w:left="-57" w:right="-57"/>
                      <w:rPr>
                        <w:color w:val="FF0000"/>
                        <w:sz w:val="20"/>
                      </w:rPr>
                    </w:pPr>
                    <w:r>
                      <w:rPr>
                        <w:sz w:val="20"/>
                      </w:rPr>
                      <w:t xml:space="preserve">R </w:t>
                    </w:r>
                    <w:r>
                      <w:rPr>
                        <w:color w:val="000000"/>
                        <w:szCs w:val="24"/>
                      </w:rPr>
                      <w:t xml:space="preserve">– </w:t>
                    </w:r>
                    <w:r>
                      <w:rPr>
                        <w:sz w:val="20"/>
                      </w:rPr>
                      <w:t>Naujos arba modernizuotos sveikatos priežiūros infrastruktūros naudotojų skaičius per metus</w:t>
                    </w:r>
                  </w:p>
                </w:tc>
                <w:tc>
                  <w:tcPr>
                    <w:tcW w:w="851" w:type="dxa"/>
                    <w:shd w:val="clear" w:color="auto" w:fill="auto"/>
                  </w:tcPr>
                  <w:p>
                    <w:pPr>
                      <w:ind w:left="-57" w:right="-57"/>
                      <w:jc w:val="center"/>
                      <w:rPr>
                        <w:sz w:val="20"/>
                      </w:rPr>
                    </w:pPr>
                    <w:r>
                      <w:rPr>
                        <w:sz w:val="20"/>
                      </w:rPr>
                      <w:t>7 200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color w:val="000000"/>
                        <w:sz w:val="20"/>
                      </w:rPr>
                    </w:pPr>
                    <w:r>
                      <w:rPr>
                        <w:b/>
                        <w:bCs/>
                        <w:sz w:val="20"/>
                      </w:rPr>
                      <w:t>3.</w:t>
                    </w:r>
                    <w:r>
                      <w:rPr>
                        <w:b/>
                        <w:bCs/>
                        <w:color w:val="000000"/>
                        <w:sz w:val="20"/>
                      </w:rPr>
                      <w:t xml:space="preserve"> Pažangių ir įrodymais pagrįstų technologijų sveikatos sektoriuje diegimas</w:t>
                    </w:r>
                  </w:p>
                </w:tc>
                <w:tc>
                  <w:tcPr>
                    <w:tcW w:w="709" w:type="dxa"/>
                    <w:vMerge w:val="restart"/>
                    <w:shd w:val="clear" w:color="auto" w:fill="F2F2F2" w:themeFill="background1" w:themeFillShade="F2"/>
                  </w:tcPr>
                  <w:p>
                    <w:pPr>
                      <w:rPr>
                        <w:color w:val="000000"/>
                        <w:sz w:val="20"/>
                      </w:rPr>
                    </w:pPr>
                    <w:r>
                      <w:rPr>
                        <w:sz w:val="20"/>
                      </w:rPr>
                      <w:t>-</w:t>
                    </w:r>
                  </w:p>
                </w:tc>
                <w:tc>
                  <w:tcPr>
                    <w:tcW w:w="1559"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992"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1276" w:type="dxa"/>
                    <w:shd w:val="clear" w:color="auto" w:fill="F2F2F2" w:themeFill="background1" w:themeFillShade="F2"/>
                  </w:tcPr>
                  <w:p>
                    <w:pPr>
                      <w:rPr>
                        <w:color w:val="000000"/>
                        <w:sz w:val="20"/>
                      </w:rPr>
                    </w:pPr>
                    <w:r>
                      <w:rPr>
                        <w:b/>
                        <w:bCs/>
                        <w:sz w:val="20"/>
                      </w:rPr>
                      <w:t>52 970,227</w:t>
                    </w:r>
                  </w:p>
                </w:tc>
                <w:tc>
                  <w:tcPr>
                    <w:tcW w:w="992" w:type="dxa"/>
                    <w:shd w:val="clear" w:color="auto" w:fill="F2F2F2" w:themeFill="background1" w:themeFillShade="F2"/>
                  </w:tcPr>
                  <w:p>
                    <w:pPr>
                      <w:rPr>
                        <w:color w:val="000000"/>
                        <w:sz w:val="20"/>
                      </w:rPr>
                    </w:pPr>
                    <w:r>
                      <w:rPr>
                        <w:sz w:val="20"/>
                      </w:rPr>
                      <w:t>-</w:t>
                    </w:r>
                  </w:p>
                </w:tc>
                <w:tc>
                  <w:tcPr>
                    <w:tcW w:w="2551" w:type="dxa"/>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Bendras 5 metų išgyvenamumas sergant krūties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83</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color w:val="000000"/>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19 500</w:t>
                    </w:r>
                  </w:p>
                </w:tc>
                <w:tc>
                  <w:tcPr>
                    <w:tcW w:w="992" w:type="dxa"/>
                    <w:shd w:val="clear" w:color="auto" w:fill="F2F2F2" w:themeFill="background1" w:themeFillShade="F2"/>
                  </w:tcPr>
                  <w:p>
                    <w:pPr>
                      <w:rPr>
                        <w:sz w:val="20"/>
                      </w:rPr>
                    </w:pPr>
                    <w:r>
                      <w:rPr>
                        <w:sz w:val="20"/>
                      </w:rPr>
                      <w:t>EGADP</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5 metų išgyvenamumas sergant gimdos kaklelio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67,9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4 090</w:t>
                    </w:r>
                  </w:p>
                </w:tc>
                <w:tc>
                  <w:tcPr>
                    <w:tcW w:w="992" w:type="dxa"/>
                    <w:shd w:val="clear" w:color="auto" w:fill="F2F2F2" w:themeFill="background1" w:themeFillShade="F2"/>
                  </w:tcPr>
                  <w:p>
                    <w:pPr>
                      <w:rPr>
                        <w:sz w:val="20"/>
                      </w:rPr>
                    </w:pPr>
                    <w:r>
                      <w:rPr>
                        <w:sz w:val="20"/>
                      </w:rPr>
                      <w:t>PVM iš 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Vyrų 5 metų išgyvenamumas sergant storosios žarnos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55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8 823,193</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Moterų 5 metų išgyvenamumas sergant storosios žarnos vėžiu (dalis nuo visų atvejų), proc. </w:t>
                    </w:r>
                  </w:p>
                </w:tc>
                <w:tc>
                  <w:tcPr>
                    <w:tcW w:w="851" w:type="dxa"/>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62,5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1 557,034</w:t>
                    </w:r>
                  </w:p>
                </w:tc>
                <w:tc>
                  <w:tcPr>
                    <w:tcW w:w="992" w:type="dxa"/>
                    <w:shd w:val="clear" w:color="auto" w:fill="F2F2F2" w:themeFill="background1" w:themeFillShade="F2"/>
                  </w:tcPr>
                  <w:p>
                    <w:pPr>
                      <w:rPr>
                        <w:sz w:val="20"/>
                      </w:rPr>
                    </w:pPr>
                    <w:r>
                      <w:rPr>
                        <w:sz w:val="20"/>
                      </w:rPr>
                      <w:t xml:space="preserve">2021–2027 m. IP (BF,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Mirštamumas nuo miokardo infarkto per 30 dienų nuo hospitalizacijos, proc.</w:t>
                    </w:r>
                  </w:p>
                </w:tc>
                <w:tc>
                  <w:tcPr>
                    <w:tcW w:w="851" w:type="dxa"/>
                    <w:tcBorders>
                      <w:top w:val="single" w:sz="4" w:space="0" w:color="auto"/>
                      <w:lef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19 000</w:t>
                    </w:r>
                  </w:p>
                </w:tc>
                <w:tc>
                  <w:tcPr>
                    <w:tcW w:w="992" w:type="dxa"/>
                    <w:shd w:val="clear" w:color="auto" w:fill="F2F2F2" w:themeFill="background1" w:themeFillShade="F2"/>
                  </w:tcPr>
                  <w:p>
                    <w:pPr>
                      <w:rPr>
                        <w:sz w:val="20"/>
                      </w:rPr>
                    </w:pPr>
                    <w:r>
                      <w:rPr>
                        <w:sz w:val="20"/>
                      </w:rPr>
                      <w:t>VB</w:t>
                    </w:r>
                  </w:p>
                </w:tc>
                <w:tc>
                  <w:tcPr>
                    <w:tcW w:w="2551" w:type="dxa"/>
                    <w:tcBorders>
                      <w:top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 xml:space="preserve">– </w:t>
                    </w:r>
                    <w:r>
                      <w:rPr>
                        <w:sz w:val="20"/>
                      </w:rPr>
                      <w:t>Mirštamumas nuo išeminio galvos smegenų insulto per 30 dienų po hospitalizacijos, proc.</w:t>
                    </w:r>
                  </w:p>
                </w:tc>
                <w:tc>
                  <w:tcPr>
                    <w:tcW w:w="851" w:type="dxa"/>
                    <w:tcBorders>
                      <w:top w:val="single" w:sz="4" w:space="0" w:color="auto"/>
                      <w:left w:val="single" w:sz="4" w:space="0" w:color="auto"/>
                      <w:bottom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75"/>
                </w:trPr>
                <w:tc>
                  <w:tcPr>
                    <w:tcW w:w="2410" w:type="dxa"/>
                    <w:vMerge w:val="restart"/>
                  </w:tcPr>
                  <w:p>
                    <w:pPr>
                      <w:rPr>
                        <w:color w:val="000000"/>
                        <w:sz w:val="20"/>
                      </w:rPr>
                    </w:pPr>
                    <w:r>
                      <w:rPr>
                        <w:sz w:val="20"/>
                      </w:rPr>
                      <w:t>3.1. Pažangios terapijos centro statyba</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VšĮ Vilniaus universiteto ligoninė Santaros klinikos</w:t>
                    </w:r>
                  </w:p>
                </w:tc>
                <w:tc>
                  <w:tcPr>
                    <w:tcW w:w="709" w:type="dxa"/>
                    <w:vMerge w:val="restart"/>
                  </w:tcPr>
                  <w:p>
                    <w:pPr>
                      <w:rPr>
                        <w:color w:val="000000"/>
                        <w:sz w:val="20"/>
                      </w:rPr>
                    </w:pPr>
                    <w:r>
                      <w:rPr>
                        <w:sz w:val="20"/>
                      </w:rPr>
                      <w:t>P</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Taip</w:t>
                    </w:r>
                  </w:p>
                </w:tc>
                <w:tc>
                  <w:tcPr>
                    <w:tcW w:w="709" w:type="dxa"/>
                    <w:vMerge w:val="restart"/>
                    <w:tcBorders>
                      <w:left w:val="single" w:sz="4" w:space="0" w:color="auto"/>
                      <w:right w:val="single" w:sz="4" w:space="0" w:color="auto"/>
                    </w:tcBorders>
                  </w:tcPr>
                  <w:p>
                    <w:pPr>
                      <w:jc w:val="center"/>
                      <w:rPr>
                        <w:color w:val="000000"/>
                        <w:sz w:val="20"/>
                      </w:rPr>
                    </w:pPr>
                    <w:r>
                      <w:rPr>
                        <w:color w:val="000000"/>
                        <w:sz w:val="20"/>
                      </w:rPr>
                      <w:t>D</w:t>
                    </w:r>
                  </w:p>
                </w:tc>
                <w:tc>
                  <w:tcPr>
                    <w:tcW w:w="1276" w:type="dxa"/>
                    <w:tcBorders>
                      <w:left w:val="single" w:sz="4" w:space="0" w:color="auto"/>
                      <w:right w:val="single" w:sz="4" w:space="0" w:color="auto"/>
                    </w:tcBorders>
                    <w:vAlign w:val="center"/>
                  </w:tcPr>
                  <w:p>
                    <w:pPr>
                      <w:rPr>
                        <w:color w:val="000000"/>
                        <w:sz w:val="20"/>
                      </w:rPr>
                    </w:pPr>
                    <w:r>
                      <w:rPr>
                        <w:color w:val="000000"/>
                        <w:sz w:val="20"/>
                      </w:rPr>
                      <w:t>13 200</w:t>
                    </w:r>
                  </w:p>
                </w:tc>
                <w:tc>
                  <w:tcPr>
                    <w:tcW w:w="992" w:type="dxa"/>
                    <w:tcBorders>
                      <w:left w:val="single" w:sz="4" w:space="0" w:color="auto"/>
                      <w:right w:val="single" w:sz="4" w:space="0" w:color="auto"/>
                    </w:tcBorders>
                    <w:vAlign w:val="center"/>
                  </w:tcPr>
                  <w:p>
                    <w:pPr>
                      <w:rPr>
                        <w:color w:val="000000"/>
                        <w:sz w:val="20"/>
                      </w:rPr>
                    </w:pPr>
                    <w:r>
                      <w:rPr>
                        <w:color w:val="000000"/>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Pažangiosios terapijos centro pastato statybos darbų viešojo pirkimo procedūrų užbaigimas,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IV ketv.)</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49"/>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tcBorders>
                      <w:left w:val="single" w:sz="4" w:space="0" w:color="auto"/>
                      <w:right w:val="single" w:sz="4" w:space="0" w:color="auto"/>
                    </w:tcBorders>
                    <w:vAlign w:val="center"/>
                  </w:tcPr>
                  <w:p>
                    <w:pPr>
                      <w:rPr>
                        <w:color w:val="000000"/>
                        <w:sz w:val="20"/>
                      </w:rPr>
                    </w:pPr>
                    <w:r>
                      <w:rPr>
                        <w:color w:val="000000"/>
                        <w:sz w:val="20"/>
                      </w:rPr>
                      <w:t>2 770</w:t>
                    </w:r>
                  </w:p>
                </w:tc>
                <w:tc>
                  <w:tcPr>
                    <w:tcW w:w="992" w:type="dxa"/>
                    <w:tcBorders>
                      <w:left w:val="single" w:sz="4" w:space="0" w:color="auto"/>
                      <w:right w:val="single" w:sz="4" w:space="0" w:color="auto"/>
                    </w:tcBorders>
                    <w:vAlign w:val="center"/>
                  </w:tcPr>
                  <w:p>
                    <w:pPr>
                      <w:rPr>
                        <w:color w:val="000000"/>
                        <w:sz w:val="20"/>
                      </w:rPr>
                    </w:pPr>
                    <w:r>
                      <w:rPr>
                        <w:color w:val="000000"/>
                        <w:sz w:val="20"/>
                      </w:rPr>
                      <w:t>PVM iš VB</w:t>
                    </w:r>
                  </w:p>
                </w:tc>
                <w:tc>
                  <w:tcPr>
                    <w:tcW w:w="2551" w:type="dxa"/>
                    <w:vMerge/>
                    <w:tcBorders>
                      <w:left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val="restart"/>
                    <w:tcBorders>
                      <w:left w:val="single" w:sz="4" w:space="0" w:color="auto"/>
                      <w:right w:val="single" w:sz="4" w:space="0" w:color="auto"/>
                    </w:tcBorders>
                    <w:vAlign w:val="center"/>
                  </w:tcPr>
                  <w:p>
                    <w:pPr>
                      <w:rPr>
                        <w:color w:val="000000"/>
                        <w:sz w:val="20"/>
                      </w:rPr>
                    </w:pPr>
                  </w:p>
                </w:tc>
                <w:tc>
                  <w:tcPr>
                    <w:tcW w:w="992" w:type="dxa"/>
                    <w:vMerge w:val="restart"/>
                    <w:tcBorders>
                      <w:left w:val="single" w:sz="4" w:space="0" w:color="auto"/>
                      <w:right w:val="single" w:sz="4" w:space="0" w:color="auto"/>
                    </w:tcBorders>
                    <w:vAlign w:val="center"/>
                  </w:tcPr>
                  <w:p>
                    <w:pPr>
                      <w:rPr>
                        <w:color w:val="000000"/>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FF0000"/>
                        <w:sz w:val="20"/>
                      </w:rPr>
                    </w:pPr>
                    <w:r>
                      <w:rPr>
                        <w:sz w:val="20"/>
                      </w:rPr>
                      <w:t>P – Sukurtas pažangios terapijos centras,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(2025 m. IV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61"/>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color w:val="FF0000"/>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color w:val="FF0000"/>
                        <w:sz w:val="20"/>
                      </w:rPr>
                    </w:pPr>
                    <w:r>
                      <w:rPr>
                        <w:sz w:val="20"/>
                      </w:rPr>
                      <w:t>n/a</w:t>
                    </w:r>
                  </w:p>
                  <w:p>
                    <w:pPr>
                      <w:ind w:left="-57" w:right="-57"/>
                      <w:jc w:val="center"/>
                      <w:rPr>
                        <w:color w:val="FF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520"/>
                </w:trPr>
                <w:tc>
                  <w:tcPr>
                    <w:tcW w:w="2410" w:type="dxa"/>
                    <w:vMerge w:val="restart"/>
                  </w:tcPr>
                  <w:p>
                    <w:pPr>
                      <w:rPr>
                        <w:color w:val="000000"/>
                        <w:sz w:val="20"/>
                      </w:rPr>
                    </w:pPr>
                    <w:r>
                      <w:rPr>
                        <w:sz w:val="20"/>
                      </w:rPr>
                      <w:t>3.2. Genomo tyrimams atlikti reikalingos įrangos įsigijimas ir tyrimų atlikimas</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ASPĮ</w:t>
                    </w:r>
                  </w:p>
                </w:tc>
                <w:tc>
                  <w:tcPr>
                    <w:tcW w:w="709" w:type="dxa"/>
                    <w:vMerge w:val="restart"/>
                  </w:tcPr>
                  <w:p>
                    <w:pPr>
                      <w:rPr>
                        <w:color w:val="000000"/>
                        <w:sz w:val="20"/>
                      </w:rPr>
                    </w:pPr>
                    <w:r>
                      <w:rPr>
                        <w:sz w:val="20"/>
                      </w:rPr>
                      <w:t>P</w:t>
                    </w:r>
                  </w:p>
                </w:tc>
                <w:tc>
                  <w:tcPr>
                    <w:tcW w:w="992" w:type="dxa"/>
                    <w:vMerge w:val="restart"/>
                  </w:tcPr>
                  <w:p>
                    <w:pPr>
                      <w:rPr>
                        <w:color w:val="000000"/>
                        <w:sz w:val="20"/>
                      </w:rPr>
                    </w:pPr>
                    <w:r>
                      <w:rPr>
                        <w:sz w:val="20"/>
                      </w:rPr>
                      <w:t>Taip</w:t>
                    </w:r>
                  </w:p>
                </w:tc>
                <w:tc>
                  <w:tcPr>
                    <w:tcW w:w="709" w:type="dxa"/>
                    <w:vMerge w:val="restart"/>
                  </w:tcPr>
                  <w:p>
                    <w:pPr>
                      <w:rPr>
                        <w:color w:val="000000"/>
                        <w:sz w:val="20"/>
                      </w:rPr>
                    </w:pPr>
                    <w:r>
                      <w:rPr>
                        <w:sz w:val="20"/>
                      </w:rPr>
                      <w:t>D</w:t>
                    </w:r>
                  </w:p>
                </w:tc>
                <w:tc>
                  <w:tcPr>
                    <w:tcW w:w="1276" w:type="dxa"/>
                  </w:tcPr>
                  <w:p>
                    <w:pPr>
                      <w:rPr>
                        <w:color w:val="000000"/>
                        <w:sz w:val="20"/>
                      </w:rPr>
                    </w:pPr>
                    <w:r>
                      <w:rPr>
                        <w:sz w:val="20"/>
                      </w:rPr>
                      <w:t>6 300</w:t>
                    </w:r>
                  </w:p>
                </w:tc>
                <w:tc>
                  <w:tcPr>
                    <w:tcW w:w="992" w:type="dxa"/>
                  </w:tcPr>
                  <w:p>
                    <w:pPr>
                      <w:rPr>
                        <w:color w:val="000000"/>
                        <w:sz w:val="20"/>
                      </w:rPr>
                    </w:pPr>
                    <w:r>
                      <w:rPr>
                        <w:sz w:val="20"/>
                      </w:rPr>
                      <w:t>EGADP</w:t>
                    </w:r>
                  </w:p>
                </w:tc>
                <w:tc>
                  <w:tcPr>
                    <w:tcW w:w="2551" w:type="dxa"/>
                    <w:vMerge w:val="restart"/>
                    <w:shd w:val="clear" w:color="auto" w:fill="auto"/>
                  </w:tcPr>
                  <w:p>
                    <w:pPr>
                      <w:ind w:left="-57" w:right="-57"/>
                      <w:rPr>
                        <w:sz w:val="20"/>
                      </w:rPr>
                    </w:pPr>
                    <w:r>
                      <w:rPr>
                        <w:sz w:val="20"/>
                      </w:rPr>
                      <w:t xml:space="preserve">P – </w:t>
                    </w:r>
                    <w:r>
                      <w:rPr>
                        <w:color w:val="000000"/>
                        <w:sz w:val="20"/>
                        <w:lang w:eastAsia="lt-LT"/>
                      </w:rPr>
                      <w:t>Patvirtinti teisės aktai dėl genomo tyrimų</w:t>
                    </w:r>
                    <w:r>
                      <w:rPr>
                        <w:sz w:val="20"/>
                      </w:rPr>
                      <w:t>,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vMerge w:val="restart"/>
                  </w:tcPr>
                  <w:p>
                    <w:pPr>
                      <w:rPr>
                        <w:color w:val="000000"/>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restart"/>
                  </w:tcPr>
                  <w:p>
                    <w:pPr>
                      <w:rPr>
                        <w:color w:val="000000"/>
                        <w:sz w:val="20"/>
                      </w:rPr>
                    </w:pPr>
                    <w:r>
                      <w:rPr>
                        <w:sz w:val="20"/>
                      </w:rPr>
                      <w:t>1 320</w:t>
                    </w:r>
                  </w:p>
                </w:tc>
                <w:tc>
                  <w:tcPr>
                    <w:tcW w:w="992" w:type="dxa"/>
                    <w:vMerge w:val="restart"/>
                  </w:tcPr>
                  <w:p>
                    <w:pPr>
                      <w:rPr>
                        <w:color w:val="000000"/>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w:t>
                    </w:r>
                    <w:r>
                      <w:rPr>
                        <w:sz w:val="20"/>
                        <w:lang w:eastAsia="lt-LT"/>
                      </w:rPr>
                      <w:t>Atliktų viso žmogaus genomo sekos nustatymo tyrimų skaičius, vnt.</w:t>
                    </w:r>
                  </w:p>
                </w:tc>
                <w:tc>
                  <w:tcPr>
                    <w:tcW w:w="851" w:type="dxa"/>
                    <w:shd w:val="clear" w:color="auto" w:fill="auto"/>
                  </w:tcPr>
                  <w:p>
                    <w:pPr>
                      <w:jc w:val="center"/>
                      <w:rPr>
                        <w:sz w:val="20"/>
                      </w:rPr>
                    </w:pPr>
                    <w:r>
                      <w:rPr>
                        <w:sz w:val="20"/>
                      </w:rPr>
                      <w:t>750</w:t>
                    </w:r>
                  </w:p>
                  <w:p>
                    <w:pPr>
                      <w:jc w:val="center"/>
                      <w:rPr>
                        <w:sz w:val="20"/>
                      </w:rPr>
                    </w:pPr>
                    <w:r>
                      <w:rPr>
                        <w:sz w:val="20"/>
                      </w:rPr>
                      <w:t>(2025 m.</w:t>
                    </w:r>
                  </w:p>
                  <w:p>
                    <w:pPr>
                      <w:ind w:left="-57" w:right="-57"/>
                      <w:jc w:val="center"/>
                      <w:rPr>
                        <w:sz w:val="20"/>
                      </w:rPr>
                    </w:pPr>
                    <w:r>
                      <w:rPr>
                        <w:sz w:val="20"/>
                      </w:rPr>
                      <w:t>II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Atliktų viso žmogaus genomo sekos nustatymo tyrimų skaičius, vnt. </w:t>
                    </w:r>
                  </w:p>
                </w:tc>
                <w:tc>
                  <w:tcPr>
                    <w:tcW w:w="851" w:type="dxa"/>
                    <w:shd w:val="clear" w:color="auto" w:fill="auto"/>
                  </w:tcPr>
                  <w:p>
                    <w:pPr>
                      <w:ind w:left="-57" w:right="-57"/>
                      <w:jc w:val="center"/>
                      <w:rPr>
                        <w:sz w:val="20"/>
                      </w:rPr>
                    </w:pPr>
                    <w:r>
                      <w:rPr>
                        <w:sz w:val="20"/>
                      </w:rPr>
                      <w:t>1 570</w:t>
                    </w:r>
                  </w:p>
                  <w:p>
                    <w:pPr>
                      <w:ind w:left="-57" w:right="-57"/>
                      <w:jc w:val="center"/>
                      <w:rPr>
                        <w:sz w:val="20"/>
                      </w:rPr>
                    </w:pPr>
                    <w:r>
                      <w:rPr>
                        <w:sz w:val="20"/>
                      </w:rPr>
                      <w:t>(2026 m. 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1176"/>
                </w:trPr>
                <w:tc>
                  <w:tcPr>
                    <w:tcW w:w="2410" w:type="dxa"/>
                    <w:vMerge w:val="restart"/>
                  </w:tcPr>
                  <w:p>
                    <w:pPr>
                      <w:rPr>
                        <w:iCs/>
                        <w:sz w:val="20"/>
                      </w:rPr>
                    </w:pPr>
                    <w:r>
                      <w:rPr>
                        <w:iCs/>
                        <w:sz w:val="20"/>
                      </w:rPr>
                      <w:t>3.3. Inovatyvių specializuotų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 xml:space="preserve">ASPĮ; </w:t>
                    </w:r>
                  </w:p>
                  <w:p>
                    <w:pPr>
                      <w:rPr>
                        <w:sz w:val="20"/>
                      </w:rPr>
                    </w:pPr>
                    <w:r>
                      <w:rPr>
                        <w:sz w:val="20"/>
                      </w:rPr>
                      <w:t>ESFA</w:t>
                    </w:r>
                  </w:p>
                  <w:p>
                    <w:pPr>
                      <w:rPr>
                        <w:sz w:val="20"/>
                      </w:rPr>
                    </w:pPr>
                  </w:p>
                </w:tc>
                <w:tc>
                  <w:tcPr>
                    <w:tcW w:w="709" w:type="dxa"/>
                    <w:vMerge w:val="restart"/>
                  </w:tcPr>
                  <w:p>
                    <w:pPr>
                      <w:rPr>
                        <w:sz w:val="20"/>
                      </w:rPr>
                    </w:pPr>
                    <w:r>
                      <w:rPr>
                        <w:sz w:val="20"/>
                      </w:rPr>
                      <w:t>P/Pj</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rPr>
                    </w:pPr>
                    <w:r>
                      <w:rPr>
                        <w:sz w:val="20"/>
                      </w:rPr>
                      <w:t>8 823,193</w:t>
                    </w:r>
                  </w:p>
                  <w:p>
                    <w:pPr>
                      <w:rPr>
                        <w:sz w:val="20"/>
                      </w:rPr>
                    </w:pPr>
                  </w:p>
                </w:tc>
                <w:tc>
                  <w:tcPr>
                    <w:tcW w:w="992" w:type="dxa"/>
                    <w:vMerge w:val="restart"/>
                  </w:tcPr>
                  <w:p>
                    <w:pPr>
                      <w:rPr>
                        <w:sz w:val="20"/>
                      </w:rPr>
                    </w:pPr>
                    <w:r>
                      <w:rPr>
                        <w:sz w:val="20"/>
                      </w:rPr>
                      <w:t>2021–2027 m. IP (ESF</w:t>
                    </w:r>
                    <w:r>
                      <w:rPr>
                        <w:sz w:val="20"/>
                        <w:lang w:val="en-US"/>
                      </w:rPr>
                      <w:t>+</w:t>
                    </w:r>
                    <w:r>
                      <w:rPr>
                        <w:sz w:val="20"/>
                      </w:rPr>
                      <w:t xml:space="preserve">) </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w:t>
                    </w:r>
                    <w:r>
                      <w:rPr>
                        <w:color w:val="000000"/>
                        <w:szCs w:val="24"/>
                      </w:rPr>
                      <w:t xml:space="preserve">– </w:t>
                    </w:r>
                    <w:r>
                      <w:rPr>
                        <w:sz w:val="20"/>
                      </w:rPr>
                      <w:t>Paramą gavusių nacionalinio, regionų ar vietos lygmens viešojo administravimo ar viešąsias paslaugas teikiančių įstaigų skaičius, subjektų skaičius</w:t>
                    </w:r>
                  </w:p>
                </w:tc>
                <w:tc>
                  <w:tcPr>
                    <w:tcW w:w="851" w:type="dxa"/>
                    <w:shd w:val="clear" w:color="auto" w:fill="auto"/>
                  </w:tcPr>
                  <w:p>
                    <w:pPr>
                      <w:ind w:left="-57" w:right="-57"/>
                      <w:jc w:val="center"/>
                      <w:rPr>
                        <w:sz w:val="20"/>
                      </w:rPr>
                    </w:pPr>
                    <w:r>
                      <w:rPr>
                        <w:sz w:val="20"/>
                      </w:rPr>
                      <w:t>15</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18"/>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rPr>
                    </w:pPr>
                    <w:r>
                      <w:rPr>
                        <w:sz w:val="20"/>
                      </w:rPr>
                      <w:t>600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1 557,034</w:t>
                    </w:r>
                  </w:p>
                </w:tc>
                <w:tc>
                  <w:tcPr>
                    <w:tcW w:w="992" w:type="dxa"/>
                    <w:vMerge w:val="restart"/>
                  </w:tcPr>
                  <w:p>
                    <w:pPr>
                      <w:rPr>
                        <w:sz w:val="20"/>
                      </w:rPr>
                    </w:pPr>
                    <w:r>
                      <w:rPr>
                        <w:sz w:val="20"/>
                      </w:rPr>
                      <w:t xml:space="preserve">2021–2027 m. IP (BF) </w:t>
                    </w:r>
                  </w:p>
                </w:tc>
                <w:tc>
                  <w:tcPr>
                    <w:tcW w:w="2551" w:type="dxa"/>
                    <w:shd w:val="clear" w:color="auto" w:fill="FFFFFF" w:themeFill="background1"/>
                  </w:tcPr>
                  <w:p>
                    <w:pPr>
                      <w:ind w:left="-57" w:right="-57"/>
                      <w:rPr>
                        <w:sz w:val="20"/>
                      </w:rPr>
                    </w:pPr>
                    <w:r>
                      <w:rPr>
                        <w:sz w:val="20"/>
                      </w:rPr>
                      <w:t>R – Pacientų pasitenkinimas gautomis paslaugomis</w:t>
                    </w:r>
                    <w:r>
                      <w:t xml:space="preserve">, </w:t>
                    </w:r>
                    <w:r>
                      <w:rPr>
                        <w:sz w:val="20"/>
                      </w:rPr>
                      <w:t>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 </w:t>
                    </w:r>
                    <w:r>
                      <w:rPr>
                        <w:sz w:val="20"/>
                        <w:lang w:eastAsia="lt-LT"/>
                      </w:rPr>
                      <w:t>Specialistų, kurie po dalyvavimo veiklose įgijo ar patobulino kvalifikaciją, dalis, proc.</w:t>
                    </w:r>
                  </w:p>
                </w:tc>
                <w:tc>
                  <w:tcPr>
                    <w:tcW w:w="851" w:type="dxa"/>
                    <w:shd w:val="clear" w:color="auto" w:fill="FFFFFF" w:themeFill="background1"/>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264"/>
                </w:trPr>
                <w:tc>
                  <w:tcPr>
                    <w:tcW w:w="2410" w:type="dxa"/>
                  </w:tcPr>
                  <w:p>
                    <w:pPr>
                      <w:rPr>
                        <w:iCs/>
                        <w:sz w:val="20"/>
                      </w:rPr>
                    </w:pPr>
                    <w:r>
                      <w:rPr>
                        <w:iCs/>
                        <w:sz w:val="20"/>
                      </w:rPr>
                      <w:t>3.4. Sudėtingų sveikatos priežiūros diagnostikos ir gydymo paslaugų infrastruktūros modernizavimas</w:t>
                    </w:r>
                  </w:p>
                </w:tc>
                <w:tc>
                  <w:tcPr>
                    <w:tcW w:w="709" w:type="dxa"/>
                  </w:tcPr>
                  <w:p>
                    <w:pPr>
                      <w:rPr>
                        <w:color w:val="000000"/>
                        <w:sz w:val="20"/>
                      </w:rPr>
                    </w:pPr>
                    <w:r>
                      <w:rPr>
                        <w:sz w:val="20"/>
                      </w:rPr>
                      <w:t>I</w:t>
                    </w:r>
                  </w:p>
                </w:tc>
                <w:tc>
                  <w:tcPr>
                    <w:tcW w:w="1559" w:type="dxa"/>
                  </w:tcPr>
                  <w:p>
                    <w:pPr>
                      <w:rPr>
                        <w:color w:val="000000"/>
                        <w:sz w:val="20"/>
                      </w:rPr>
                    </w:pPr>
                    <w:r>
                      <w:rPr>
                        <w:sz w:val="20"/>
                      </w:rPr>
                      <w:t>ASPĮ</w:t>
                    </w:r>
                  </w:p>
                </w:tc>
                <w:tc>
                  <w:tcPr>
                    <w:tcW w:w="709" w:type="dxa"/>
                  </w:tcPr>
                  <w:p>
                    <w:pPr>
                      <w:rPr>
                        <w:color w:val="000000"/>
                        <w:sz w:val="20"/>
                      </w:rPr>
                    </w:pPr>
                    <w:r>
                      <w:rPr>
                        <w:sz w:val="20"/>
                      </w:rPr>
                      <w:t>P</w:t>
                    </w:r>
                  </w:p>
                </w:tc>
                <w:tc>
                  <w:tcPr>
                    <w:tcW w:w="992" w:type="dxa"/>
                  </w:tcPr>
                  <w:p>
                    <w:pPr>
                      <w:rPr>
                        <w:color w:val="000000"/>
                        <w:sz w:val="20"/>
                      </w:rPr>
                    </w:pPr>
                    <w:r>
                      <w:rPr>
                        <w:sz w:val="20"/>
                      </w:rPr>
                      <w:t>Taip</w:t>
                    </w:r>
                  </w:p>
                </w:tc>
                <w:tc>
                  <w:tcPr>
                    <w:tcW w:w="709" w:type="dxa"/>
                  </w:tcPr>
                  <w:p>
                    <w:pPr>
                      <w:rPr>
                        <w:color w:val="000000"/>
                        <w:sz w:val="20"/>
                      </w:rPr>
                    </w:pPr>
                    <w:r>
                      <w:rPr>
                        <w:sz w:val="20"/>
                      </w:rPr>
                      <w:t>D</w:t>
                    </w:r>
                  </w:p>
                </w:tc>
                <w:tc>
                  <w:tcPr>
                    <w:tcW w:w="1276" w:type="dxa"/>
                  </w:tcPr>
                  <w:p>
                    <w:pPr>
                      <w:rPr>
                        <w:sz w:val="20"/>
                      </w:rPr>
                    </w:pPr>
                    <w:r>
                      <w:rPr>
                        <w:sz w:val="20"/>
                      </w:rPr>
                      <w:t>19 000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P – Modernizuotų asmens sveikatos priežiūros įstaigų skaičius</w:t>
                    </w:r>
                  </w:p>
                </w:tc>
                <w:tc>
                  <w:tcPr>
                    <w:tcW w:w="851" w:type="dxa"/>
                    <w:shd w:val="clear" w:color="auto" w:fill="auto"/>
                  </w:tcPr>
                  <w:p>
                    <w:pPr>
                      <w:ind w:left="-57" w:right="-57"/>
                      <w:jc w:val="center"/>
                      <w:rPr>
                        <w:sz w:val="20"/>
                      </w:rPr>
                    </w:pPr>
                    <w:r>
                      <w:rPr>
                        <w:sz w:val="20"/>
                      </w:rPr>
                      <w:t>6</w:t>
                    </w:r>
                  </w:p>
                  <w:p>
                    <w:pPr>
                      <w:ind w:left="-57" w:right="-57"/>
                      <w:jc w:val="center"/>
                      <w:rPr>
                        <w:sz w:val="20"/>
                      </w:rPr>
                    </w:pPr>
                    <w:r>
                      <w:rPr>
                        <w:sz w:val="20"/>
                      </w:rPr>
                      <w:t>(2030 m.)</w:t>
                    </w:r>
                  </w:p>
                </w:tc>
                <w:tc>
                  <w:tcPr>
                    <w:tcW w:w="992" w:type="dxa"/>
                  </w:tcPr>
                  <w:p>
                    <w:pPr>
                      <w:rPr>
                        <w:sz w:val="20"/>
                      </w:rPr>
                    </w:pPr>
                    <w:r>
                      <w:rPr>
                        <w:sz w:val="20"/>
                      </w:rPr>
                      <w:t>SAM</w:t>
                    </w:r>
                  </w:p>
                  <w:p>
                    <w:pPr>
                      <w:rPr>
                        <w:sz w:val="20"/>
                      </w:rPr>
                    </w:pPr>
                  </w:p>
                </w:tc>
                <w:tc>
                  <w:tcPr>
                    <w:tcW w:w="1276" w:type="dxa"/>
                    <w:tcBorders>
                      <w:left w:val="single" w:sz="4" w:space="0" w:color="auto"/>
                      <w:right w:val="single" w:sz="4" w:space="0" w:color="auto"/>
                    </w:tcBorders>
                  </w:tcPr>
                  <w:p>
                    <w:pPr>
                      <w:jc w:val="center"/>
                      <w:rPr>
                        <w:color w:val="000000"/>
                        <w:sz w:val="20"/>
                      </w:rPr>
                    </w:pPr>
                    <w:r>
                      <w:rPr>
                        <w:color w:val="000000"/>
                        <w:sz w:val="20"/>
                      </w:rPr>
                      <w:t>SAM</w:t>
                    </w:r>
                  </w:p>
                </w:tc>
              </w:tr>
              <w:tr>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rPr>
                        <w:b/>
                        <w:bCs/>
                        <w:sz w:val="20"/>
                      </w:rPr>
                    </w:pPr>
                    <w:r>
                      <w:rPr>
                        <w:b/>
                        <w:bCs/>
                        <w:sz w:val="20"/>
                      </w:rPr>
                      <w:t>4. Sveikatos sektoriaus skaitmeninimas</w:t>
                    </w:r>
                  </w:p>
                  <w:p>
                    <w:pPr>
                      <w:rPr>
                        <w:sz w:val="20"/>
                      </w:rPr>
                    </w:pP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b/>
                        <w:bCs/>
                        <w:sz w:val="20"/>
                      </w:rPr>
                    </w:pPr>
                    <w:r>
                      <w:rPr>
                        <w:b/>
                        <w:bCs/>
                        <w:sz w:val="20"/>
                      </w:rPr>
                      <w:t>108 115,153</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both"/>
                      <w:rPr>
                        <w:sz w:val="20"/>
                      </w:rPr>
                    </w:pPr>
                    <w:r>
                      <w:rPr>
                        <w:sz w:val="20"/>
                      </w:rPr>
                      <w:t>R – Mirštamumas nuo miokardo infarkto per 30 dienų nuo hospitalizacijos,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p>
                  <w:p>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89 346,491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jc w:val="both"/>
                      <w:rPr>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230"/>
                </w:trPr>
                <w:tc>
                  <w:tcPr>
                    <w:tcW w:w="2410"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18 768,662</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 xml:space="preserve">R – Mirštamumas nuo išeminio galvos smegenų insulto per 30 dienų po hospitalizacijos, proc. </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R – Gyventojų, dėl laukimo laiko (ilgų eilių) atidėjusių kreipimąsi dėl sveikatos priežiūros paslaugų, dalis,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p>
                    <w:pPr>
                      <w:ind w:left="-57" w:right="-57"/>
                      <w:jc w:val="center"/>
                      <w:rPr>
                        <w:sz w:val="20"/>
                      </w:rPr>
                    </w:pPr>
                  </w:p>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val="restart"/>
                  </w:tcPr>
                  <w:p>
                    <w:pPr>
                      <w:rPr>
                        <w:sz w:val="20"/>
                      </w:rPr>
                    </w:pPr>
                    <w:r>
                      <w:rPr>
                        <w:sz w:val="20"/>
                      </w:rPr>
                      <w:t>4.1. Teisės aktų ir kitų sveikatos skaitmeninimo srities dokumentų parengimas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shd w:val="clear" w:color="auto" w:fill="auto"/>
                  </w:tcPr>
                  <w:p>
                    <w:pPr>
                      <w:ind w:left="-57" w:right="-57"/>
                      <w:jc w:val="both"/>
                      <w:rPr>
                        <w:sz w:val="20"/>
                      </w:rPr>
                    </w:pPr>
                    <w:r>
                      <w:rPr>
                        <w:sz w:val="20"/>
                      </w:rPr>
                      <w:t>P – Įsigalioję teisės aktai, reglamentuojantys pakartotinį sveikatos duomenų naudojimą, kompl.</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III ketv.)</w:t>
                    </w:r>
                  </w:p>
                  <w:p>
                    <w:pPr>
                      <w:ind w:right="-57"/>
                      <w:rPr>
                        <w:sz w:val="20"/>
                      </w:rPr>
                    </w:pPr>
                  </w:p>
                </w:tc>
                <w:tc>
                  <w:tcPr>
                    <w:tcW w:w="992" w:type="dxa"/>
                    <w:vMerge w:val="restart"/>
                    <w:tcBorders>
                      <w:left w:val="single" w:sz="4" w:space="0" w:color="auto"/>
                      <w:right w:val="single" w:sz="4" w:space="0" w:color="auto"/>
                    </w:tcBorders>
                    <w:shd w:val="clear" w:color="auto" w:fill="auto"/>
                  </w:tcPr>
                  <w:p>
                    <w:pPr>
                      <w:rPr>
                        <w:sz w:val="20"/>
                      </w:rPr>
                    </w:pP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P – Sudarytas  sveikatos priežiūros sistemos informacinių išteklių žemėlapis ir atlikta informacinių sistemų brandos analizė, įvertinant integralumą su kitomis informacinėmis sistemomis, siekiant sveikatos priežiūros sistemos skaitmeninimo, vnt.</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III ketv.)</w:t>
                    </w:r>
                  </w:p>
                </w:tc>
                <w:tc>
                  <w:tcPr>
                    <w:tcW w:w="992" w:type="dxa"/>
                    <w:vMerge/>
                    <w:tcBorders>
                      <w:left w:val="single" w:sz="4" w:space="0" w:color="auto"/>
                      <w:right w:val="single" w:sz="4" w:space="0" w:color="auto"/>
                    </w:tcBorders>
                    <w:shd w:val="clear" w:color="auto" w:fill="auto"/>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lang w:eastAsia="lt-LT"/>
                      </w:rPr>
                      <w:t xml:space="preserve">P </w:t>
                    </w:r>
                    <w:r>
                      <w:rPr>
                        <w:sz w:val="20"/>
                      </w:rPr>
                      <w:t>–</w:t>
                    </w:r>
                    <w:r>
                      <w:rPr>
                        <w:sz w:val="20"/>
                        <w:lang w:eastAsia="lt-LT"/>
                      </w:rPr>
                      <w:t xml:space="preserve"> Skaitmeninės sveikatos sistemos plėtros veiksmų planas, vnt.</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w:t>
                    </w:r>
                    <w:r>
                      <w:rPr>
                        <w:sz w:val="20"/>
                        <w:lang w:val="en-US"/>
                      </w:rPr>
                      <w:t>6</w:t>
                    </w:r>
                    <w:r>
                      <w:rPr>
                        <w:sz w:val="20"/>
                      </w:rPr>
                      <w:t xml:space="preserve"> m. II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lang w:eastAsia="lt-LT"/>
                      </w:rPr>
                    </w:pPr>
                    <w:r>
                      <w:rPr>
                        <w:sz w:val="20"/>
                        <w:lang w:eastAsia="lt-LT"/>
                      </w:rPr>
                      <w:t xml:space="preserve">P </w:t>
                    </w:r>
                    <w:r>
                      <w:rPr>
                        <w:sz w:val="20"/>
                      </w:rPr>
                      <w:t xml:space="preserve">– </w:t>
                    </w:r>
                    <w:r>
                      <w:rPr>
                        <w:sz w:val="20"/>
                        <w:lang w:eastAsia="lt-LT"/>
                      </w:rPr>
                      <w:t xml:space="preserve"> Patvirtintas Skaitmeninės sveikatos sistemos plėtros veiksmų planas, vnt.</w:t>
                    </w:r>
                  </w:p>
                </w:tc>
                <w:tc>
                  <w:tcPr>
                    <w:tcW w:w="851" w:type="dxa"/>
                    <w:tcBorders>
                      <w:right w:val="single" w:sz="4" w:space="0" w:color="auto"/>
                    </w:tcBorders>
                    <w:shd w:val="clear" w:color="auto" w:fill="auto"/>
                  </w:tcPr>
                  <w:p>
                    <w:pPr>
                      <w:jc w:val="center"/>
                      <w:rPr>
                        <w:sz w:val="20"/>
                        <w:lang w:val="en-US"/>
                      </w:rPr>
                    </w:pPr>
                    <w:r>
                      <w:rPr>
                        <w:sz w:val="20"/>
                        <w:lang w:val="en-US"/>
                      </w:rPr>
                      <w:t>1</w:t>
                    </w:r>
                  </w:p>
                  <w:p>
                    <w:pPr>
                      <w:ind w:left="-57" w:right="-57"/>
                      <w:jc w:val="center"/>
                      <w:rPr>
                        <w:sz w:val="20"/>
                      </w:rPr>
                    </w:pPr>
                    <w:r>
                      <w:rPr>
                        <w:sz w:val="20"/>
                      </w:rPr>
                      <w:t>(2024 m. I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37"/>
                </w:trPr>
                <w:tc>
                  <w:tcPr>
                    <w:tcW w:w="2410" w:type="dxa"/>
                    <w:vMerge w:val="restart"/>
                    <w:shd w:val="clear" w:color="auto" w:fill="auto"/>
                  </w:tcPr>
                  <w:p>
                    <w:pPr>
                      <w:rPr>
                        <w:sz w:val="20"/>
                      </w:rPr>
                    </w:pPr>
                    <w:r>
                      <w:rPr>
                        <w:sz w:val="20"/>
                      </w:rPr>
                      <w:t>4.2. Sveikatos priežiūros specialistų kompetencijų platformos sukūrimas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Valstybinė akreditavimo sveikatos priežiūros veiklai tarnyba prie Sveikatos apsaugos ministerijos (toliau – VASPVT)</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rPr>
                    </w:pPr>
                    <w:r>
                      <w:rPr>
                        <w:sz w:val="20"/>
                      </w:rPr>
                      <w:t>2 011</w:t>
                    </w:r>
                  </w:p>
                </w:tc>
                <w:tc>
                  <w:tcPr>
                    <w:tcW w:w="992" w:type="dxa"/>
                    <w:shd w:val="clear" w:color="auto" w:fill="auto"/>
                  </w:tcPr>
                  <w:p>
                    <w:pPr>
                      <w:rPr>
                        <w:sz w:val="20"/>
                      </w:rPr>
                    </w:pPr>
                    <w:r>
                      <w:rPr>
                        <w:sz w:val="20"/>
                      </w:rPr>
                      <w:t>EGADP</w:t>
                    </w:r>
                  </w:p>
                </w:tc>
                <w:tc>
                  <w:tcPr>
                    <w:tcW w:w="2551" w:type="dxa"/>
                    <w:vMerge w:val="restart"/>
                    <w:shd w:val="clear" w:color="auto" w:fill="auto"/>
                  </w:tcPr>
                  <w:p>
                    <w:pPr>
                      <w:rPr>
                        <w:sz w:val="20"/>
                      </w:rPr>
                    </w:pPr>
                    <w:r>
                      <w:rPr>
                        <w:sz w:val="20"/>
                      </w:rPr>
                      <w:t xml:space="preserve">P – </w:t>
                    </w:r>
                    <w:r>
                      <w:rPr>
                        <w:sz w:val="20"/>
                        <w:lang w:eastAsia="lt-LT"/>
                      </w:rPr>
                      <w:t>Atviros viešųjų pirkimų procedūros, skirtos sveikatos priežiūros specialistų gebėjimų platformos informacinių technologijų priemonei įdiegti, užbaigimas,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(2022 m. IV ketv.)</w:t>
                    </w:r>
                  </w:p>
                  <w:p>
                    <w:pPr>
                      <w:ind w:left="-57" w:right="-57"/>
                      <w:jc w:val="center"/>
                      <w:rPr>
                        <w:sz w:val="20"/>
                      </w:rPr>
                    </w:pP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rPr>
                    </w:pPr>
                    <w:r>
                      <w:rPr>
                        <w:sz w:val="20"/>
                      </w:rPr>
                      <w:t>422</w:t>
                    </w:r>
                  </w:p>
                </w:tc>
                <w:tc>
                  <w:tcPr>
                    <w:tcW w:w="992" w:type="dxa"/>
                    <w:vMerge w:val="restart"/>
                    <w:shd w:val="clear" w:color="auto" w:fill="auto"/>
                  </w:tcPr>
                  <w:p>
                    <w:pPr>
                      <w:rPr>
                        <w:sz w:val="20"/>
                      </w:rPr>
                    </w:pPr>
                    <w:r>
                      <w:rPr>
                        <w:iCs/>
                        <w:sz w:val="20"/>
                      </w:rPr>
                      <w:t>PVM iš VB</w:t>
                    </w:r>
                  </w:p>
                </w:tc>
                <w:tc>
                  <w:tcPr>
                    <w:tcW w:w="2551" w:type="dxa"/>
                    <w:vMerge/>
                    <w:shd w:val="clear" w:color="auto" w:fill="auto"/>
                  </w:tcPr>
                  <w:p>
                    <w:pPr>
                      <w:ind w:left="-57" w:right="-57"/>
                      <w:rPr>
                        <w:sz w:val="20"/>
                      </w:rPr>
                    </w:pPr>
                  </w:p>
                </w:tc>
                <w:tc>
                  <w:tcPr>
                    <w:tcW w:w="851" w:type="dxa"/>
                    <w:vMerge/>
                    <w:shd w:val="clear" w:color="auto" w:fill="CCC0D9" w:themeFill="accent4" w:themeFillTint="66"/>
                  </w:tcPr>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Sveikatos priežiūros specialistų kompetencijų platformos sukūrimas, vnt.</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(2024 m. IV ketv.)</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 </w:t>
                    </w:r>
                    <w:r>
                      <w:rPr>
                        <w:sz w:val="20"/>
                        <w:lang w:eastAsia="lt-LT"/>
                      </w:rPr>
                      <w:t>Informacinės sistemos (platformos), skirtos sveikatos priežiūros specialistų licencijoms registruoti ir skaitmeninei stebėsenai vykdyti, sukūrimas, vnt.</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(2024 m. I ketv.)</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Sveikatos priežiūros specialistų, kurių licencija įregistruota ir jos priežiūra vykdoma skaitmeniniu būdu,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(2030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pPr>
                      <w:ind w:left="-57" w:right="-57"/>
                      <w:jc w:val="center"/>
                      <w:rPr>
                        <w:sz w:val="20"/>
                      </w:rPr>
                    </w:pPr>
                    <w:r>
                      <w:rPr>
                        <w:sz w:val="20"/>
                      </w:rPr>
                      <w:t>n/a</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555"/>
                </w:trPr>
                <w:tc>
                  <w:tcPr>
                    <w:tcW w:w="2410" w:type="dxa"/>
                    <w:vMerge w:val="restart"/>
                  </w:tcPr>
                  <w:p>
                    <w:pPr>
                      <w:rPr>
                        <w:sz w:val="20"/>
                      </w:rPr>
                    </w:pPr>
                    <w:r>
                      <w:rPr>
                        <w:sz w:val="20"/>
                      </w:rPr>
                      <w:t>4.3. S</w:t>
                    </w:r>
                    <w:r>
                      <w:rPr>
                        <w:sz w:val="20"/>
                        <w:lang w:eastAsia="lt-LT"/>
                      </w:rPr>
                      <w:t>veikatos priežiūros paslaugų kokybės vertinimo modelio (rodiklių švieslentės) sukūrimas</w:t>
                    </w:r>
                  </w:p>
                </w:tc>
                <w:tc>
                  <w:tcPr>
                    <w:tcW w:w="709" w:type="dxa"/>
                    <w:vMerge w:val="restart"/>
                  </w:tcPr>
                  <w:p>
                    <w:pPr>
                      <w:rPr>
                        <w:sz w:val="20"/>
                      </w:rPr>
                    </w:pPr>
                    <w:r>
                      <w:rPr>
                        <w:sz w:val="20"/>
                      </w:rPr>
                      <w:t>I</w:t>
                    </w:r>
                  </w:p>
                </w:tc>
                <w:tc>
                  <w:tcPr>
                    <w:tcW w:w="1559" w:type="dxa"/>
                    <w:vMerge w:val="restart"/>
                  </w:tcPr>
                  <w:p>
                    <w:pPr>
                      <w:rPr>
                        <w:sz w:val="20"/>
                      </w:rPr>
                    </w:pPr>
                    <w:r>
                      <w:rPr>
                        <w:sz w:val="20"/>
                      </w:rPr>
                      <w:t>Valstybinė ligonių kasa prie Sveikatos apsaugos ministerijos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2 500</w:t>
                    </w:r>
                  </w:p>
                </w:tc>
                <w:tc>
                  <w:tcPr>
                    <w:tcW w:w="992" w:type="dxa"/>
                  </w:tcPr>
                  <w:p>
                    <w:pPr>
                      <w:rPr>
                        <w:sz w:val="20"/>
                      </w:rPr>
                    </w:pPr>
                    <w:r>
                      <w:rPr>
                        <w:sz w:val="20"/>
                      </w:rPr>
                      <w:t>EGADP</w:t>
                    </w:r>
                  </w:p>
                </w:tc>
                <w:tc>
                  <w:tcPr>
                    <w:tcW w:w="2551" w:type="dxa"/>
                    <w:vMerge w:val="restart"/>
                    <w:shd w:val="clear" w:color="auto" w:fill="auto"/>
                  </w:tcPr>
                  <w:p>
                    <w:pPr>
                      <w:ind w:left="-57" w:right="-57"/>
                      <w:jc w:val="both"/>
                      <w:rPr>
                        <w:sz w:val="20"/>
                      </w:rPr>
                    </w:pPr>
                    <w:r>
                      <w:rPr>
                        <w:sz w:val="20"/>
                      </w:rPr>
                      <w:t xml:space="preserve">R – </w:t>
                    </w:r>
                    <w:r>
                      <w:rPr>
                        <w:sz w:val="20"/>
                        <w:lang w:eastAsia="lt-LT"/>
                      </w:rPr>
                      <w:t>Sveikatos priežiūros įstaigų, įtrauktų į veiklos rezultatų rodiklių rinkiniu grindžiamą Lietuvos nacionalinės sveikatos sistemos švieslentę dalis, proc. (tarpinis)</w:t>
                    </w:r>
                  </w:p>
                </w:tc>
                <w:tc>
                  <w:tcPr>
                    <w:tcW w:w="851" w:type="dxa"/>
                    <w:vMerge w:val="restart"/>
                    <w:shd w:val="clear" w:color="auto" w:fill="auto"/>
                  </w:tcPr>
                  <w:p>
                    <w:pPr>
                      <w:jc w:val="center"/>
                      <w:rPr>
                        <w:sz w:val="20"/>
                      </w:rPr>
                    </w:pPr>
                    <w:r>
                      <w:rPr>
                        <w:sz w:val="20"/>
                      </w:rPr>
                      <w:t>70</w:t>
                    </w:r>
                  </w:p>
                  <w:p>
                    <w:pPr>
                      <w:jc w:val="center"/>
                      <w:rPr>
                        <w:sz w:val="20"/>
                      </w:rPr>
                    </w:pPr>
                    <w:r>
                      <w:rPr>
                        <w:sz w:val="20"/>
                      </w:rPr>
                      <w:t>(2023 m. II ketv.)</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vAlign w:val="center"/>
                  </w:tcPr>
                  <w:p>
                    <w:pPr>
                      <w:rPr>
                        <w:color w:val="000000"/>
                        <w:sz w:val="20"/>
                      </w:rPr>
                    </w:pPr>
                  </w:p>
                </w:tc>
              </w:tr>
              <w:tr>
                <w:trPr>
                  <w:trHeight w:val="69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val="restart"/>
                    <w:tcBorders>
                      <w:bottom w:val="single" w:sz="4" w:space="0" w:color="auto"/>
                    </w:tcBorders>
                  </w:tcPr>
                  <w:p>
                    <w:pPr>
                      <w:rPr>
                        <w:sz w:val="20"/>
                      </w:rPr>
                    </w:pPr>
                    <w:r>
                      <w:rPr>
                        <w:sz w:val="20"/>
                      </w:rPr>
                      <w:t>530</w:t>
                    </w:r>
                  </w:p>
                </w:tc>
                <w:tc>
                  <w:tcPr>
                    <w:tcW w:w="992" w:type="dxa"/>
                    <w:vMerge w:val="restart"/>
                    <w:tcBorders>
                      <w:bottom w:val="single" w:sz="4" w:space="0" w:color="auto"/>
                    </w:tcBorders>
                  </w:tcPr>
                  <w:p>
                    <w:pPr>
                      <w:rPr>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 Sveikatos priežiūros įstaigų, įtrauktų į veiklos rezultatų rodiklių rinkiniu grindžiamą Lietuvos nacionalinės sveikatos sistemos švieslentę, dalis, proc. </w:t>
                    </w:r>
                  </w:p>
                </w:tc>
                <w:tc>
                  <w:tcPr>
                    <w:tcW w:w="851" w:type="dxa"/>
                    <w:shd w:val="clear" w:color="auto" w:fill="auto"/>
                  </w:tcPr>
                  <w:p>
                    <w:pPr>
                      <w:ind w:left="-57" w:right="-57"/>
                      <w:jc w:val="center"/>
                      <w:rPr>
                        <w:sz w:val="20"/>
                      </w:rPr>
                    </w:pPr>
                    <w:r>
                      <w:rPr>
                        <w:sz w:val="20"/>
                      </w:rPr>
                      <w:t>100</w:t>
                    </w:r>
                  </w:p>
                  <w:p>
                    <w:pPr>
                      <w:ind w:left="-57" w:right="-57"/>
                      <w:jc w:val="center"/>
                      <w:rPr>
                        <w:sz w:val="20"/>
                      </w:rPr>
                    </w:pPr>
                    <w:r>
                      <w:rPr>
                        <w:sz w:val="20"/>
                      </w:rPr>
                      <w:t>(2025 m. II ketv.)</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pPr>
                      <w:ind w:left="-57" w:right="-57"/>
                      <w:jc w:val="center"/>
                      <w:rPr>
                        <w:sz w:val="20"/>
                      </w:rPr>
                    </w:pPr>
                    <w:r>
                      <w:rPr>
                        <w:sz w:val="20"/>
                      </w:rPr>
                      <w:t>n/a</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val="restart"/>
                    <w:tcBorders>
                      <w:top w:val="single" w:sz="4" w:space="0" w:color="auto"/>
                      <w:left w:val="single" w:sz="4" w:space="0" w:color="auto"/>
                      <w:right w:val="single" w:sz="4" w:space="0" w:color="auto"/>
                    </w:tcBorders>
                  </w:tcPr>
                  <w:p>
                    <w:pPr>
                      <w:rPr>
                        <w:iCs/>
                        <w:sz w:val="20"/>
                      </w:rPr>
                    </w:pPr>
                    <w:r>
                      <w:rPr>
                        <w:iCs/>
                        <w:sz w:val="20"/>
                      </w:rPr>
                      <w:t>4.4. Sveikatos sektoriaus skaitmeninimo projektai</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VĮ Registrų centras, SAM pavaldžios įstaigos</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84 835,491</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Šalies gyventojų, kuriems teikiamos su sveikata susijusios elektroninės paslaugos,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1150"/>
                </w:trPr>
                <w:tc>
                  <w:tcPr>
                    <w:tcW w:w="2410" w:type="dxa"/>
                    <w:vMerge/>
                    <w:tcBorders>
                      <w:left w:val="single" w:sz="4" w:space="0" w:color="auto"/>
                      <w:right w:val="single" w:sz="4" w:space="0" w:color="auto"/>
                    </w:tcBorders>
                  </w:tcPr>
                  <w:p>
                    <w:pPr>
                      <w:rPr>
                        <w:iCs/>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val="restart"/>
                    <w:tcBorders>
                      <w:top w:val="single" w:sz="4" w:space="0" w:color="auto"/>
                      <w:left w:val="single" w:sz="4" w:space="0" w:color="auto"/>
                      <w:right w:val="single" w:sz="4" w:space="0" w:color="auto"/>
                    </w:tcBorders>
                  </w:tcPr>
                  <w:p>
                    <w:pPr>
                      <w:rPr>
                        <w:sz w:val="20"/>
                      </w:rPr>
                    </w:pPr>
                    <w:r>
                      <w:rPr>
                        <w:sz w:val="20"/>
                      </w:rPr>
                      <w:t>17 816,662</w:t>
                    </w:r>
                  </w:p>
                </w:tc>
                <w:tc>
                  <w:tcPr>
                    <w:tcW w:w="992" w:type="dxa"/>
                    <w:vMerge w:val="restart"/>
                    <w:tcBorders>
                      <w:top w:val="single" w:sz="4" w:space="0" w:color="auto"/>
                      <w:left w:val="single" w:sz="4" w:space="0" w:color="auto"/>
                      <w:right w:val="single" w:sz="4" w:space="0" w:color="auto"/>
                    </w:tcBorders>
                  </w:tcPr>
                  <w:p>
                    <w:pPr>
                      <w:rPr>
                        <w:sz w:val="20"/>
                      </w:rPr>
                    </w:pPr>
                    <w:r>
                      <w:rPr>
                        <w:sz w:val="20"/>
                      </w:rPr>
                      <w:t>PVM iš VB</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Ambulatorinių ir stacionarinių asmens sveikatos priežiūros įstaigų, naudojančių e. sveikatos produktus, dalis, proc. (tarpinis)</w:t>
                    </w:r>
                  </w:p>
                </w:tc>
                <w:tc>
                  <w:tcPr>
                    <w:tcW w:w="851" w:type="dxa"/>
                    <w:tcBorders>
                      <w:top w:val="single" w:sz="4" w:space="0" w:color="auto"/>
                      <w:left w:val="single" w:sz="4" w:space="0" w:color="auto"/>
                      <w:right w:val="single" w:sz="4" w:space="0" w:color="auto"/>
                    </w:tcBorders>
                    <w:shd w:val="clear" w:color="auto" w:fill="auto"/>
                  </w:tcPr>
                  <w:p>
                    <w:pPr>
                      <w:jc w:val="center"/>
                      <w:rPr>
                        <w:sz w:val="20"/>
                      </w:rPr>
                    </w:pPr>
                    <w:r>
                      <w:rPr>
                        <w:sz w:val="20"/>
                      </w:rPr>
                      <w:t>60</w:t>
                    </w:r>
                  </w:p>
                  <w:p>
                    <w:pPr>
                      <w:jc w:val="center"/>
                      <w:rPr>
                        <w:sz w:val="20"/>
                      </w:rPr>
                    </w:pPr>
                    <w:r>
                      <w:rPr>
                        <w:sz w:val="20"/>
                      </w:rPr>
                      <w:t>(2023 m. IV ketv.)</w:t>
                    </w:r>
                  </w:p>
                  <w:p>
                    <w:pPr>
                      <w:ind w:left="-57" w:right="-57"/>
                      <w:rPr>
                        <w:sz w:val="20"/>
                      </w:rPr>
                    </w:pP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Ambulatorinių ir stacionarinių asmens sveikatos priežiūros įstaigų, naudojančių e. sveikatos produktus,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70</w:t>
                    </w:r>
                  </w:p>
                  <w:p>
                    <w:pPr>
                      <w:ind w:left="-57" w:right="-57"/>
                      <w:jc w:val="center"/>
                      <w:rPr>
                        <w:sz w:val="20"/>
                      </w:rPr>
                    </w:pPr>
                    <w:r>
                      <w:rPr>
                        <w:sz w:val="20"/>
                      </w:rPr>
                      <w:t>(2025 m. IV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 xml:space="preserve">R – Ambulatorinių ir stacionarinių asmens sveikatos priežiūros įstaigų, naudojančių e. sveikatos produktus, dalis, proc.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shd w:val="clear" w:color="auto" w:fill="F2F2F2" w:themeFill="background1" w:themeFillShade="F2"/>
                  </w:tcPr>
                  <w:p>
                    <w:pPr>
                      <w:rPr>
                        <w:b/>
                        <w:bCs/>
                        <w:iCs/>
                        <w:sz w:val="20"/>
                      </w:rPr>
                    </w:pPr>
                    <w:r>
                      <w:rPr>
                        <w:b/>
                        <w:bCs/>
                        <w:sz w:val="20"/>
                      </w:rPr>
                      <w:t>5. Pažangos priemonėje planuojamų veiklų investavimo krypčių ir pagrįstumo vertinimas</w:t>
                    </w:r>
                  </w:p>
                </w:tc>
                <w:tc>
                  <w:tcPr>
                    <w:tcW w:w="709" w:type="dxa"/>
                    <w:shd w:val="clear" w:color="auto" w:fill="F2F2F2" w:themeFill="background1" w:themeFillShade="F2"/>
                  </w:tcPr>
                  <w:p>
                    <w:pPr>
                      <w:rPr>
                        <w:sz w:val="20"/>
                      </w:rPr>
                    </w:pPr>
                    <w:r>
                      <w:rPr>
                        <w:sz w:val="20"/>
                      </w:rPr>
                      <w:t>A</w:t>
                    </w:r>
                  </w:p>
                </w:tc>
                <w:tc>
                  <w:tcPr>
                    <w:tcW w:w="1559" w:type="dxa"/>
                    <w:shd w:val="clear" w:color="auto" w:fill="F2F2F2" w:themeFill="background1" w:themeFillShade="F2"/>
                  </w:tcPr>
                  <w:p>
                    <w:pPr>
                      <w:rPr>
                        <w:sz w:val="20"/>
                      </w:rPr>
                    </w:pPr>
                    <w:r>
                      <w:rPr>
                        <w:sz w:val="20"/>
                      </w:rPr>
                      <w:t>SAM</w:t>
                    </w:r>
                  </w:p>
                </w:tc>
                <w:tc>
                  <w:tcPr>
                    <w:tcW w:w="709" w:type="dxa"/>
                    <w:shd w:val="clear" w:color="auto" w:fill="F2F2F2" w:themeFill="background1" w:themeFillShade="F2"/>
                  </w:tcPr>
                  <w:p>
                    <w:pPr>
                      <w:rPr>
                        <w:sz w:val="20"/>
                      </w:rPr>
                    </w:pPr>
                    <w:r>
                      <w:rPr>
                        <w:sz w:val="20"/>
                      </w:rPr>
                      <w:t>P</w:t>
                    </w:r>
                  </w:p>
                </w:tc>
                <w:tc>
                  <w:tcPr>
                    <w:tcW w:w="992" w:type="dxa"/>
                    <w:shd w:val="clear" w:color="auto" w:fill="F2F2F2" w:themeFill="background1" w:themeFillShade="F2"/>
                  </w:tcPr>
                  <w:p>
                    <w:pPr>
                      <w:rPr>
                        <w:sz w:val="20"/>
                      </w:rPr>
                    </w:pPr>
                    <w:r>
                      <w:rPr>
                        <w:sz w:val="20"/>
                      </w:rPr>
                      <w:t>Ne</w:t>
                    </w:r>
                  </w:p>
                </w:tc>
                <w:tc>
                  <w:tcPr>
                    <w:tcW w:w="709" w:type="dxa"/>
                    <w:shd w:val="clear" w:color="auto" w:fill="F2F2F2" w:themeFill="background1" w:themeFillShade="F2"/>
                  </w:tcPr>
                  <w:p>
                    <w:pPr>
                      <w:rPr>
                        <w:sz w:val="20"/>
                      </w:rPr>
                    </w:pPr>
                    <w:r>
                      <w:rPr>
                        <w:sz w:val="20"/>
                      </w:rPr>
                      <w:t>D</w:t>
                    </w:r>
                  </w:p>
                </w:tc>
                <w:tc>
                  <w:tcPr>
                    <w:tcW w:w="1276" w:type="dxa"/>
                    <w:shd w:val="clear" w:color="auto" w:fill="F2F2F2" w:themeFill="background1" w:themeFillShade="F2"/>
                  </w:tcPr>
                  <w:p>
                    <w:pPr>
                      <w:rPr>
                        <w:b/>
                        <w:bCs/>
                        <w:sz w:val="20"/>
                      </w:rPr>
                    </w:pPr>
                    <w:r>
                      <w:rPr>
                        <w:b/>
                        <w:bCs/>
                        <w:sz w:val="20"/>
                        <w:lang w:val="en-US"/>
                      </w:rPr>
                      <w:t>169,719</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color w:val="FF0000"/>
                        <w:sz w:val="20"/>
                      </w:rPr>
                    </w:pPr>
                    <w:r>
                      <w:rPr>
                        <w:sz w:val="20"/>
                      </w:rPr>
                      <w:t xml:space="preserve">P – Atliktų sveikatos sektoriaus analizių skaičius </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(2022 m.)</w:t>
                    </w:r>
                  </w:p>
                  <w:p>
                    <w:pPr>
                      <w:ind w:left="-57" w:right="-57"/>
                      <w:jc w:val="center"/>
                      <w:rPr>
                        <w:sz w:val="20"/>
                      </w:rPr>
                    </w:pPr>
                  </w:p>
                  <w:p>
                    <w:pPr>
                      <w:ind w:left="-57" w:right="-57"/>
                      <w:jc w:val="center"/>
                      <w:rPr>
                        <w:sz w:val="20"/>
                      </w:rPr>
                    </w:pP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val="restart"/>
                    <w:shd w:val="clear" w:color="auto" w:fill="F2F2F2" w:themeFill="background1" w:themeFillShade="F2"/>
                  </w:tcPr>
                  <w:p>
                    <w:pPr>
                      <w:ind w:firstLine="53"/>
                      <w:rPr>
                        <w:iCs/>
                        <w:sz w:val="20"/>
                      </w:rPr>
                    </w:pPr>
                    <w:r>
                      <w:rPr>
                        <w:b/>
                        <w:bCs/>
                        <w:iCs/>
                        <w:sz w:val="20"/>
                      </w:rPr>
                      <w:t>6. Bazinių sveikatos priežiūros paslaugų užtikrinimas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rPr>
                    </w:pPr>
                    <w:r>
                      <w:rPr>
                        <w:b/>
                        <w:bCs/>
                        <w:sz w:val="20"/>
                      </w:rPr>
                      <w:t>191 754,999</w:t>
                    </w:r>
                  </w:p>
                </w:tc>
                <w:tc>
                  <w:tcPr>
                    <w:tcW w:w="992" w:type="dxa"/>
                    <w:shd w:val="clear" w:color="auto" w:fill="F2F2F2" w:themeFill="background1" w:themeFillShade="F2"/>
                  </w:tcPr>
                  <w:p>
                    <w:pPr>
                      <w:rPr>
                        <w:sz w:val="20"/>
                      </w:rPr>
                    </w:pPr>
                    <w:r>
                      <w:rPr>
                        <w:sz w:val="20"/>
                      </w:rPr>
                      <w:t>-</w:t>
                    </w:r>
                  </w:p>
                </w:tc>
                <w:tc>
                  <w:tcPr>
                    <w:tcW w:w="2551" w:type="dxa"/>
                    <w:shd w:val="clear" w:color="auto" w:fill="F2F2F2" w:themeFill="background1" w:themeFillShade="F2"/>
                  </w:tcPr>
                  <w:p>
                    <w:pPr>
                      <w:ind w:left="-57" w:right="-57"/>
                      <w:rPr>
                        <w:sz w:val="20"/>
                      </w:rPr>
                    </w:pPr>
                    <w:r>
                      <w:rPr>
                        <w:sz w:val="20"/>
                      </w:rPr>
                      <w:t xml:space="preserve">R </w:t>
                    </w:r>
                    <w:r>
                      <w:rPr>
                        <w:szCs w:val="24"/>
                      </w:rPr>
                      <w:t>–</w:t>
                    </w:r>
                    <w:r>
                      <w:rPr>
                        <w:sz w:val="20"/>
                      </w:rPr>
                      <w:t xml:space="preserve"> Šeimos gydytojo ir jo komandos narių suteiktų sveikatos priežiūros paslaugų santykis</w:t>
                    </w:r>
                  </w:p>
                </w:tc>
                <w:tc>
                  <w:tcPr>
                    <w:tcW w:w="851" w:type="dxa"/>
                    <w:shd w:val="clear" w:color="auto" w:fill="F2F2F2" w:themeFill="background1" w:themeFillShade="F2"/>
                  </w:tcPr>
                  <w:p>
                    <w:pPr>
                      <w:ind w:left="-57" w:right="-57"/>
                      <w:jc w:val="center"/>
                      <w:rPr>
                        <w:sz w:val="20"/>
                      </w:rPr>
                    </w:pPr>
                    <w:r>
                      <w:rPr>
                        <w:sz w:val="20"/>
                      </w:rPr>
                      <w:t>40/60</w:t>
                    </w:r>
                  </w:p>
                  <w:p>
                    <w:pPr>
                      <w:ind w:left="-57" w:right="-57"/>
                      <w:jc w:val="center"/>
                      <w:rPr>
                        <w:sz w:val="20"/>
                      </w:rPr>
                    </w:pPr>
                    <w:r>
                      <w:rPr>
                        <w:sz w:val="20"/>
                      </w:rPr>
                      <w:t>(2026 m.)</w:t>
                    </w:r>
                  </w:p>
                </w:tc>
                <w:tc>
                  <w:tcPr>
                    <w:tcW w:w="992" w:type="dxa"/>
                    <w:vMerge w:val="restart"/>
                    <w:shd w:val="clear" w:color="auto" w:fill="F2F2F2" w:themeFill="background1" w:themeFillShade="F2"/>
                  </w:tcPr>
                  <w:p>
                    <w:pPr>
                      <w:rPr>
                        <w:sz w:val="20"/>
                      </w:rPr>
                    </w:pP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16 079,260</w:t>
                    </w:r>
                  </w:p>
                </w:tc>
                <w:tc>
                  <w:tcPr>
                    <w:tcW w:w="992" w:type="dxa"/>
                    <w:shd w:val="clear" w:color="auto" w:fill="F2F2F2" w:themeFill="background1" w:themeFillShade="F2"/>
                  </w:tcPr>
                  <w:p>
                    <w:pPr>
                      <w:rPr>
                        <w:sz w:val="20"/>
                      </w:rPr>
                    </w:pPr>
                    <w:r>
                      <w:rPr>
                        <w:sz w:val="20"/>
                      </w:rPr>
                      <w:t>2021–2027 m. IP (ERPF, Sostinės regionas)</w:t>
                    </w:r>
                  </w:p>
                </w:tc>
                <w:tc>
                  <w:tcPr>
                    <w:tcW w:w="2551" w:type="dxa"/>
                    <w:shd w:val="clear" w:color="auto" w:fill="F2F2F2" w:themeFill="background1" w:themeFillShade="F2"/>
                  </w:tcPr>
                  <w:p>
                    <w:pPr>
                      <w:ind w:left="-57" w:right="-57"/>
                      <w:rPr>
                        <w:sz w:val="20"/>
                      </w:rPr>
                    </w:pPr>
                    <w:r>
                      <w:rPr>
                        <w:sz w:val="20"/>
                      </w:rPr>
                      <w:t xml:space="preserve">R </w:t>
                    </w:r>
                    <w:r>
                      <w:rPr>
                        <w:szCs w:val="24"/>
                      </w:rPr>
                      <w:t>–</w:t>
                    </w:r>
                    <w:r>
                      <w:rPr>
                        <w:sz w:val="20"/>
                      </w:rPr>
                      <w:t xml:space="preserve"> Asmenų, kuriems onkologinė liga diagnozuota ankstyvoje stadijoje (I–II st.), dalis, proc.</w:t>
                    </w:r>
                  </w:p>
                </w:tc>
                <w:tc>
                  <w:tcPr>
                    <w:tcW w:w="851" w:type="dxa"/>
                    <w:shd w:val="clear" w:color="auto" w:fill="F2F2F2" w:themeFill="background1" w:themeFillShade="F2"/>
                  </w:tcPr>
                  <w:p>
                    <w:pPr>
                      <w:ind w:left="-57" w:right="-57"/>
                      <w:jc w:val="center"/>
                      <w:rPr>
                        <w:sz w:val="20"/>
                      </w:rPr>
                    </w:pPr>
                    <w:r>
                      <w:rPr>
                        <w:sz w:val="20"/>
                      </w:rPr>
                      <w:t>60,0</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16 079,260 </w:t>
                    </w:r>
                  </w:p>
                </w:tc>
                <w:tc>
                  <w:tcPr>
                    <w:tcW w:w="992" w:type="dxa"/>
                    <w:shd w:val="clear" w:color="auto" w:fill="F2F2F2" w:themeFill="background1" w:themeFillShade="F2"/>
                  </w:tcPr>
                  <w:p>
                    <w:pPr>
                      <w:rPr>
                        <w:sz w:val="20"/>
                      </w:rPr>
                    </w:pPr>
                    <w:r>
                      <w:rPr>
                        <w:sz w:val="20"/>
                      </w:rPr>
                      <w:t>2021–2027 m. IP (BF, Sostinės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95 490,258 </w:t>
                    </w:r>
                  </w:p>
                </w:tc>
                <w:tc>
                  <w:tcPr>
                    <w:tcW w:w="992" w:type="dxa"/>
                    <w:shd w:val="clear" w:color="auto" w:fill="F2F2F2" w:themeFill="background1" w:themeFillShade="F2"/>
                  </w:tcPr>
                  <w:p>
                    <w:pPr>
                      <w:rPr>
                        <w:sz w:val="20"/>
                      </w:rPr>
                    </w:pPr>
                    <w:r>
                      <w:rPr>
                        <w:sz w:val="20"/>
                      </w:rPr>
                      <w:t>2021–2027 m. IP (ERPF, VVL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w:t>
                    </w:r>
                  </w:p>
                </w:tc>
                <w:tc>
                  <w:tcPr>
                    <w:tcW w:w="851" w:type="dxa"/>
                    <w:shd w:val="clear" w:color="auto" w:fill="F2F2F2" w:themeFill="background1" w:themeFillShade="F2"/>
                  </w:tcPr>
                  <w:p>
                    <w:pPr>
                      <w:ind w:left="-57" w:right="-57"/>
                      <w:jc w:val="center"/>
                      <w:rPr>
                        <w:sz w:val="20"/>
                      </w:rPr>
                    </w:pPr>
                    <w:r>
                      <w:rPr>
                        <w:sz w:val="20"/>
                      </w:rPr>
                      <w:t>431 714</w:t>
                    </w:r>
                  </w:p>
                  <w:p>
                    <w:pPr>
                      <w:ind w:left="-57" w:right="-57"/>
                      <w:jc w:val="center"/>
                      <w:rPr>
                        <w:sz w:val="20"/>
                      </w:rPr>
                    </w:pPr>
                    <w:r>
                      <w:rPr>
                        <w:sz w:val="20"/>
                      </w:rPr>
                      <w:t>(2030 m.)</w:t>
                    </w:r>
                  </w:p>
                  <w:p>
                    <w:pPr>
                      <w:ind w:left="-57" w:right="-57"/>
                      <w:jc w:val="center"/>
                      <w:rPr>
                        <w:sz w:val="20"/>
                      </w:rPr>
                    </w:pPr>
                  </w:p>
                  <w:p>
                    <w:pPr>
                      <w:ind w:left="-57" w:right="-57"/>
                      <w:jc w:val="center"/>
                      <w:rPr>
                        <w:sz w:val="20"/>
                      </w:rPr>
                    </w:pPr>
                  </w:p>
                  <w:p>
                    <w:pPr>
                      <w:ind w:right="-57"/>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33 366,750</w:t>
                    </w:r>
                  </w:p>
                </w:tc>
                <w:tc>
                  <w:tcPr>
                    <w:tcW w:w="992" w:type="dxa"/>
                    <w:shd w:val="clear" w:color="auto" w:fill="F2F2F2" w:themeFill="background1" w:themeFillShade="F2"/>
                  </w:tcPr>
                  <w:p>
                    <w:pPr>
                      <w:rPr>
                        <w:sz w:val="20"/>
                      </w:rPr>
                    </w:pPr>
                    <w:r>
                      <w:rPr>
                        <w:sz w:val="20"/>
                      </w:rPr>
                      <w:t>2021–2027 m. IP (ESF+, VVL regionas)</w:t>
                    </w:r>
                  </w:p>
                </w:tc>
                <w:tc>
                  <w:tcPr>
                    <w:tcW w:w="2551" w:type="dxa"/>
                    <w:shd w:val="clear" w:color="auto" w:fill="F2F2F2" w:themeFill="background1" w:themeFillShade="F2"/>
                  </w:tcPr>
                  <w:p>
                    <w:pPr>
                      <w:ind w:left="-57" w:right="-57"/>
                      <w:rPr>
                        <w:sz w:val="20"/>
                      </w:rPr>
                    </w:pPr>
                    <w:r>
                      <w:rPr>
                        <w:sz w:val="20"/>
                      </w:rPr>
                      <w:t>R – Dienos stacionaro atvejų skaičiaus padidėjimas lyginant su 2019 m., atvejų skaičius</w:t>
                    </w:r>
                  </w:p>
                  <w:p>
                    <w:pPr>
                      <w:ind w:right="-57"/>
                      <w:rPr>
                        <w:sz w:val="20"/>
                      </w:rPr>
                    </w:pPr>
                  </w:p>
                </w:tc>
                <w:tc>
                  <w:tcPr>
                    <w:tcW w:w="851" w:type="dxa"/>
                    <w:shd w:val="clear" w:color="auto" w:fill="F2F2F2" w:themeFill="background1" w:themeFillShade="F2"/>
                  </w:tcPr>
                  <w:p>
                    <w:pPr>
                      <w:ind w:left="-57" w:right="-57"/>
                      <w:jc w:val="center"/>
                      <w:rPr>
                        <w:sz w:val="20"/>
                      </w:rPr>
                    </w:pPr>
                    <w:r>
                      <w:rPr>
                        <w:sz w:val="20"/>
                      </w:rPr>
                      <w:t>362 243</w:t>
                    </w:r>
                  </w:p>
                  <w:p>
                    <w:pPr>
                      <w:ind w:left="-57" w:right="-57"/>
                      <w:jc w:val="center"/>
                      <w:rPr>
                        <w:sz w:val="20"/>
                      </w:rPr>
                    </w:pPr>
                    <w:r>
                      <w:rPr>
                        <w:sz w:val="20"/>
                      </w:rPr>
                      <w:t>(2030 m.)</w:t>
                    </w:r>
                  </w:p>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22 739,471 </w:t>
                    </w:r>
                  </w:p>
                </w:tc>
                <w:tc>
                  <w:tcPr>
                    <w:tcW w:w="992" w:type="dxa"/>
                    <w:shd w:val="clear" w:color="auto" w:fill="F2F2F2" w:themeFill="background1" w:themeFillShade="F2"/>
                  </w:tcPr>
                  <w:p>
                    <w:pPr>
                      <w:rPr>
                        <w:sz w:val="20"/>
                      </w:rPr>
                    </w:pPr>
                    <w:r>
                      <w:rPr>
                        <w:sz w:val="20"/>
                      </w:rPr>
                      <w:t>2021–2027 m. IP (BF, VVL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Dienos chirurgijos atvejų skaičiaus padidėjimas lyginant su 2019 m., atvejų skaičius</w:t>
                    </w:r>
                  </w:p>
                </w:tc>
                <w:tc>
                  <w:tcPr>
                    <w:tcW w:w="851" w:type="dxa"/>
                    <w:shd w:val="clear" w:color="auto" w:fill="F2F2F2" w:themeFill="background1" w:themeFillShade="F2"/>
                  </w:tcPr>
                  <w:p>
                    <w:pPr>
                      <w:ind w:left="-57" w:right="-57"/>
                      <w:jc w:val="center"/>
                      <w:rPr>
                        <w:sz w:val="20"/>
                      </w:rPr>
                    </w:pPr>
                    <w:r>
                      <w:rPr>
                        <w:sz w:val="20"/>
                      </w:rPr>
                      <w:t>73 020</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81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Aktyviojo gydymo lovų užimtumas, proc.</w:t>
                    </w:r>
                  </w:p>
                </w:tc>
                <w:tc>
                  <w:tcPr>
                    <w:tcW w:w="851" w:type="dxa"/>
                    <w:shd w:val="clear" w:color="auto" w:fill="F2F2F2" w:themeFill="background1" w:themeFillShade="F2"/>
                  </w:tcPr>
                  <w:p>
                    <w:pPr>
                      <w:ind w:left="-57" w:right="-57"/>
                      <w:jc w:val="center"/>
                      <w:rPr>
                        <w:sz w:val="20"/>
                      </w:rPr>
                    </w:pPr>
                    <w:r>
                      <w:rPr>
                        <w:sz w:val="20"/>
                      </w:rPr>
                      <w:t>82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val="restart"/>
                  </w:tcPr>
                  <w:p>
                    <w:pPr>
                      <w:rPr>
                        <w:iCs/>
                        <w:sz w:val="20"/>
                      </w:rPr>
                    </w:pPr>
                    <w:r>
                      <w:rPr>
                        <w:sz w:val="20"/>
                      </w:rPr>
                      <w:t>6.1. Teisės aktų ir kitų dokumentų, reglamentuojančių bazinių sveikatos priežiūros paslaugų teikimo ir organizavimo reikalavimus</w:t>
                    </w:r>
                    <w:r>
                      <w:rPr>
                        <w:i/>
                        <w:iCs/>
                        <w:sz w:val="20"/>
                      </w:rPr>
                      <w:t xml:space="preserve">, </w:t>
                    </w:r>
                    <w:r>
                      <w:rPr>
                        <w:sz w:val="20"/>
                      </w:rPr>
                      <w:t>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tcPr>
                  <w:p>
                    <w:pPr>
                      <w:ind w:left="-57" w:right="-57"/>
                      <w:jc w:val="both"/>
                      <w:rPr>
                        <w:sz w:val="20"/>
                      </w:rPr>
                    </w:pPr>
                    <w:r>
                      <w:rPr>
                        <w:sz w:val="20"/>
                      </w:rPr>
                      <w:t xml:space="preserve">P – Įsigalioję teisės aktai dėl kompetencijos centrų ir regioninio bendradarbiavimo modeliu pagrįsto asmens sveikatos priežiūros įstaigų tinklo sukūrimo ir reglamentavimo, kompl. </w:t>
                    </w:r>
                  </w:p>
                </w:tc>
                <w:tc>
                  <w:tcPr>
                    <w:tcW w:w="851" w:type="dxa"/>
                  </w:tcPr>
                  <w:p>
                    <w:pPr>
                      <w:ind w:left="-57" w:right="-57"/>
                      <w:jc w:val="center"/>
                      <w:rPr>
                        <w:sz w:val="20"/>
                      </w:rPr>
                    </w:pPr>
                    <w:r>
                      <w:rPr>
                        <w:sz w:val="20"/>
                      </w:rPr>
                      <w:t>1</w:t>
                    </w:r>
                  </w:p>
                  <w:p>
                    <w:pPr>
                      <w:ind w:left="-57" w:right="-57"/>
                      <w:jc w:val="center"/>
                      <w:rPr>
                        <w:sz w:val="20"/>
                      </w:rPr>
                    </w:pPr>
                    <w:r>
                      <w:rPr>
                        <w:sz w:val="20"/>
                      </w:rPr>
                      <w:t>(2023 m. III ketv.)</w:t>
                    </w:r>
                  </w:p>
                  <w:p>
                    <w:pPr>
                      <w:ind w:left="-57" w:right="-57"/>
                      <w:jc w:val="center"/>
                      <w:rPr>
                        <w:i/>
                        <w:iCs/>
                        <w:sz w:val="20"/>
                      </w:rPr>
                    </w:pPr>
                  </w:p>
                  <w:p>
                    <w:pPr>
                      <w:ind w:left="-57" w:right="-57"/>
                      <w:jc w:val="center"/>
                      <w:rPr>
                        <w:i/>
                        <w:iCs/>
                        <w:sz w:val="20"/>
                      </w:rPr>
                    </w:pPr>
                  </w:p>
                  <w:p>
                    <w:pPr>
                      <w:ind w:left="-57" w:right="-57"/>
                      <w:jc w:val="center"/>
                      <w:rPr>
                        <w:sz w:val="20"/>
                      </w:rPr>
                    </w:pPr>
                  </w:p>
                </w:tc>
                <w:tc>
                  <w:tcPr>
                    <w:tcW w:w="992" w:type="dxa"/>
                  </w:tcPr>
                  <w:p>
                    <w:pPr>
                      <w:rPr>
                        <w:sz w:val="20"/>
                      </w:rPr>
                    </w:pPr>
                    <w:r>
                      <w:rPr>
                        <w:sz w:val="20"/>
                      </w:rPr>
                      <w:t>-</w:t>
                    </w:r>
                  </w:p>
                </w:tc>
                <w:tc>
                  <w:tcPr>
                    <w:tcW w:w="1276"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Sprendimo dėl reguliavimo, investavimo ir komunikacijos veiksmų, siekiant sukurti tvarų sveikatos priežiūros įstaigų tinklą, priėmimas</w:t>
                    </w:r>
                  </w:p>
                </w:tc>
                <w:tc>
                  <w:tcPr>
                    <w:tcW w:w="851" w:type="dxa"/>
                  </w:tcPr>
                  <w:p>
                    <w:pPr>
                      <w:ind w:left="-57" w:right="-57"/>
                      <w:jc w:val="center"/>
                      <w:rPr>
                        <w:sz w:val="20"/>
                      </w:rPr>
                    </w:pPr>
                    <w:r>
                      <w:rPr>
                        <w:sz w:val="20"/>
                      </w:rPr>
                      <w:t>1</w:t>
                    </w:r>
                  </w:p>
                  <w:p>
                    <w:pPr>
                      <w:ind w:left="-57" w:right="-57"/>
                      <w:jc w:val="center"/>
                      <w:rPr>
                        <w:sz w:val="20"/>
                      </w:rPr>
                    </w:pPr>
                    <w:r>
                      <w:rPr>
                        <w:sz w:val="20"/>
                      </w:rPr>
                      <w:t>(2023 m. I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Patvirtintas atnaujintas Šeimos medicinos plėtros 2016–2025 m. veiksmų planas</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920"/>
                </w:trPr>
                <w:tc>
                  <w:tcPr>
                    <w:tcW w:w="2410" w:type="dxa"/>
                    <w:vMerge w:val="restart"/>
                  </w:tcPr>
                  <w:p>
                    <w:pPr>
                      <w:rPr>
                        <w:sz w:val="20"/>
                      </w:rPr>
                    </w:pPr>
                    <w:r>
                      <w:rPr>
                        <w:sz w:val="20"/>
                      </w:rPr>
                      <w:t>6.2. Sveikatos centro pirminės ambulatorinės asmens sveikatos priežiūros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5 700,000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358 500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5 700,000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295 085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86"/>
                </w:trPr>
                <w:tc>
                  <w:tcPr>
                    <w:tcW w:w="2410" w:type="dxa"/>
                    <w:vMerge w:val="restart"/>
                  </w:tcPr>
                  <w:p>
                    <w:pPr>
                      <w:rPr>
                        <w:sz w:val="20"/>
                      </w:rPr>
                    </w:pPr>
                    <w:r>
                      <w:rPr>
                        <w:sz w:val="20"/>
                      </w:rPr>
                      <w:t>6.3.</w:t>
                    </w:r>
                    <w:r>
                      <w:t xml:space="preserve"> </w:t>
                    </w:r>
                    <w:r>
                      <w:rPr>
                        <w:sz w:val="20"/>
                      </w:rPr>
                      <w:t>Sveikatos centro antrinio lygio ambulatorinės specializuotos asmens sveikatos priežiūros, ambulatorinės chirurgijos, dienos chirurgijos, dienos stacionaro bei skubiosios pagalbos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7 603,764</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53 500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7 603,764</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44 100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20"/>
                </w:trPr>
                <w:tc>
                  <w:tcPr>
                    <w:tcW w:w="2410" w:type="dxa"/>
                    <w:vMerge w:val="restart"/>
                  </w:tcPr>
                  <w:p>
                    <w:pPr>
                      <w:rPr>
                        <w:sz w:val="20"/>
                      </w:rPr>
                    </w:pPr>
                    <w:r>
                      <w:rPr>
                        <w:sz w:val="20"/>
                      </w:rPr>
                      <w:t>6.4. Sveikatos centro pirminės ambulatorinės asmens sveikatos priežiūros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31 110,000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1 113 600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rPr>
                      <w:t>5 490,000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917 565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1120"/>
                </w:trPr>
                <w:tc>
                  <w:tcPr>
                    <w:tcW w:w="2410" w:type="dxa"/>
                    <w:vMerge w:val="restart"/>
                  </w:tcPr>
                  <w:p>
                    <w:pPr>
                      <w:rPr>
                        <w:sz w:val="20"/>
                      </w:rPr>
                    </w:pPr>
                    <w:r>
                      <w:rPr>
                        <w:sz w:val="20"/>
                      </w:rPr>
                      <w:t>6.5. Sveikatos centro antrinio lygio ambulatorinės specializuotos asmens sveikatos priežiūros, ambulatorinės chirurgijos, dienos chirurgijos, dienos stacionaro bei skubiosios pagalbos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50 398,601</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tcPr>
                  <w:p>
                    <w:pPr>
                      <w:ind w:left="-57" w:right="-57"/>
                      <w:jc w:val="center"/>
                      <w:rPr>
                        <w:sz w:val="20"/>
                      </w:rPr>
                    </w:pPr>
                    <w:r>
                      <w:rPr>
                        <w:sz w:val="20"/>
                      </w:rPr>
                      <w:t>166 400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8 893,871</w:t>
                    </w:r>
                  </w:p>
                </w:tc>
                <w:tc>
                  <w:tcPr>
                    <w:tcW w:w="992" w:type="dxa"/>
                    <w:vMerge w:val="restart"/>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lang w:val="en-US"/>
                      </w:rPr>
                    </w:pPr>
                    <w:r>
                      <w:rPr>
                        <w:sz w:val="20"/>
                        <w:lang w:val="en-US"/>
                      </w:rPr>
                      <w:t>137 100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58"/>
                </w:trPr>
                <w:tc>
                  <w:tcPr>
                    <w:tcW w:w="2410" w:type="dxa"/>
                    <w:vMerge w:val="restart"/>
                  </w:tcPr>
                  <w:p>
                    <w:pPr>
                      <w:rPr>
                        <w:sz w:val="20"/>
                      </w:rPr>
                    </w:pPr>
                    <w:r>
                      <w:rPr>
                        <w:sz w:val="20"/>
                      </w:rPr>
                      <w:t>6.6. Dienos stacionaro ir dienos chirurgijos paslaugų plėtra regiono lygiu,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2 775,496</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10 090</w:t>
                    </w:r>
                  </w:p>
                  <w:p>
                    <w:pPr>
                      <w:ind w:left="-57" w:right="-57"/>
                      <w:jc w:val="center"/>
                      <w:rPr>
                        <w:sz w:val="20"/>
                      </w:rPr>
                    </w:pPr>
                    <w:r>
                      <w:rPr>
                        <w:sz w:val="20"/>
                      </w:rPr>
                      <w:t>(2029 m.)</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28"/>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2 775,496</w:t>
                    </w:r>
                  </w:p>
                  <w:p>
                    <w:pPr>
                      <w:rPr>
                        <w:sz w:val="20"/>
                      </w:rPr>
                    </w:pPr>
                  </w:p>
                </w:tc>
                <w:tc>
                  <w:tcPr>
                    <w:tcW w:w="992" w:type="dxa"/>
                    <w:vMerge w:val="restart"/>
                  </w:tcPr>
                  <w:p>
                    <w:pPr>
                      <w:rPr>
                        <w:sz w:val="20"/>
                      </w:rPr>
                    </w:pPr>
                    <w:r>
                      <w:rPr>
                        <w:sz w:val="20"/>
                      </w:rPr>
                      <w:t>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9 890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77"/>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869"/>
                </w:trPr>
                <w:tc>
                  <w:tcPr>
                    <w:tcW w:w="2410" w:type="dxa"/>
                    <w:vMerge w:val="restart"/>
                  </w:tcPr>
                  <w:p>
                    <w:pPr>
                      <w:rPr>
                        <w:iCs/>
                        <w:sz w:val="20"/>
                      </w:rPr>
                    </w:pPr>
                    <w:r>
                      <w:rPr>
                        <w:sz w:val="20"/>
                      </w:rPr>
                      <w:t>6.7. Dienos stacionaro ir dienos chirurgijos paslaugų plėtra regiono lygiu,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13 981,657</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Naujos arba modernizuotos sveikatos priežiūros infrastruktūros talpumas, asmenys per metus</w:t>
                    </w:r>
                  </w:p>
                </w:tc>
                <w:tc>
                  <w:tcPr>
                    <w:tcW w:w="851" w:type="dxa"/>
                    <w:shd w:val="clear" w:color="auto" w:fill="auto"/>
                  </w:tcPr>
                  <w:p>
                    <w:pPr>
                      <w:ind w:left="-57" w:right="-57"/>
                      <w:jc w:val="center"/>
                      <w:rPr>
                        <w:sz w:val="20"/>
                      </w:rPr>
                    </w:pPr>
                    <w:r>
                      <w:rPr>
                        <w:sz w:val="20"/>
                      </w:rPr>
                      <w:t>29 910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1019"/>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2 467,350</w:t>
                    </w:r>
                  </w:p>
                </w:tc>
                <w:tc>
                  <w:tcPr>
                    <w:tcW w:w="992" w:type="dxa"/>
                    <w:vMerge w:val="restart"/>
                  </w:tcPr>
                  <w:p>
                    <w:pPr>
                      <w:rPr>
                        <w:sz w:val="20"/>
                      </w:rPr>
                    </w:pPr>
                    <w:r>
                      <w:rPr>
                        <w:sz w:val="20"/>
                      </w:rPr>
                      <w:t xml:space="preserve">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29 310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6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2551" w:type="dxa"/>
                    <w:tcBorders>
                      <w:bottom w:val="single" w:sz="4" w:space="0" w:color="auto"/>
                    </w:tcBorders>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tcBorders>
                      <w:bottom w:val="single" w:sz="4" w:space="0" w:color="auto"/>
                    </w:tcBorders>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857"/>
                </w:trPr>
                <w:tc>
                  <w:tcPr>
                    <w:tcW w:w="2410" w:type="dxa"/>
                    <w:vMerge w:val="restart"/>
                  </w:tcPr>
                  <w:p>
                    <w:pPr>
                      <w:rPr>
                        <w:sz w:val="20"/>
                      </w:rPr>
                    </w:pPr>
                    <w:r>
                      <w:rPr>
                        <w:sz w:val="20"/>
                      </w:rPr>
                      <w:t>6.8. Inovatyvių pirminės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administracijos,ASPĮ, SAM</w:t>
                    </w:r>
                  </w:p>
                </w:tc>
                <w:tc>
                  <w:tcPr>
                    <w:tcW w:w="709" w:type="dxa"/>
                    <w:vMerge w:val="restart"/>
                  </w:tcPr>
                  <w:p>
                    <w:pPr>
                      <w:rPr>
                        <w:sz w:val="20"/>
                      </w:rPr>
                    </w:pPr>
                    <w:r>
                      <w:rPr>
                        <w:sz w:val="20"/>
                      </w:rPr>
                      <w:t>P/K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bottom w:val="single" w:sz="4" w:space="0" w:color="auto"/>
                    </w:tcBorders>
                  </w:tcPr>
                  <w:p>
                    <w:pPr>
                      <w:rPr>
                        <w:sz w:val="20"/>
                        <w:lang w:val="en-US"/>
                      </w:rPr>
                    </w:pPr>
                    <w:r>
                      <w:rPr>
                        <w:sz w:val="20"/>
                        <w:lang w:val="en-US"/>
                      </w:rPr>
                      <w:t>33 366,750</w:t>
                    </w:r>
                  </w:p>
                </w:tc>
                <w:tc>
                  <w:tcPr>
                    <w:tcW w:w="992" w:type="dxa"/>
                    <w:tcBorders>
                      <w:bottom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rFonts w:eastAsia="Calibri"/>
                        <w:sz w:val="20"/>
                        <w:lang w:eastAsia="lt-LT" w:bidi="lt-LT"/>
                      </w:rPr>
                      <w:t>Asmenys, dalyvavę veiklose, skirtose lėtinei ligai savarankiškai valdyti, asmenys</w:t>
                    </w:r>
                  </w:p>
                </w:tc>
                <w:tc>
                  <w:tcPr>
                    <w:tcW w:w="851" w:type="dxa"/>
                    <w:shd w:val="clear" w:color="auto" w:fill="auto"/>
                  </w:tcPr>
                  <w:p>
                    <w:pPr>
                      <w:ind w:left="-57" w:right="-57"/>
                      <w:jc w:val="center"/>
                      <w:rPr>
                        <w:sz w:val="20"/>
                      </w:rPr>
                    </w:pPr>
                    <w:r>
                      <w:rPr>
                        <w:sz w:val="20"/>
                      </w:rPr>
                      <w:t>25 000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lang w:val="en-US"/>
                      </w:rPr>
                      <w:t>5 888,250</w:t>
                    </w:r>
                  </w:p>
                </w:tc>
                <w:tc>
                  <w:tcPr>
                    <w:tcW w:w="992" w:type="dxa"/>
                    <w:vMerge w:val="restart"/>
                  </w:tcPr>
                  <w:p>
                    <w:pPr>
                      <w:rPr>
                        <w:sz w:val="20"/>
                      </w:rPr>
                    </w:pPr>
                    <w:r>
                      <w:rPr>
                        <w:sz w:val="20"/>
                      </w:rPr>
                      <w:t xml:space="preserve">2021–2027m.  IP (BF) </w:t>
                    </w:r>
                  </w:p>
                </w:tc>
                <w:tc>
                  <w:tcPr>
                    <w:tcW w:w="2551" w:type="dxa"/>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lang w:val="en-US"/>
                      </w:rPr>
                    </w:pPr>
                    <w:r>
                      <w:rPr>
                        <w:sz w:val="20"/>
                      </w:rPr>
                      <w:t>1 100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pPr>
                      <w:ind w:left="-57" w:right="-57"/>
                      <w:jc w:val="center"/>
                      <w:rPr>
                        <w:sz w:val="20"/>
                      </w:rPr>
                    </w:pPr>
                  </w:p>
                  <w:p>
                    <w:pPr>
                      <w:ind w:left="-57" w:right="-57"/>
                      <w:jc w:val="center"/>
                      <w:rPr>
                        <w:sz w:val="20"/>
                      </w:rPr>
                    </w:pPr>
                    <w:r>
                      <w:rPr>
                        <w:sz w:val="20"/>
                      </w:rPr>
                      <w:t>138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57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color w:val="000000"/>
                        <w:sz w:val="20"/>
                      </w:rPr>
                      <w:t xml:space="preserve">R – Asmenų, teigusių, kad pagerėjo jų gyvenimo kokybė po dalyvavimo veiklose, skirtose savarankiškam lėtinės ligos valdymui, dalis, proc. </w:t>
                    </w:r>
                  </w:p>
                </w:tc>
                <w:tc>
                  <w:tcPr>
                    <w:tcW w:w="851" w:type="dxa"/>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57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sz w:val="20"/>
                      </w:rPr>
                      <w:t>R –</w:t>
                    </w:r>
                    <w:r>
                      <w:rPr>
                        <w:sz w:val="20"/>
                        <w:lang w:eastAsia="lt-LT"/>
                      </w:rPr>
                      <w:t xml:space="preserve"> Specialistų, kurie po dalyvavimo veiklose įgijo ar patobulino kvalifikaciją,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b/>
                        <w:bCs/>
                        <w:color w:val="FF0000"/>
                        <w:sz w:val="20"/>
                      </w:rPr>
                    </w:pPr>
                    <w:r>
                      <w:rPr>
                        <w:color w:val="000000"/>
                        <w:sz w:val="20"/>
                      </w:rPr>
                      <w:t xml:space="preserve">R </w:t>
                    </w:r>
                    <w:r>
                      <w:rPr>
                        <w:color w:val="000000"/>
                        <w:szCs w:val="24"/>
                      </w:rPr>
                      <w:t>–</w:t>
                    </w:r>
                    <w:r>
                      <w:rPr>
                        <w:color w:val="000000"/>
                        <w:sz w:val="20"/>
                      </w:rPr>
                      <w:t xml:space="preserve"> Pacientų pasitenkinimas gautomis paslaugomis, proc. </w:t>
                    </w:r>
                  </w:p>
                </w:tc>
                <w:tc>
                  <w:tcPr>
                    <w:tcW w:w="851" w:type="dxa"/>
                    <w:shd w:val="clear" w:color="auto" w:fill="auto"/>
                  </w:tcPr>
                  <w:p>
                    <w:pPr>
                      <w:ind w:left="-57" w:right="-57"/>
                      <w:jc w:val="center"/>
                      <w:rPr>
                        <w:sz w:val="20"/>
                      </w:rPr>
                    </w:pPr>
                    <w:r>
                      <w:rPr>
                        <w:sz w:val="20"/>
                      </w:rPr>
                      <w:t>70</w:t>
                    </w:r>
                  </w:p>
                  <w:p>
                    <w:pPr>
                      <w:ind w:left="-57" w:right="-57"/>
                      <w:jc w:val="center"/>
                      <w:rPr>
                        <w:color w:val="FF0000"/>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0"/>
                      </w:rPr>
                    </w:pPr>
                    <w:r>
                      <w:rPr>
                        <w:sz w:val="20"/>
                      </w:rPr>
                      <w:t>6.9. ASPĮ išlaidų, patirtų įgyvendinant pertvarką, kompensavimas</w:t>
                    </w:r>
                  </w:p>
                </w:tc>
                <w:tc>
                  <w:tcPr>
                    <w:tcW w:w="709" w:type="dxa"/>
                  </w:tcPr>
                  <w:p>
                    <w:pPr>
                      <w:rPr>
                        <w:sz w:val="20"/>
                      </w:rPr>
                    </w:pPr>
                    <w:r>
                      <w:rPr>
                        <w:sz w:val="20"/>
                      </w:rPr>
                      <w:t>I</w:t>
                    </w:r>
                  </w:p>
                </w:tc>
                <w:tc>
                  <w:tcPr>
                    <w:tcW w:w="1559" w:type="dxa"/>
                  </w:tcPr>
                  <w:p>
                    <w:pPr>
                      <w:rPr>
                        <w:sz w:val="20"/>
                      </w:rPr>
                    </w:pPr>
                    <w:r>
                      <w:rPr>
                        <w:sz w:val="20"/>
                      </w:rPr>
                      <w:t>ASPĮ</w:t>
                    </w:r>
                  </w:p>
                </w:tc>
                <w:tc>
                  <w:tcPr>
                    <w:tcW w:w="709" w:type="dxa"/>
                  </w:tcPr>
                  <w:p>
                    <w:pPr>
                      <w:rPr>
                        <w:sz w:val="20"/>
                      </w:rPr>
                    </w:pPr>
                    <w:r>
                      <w:rPr>
                        <w:sz w:val="20"/>
                      </w:rPr>
                      <w:t>P</w:t>
                    </w:r>
                  </w:p>
                </w:tc>
                <w:tc>
                  <w:tcPr>
                    <w:tcW w:w="992" w:type="dxa"/>
                  </w:tcPr>
                  <w:p>
                    <w:pPr>
                      <w:rPr>
                        <w:sz w:val="20"/>
                      </w:rPr>
                    </w:pPr>
                    <w:r>
                      <w:rPr>
                        <w:sz w:val="20"/>
                      </w:rPr>
                      <w:t>Taip</w:t>
                    </w:r>
                  </w:p>
                </w:tc>
                <w:tc>
                  <w:tcPr>
                    <w:tcW w:w="709" w:type="dxa"/>
                  </w:tcPr>
                  <w:p>
                    <w:pPr>
                      <w:rPr>
                        <w:sz w:val="20"/>
                      </w:rPr>
                    </w:pPr>
                    <w:r>
                      <w:rPr>
                        <w:sz w:val="20"/>
                      </w:rPr>
                      <w:t>D</w:t>
                    </w:r>
                  </w:p>
                </w:tc>
                <w:tc>
                  <w:tcPr>
                    <w:tcW w:w="1276" w:type="dxa"/>
                  </w:tcPr>
                  <w:p>
                    <w:pPr>
                      <w:rPr>
                        <w:sz w:val="20"/>
                      </w:rPr>
                    </w:pPr>
                    <w:r>
                      <w:rPr>
                        <w:sz w:val="20"/>
                        <w:lang w:val="en-US"/>
                      </w:rPr>
                      <w:t>8 000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Struktūrinius sveikatos priežiūros paslaugų teikimo pokyčius įgyvendinusių ASPĮ skaičius, vnt. </w:t>
                    </w:r>
                  </w:p>
                </w:tc>
                <w:tc>
                  <w:tcPr>
                    <w:tcW w:w="851" w:type="dxa"/>
                    <w:shd w:val="clear" w:color="auto" w:fill="auto"/>
                  </w:tcPr>
                  <w:p>
                    <w:pPr>
                      <w:ind w:left="-57" w:right="-57"/>
                      <w:jc w:val="center"/>
                      <w:rPr>
                        <w:sz w:val="20"/>
                      </w:rPr>
                    </w:pPr>
                    <w:r>
                      <w:rPr>
                        <w:sz w:val="20"/>
                      </w:rPr>
                      <w:t>250</w:t>
                    </w:r>
                  </w:p>
                  <w:p>
                    <w:pPr>
                      <w:ind w:left="-57" w:right="-57"/>
                      <w:jc w:val="center"/>
                      <w:rPr>
                        <w:sz w:val="20"/>
                      </w:rPr>
                    </w:pPr>
                    <w:r>
                      <w:rPr>
                        <w:sz w:val="20"/>
                      </w:rPr>
                      <w:t>(2030 m.)</w:t>
                    </w:r>
                  </w:p>
                </w:tc>
                <w:tc>
                  <w:tcPr>
                    <w:tcW w:w="992" w:type="dxa"/>
                  </w:tcPr>
                  <w:p>
                    <w:pPr>
                      <w:rPr>
                        <w:sz w:val="20"/>
                      </w:rPr>
                    </w:pPr>
                    <w:r>
                      <w:rPr>
                        <w:sz w:val="20"/>
                      </w:rPr>
                      <w:t>SAM</w:t>
                    </w:r>
                  </w:p>
                </w:tc>
                <w:tc>
                  <w:tcPr>
                    <w:tcW w:w="1276" w:type="dxa"/>
                    <w:tcBorders>
                      <w:left w:val="single" w:sz="4" w:space="0" w:color="auto"/>
                      <w:right w:val="single" w:sz="4" w:space="0" w:color="auto"/>
                    </w:tcBorders>
                  </w:tcPr>
                  <w:p>
                    <w:pPr>
                      <w:jc w:val="cente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7. Ambulatorinių psichikos sveikatos priežiūros paslaugų plėtra ir kokybės gerinimas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38 400</w:t>
                    </w: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rPr>
                        <w:color w:val="FF0000"/>
                        <w:sz w:val="20"/>
                      </w:rPr>
                    </w:pPr>
                    <w:r>
                      <w:rPr>
                        <w:sz w:val="20"/>
                      </w:rPr>
                      <w:t xml:space="preserve">R </w:t>
                    </w:r>
                    <w:r>
                      <w:rPr>
                        <w:color w:val="000000"/>
                        <w:szCs w:val="24"/>
                      </w:rPr>
                      <w:t>–</w:t>
                    </w:r>
                    <w:r>
                      <w:rPr>
                        <w:sz w:val="20"/>
                      </w:rPr>
                      <w:t xml:space="preserve"> Asmenų, gavusių tęstines ambulatorines ir (ar) dienos stacionaro psichikos sveikatos paslaugas per 30 dienų nuo išrašymo iš stacionaro, dalis</w:t>
                      <w:tab/>
                    </w:r>
                  </w:p>
                </w:tc>
                <w:tc>
                  <w:tcPr>
                    <w:tcW w:w="851" w:type="dxa"/>
                    <w:vMerge w:val="restart"/>
                    <w:shd w:val="clear" w:color="auto" w:fill="F2F2F2" w:themeFill="background1" w:themeFillShade="F2"/>
                  </w:tcPr>
                  <w:p>
                    <w:pPr>
                      <w:jc w:val="center"/>
                      <w:rPr>
                        <w:sz w:val="20"/>
                      </w:rPr>
                    </w:pPr>
                    <w:r>
                      <w:rPr>
                        <w:sz w:val="20"/>
                      </w:rPr>
                      <w:t>80</w:t>
                    </w:r>
                  </w:p>
                  <w:p>
                    <w:pPr>
                      <w:ind w:left="-57" w:right="-57"/>
                      <w:jc w:val="center"/>
                      <w:rPr>
                        <w:i/>
                        <w:iCs/>
                        <w:sz w:val="20"/>
                      </w:rPr>
                    </w:pPr>
                    <w:r>
                      <w:rPr>
                        <w:sz w:val="20"/>
                      </w:rPr>
                      <w:t xml:space="preserve">(2030 m.) </w:t>
                    </w:r>
                  </w:p>
                </w:tc>
                <w:tc>
                  <w:tcPr>
                    <w:tcW w:w="992" w:type="dxa"/>
                    <w:vMerge w:val="restart"/>
                    <w:shd w:val="clear" w:color="auto" w:fill="F2F2F2" w:themeFill="background1" w:themeFillShade="F2"/>
                  </w:tcPr>
                  <w:p>
                    <w:pPr>
                      <w:rPr>
                        <w:i/>
                        <w:iCs/>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2 523,178</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2 523,178</w:t>
                    </w:r>
                  </w:p>
                </w:tc>
                <w:tc>
                  <w:tcPr>
                    <w:tcW w:w="992" w:type="dxa"/>
                    <w:shd w:val="clear" w:color="auto" w:fill="F2F2F2" w:themeFill="background1" w:themeFillShade="F2"/>
                  </w:tcPr>
                  <w:p>
                    <w:pPr>
                      <w:rPr>
                        <w:sz w:val="20"/>
                      </w:rPr>
                    </w:pPr>
                    <w:r>
                      <w:rPr>
                        <w:sz w:val="20"/>
                      </w:rPr>
                      <w:t>2021–2027 m. IP (BF, Sostinės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 </w:t>
                    </w:r>
                  </w:p>
                  <w:p>
                    <w:pPr>
                      <w:ind w:left="-57" w:right="-57"/>
                      <w:rPr>
                        <w:sz w:val="20"/>
                      </w:rPr>
                    </w:pPr>
                  </w:p>
                </w:tc>
                <w:tc>
                  <w:tcPr>
                    <w:tcW w:w="851" w:type="dxa"/>
                    <w:shd w:val="clear" w:color="auto" w:fill="F2F2F2" w:themeFill="background1" w:themeFillShade="F2"/>
                  </w:tcPr>
                  <w:p>
                    <w:pPr>
                      <w:ind w:left="-57" w:right="-57"/>
                      <w:jc w:val="center"/>
                      <w:rPr>
                        <w:sz w:val="20"/>
                      </w:rPr>
                    </w:pPr>
                    <w:r>
                      <w:rPr>
                        <w:sz w:val="20"/>
                      </w:rPr>
                      <w:t>431714</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12 710,597</w:t>
                    </w:r>
                  </w:p>
                </w:tc>
                <w:tc>
                  <w:tcPr>
                    <w:tcW w:w="992" w:type="dxa"/>
                    <w:shd w:val="clear" w:color="auto" w:fill="F2F2F2" w:themeFill="background1" w:themeFillShade="F2"/>
                  </w:tcPr>
                  <w:p>
                    <w:pPr>
                      <w:rPr>
                        <w:sz w:val="20"/>
                      </w:rPr>
                    </w:pPr>
                    <w:r>
                      <w:rPr>
                        <w:sz w:val="20"/>
                      </w:rPr>
                      <w:t>2021–2027 m. IP (ERPF, VVL regionas)</w:t>
                    </w:r>
                  </w:p>
                </w:tc>
                <w:tc>
                  <w:tcPr>
                    <w:tcW w:w="2551" w:type="dxa"/>
                    <w:vMerge w:val="restart"/>
                    <w:shd w:val="clear" w:color="auto" w:fill="F2F2F2" w:themeFill="background1" w:themeFillShade="F2"/>
                  </w:tcPr>
                  <w:p>
                    <w:pPr>
                      <w:ind w:left="-57" w:right="-57"/>
                      <w:rPr>
                        <w:sz w:val="20"/>
                      </w:rPr>
                    </w:pPr>
                    <w:r>
                      <w:rPr>
                        <w:sz w:val="20"/>
                      </w:rPr>
                      <w:t>R – Dienos stacionaro atvejų skaičiaus padidėjimas lyginant su 2019 m., atvejų skaičius</w:t>
                    </w:r>
                  </w:p>
                  <w:p>
                    <w:pPr>
                      <w:ind w:left="-57" w:right="-57"/>
                      <w:rPr>
                        <w:sz w:val="20"/>
                      </w:rPr>
                    </w:pPr>
                  </w:p>
                </w:tc>
                <w:tc>
                  <w:tcPr>
                    <w:tcW w:w="851" w:type="dxa"/>
                    <w:vMerge w:val="restart"/>
                    <w:shd w:val="clear" w:color="auto" w:fill="F2F2F2" w:themeFill="background1" w:themeFillShade="F2"/>
                  </w:tcPr>
                  <w:p>
                    <w:pPr>
                      <w:ind w:left="-57" w:right="-57"/>
                      <w:jc w:val="center"/>
                      <w:rPr>
                        <w:sz w:val="20"/>
                      </w:rPr>
                    </w:pPr>
                    <w:r>
                      <w:rPr>
                        <w:sz w:val="20"/>
                      </w:rPr>
                      <w:t>362243</w:t>
                    </w:r>
                  </w:p>
                  <w:p>
                    <w:pPr>
                      <w:ind w:left="-57" w:right="-57"/>
                      <w:jc w:val="center"/>
                      <w:rPr>
                        <w:sz w:val="20"/>
                      </w:rPr>
                    </w:pPr>
                    <w:r>
                      <w:rPr>
                        <w:sz w:val="20"/>
                      </w:rPr>
                      <w:t>(2030 m.)</w:t>
                    </w:r>
                  </w:p>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10 540</w:t>
                    </w:r>
                  </w:p>
                </w:tc>
                <w:tc>
                  <w:tcPr>
                    <w:tcW w:w="992" w:type="dxa"/>
                    <w:shd w:val="clear" w:color="auto" w:fill="F2F2F2" w:themeFill="background1" w:themeFillShade="F2"/>
                  </w:tcPr>
                  <w:p>
                    <w:pPr>
                      <w:rPr>
                        <w:sz w:val="20"/>
                      </w:rPr>
                    </w:pPr>
                    <w:r>
                      <w:rPr>
                        <w:sz w:val="20"/>
                      </w:rPr>
                      <w:t>2021–2027 m. IP (ESF</w:t>
                    </w:r>
                    <w:r>
                      <w:rPr>
                        <w:sz w:val="20"/>
                        <w:lang w:val="it-IT"/>
                      </w:rPr>
                      <w:t>+</w:t>
                    </w:r>
                    <w:r>
                      <w:rPr>
                        <w:sz w:val="20"/>
                      </w:rPr>
                      <w:t>,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4 103,047</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6 000</w:t>
                    </w:r>
                  </w:p>
                </w:tc>
                <w:tc>
                  <w:tcPr>
                    <w:tcW w:w="992" w:type="dxa"/>
                    <w:shd w:val="clear" w:color="auto" w:fill="F2F2F2" w:themeFill="background1" w:themeFillShade="F2"/>
                  </w:tcPr>
                  <w:p>
                    <w:pPr>
                      <w:rPr>
                        <w:sz w:val="20"/>
                      </w:rPr>
                    </w:pPr>
                    <w:r>
                      <w:rPr>
                        <w:sz w:val="20"/>
                      </w:rPr>
                      <w:t>VB</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382"/>
                </w:trPr>
                <w:tc>
                  <w:tcPr>
                    <w:tcW w:w="2410" w:type="dxa"/>
                    <w:vMerge w:val="restart"/>
                  </w:tcPr>
                  <w:p>
                    <w:pPr>
                      <w:rPr>
                        <w:sz w:val="20"/>
                      </w:rPr>
                    </w:pPr>
                    <w:r>
                      <w:rPr>
                        <w:sz w:val="20"/>
                      </w:rPr>
                      <w:t>7.1. Ambulatorinių psichikos sveikatos paslaugų ir psichosocialinės reabilitacijos plėtrai reikalingos infrastruktūros įrengimas,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shd w:val="clear" w:color="auto" w:fill="auto"/>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2 523,178</w:t>
                    </w:r>
                  </w:p>
                  <w:p>
                    <w:pPr>
                      <w:rPr>
                        <w:sz w:val="20"/>
                        <w:lang w:val="en-US"/>
                      </w:rPr>
                    </w:pPr>
                  </w:p>
                </w:tc>
                <w:tc>
                  <w:tcPr>
                    <w:tcW w:w="992" w:type="dxa"/>
                  </w:tcPr>
                  <w:p>
                    <w:pPr>
                      <w:rPr>
                        <w:sz w:val="20"/>
                      </w:rPr>
                    </w:pPr>
                    <w:r>
                      <w:rPr>
                        <w:sz w:val="20"/>
                      </w:rPr>
                      <w:t>2021–2027 m. IP (ERPF)</w:t>
                    </w: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8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2 523,178</w:t>
                    </w:r>
                  </w:p>
                </w:tc>
                <w:tc>
                  <w:tcPr>
                    <w:tcW w:w="992" w:type="dxa"/>
                  </w:tcPr>
                  <w:p>
                    <w:pPr>
                      <w:rPr>
                        <w:sz w:val="20"/>
                      </w:rPr>
                    </w:pPr>
                    <w:r>
                      <w:rPr>
                        <w:sz w:val="20"/>
                      </w:rPr>
                      <w:t>2021–2027 m. IP (BF)</w:t>
                    </w: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1 335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025"/>
                </w:trPr>
                <w:tc>
                  <w:tcPr>
                    <w:tcW w:w="2410" w:type="dxa"/>
                    <w:vMerge w:val="restart"/>
                  </w:tcPr>
                  <w:p>
                    <w:pPr>
                      <w:rPr>
                        <w:sz w:val="20"/>
                      </w:rPr>
                    </w:pPr>
                    <w:r>
                      <w:rPr>
                        <w:sz w:val="20"/>
                      </w:rPr>
                      <w:t>7.2. Ambulatorinių psichikos sveikatos paslaugų ir psichosocialinės reabilitacijos plėtrai reikalingos infrastruktūros įrengimas, Vidurio ir vakarų Lietuvos regionas</w:t>
                    </w:r>
                  </w:p>
                </w:tc>
                <w:tc>
                  <w:tcPr>
                    <w:tcW w:w="709" w:type="dxa"/>
                    <w:vMerge w:val="restart"/>
                  </w:tcPr>
                  <w:p>
                    <w:pPr>
                      <w:rPr>
                        <w:sz w:val="20"/>
                      </w:rPr>
                    </w:pPr>
                    <w:r>
                      <w:rPr>
                        <w:sz w:val="20"/>
                      </w:rPr>
                      <w:t>I</w:t>
                    </w:r>
                  </w:p>
                  <w:p>
                    <w:pPr>
                      <w:rPr>
                        <w:sz w:val="20"/>
                      </w:rPr>
                    </w:pPr>
                  </w:p>
                </w:tc>
                <w:tc>
                  <w:tcPr>
                    <w:tcW w:w="1559" w:type="dxa"/>
                    <w:vMerge w:val="restart"/>
                  </w:tcPr>
                  <w:p>
                    <w:pPr>
                      <w:rPr>
                        <w:sz w:val="20"/>
                      </w:rPr>
                    </w:pPr>
                    <w:r>
                      <w:rPr>
                        <w:sz w:val="20"/>
                      </w:rPr>
                      <w:t>ASPĮ</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tcPr>
                  <w:p>
                    <w:pPr>
                      <w:rPr>
                        <w:sz w:val="20"/>
                      </w:rPr>
                    </w:pPr>
                    <w:r>
                      <w:rPr>
                        <w:sz w:val="20"/>
                      </w:rPr>
                      <w:t>Taip</w:t>
                    </w:r>
                  </w:p>
                  <w:p>
                    <w:pPr>
                      <w:rPr>
                        <w:sz w:val="20"/>
                      </w:rPr>
                    </w:pPr>
                  </w:p>
                </w:tc>
                <w:tc>
                  <w:tcPr>
                    <w:tcW w:w="709" w:type="dxa"/>
                    <w:vMerge w:val="restart"/>
                  </w:tcPr>
                  <w:p>
                    <w:pPr>
                      <w:rPr>
                        <w:sz w:val="20"/>
                      </w:rPr>
                    </w:pPr>
                    <w:r>
                      <w:rPr>
                        <w:sz w:val="20"/>
                      </w:rPr>
                      <w:t>D</w:t>
                    </w:r>
                  </w:p>
                  <w:p>
                    <w:pPr>
                      <w:rPr>
                        <w:sz w:val="20"/>
                      </w:rPr>
                    </w:pPr>
                  </w:p>
                </w:tc>
                <w:tc>
                  <w:tcPr>
                    <w:tcW w:w="1276" w:type="dxa"/>
                  </w:tcPr>
                  <w:p>
                    <w:pPr>
                      <w:rPr>
                        <w:sz w:val="20"/>
                        <w:lang w:val="en-US"/>
                      </w:rPr>
                    </w:pPr>
                    <w:r>
                      <w:rPr>
                        <w:sz w:val="20"/>
                        <w:lang w:val="en-US"/>
                      </w:rPr>
                      <w:t>12 710,597</w:t>
                    </w:r>
                  </w:p>
                </w:tc>
                <w:tc>
                  <w:tcPr>
                    <w:tcW w:w="992" w:type="dxa"/>
                  </w:tcPr>
                  <w:p>
                    <w:pPr>
                      <w:rPr>
                        <w:sz w:val="20"/>
                      </w:rPr>
                    </w:pPr>
                    <w:r>
                      <w:rPr>
                        <w:sz w:val="20"/>
                      </w:rPr>
                      <w:t>2021–2027 m. IP (ERPF)</w:t>
                    </w:r>
                  </w:p>
                  <w:p>
                    <w:pPr>
                      <w:rPr>
                        <w:sz w:val="20"/>
                      </w:rPr>
                    </w:pP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4 450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7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2 243,047</w:t>
                    </w:r>
                  </w:p>
                  <w:p>
                    <w:pPr>
                      <w:rPr>
                        <w:sz w:val="20"/>
                      </w:rPr>
                    </w:pPr>
                  </w:p>
                </w:tc>
                <w:tc>
                  <w:tcPr>
                    <w:tcW w:w="992" w:type="dxa"/>
                  </w:tcPr>
                  <w:p>
                    <w:pPr>
                      <w:rPr>
                        <w:sz w:val="20"/>
                      </w:rPr>
                    </w:pPr>
                    <w:r>
                      <w:rPr>
                        <w:sz w:val="20"/>
                      </w:rPr>
                      <w:t>2021–2027 m. IP (BF)</w:t>
                    </w:r>
                  </w:p>
                  <w:p>
                    <w:pPr>
                      <w:rPr>
                        <w:sz w:val="20"/>
                      </w:rPr>
                    </w:pP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3 965</w:t>
                    </w:r>
                  </w:p>
                  <w:p>
                    <w:pPr>
                      <w:ind w:left="-57" w:right="-57"/>
                      <w:jc w:val="center"/>
                      <w:rPr>
                        <w:sz w:val="20"/>
                      </w:rPr>
                    </w:pPr>
                    <w:r>
                      <w:rPr>
                        <w:sz w:val="20"/>
                      </w:rPr>
                      <w:t>(2029 m.)</w:t>
                    </w:r>
                  </w:p>
                  <w:p>
                    <w:pP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2"/>
                        <w:szCs w:val="22"/>
                      </w:rPr>
                    </w:pPr>
                    <w:r>
                      <w:rPr>
                        <w:sz w:val="20"/>
                      </w:rPr>
                      <w:t xml:space="preserve">7.3. </w:t>
                    </w:r>
                    <w:r>
                      <w:rPr>
                        <w:color w:val="212121"/>
                        <w:sz w:val="20"/>
                      </w:rPr>
                      <w:t>Nemedikamentinių paslaugų prieinamumo ir žmogaus teisėms palankios aplinkos gerinimas teikiant stacionarines psichikos sveikatos priežiūros paslaugas</w:t>
                    </w:r>
                  </w:p>
                </w:tc>
                <w:tc>
                  <w:tcPr>
                    <w:tcW w:w="709" w:type="dxa"/>
                  </w:tcPr>
                  <w:p>
                    <w:pPr>
                      <w:rPr>
                        <w:sz w:val="22"/>
                        <w:szCs w:val="22"/>
                      </w:rPr>
                    </w:pPr>
                    <w:r>
                      <w:rPr>
                        <w:sz w:val="20"/>
                      </w:rPr>
                      <w:t>I</w:t>
                    </w:r>
                  </w:p>
                </w:tc>
                <w:tc>
                  <w:tcPr>
                    <w:tcW w:w="1559" w:type="dxa"/>
                  </w:tcPr>
                  <w:p>
                    <w:pPr>
                      <w:rPr>
                        <w:sz w:val="22"/>
                        <w:szCs w:val="22"/>
                      </w:rPr>
                    </w:pPr>
                    <w:r>
                      <w:rPr>
                        <w:sz w:val="20"/>
                      </w:rPr>
                      <w:t>ASPĮ</w:t>
                    </w:r>
                  </w:p>
                </w:tc>
                <w:tc>
                  <w:tcPr>
                    <w:tcW w:w="709" w:type="dxa"/>
                  </w:tcPr>
                  <w:p>
                    <w:pPr>
                      <w:rPr>
                        <w:sz w:val="22"/>
                        <w:szCs w:val="22"/>
                      </w:rPr>
                    </w:pPr>
                    <w:r>
                      <w:rPr>
                        <w:sz w:val="20"/>
                      </w:rPr>
                      <w:t>P</w:t>
                    </w:r>
                  </w:p>
                </w:tc>
                <w:tc>
                  <w:tcPr>
                    <w:tcW w:w="992" w:type="dxa"/>
                  </w:tcPr>
                  <w:p>
                    <w:pPr>
                      <w:rPr>
                        <w:sz w:val="22"/>
                        <w:szCs w:val="22"/>
                      </w:rPr>
                    </w:pPr>
                    <w:r>
                      <w:rPr>
                        <w:sz w:val="20"/>
                      </w:rPr>
                      <w:t>Taip</w:t>
                    </w:r>
                  </w:p>
                </w:tc>
                <w:tc>
                  <w:tcPr>
                    <w:tcW w:w="709" w:type="dxa"/>
                  </w:tcPr>
                  <w:p>
                    <w:pPr>
                      <w:rPr>
                        <w:sz w:val="22"/>
                        <w:szCs w:val="22"/>
                      </w:rPr>
                    </w:pPr>
                    <w:r>
                      <w:rPr>
                        <w:sz w:val="20"/>
                      </w:rPr>
                      <w:t>D</w:t>
                    </w:r>
                  </w:p>
                </w:tc>
                <w:tc>
                  <w:tcPr>
                    <w:tcW w:w="1276" w:type="dxa"/>
                  </w:tcPr>
                  <w:p>
                    <w:pPr>
                      <w:rPr>
                        <w:sz w:val="22"/>
                        <w:szCs w:val="22"/>
                        <w:lang w:val="en-US"/>
                      </w:rPr>
                    </w:pPr>
                    <w:r>
                      <w:rPr>
                        <w:sz w:val="20"/>
                      </w:rPr>
                      <w:t>6 000</w:t>
                    </w:r>
                  </w:p>
                </w:tc>
                <w:tc>
                  <w:tcPr>
                    <w:tcW w:w="992" w:type="dxa"/>
                  </w:tcPr>
                  <w:p>
                    <w:pPr>
                      <w:rPr>
                        <w:sz w:val="22"/>
                        <w:szCs w:val="22"/>
                      </w:rPr>
                    </w:pPr>
                    <w:r>
                      <w:rPr>
                        <w:sz w:val="20"/>
                      </w:rPr>
                      <w:t>VB</w:t>
                    </w:r>
                  </w:p>
                </w:tc>
                <w:tc>
                  <w:tcPr>
                    <w:tcW w:w="2551" w:type="dxa"/>
                    <w:shd w:val="clear" w:color="auto" w:fill="FFFFFF" w:themeFill="background1"/>
                  </w:tcPr>
                  <w:p>
                    <w:pPr>
                      <w:ind w:left="-57" w:right="-57"/>
                      <w:rPr>
                        <w:sz w:val="20"/>
                      </w:rPr>
                    </w:pPr>
                    <w:r>
                      <w:rPr>
                        <w:sz w:val="20"/>
                      </w:rPr>
                      <w:t xml:space="preserve">P </w:t>
                    </w:r>
                    <w:r>
                      <w:rPr>
                        <w:color w:val="000000"/>
                        <w:szCs w:val="24"/>
                      </w:rPr>
                      <w:t>–</w:t>
                    </w:r>
                    <w:r>
                      <w:rPr>
                        <w:sz w:val="20"/>
                      </w:rPr>
                      <w:t xml:space="preserve"> Modernizuotų asmens sveikatos priežiūros įstaigų skaičius</w:t>
                    </w:r>
                  </w:p>
                </w:tc>
                <w:tc>
                  <w:tcPr>
                    <w:tcW w:w="851" w:type="dxa"/>
                    <w:shd w:val="clear" w:color="auto" w:fill="FFFFFF" w:themeFill="background1"/>
                  </w:tcPr>
                  <w:p>
                    <w:pPr>
                      <w:ind w:left="-57" w:right="-57"/>
                      <w:jc w:val="center"/>
                      <w:rPr>
                        <w:sz w:val="20"/>
                      </w:rPr>
                    </w:pPr>
                    <w:r>
                      <w:rPr>
                        <w:sz w:val="20"/>
                      </w:rPr>
                      <w:t>7</w:t>
                    </w:r>
                  </w:p>
                  <w:p>
                    <w:pPr>
                      <w:ind w:left="-57" w:right="-57"/>
                      <w:jc w:val="center"/>
                      <w:rPr>
                        <w:sz w:val="20"/>
                      </w:rPr>
                    </w:pPr>
                    <w:r>
                      <w:rPr>
                        <w:sz w:val="20"/>
                      </w:rPr>
                      <w:t>(2030 m.)</w:t>
                    </w:r>
                  </w:p>
                  <w:p>
                    <w:pPr>
                      <w:ind w:left="-57" w:right="-57"/>
                      <w:jc w:val="center"/>
                      <w:rPr>
                        <w:sz w:val="20"/>
                      </w:rPr>
                    </w:pPr>
                  </w:p>
                  <w:p>
                    <w:pPr>
                      <w:ind w:left="-57" w:right="-57"/>
                      <w:jc w:val="center"/>
                      <w:rPr>
                        <w:sz w:val="22"/>
                        <w:szCs w:val="22"/>
                      </w:rPr>
                    </w:pPr>
                  </w:p>
                </w:tc>
                <w:tc>
                  <w:tcPr>
                    <w:tcW w:w="992" w:type="dxa"/>
                  </w:tcPr>
                  <w:p>
                    <w:pPr>
                      <w:rPr>
                        <w:sz w:val="20"/>
                      </w:rPr>
                    </w:pPr>
                    <w:r>
                      <w:rPr>
                        <w:sz w:val="20"/>
                      </w:rPr>
                      <w:t>CPVA</w:t>
                    </w:r>
                  </w:p>
                  <w:p>
                    <w:pPr>
                      <w:rPr>
                        <w:sz w:val="22"/>
                        <w:szCs w:val="22"/>
                      </w:rPr>
                    </w:pPr>
                  </w:p>
                </w:tc>
                <w:tc>
                  <w:tcPr>
                    <w:tcW w:w="1276" w:type="dxa"/>
                    <w:tcBorders>
                      <w:left w:val="single" w:sz="4" w:space="0" w:color="auto"/>
                      <w:right w:val="single" w:sz="4" w:space="0" w:color="auto"/>
                    </w:tcBorders>
                  </w:tcPr>
                  <w:p>
                    <w:pPr>
                      <w:rPr>
                        <w:color w:val="000000"/>
                        <w:sz w:val="22"/>
                        <w:szCs w:val="22"/>
                      </w:rPr>
                    </w:pPr>
                    <w:r>
                      <w:rPr>
                        <w:color w:val="000000"/>
                        <w:sz w:val="20"/>
                      </w:rPr>
                      <w:t>SAM</w:t>
                    </w:r>
                  </w:p>
                </w:tc>
              </w:tr>
              <w:tr>
                <w:trPr>
                  <w:trHeight w:val="753"/>
                </w:trPr>
                <w:tc>
                  <w:tcPr>
                    <w:tcW w:w="2410" w:type="dxa"/>
                    <w:vMerge w:val="restart"/>
                    <w:tcBorders>
                      <w:top w:val="single" w:sz="4" w:space="0" w:color="auto"/>
                      <w:left w:val="single" w:sz="4" w:space="0" w:color="auto"/>
                      <w:right w:val="single" w:sz="4" w:space="0" w:color="auto"/>
                    </w:tcBorders>
                  </w:tcPr>
                  <w:p>
                    <w:pPr>
                      <w:rPr>
                        <w:sz w:val="20"/>
                      </w:rPr>
                    </w:pPr>
                    <w:r>
                      <w:rPr>
                        <w:sz w:val="20"/>
                      </w:rPr>
                      <w:t>7.4. Integruotų psichikos sveikatos paslaugų bei modelių išbandymas ir diegimas, Vidurio ir vakarų Lietuvos regionas</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 SAM,</w:t>
                    </w:r>
                  </w:p>
                  <w:p>
                    <w:pPr>
                      <w:rPr>
                        <w:sz w:val="20"/>
                      </w:rPr>
                    </w:pPr>
                    <w:r>
                      <w:rPr>
                        <w:sz w:val="20"/>
                      </w:rPr>
                      <w:t>VASPVT</w:t>
                    </w:r>
                  </w:p>
                  <w:p>
                    <w:pPr>
                      <w:rPr>
                        <w:sz w:val="20"/>
                      </w:rPr>
                    </w:pPr>
                    <w:r>
                      <w:rPr>
                        <w:sz w:val="20"/>
                      </w:rPr>
                      <w:t>Higienos institutas,</w:t>
                    </w:r>
                    <w:r>
                      <w:rPr>
                        <w:b/>
                        <w:bCs/>
                        <w:sz w:val="20"/>
                      </w:rPr>
                      <w:t xml:space="preserve"> </w:t>
                    </w:r>
                    <w:r>
                      <w:rPr>
                        <w:sz w:val="20"/>
                      </w:rPr>
                      <w:t>Lietuvos medicinos biblioteka</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right w:val="single" w:sz="4" w:space="0" w:color="auto"/>
                    </w:tcBorders>
                  </w:tcPr>
                  <w:p>
                    <w:pPr>
                      <w:rPr>
                        <w:sz w:val="20"/>
                      </w:rPr>
                    </w:pPr>
                    <w:r>
                      <w:rPr>
                        <w:sz w:val="20"/>
                      </w:rPr>
                      <w:t>10 540</w:t>
                    </w:r>
                  </w:p>
                  <w:p>
                    <w:pPr>
                      <w:rPr>
                        <w:sz w:val="20"/>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Tikslinių grupių asmenys, gavę naujas ar patobulintas psichikos sveikatos priežiūros paslaugas, asmenys </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7 000</w:t>
                    </w:r>
                  </w:p>
                  <w:p>
                    <w:pPr>
                      <w:ind w:left="-57" w:right="-57"/>
                      <w:jc w:val="center"/>
                      <w:rPr>
                        <w:sz w:val="20"/>
                      </w:rPr>
                    </w:pPr>
                    <w:r>
                      <w:rPr>
                        <w:sz w:val="20"/>
                      </w:rPr>
                      <w:t>(2029 m.)</w:t>
                    </w:r>
                  </w:p>
                </w:tc>
                <w:tc>
                  <w:tcPr>
                    <w:tcW w:w="992" w:type="dxa"/>
                    <w:vMerge w:val="restart"/>
                    <w:tcBorders>
                      <w:left w:val="single" w:sz="4" w:space="0" w:color="auto"/>
                      <w:right w:val="single" w:sz="4" w:space="0" w:color="auto"/>
                    </w:tcBorders>
                  </w:tcPr>
                  <w:p>
                    <w:pPr>
                      <w:rPr>
                        <w:sz w:val="20"/>
                      </w:rPr>
                    </w:pPr>
                    <w:r>
                      <w:rPr>
                        <w:sz w:val="20"/>
                      </w:rPr>
                      <w:t>CPVA</w:t>
                    </w:r>
                  </w:p>
                </w:tc>
                <w:tc>
                  <w:tcPr>
                    <w:tcW w:w="1276" w:type="dxa"/>
                    <w:vMerge w:val="restart"/>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val="restart"/>
                    <w:tcBorders>
                      <w:left w:val="single" w:sz="4" w:space="0" w:color="auto"/>
                      <w:right w:val="single" w:sz="4" w:space="0" w:color="auto"/>
                    </w:tcBorders>
                  </w:tcPr>
                  <w:p>
                    <w:pPr>
                      <w:rPr>
                        <w:sz w:val="20"/>
                      </w:rPr>
                    </w:pPr>
                    <w:r>
                      <w:rPr>
                        <w:sz w:val="20"/>
                      </w:rPr>
                      <w:t>1 860</w:t>
                    </w:r>
                  </w:p>
                </w:tc>
                <w:tc>
                  <w:tcPr>
                    <w:tcW w:w="992" w:type="dxa"/>
                    <w:vMerge w:val="restart"/>
                    <w:tcBorders>
                      <w:top w:val="single" w:sz="4" w:space="0" w:color="auto"/>
                      <w:left w:val="single" w:sz="4" w:space="0" w:color="auto"/>
                      <w:right w:val="single" w:sz="4" w:space="0" w:color="auto"/>
                    </w:tcBorders>
                  </w:tcPr>
                  <w:p>
                    <w:pPr>
                      <w:rPr>
                        <w:sz w:val="20"/>
                      </w:rPr>
                    </w:pPr>
                    <w:r>
                      <w:rPr>
                        <w:sz w:val="20"/>
                      </w:rPr>
                      <w:t>2021–2027 m. IP (BF)</w:t>
                    </w:r>
                  </w:p>
                </w:tc>
                <w:tc>
                  <w:tcPr>
                    <w:tcW w:w="2551" w:type="dxa"/>
                    <w:tcBorders>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Tikslinių grupių asmenų, kurių gyvenimo kokybė pagerėjo gavus naujas ar patobulintas psichikos sveikatos priežiūros paslaugas, dalis, proc.</w:t>
                    </w:r>
                  </w:p>
                </w:tc>
                <w:tc>
                  <w:tcPr>
                    <w:tcW w:w="851" w:type="dxa"/>
                    <w:tcBorders>
                      <w:left w:val="single" w:sz="4" w:space="0" w:color="auto"/>
                      <w:right w:val="single" w:sz="4" w:space="0" w:color="auto"/>
                    </w:tcBorders>
                    <w:shd w:val="clear" w:color="auto" w:fill="auto"/>
                  </w:tcPr>
                  <w:p>
                    <w:pPr>
                      <w:ind w:left="-57" w:right="-57"/>
                      <w:jc w:val="center"/>
                      <w:rPr>
                        <w:sz w:val="20"/>
                      </w:rPr>
                    </w:pPr>
                    <w:r>
                      <w:rPr>
                        <w:sz w:val="20"/>
                      </w:rPr>
                      <w:t>25</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2551" w:type="dxa"/>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pPr>
                      <w:ind w:left="-57" w:right="-57"/>
                      <w:jc w:val="center"/>
                      <w:rPr>
                        <w:sz w:val="20"/>
                      </w:rPr>
                    </w:pPr>
                    <w:r>
                      <w:rPr>
                        <w:sz w:val="20"/>
                      </w:rPr>
                      <w:t>45</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shd w:val="clear" w:color="auto" w:fill="FFFFFF" w:themeFill="background1"/>
                  </w:tcPr>
                  <w:p>
                    <w:pPr>
                      <w:ind w:left="-57" w:right="-57"/>
                      <w:rPr>
                        <w:color w:val="000000"/>
                        <w:sz w:val="20"/>
                      </w:rPr>
                    </w:pPr>
                    <w:r>
                      <w:rPr>
                        <w:sz w:val="20"/>
                      </w:rPr>
                      <w:t>R – Pacientų pasitenkinimas gautomis paslaugomis</w:t>
                    </w:r>
                    <w:r>
                      <w:t xml:space="preserve">, </w:t>
                    </w:r>
                    <w:r>
                      <w:rPr>
                        <w:sz w:val="20"/>
                      </w:rPr>
                      <w:t>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shd w:val="clear" w:color="auto" w:fill="F2F2F2" w:themeFill="background1" w:themeFillShade="F2"/>
                  </w:tcPr>
                  <w:p>
                    <w:pPr>
                      <w:rPr>
                        <w:i/>
                        <w:iCs/>
                        <w:sz w:val="20"/>
                      </w:rPr>
                    </w:pPr>
                    <w:r>
                      <w:rPr>
                        <w:b/>
                        <w:bCs/>
                        <w:sz w:val="20"/>
                      </w:rPr>
                      <w:t>8. Pacientų pavėžėjimo paslaugos modelio sukūrimas ir išbandymas</w:t>
                    </w:r>
                  </w:p>
                </w:tc>
                <w:tc>
                  <w:tcPr>
                    <w:tcW w:w="709" w:type="dxa"/>
                    <w:shd w:val="clear" w:color="auto" w:fill="F2F2F2" w:themeFill="background1" w:themeFillShade="F2"/>
                  </w:tcPr>
                  <w:p>
                    <w:pPr>
                      <w:rPr>
                        <w:sz w:val="20"/>
                      </w:rPr>
                    </w:pPr>
                    <w:r>
                      <w:rPr>
                        <w:sz w:val="20"/>
                      </w:rPr>
                      <w:t>-</w:t>
                    </w:r>
                  </w:p>
                </w:tc>
                <w:tc>
                  <w:tcPr>
                    <w:tcW w:w="1559"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992"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7 000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w:t>
                    </w:r>
                  </w:p>
                </w:tc>
                <w:tc>
                  <w:tcPr>
                    <w:tcW w:w="851" w:type="dxa"/>
                    <w:shd w:val="clear" w:color="auto" w:fill="F2F2F2" w:themeFill="background1" w:themeFillShade="F2"/>
                  </w:tcPr>
                  <w:p>
                    <w:pPr>
                      <w:ind w:left="-57" w:right="-57"/>
                      <w:jc w:val="center"/>
                      <w:rPr>
                        <w:i/>
                        <w:iCs/>
                        <w:sz w:val="20"/>
                      </w:rPr>
                    </w:pPr>
                    <w:r>
                      <w:rPr>
                        <w:sz w:val="20"/>
                      </w:rPr>
                      <w:t>-</w:t>
                    </w:r>
                  </w:p>
                </w:tc>
                <w:tc>
                  <w:tcPr>
                    <w:tcW w:w="992" w:type="dxa"/>
                    <w:shd w:val="clear" w:color="auto" w:fill="F2F2F2" w:themeFill="background1" w:themeFillShade="F2"/>
                  </w:tcPr>
                  <w:p>
                    <w:pPr>
                      <w:rPr>
                        <w:i/>
                        <w:iCs/>
                        <w:sz w:val="20"/>
                      </w:rPr>
                    </w:pPr>
                    <w:r>
                      <w:rPr>
                        <w:sz w:val="20"/>
                      </w:rPr>
                      <w:t>-</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8.1. Pavėžėjimo paslaugų organizavimą ir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jc w:val="both"/>
                      <w:rPr>
                        <w:sz w:val="20"/>
                      </w:rPr>
                    </w:pPr>
                    <w:r>
                      <w:rPr>
                        <w:sz w:val="20"/>
                      </w:rPr>
                      <w:t xml:space="preserve">P – Įsigalioję teisės aktai, reglamentuojantys pavėžėjimo paslaugų teikimo ir organizavimo reikalavimus, kompl. </w:t>
                    </w:r>
                  </w:p>
                  <w:p>
                    <w:pPr>
                      <w:ind w:left="-57" w:right="-57"/>
                      <w:rPr>
                        <w:sz w:val="20"/>
                      </w:rPr>
                    </w:pPr>
                  </w:p>
                </w:tc>
                <w:tc>
                  <w:tcPr>
                    <w:tcW w:w="851" w:type="dxa"/>
                  </w:tcPr>
                  <w:p>
                    <w:pPr>
                      <w:ind w:left="-57" w:right="-57"/>
                      <w:jc w:val="center"/>
                      <w:rPr>
                        <w:sz w:val="20"/>
                      </w:rPr>
                    </w:pPr>
                    <w:r>
                      <w:rPr>
                        <w:sz w:val="20"/>
                      </w:rPr>
                      <w:t>1</w:t>
                    </w:r>
                  </w:p>
                  <w:p>
                    <w:pPr>
                      <w:ind w:left="-57" w:right="-57"/>
                      <w:jc w:val="center"/>
                      <w:rPr>
                        <w:sz w:val="20"/>
                      </w:rPr>
                    </w:pPr>
                    <w:r>
                      <w:rPr>
                        <w:sz w:val="20"/>
                      </w:rPr>
                      <w:t>(2024 m.)</w:t>
                    </w:r>
                  </w:p>
                  <w:p>
                    <w:pPr>
                      <w:ind w:left="-57" w:right="-57"/>
                      <w:jc w:val="center"/>
                      <w:rPr>
                        <w:i/>
                        <w:iCs/>
                        <w:color w:val="FF0000"/>
                        <w:sz w:val="20"/>
                      </w:rPr>
                    </w:pPr>
                  </w:p>
                </w:tc>
                <w:tc>
                  <w:tcPr>
                    <w:tcW w:w="992" w:type="dxa"/>
                  </w:tcPr>
                  <w:p>
                    <w:pPr>
                      <w:rPr>
                        <w:sz w:val="20"/>
                      </w:rPr>
                    </w:pPr>
                    <w:r>
                      <w:rPr>
                        <w:sz w:val="20"/>
                      </w:rPr>
                      <w:t>-</w:t>
                    </w:r>
                  </w:p>
                </w:tc>
                <w:tc>
                  <w:tcPr>
                    <w:tcW w:w="1276" w:type="dxa"/>
                    <w:tcBorders>
                      <w:left w:val="single" w:sz="4" w:space="0" w:color="auto"/>
                      <w:right w:val="single" w:sz="4" w:space="0" w:color="auto"/>
                    </w:tcBorders>
                  </w:tcPr>
                  <w:p>
                    <w:pPr>
                      <w:ind w:left="-57" w:right="-57"/>
                      <w:jc w:val="center"/>
                      <w:rPr>
                        <w:sz w:val="20"/>
                      </w:rPr>
                    </w:pPr>
                    <w:r>
                      <w:rPr>
                        <w:sz w:val="20"/>
                      </w:rPr>
                      <w:t>SAM, Vidaus reikalų ministerija (toliau –VRM),</w:t>
                    </w:r>
                  </w:p>
                  <w:p>
                    <w:pPr>
                      <w:jc w:val="center"/>
                      <w:rPr>
                        <w:color w:val="000000"/>
                        <w:sz w:val="20"/>
                      </w:rPr>
                    </w:pPr>
                    <w:r>
                      <w:rPr>
                        <w:sz w:val="20"/>
                      </w:rPr>
                      <w:t>savivaldybių administraci-jos</w:t>
                    </w:r>
                  </w:p>
                </w:tc>
              </w:tr>
              <w:tr>
                <w:trPr>
                  <w:trHeight w:val="414"/>
                </w:trPr>
                <w:tc>
                  <w:tcPr>
                    <w:tcW w:w="2410" w:type="dxa"/>
                    <w:vMerge w:val="restart"/>
                  </w:tcPr>
                  <w:p>
                    <w:pPr>
                      <w:rPr>
                        <w:sz w:val="20"/>
                      </w:rPr>
                    </w:pPr>
                    <w:r>
                      <w:rPr>
                        <w:sz w:val="20"/>
                      </w:rPr>
                      <w:t>8.2. Bandomojo pavėžėjimo paslaugų teikimo projekto įgyvendinimas</w:t>
                    </w:r>
                  </w:p>
                </w:tc>
                <w:tc>
                  <w:tcPr>
                    <w:tcW w:w="709" w:type="dxa"/>
                    <w:vMerge w:val="restart"/>
                  </w:tcPr>
                  <w:p>
                    <w:pPr>
                      <w:rPr>
                        <w:sz w:val="20"/>
                      </w:rPr>
                    </w:pPr>
                    <w:r>
                      <w:rPr>
                        <w:sz w:val="20"/>
                      </w:rPr>
                      <w:t>M</w:t>
                    </w:r>
                  </w:p>
                </w:tc>
                <w:tc>
                  <w:tcPr>
                    <w:tcW w:w="1559" w:type="dxa"/>
                    <w:vMerge w:val="restart"/>
                  </w:tcPr>
                  <w:p>
                    <w:pPr>
                      <w:rPr>
                        <w:sz w:val="20"/>
                      </w:rPr>
                    </w:pPr>
                    <w:r>
                      <w:rPr>
                        <w:sz w:val="20"/>
                      </w:rPr>
                      <w:t>V</w:t>
                    </w:r>
                    <w:r>
                      <w:rPr>
                        <w:sz w:val="18"/>
                        <w:szCs w:val="18"/>
                      </w:rPr>
                      <w:t>šĮ Kauno miesto greitosios medicinos pagalbos stotis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lang w:val="en-US"/>
                      </w:rPr>
                    </w:pPr>
                    <w:r>
                      <w:rPr>
                        <w:sz w:val="20"/>
                        <w:lang w:val="en-US"/>
                      </w:rPr>
                      <w:t>7 000</w:t>
                    </w:r>
                  </w:p>
                </w:tc>
                <w:tc>
                  <w:tcPr>
                    <w:tcW w:w="992" w:type="dxa"/>
                    <w:vMerge w:val="restart"/>
                  </w:tcPr>
                  <w:p>
                    <w:pPr>
                      <w:rPr>
                        <w:sz w:val="20"/>
                      </w:rPr>
                    </w:pPr>
                    <w:r>
                      <w:rPr>
                        <w:sz w:val="20"/>
                      </w:rPr>
                      <w:t>VB</w:t>
                    </w:r>
                  </w:p>
                </w:tc>
                <w:tc>
                  <w:tcPr>
                    <w:tcW w:w="2551" w:type="dxa"/>
                  </w:tcPr>
                  <w:p>
                    <w:pPr>
                      <w:ind w:left="-57" w:right="-57"/>
                      <w:rPr>
                        <w:sz w:val="20"/>
                      </w:rPr>
                    </w:pPr>
                    <w:r>
                      <w:rPr>
                        <w:sz w:val="20"/>
                      </w:rPr>
                      <w:t xml:space="preserve">P </w:t>
                    </w:r>
                    <w:r>
                      <w:rPr>
                        <w:color w:val="000000"/>
                        <w:szCs w:val="24"/>
                      </w:rPr>
                      <w:t xml:space="preserve">– </w:t>
                    </w:r>
                    <w:r>
                      <w:rPr>
                        <w:sz w:val="20"/>
                      </w:rPr>
                      <w:t xml:space="preserve">Sukurtas ir išbandytas pacientų pavėžėjimo paslaugų teikimo modelis, skaičius </w:t>
                    </w:r>
                  </w:p>
                </w:tc>
                <w:tc>
                  <w:tcPr>
                    <w:tcW w:w="851" w:type="dxa"/>
                  </w:tcPr>
                  <w:p>
                    <w:pPr>
                      <w:ind w:left="-57" w:right="-57"/>
                      <w:jc w:val="center"/>
                      <w:rPr>
                        <w:sz w:val="20"/>
                      </w:rPr>
                    </w:pPr>
                    <w:r>
                      <w:rPr>
                        <w:sz w:val="20"/>
                      </w:rPr>
                      <w:t>1</w:t>
                    </w:r>
                  </w:p>
                  <w:p>
                    <w:pPr>
                      <w:ind w:left="-57" w:right="-57"/>
                      <w:jc w:val="center"/>
                      <w:rPr>
                        <w:i/>
                        <w:iCs/>
                        <w:sz w:val="20"/>
                      </w:rPr>
                    </w:pPr>
                    <w:r>
                      <w:rPr>
                        <w:sz w:val="20"/>
                      </w:rPr>
                      <w:t>(2024 m.)</w:t>
                    </w:r>
                  </w:p>
                </w:tc>
                <w:tc>
                  <w:tcPr>
                    <w:tcW w:w="992" w:type="dxa"/>
                    <w:vMerge w:val="restart"/>
                  </w:tcPr>
                  <w:p>
                    <w:pPr>
                      <w:rPr>
                        <w:i/>
                        <w:iCs/>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sz w:val="20"/>
                      </w:rPr>
                      <w:t>VRM, savivaldybių administraci-jos</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tcPr>
                  <w:p>
                    <w:pPr>
                      <w:ind w:left="-57" w:right="-57"/>
                      <w:rPr>
                        <w:sz w:val="20"/>
                      </w:rPr>
                    </w:pPr>
                    <w:r>
                      <w:rPr>
                        <w:sz w:val="20"/>
                      </w:rPr>
                      <w:t xml:space="preserve">R </w:t>
                    </w:r>
                    <w:r>
                      <w:rPr>
                        <w:color w:val="000000"/>
                        <w:szCs w:val="24"/>
                      </w:rPr>
                      <w:t>–</w:t>
                    </w:r>
                    <w:r>
                      <w:rPr>
                        <w:sz w:val="20"/>
                      </w:rPr>
                      <w:t xml:space="preserve"> Suteiktų pavėžėjimo paslaugų skaičius pagal bandomąjį pavėžėjimo paslaugų teikimo modelį, skaičius</w:t>
                    </w:r>
                  </w:p>
                </w:tc>
                <w:tc>
                  <w:tcPr>
                    <w:tcW w:w="851" w:type="dxa"/>
                  </w:tcPr>
                  <w:p>
                    <w:pPr>
                      <w:ind w:left="-57" w:right="-57"/>
                      <w:jc w:val="center"/>
                      <w:rPr>
                        <w:sz w:val="20"/>
                      </w:rPr>
                    </w:pPr>
                    <w:r>
                      <w:rPr>
                        <w:sz w:val="20"/>
                      </w:rPr>
                      <w:t>40 000</w:t>
                    </w:r>
                  </w:p>
                  <w:p>
                    <w:pPr>
                      <w:ind w:left="-57" w:right="-57"/>
                      <w:jc w:val="center"/>
                      <w:rPr>
                        <w:sz w:val="20"/>
                      </w:rPr>
                    </w:pPr>
                    <w:r>
                      <w:rPr>
                        <w:sz w:val="20"/>
                      </w:rPr>
                      <w:t>(2024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9. Greitosios medicinos pagalbos tinklo veiklos efektyvumo didinimas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41 150</w:t>
                    </w:r>
                  </w:p>
                </w:tc>
                <w:tc>
                  <w:tcPr>
                    <w:tcW w:w="992" w:type="dxa"/>
                    <w:shd w:val="clear" w:color="auto" w:fill="F2F2F2" w:themeFill="background1" w:themeFillShade="F2"/>
                  </w:tcPr>
                  <w:p>
                    <w:pPr>
                      <w:rPr>
                        <w:sz w:val="20"/>
                      </w:rPr>
                    </w:pPr>
                    <w:r>
                      <w:rPr>
                        <w:sz w:val="20"/>
                      </w:rPr>
                      <w:t xml:space="preserve">- </w:t>
                    </w:r>
                  </w:p>
                </w:tc>
                <w:tc>
                  <w:tcPr>
                    <w:tcW w:w="2551" w:type="dxa"/>
                    <w:vMerge w:val="restart"/>
                    <w:shd w:val="clear" w:color="auto" w:fill="F2F2F2" w:themeFill="background1" w:themeFillShade="F2"/>
                  </w:tcPr>
                  <w:p>
                    <w:pPr>
                      <w:ind w:left="-57" w:right="-57"/>
                      <w:rPr>
                        <w:sz w:val="20"/>
                      </w:rPr>
                    </w:pPr>
                    <w:r>
                      <w:rPr>
                        <w:sz w:val="20"/>
                      </w:rPr>
                      <w:t>-</w:t>
                    </w:r>
                  </w:p>
                </w:tc>
                <w:tc>
                  <w:tcPr>
                    <w:tcW w:w="851" w:type="dxa"/>
                    <w:vMerge w:val="restart"/>
                    <w:shd w:val="clear" w:color="auto" w:fill="F2F2F2" w:themeFill="background1" w:themeFillShade="F2"/>
                  </w:tcPr>
                  <w:p>
                    <w:pPr>
                      <w:ind w:left="-57" w:right="-57"/>
                      <w:jc w:val="cente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76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(BF,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26 078</w:t>
                    </w:r>
                  </w:p>
                </w:tc>
                <w:tc>
                  <w:tcPr>
                    <w:tcW w:w="992" w:type="dxa"/>
                    <w:shd w:val="clear" w:color="auto" w:fill="F2F2F2" w:themeFill="background1" w:themeFillShade="F2"/>
                  </w:tcPr>
                  <w:p>
                    <w:pPr>
                      <w:rPr>
                        <w:sz w:val="20"/>
                      </w:rPr>
                    </w:pPr>
                    <w:r>
                      <w:rPr>
                        <w:sz w:val="20"/>
                      </w:rPr>
                      <w:t>2021–2027 m. IP (ERPF,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4 602</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9.1. Centralizuotą greitosios medicinos pagalbos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rPr>
                        <w:sz w:val="20"/>
                      </w:rPr>
                    </w:pPr>
                    <w:r>
                      <w:rPr>
                        <w:sz w:val="20"/>
                      </w:rPr>
                      <w:t xml:space="preserve">P – </w:t>
                    </w:r>
                    <w:r>
                      <w:rPr>
                        <w:sz w:val="20"/>
                        <w:lang w:eastAsia="lt-LT"/>
                      </w:rPr>
                      <w:t>Lietuvos Respublikos sveikatos priežiūros įstaigų įstatymo, Lietuvos Respublikos sveikatos sistemos įstatymo ir susijusių teisės aktų pakeitimų įsigaliojimas</w:t>
                    </w:r>
                    <w:r>
                      <w:rPr>
                        <w:sz w:val="20"/>
                      </w:rPr>
                      <w:t xml:space="preserve">, kompl. </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jc w:val="center"/>
                      <w:rPr>
                        <w:sz w:val="20"/>
                      </w:rPr>
                    </w:pPr>
                    <w:r>
                      <w:rPr>
                        <w:sz w:val="20"/>
                      </w:rPr>
                      <w:t>-</w:t>
                    </w:r>
                  </w:p>
                </w:tc>
                <w:tc>
                  <w:tcPr>
                    <w:tcW w:w="1276" w:type="dxa"/>
                    <w:tcBorders>
                      <w:left w:val="single" w:sz="4" w:space="0" w:color="auto"/>
                      <w:right w:val="single" w:sz="4" w:space="0" w:color="auto"/>
                    </w:tcBorders>
                  </w:tcPr>
                  <w:p>
                    <w:pPr>
                      <w:jc w:val="center"/>
                      <w:rPr>
                        <w:sz w:val="20"/>
                      </w:rPr>
                    </w:pPr>
                    <w:r>
                      <w:rPr>
                        <w:sz w:val="20"/>
                      </w:rPr>
                      <w:t>SAM</w:t>
                    </w:r>
                  </w:p>
                </w:tc>
              </w:tr>
              <w:tr>
                <w:trPr>
                  <w:trHeight w:val="1286"/>
                </w:trPr>
                <w:tc>
                  <w:tcPr>
                    <w:tcW w:w="2410" w:type="dxa"/>
                    <w:vMerge w:val="restart"/>
                  </w:tcPr>
                  <w:p>
                    <w:pPr>
                      <w:rPr>
                        <w:sz w:val="20"/>
                      </w:rPr>
                    </w:pPr>
                    <w:r>
                      <w:rPr>
                        <w:sz w:val="20"/>
                      </w:rPr>
                      <w:t>9.2. Greitosios medicinos pagalbos automobilių, įrangos įsigijimas ir greitosios medicinos pagalbos stočių infrastruktūros pritaikymas,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Greitosios medicinos pagalbos tarnyba (toliau –GMP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5 235</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790 000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5 235</w:t>
                    </w:r>
                  </w:p>
                </w:tc>
                <w:tc>
                  <w:tcPr>
                    <w:tcW w:w="992" w:type="dxa"/>
                    <w:vMerge w:val="restart"/>
                  </w:tcPr>
                  <w:p>
                    <w:pPr>
                      <w:rPr>
                        <w:sz w:val="20"/>
                      </w:rPr>
                    </w:pPr>
                    <w:r>
                      <w:rPr>
                        <w:sz w:val="20"/>
                      </w:rPr>
                      <w:t>2021–2027 m. IP (BF)</w:t>
                    </w: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val="restart"/>
                  </w:tcPr>
                  <w:p>
                    <w:pPr>
                      <w:rPr>
                        <w:sz w:val="20"/>
                      </w:rPr>
                    </w:pPr>
                    <w:r>
                      <w:rPr>
                        <w:sz w:val="20"/>
                      </w:rPr>
                      <w:t>9.3. Greitosios medicinos pagalbos automobilių, įrangos įsigijimas ir greitosios medicinos pagalbos stočių infrastruktūros pritaikymas,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26 078</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 xml:space="preserve">2 000 000 </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4 602</w:t>
                    </w:r>
                  </w:p>
                </w:tc>
                <w:tc>
                  <w:tcPr>
                    <w:tcW w:w="992" w:type="dxa"/>
                    <w:vMerge w:val="restart"/>
                  </w:tcPr>
                  <w:p>
                    <w:pPr>
                      <w:rPr>
                        <w:sz w:val="20"/>
                      </w:rPr>
                    </w:pPr>
                    <w:r>
                      <w:rPr>
                        <w:sz w:val="20"/>
                      </w:rPr>
                      <w:t>2021–2027 m. IP (BF)</w:t>
                    </w:r>
                  </w:p>
                </w:tc>
                <w:tc>
                  <w:tcPr>
                    <w:tcW w:w="2551" w:type="dxa"/>
                    <w:tcBorders>
                      <w:bottom w:val="single" w:sz="4" w:space="0" w:color="auto"/>
                    </w:tcBorders>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tabs>
                        <w:tab w:val="left" w:pos="860"/>
                      </w:tabs>
                      <w:rPr>
                        <w:sz w:val="20"/>
                      </w:rPr>
                    </w:pPr>
                    <w:r>
                      <w:rPr>
                        <w:b/>
                        <w:bCs/>
                        <w:sz w:val="20"/>
                      </w:rPr>
                      <w:t>10.</w:t>
                    </w:r>
                    <w:r>
                      <w:rPr>
                        <w:sz w:val="20"/>
                      </w:rPr>
                      <w:t xml:space="preserve"> </w:t>
                    </w:r>
                    <w:r>
                      <w:rPr>
                        <w:b/>
                        <w:sz w:val="20"/>
                      </w:rPr>
                      <w:t>Sveikatos priežiūros specialistų pasiūlos užtikrinimas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b/>
                        <w:bCs/>
                        <w:sz w:val="20"/>
                        <w:lang w:val="en-US"/>
                      </w:rPr>
                    </w:pPr>
                    <w:r>
                      <w:rPr>
                        <w:b/>
                        <w:bCs/>
                        <w:sz w:val="20"/>
                        <w:lang w:val="en-US"/>
                      </w:rPr>
                      <w:t>30 786,642</w:t>
                    </w:r>
                  </w:p>
                  <w:p>
                    <w:pPr>
                      <w:rPr>
                        <w:b/>
                        <w:bCs/>
                        <w:sz w:val="20"/>
                      </w:rPr>
                    </w:pP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vMerge w:val="restart"/>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CCC0D9" w:themeFill="accent4" w:themeFillTint="66"/>
                  </w:tcPr>
                  <w:p>
                    <w:pPr>
                      <w:tabs>
                        <w:tab w:val="left" w:pos="860"/>
                      </w:tabs>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rPr>
                    </w:pPr>
                    <w:r>
                      <w:rPr>
                        <w:sz w:val="20"/>
                      </w:rPr>
                      <w:t>26 168,646</w:t>
                    </w:r>
                  </w:p>
                </w:tc>
                <w:tc>
                  <w:tcPr>
                    <w:tcW w:w="992" w:type="dxa"/>
                    <w:shd w:val="clear" w:color="auto" w:fill="F2F2F2" w:themeFill="background1" w:themeFillShade="F2"/>
                  </w:tcPr>
                  <w:p>
                    <w:pPr>
                      <w:rPr>
                        <w:sz w:val="20"/>
                      </w:rPr>
                    </w:pPr>
                    <w:r>
                      <w:rPr>
                        <w:sz w:val="20"/>
                      </w:rPr>
                      <w:t>2021–2027 m. IP (ESF+, VVL regionas)</w:t>
                    </w:r>
                  </w:p>
                </w:tc>
                <w:tc>
                  <w:tcPr>
                    <w:tcW w:w="2551" w:type="dxa"/>
                    <w:vMerge/>
                    <w:shd w:val="clear" w:color="auto" w:fill="CCC0D9" w:themeFill="accent4" w:themeFillTint="66"/>
                  </w:tcPr>
                  <w:p>
                    <w:pPr>
                      <w:ind w:left="-57" w:right="-57"/>
                      <w:rPr>
                        <w:sz w:val="20"/>
                      </w:rPr>
                    </w:pPr>
                  </w:p>
                </w:tc>
                <w:tc>
                  <w:tcPr>
                    <w:tcW w:w="851" w:type="dxa"/>
                    <w:vMerge/>
                    <w:shd w:val="clear" w:color="auto" w:fill="CCC0D9" w:themeFill="accent4" w:themeFillTint="66"/>
                  </w:tcPr>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tabs>
                        <w:tab w:val="left" w:pos="860"/>
                      </w:tabs>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trike/>
                        <w:sz w:val="20"/>
                      </w:rPr>
                    </w:pPr>
                  </w:p>
                  <w:p>
                    <w:pPr>
                      <w:rPr>
                        <w:sz w:val="20"/>
                        <w:lang w:val="en-US"/>
                      </w:rPr>
                    </w:pPr>
                    <w:r>
                      <w:rPr>
                        <w:sz w:val="20"/>
                      </w:rPr>
                      <w:t>4 617,996</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963"/>
                </w:trPr>
                <w:tc>
                  <w:tcPr>
                    <w:tcW w:w="2410" w:type="dxa"/>
                    <w:vMerge w:val="restart"/>
                    <w:shd w:val="clear" w:color="auto" w:fill="auto"/>
                  </w:tcPr>
                  <w:p>
                    <w:pPr>
                      <w:rPr>
                        <w:sz w:val="20"/>
                      </w:rPr>
                    </w:pPr>
                    <w:r>
                      <w:rPr>
                        <w:sz w:val="20"/>
                      </w:rPr>
                      <w:t>10.1. Sveikatos žmogiškųjų išteklių valdymo efektyvumo didinimas,</w:t>
                    </w:r>
                    <w:r>
                      <w:t xml:space="preserve"> </w:t>
                    </w:r>
                    <w:r>
                      <w:rPr>
                        <w:sz w:val="20"/>
                      </w:rPr>
                      <w:t>Vidurio ir vakarų Lietuvos regionas</w:t>
                    </w:r>
                  </w:p>
                </w:tc>
                <w:tc>
                  <w:tcPr>
                    <w:tcW w:w="709" w:type="dxa"/>
                    <w:vMerge w:val="restart"/>
                    <w:shd w:val="clear" w:color="auto" w:fill="auto"/>
                  </w:tcPr>
                  <w:p>
                    <w:pPr>
                      <w:rPr>
                        <w:sz w:val="20"/>
                      </w:rPr>
                    </w:pPr>
                    <w:r>
                      <w:rPr>
                        <w:sz w:val="20"/>
                      </w:rPr>
                      <w:t>M</w:t>
                    </w:r>
                  </w:p>
                  <w:p>
                    <w:pPr>
                      <w:rPr>
                        <w:sz w:val="20"/>
                      </w:rPr>
                    </w:pPr>
                  </w:p>
                </w:tc>
                <w:tc>
                  <w:tcPr>
                    <w:tcW w:w="1559" w:type="dxa"/>
                    <w:vMerge w:val="restart"/>
                    <w:shd w:val="clear" w:color="auto" w:fill="auto"/>
                  </w:tcPr>
                  <w:p>
                    <w:pPr>
                      <w:rPr>
                        <w:sz w:val="20"/>
                      </w:rPr>
                    </w:pPr>
                    <w:r>
                      <w:rPr>
                        <w:sz w:val="20"/>
                      </w:rPr>
                      <w:t>SAM</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467,50</w:t>
                    </w:r>
                  </w:p>
                  <w:p>
                    <w:pPr>
                      <w:rPr>
                        <w:sz w:val="20"/>
                        <w:lang w:val="en-US"/>
                      </w:rPr>
                    </w:pPr>
                  </w:p>
                  <w:p>
                    <w:pPr>
                      <w:rPr>
                        <w:sz w:val="20"/>
                        <w:lang w:val="en-US"/>
                      </w:rPr>
                    </w:pPr>
                  </w:p>
                  <w:p>
                    <w:pPr>
                      <w:rPr>
                        <w:sz w:val="20"/>
                        <w:lang w:val="en-US"/>
                      </w:rPr>
                    </w:pPr>
                  </w:p>
                </w:tc>
                <w:tc>
                  <w:tcPr>
                    <w:tcW w:w="992" w:type="dxa"/>
                    <w:shd w:val="clear" w:color="auto" w:fill="auto"/>
                  </w:tcPr>
                  <w:p>
                    <w:pPr>
                      <w:rPr>
                        <w:sz w:val="20"/>
                      </w:rPr>
                    </w:pPr>
                    <w:r>
                      <w:rPr>
                        <w:sz w:val="20"/>
                      </w:rPr>
                      <w:t>2021–2027 m. IP (ESF+)</w:t>
                    </w:r>
                  </w:p>
                  <w:p>
                    <w:pPr>
                      <w:rPr>
                        <w:sz w:val="20"/>
                      </w:rPr>
                    </w:pPr>
                  </w:p>
                </w:tc>
                <w:tc>
                  <w:tcPr>
                    <w:tcW w:w="2551" w:type="dxa"/>
                    <w:vMerge w:val="restart"/>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sz w:val="20"/>
                      </w:rPr>
                    </w:pPr>
                  </w:p>
                </w:tc>
              </w:tr>
              <w:tr>
                <w:trPr>
                  <w:trHeight w:val="329"/>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p>
                  <w:p>
                    <w:pPr>
                      <w:rPr>
                        <w:sz w:val="20"/>
                        <w:lang w:val="en-US"/>
                      </w:rPr>
                    </w:pPr>
                    <w:r>
                      <w:rPr>
                        <w:sz w:val="20"/>
                        <w:lang w:val="en-US"/>
                      </w:rPr>
                      <w:t>82,50</w:t>
                    </w:r>
                  </w:p>
                </w:tc>
                <w:tc>
                  <w:tcPr>
                    <w:tcW w:w="992" w:type="dxa"/>
                    <w:vMerge w:val="restart"/>
                    <w:shd w:val="clear" w:color="auto" w:fill="auto"/>
                  </w:tcPr>
                  <w:p>
                    <w:pPr>
                      <w:rPr>
                        <w:sz w:val="20"/>
                      </w:rPr>
                    </w:pPr>
                    <w:r>
                      <w:rPr>
                        <w:sz w:val="20"/>
                      </w:rPr>
                      <w:t xml:space="preserve">2021–2027 m.  IP (BF)</w:t>
                    </w:r>
                  </w:p>
                  <w:p>
                    <w:pPr>
                      <w:rPr>
                        <w:sz w:val="20"/>
                      </w:rPr>
                    </w:pPr>
                  </w:p>
                </w:tc>
                <w:tc>
                  <w:tcPr>
                    <w:tcW w:w="2551" w:type="dxa"/>
                    <w:vMerge/>
                    <w:shd w:val="clear" w:color="auto" w:fill="auto"/>
                  </w:tcPr>
                  <w:p>
                    <w:pPr>
                      <w:ind w:left="-57" w:right="-57"/>
                      <w:jc w:val="both"/>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987"/>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Parengta ir patvirtinta ilgalaikė sveikatos žmogiškųjų išteklių valdymo strategija, vnt.</w:t>
                    </w:r>
                  </w:p>
                </w:tc>
                <w:tc>
                  <w:tcPr>
                    <w:tcW w:w="851" w:type="dxa"/>
                    <w:shd w:val="clear" w:color="auto" w:fill="auto"/>
                  </w:tcPr>
                  <w:p>
                    <w:pPr>
                      <w:jc w:val="center"/>
                      <w:rPr>
                        <w:sz w:val="20"/>
                      </w:rPr>
                    </w:pPr>
                    <w:r>
                      <w:rPr>
                        <w:sz w:val="20"/>
                      </w:rPr>
                      <w:t>1</w:t>
                    </w:r>
                  </w:p>
                  <w:p>
                    <w:pPr>
                      <w:ind w:left="-57" w:right="-57" w:firstLine="53"/>
                      <w:jc w:val="center"/>
                      <w:rPr>
                        <w:sz w:val="20"/>
                      </w:rPr>
                    </w:pPr>
                    <w:r>
                      <w:rPr>
                        <w:sz w:val="20"/>
                      </w:rPr>
                      <w:t>(2026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618"/>
                </w:trPr>
                <w:tc>
                  <w:tcPr>
                    <w:tcW w:w="2410" w:type="dxa"/>
                    <w:vMerge w:val="restart"/>
                    <w:tcBorders>
                      <w:bottom w:val="single" w:sz="4" w:space="0" w:color="auto"/>
                    </w:tcBorders>
                    <w:shd w:val="clear" w:color="auto" w:fill="auto"/>
                  </w:tcPr>
                  <w:p>
                    <w:pPr>
                      <w:rPr>
                        <w:sz w:val="20"/>
                      </w:rPr>
                    </w:pPr>
                    <w:r>
                      <w:rPr>
                        <w:sz w:val="20"/>
                      </w:rPr>
                      <w:t>10.2. Sveikatos priežiūros specialistų įgalinimo, pritraukimo ir išlaikymo sveikatos priežiūros įstaigoje modelio kūrimas ir diegimas, Vidurio ir vakarų Lietuvos regionas</w:t>
                    </w:r>
                  </w:p>
                </w:tc>
                <w:tc>
                  <w:tcPr>
                    <w:tcW w:w="709" w:type="dxa"/>
                    <w:vMerge w:val="restart"/>
                    <w:tcBorders>
                      <w:bottom w:val="single" w:sz="4" w:space="0" w:color="auto"/>
                    </w:tcBorders>
                    <w:shd w:val="clear" w:color="auto" w:fill="auto"/>
                  </w:tcPr>
                  <w:p>
                    <w:pPr>
                      <w:rPr>
                        <w:sz w:val="20"/>
                      </w:rPr>
                    </w:pPr>
                    <w:r>
                      <w:rPr>
                        <w:sz w:val="20"/>
                      </w:rPr>
                      <w:t>I</w:t>
                    </w:r>
                  </w:p>
                </w:tc>
                <w:tc>
                  <w:tcPr>
                    <w:tcW w:w="1559" w:type="dxa"/>
                    <w:vMerge w:val="restart"/>
                    <w:tcBorders>
                      <w:bottom w:val="single" w:sz="4" w:space="0" w:color="auto"/>
                    </w:tcBorders>
                    <w:shd w:val="clear" w:color="auto" w:fill="auto"/>
                  </w:tcPr>
                  <w:p>
                    <w:pPr>
                      <w:rPr>
                        <w:sz w:val="20"/>
                      </w:rPr>
                    </w:pPr>
                    <w:r>
                      <w:rPr>
                        <w:sz w:val="20"/>
                      </w:rPr>
                      <w:t>SAM</w:t>
                    </w:r>
                  </w:p>
                </w:tc>
                <w:tc>
                  <w:tcPr>
                    <w:tcW w:w="709" w:type="dxa"/>
                    <w:vMerge w:val="restart"/>
                    <w:tcBorders>
                      <w:bottom w:val="single" w:sz="4" w:space="0" w:color="auto"/>
                    </w:tcBorders>
                    <w:shd w:val="clear" w:color="auto" w:fill="auto"/>
                  </w:tcPr>
                  <w:p>
                    <w:pPr>
                      <w:rPr>
                        <w:sz w:val="20"/>
                      </w:rPr>
                    </w:pPr>
                    <w:r>
                      <w:rPr>
                        <w:sz w:val="20"/>
                      </w:rPr>
                      <w:t>P</w:t>
                    </w:r>
                  </w:p>
                </w:tc>
                <w:tc>
                  <w:tcPr>
                    <w:tcW w:w="992" w:type="dxa"/>
                    <w:vMerge w:val="restart"/>
                    <w:tcBorders>
                      <w:bottom w:val="single" w:sz="4" w:space="0" w:color="auto"/>
                    </w:tcBorders>
                    <w:shd w:val="clear" w:color="auto" w:fill="auto"/>
                  </w:tcPr>
                  <w:p>
                    <w:pPr>
                      <w:rPr>
                        <w:sz w:val="20"/>
                      </w:rPr>
                    </w:pPr>
                    <w:r>
                      <w:rPr>
                        <w:sz w:val="20"/>
                      </w:rPr>
                      <w:t>Taip</w:t>
                    </w:r>
                  </w:p>
                </w:tc>
                <w:tc>
                  <w:tcPr>
                    <w:tcW w:w="709" w:type="dxa"/>
                    <w:vMerge w:val="restart"/>
                    <w:tcBorders>
                      <w:bottom w:val="single" w:sz="4" w:space="0" w:color="auto"/>
                    </w:tcBorders>
                    <w:shd w:val="clear" w:color="auto" w:fill="auto"/>
                  </w:tcPr>
                  <w:p>
                    <w:pPr>
                      <w:rPr>
                        <w:sz w:val="20"/>
                      </w:rPr>
                    </w:pPr>
                    <w:r>
                      <w:rPr>
                        <w:sz w:val="20"/>
                      </w:rPr>
                      <w:t>D</w:t>
                    </w:r>
                  </w:p>
                </w:tc>
                <w:tc>
                  <w:tcPr>
                    <w:tcW w:w="1276" w:type="dxa"/>
                    <w:vMerge w:val="restart"/>
                    <w:tcBorders>
                      <w:bottom w:val="single" w:sz="4" w:space="0" w:color="auto"/>
                    </w:tcBorders>
                    <w:shd w:val="clear" w:color="auto" w:fill="auto"/>
                  </w:tcPr>
                  <w:p>
                    <w:pPr>
                      <w:rPr>
                        <w:sz w:val="20"/>
                        <w:lang w:val="en-US"/>
                      </w:rPr>
                    </w:pPr>
                    <w:r>
                      <w:rPr>
                        <w:sz w:val="20"/>
                        <w:lang w:val="en-US"/>
                      </w:rPr>
                      <w:t xml:space="preserve">1 880,455 </w:t>
                    </w:r>
                  </w:p>
                  <w:p>
                    <w:pPr>
                      <w:rPr>
                        <w:sz w:val="20"/>
                        <w:lang w:val="en-US"/>
                      </w:rPr>
                    </w:pPr>
                  </w:p>
                  <w:p>
                    <w:pPr>
                      <w:rPr>
                        <w:sz w:val="20"/>
                        <w:lang w:val="en-US"/>
                      </w:rPr>
                    </w:pPr>
                  </w:p>
                  <w:p>
                    <w:pPr>
                      <w:rPr>
                        <w:sz w:val="20"/>
                        <w:lang w:val="en-US"/>
                      </w:rPr>
                    </w:pPr>
                  </w:p>
                  <w:p>
                    <w:pPr>
                      <w:rPr>
                        <w:sz w:val="20"/>
                        <w:lang w:val="en-US"/>
                      </w:rPr>
                    </w:pPr>
                  </w:p>
                  <w:p>
                    <w:pPr>
                      <w:rPr>
                        <w:sz w:val="20"/>
                        <w:lang w:val="en-US"/>
                      </w:rPr>
                    </w:pPr>
                  </w:p>
                  <w:p>
                    <w:pPr>
                      <w:rPr>
                        <w:sz w:val="20"/>
                        <w:lang w:val="en-US"/>
                      </w:rPr>
                    </w:pPr>
                  </w:p>
                  <w:p>
                    <w:pPr>
                      <w:rPr>
                        <w:sz w:val="20"/>
                        <w:lang w:val="en-US"/>
                      </w:rPr>
                    </w:pPr>
                    <w:r>
                      <w:rPr>
                        <w:sz w:val="20"/>
                        <w:lang w:val="en-US"/>
                      </w:rPr>
                      <w:t>331,845</w:t>
                    </w:r>
                  </w:p>
                  <w:p>
                    <w:pPr>
                      <w:rPr>
                        <w:sz w:val="20"/>
                        <w:lang w:val="en-US"/>
                      </w:rPr>
                    </w:pPr>
                  </w:p>
                  <w:p>
                    <w:pPr>
                      <w:rPr>
                        <w:sz w:val="20"/>
                        <w:lang w:val="en-US"/>
                      </w:rPr>
                    </w:pPr>
                  </w:p>
                </w:tc>
                <w:tc>
                  <w:tcPr>
                    <w:tcW w:w="992" w:type="dxa"/>
                    <w:vMerge w:val="restart"/>
                    <w:tcBorders>
                      <w:bottom w:val="single" w:sz="4" w:space="0" w:color="auto"/>
                    </w:tcBorders>
                    <w:shd w:val="clear" w:color="auto" w:fill="auto"/>
                  </w:tcPr>
                  <w:p>
                    <w:pPr>
                      <w:rPr>
                        <w:sz w:val="20"/>
                      </w:rPr>
                    </w:pPr>
                    <w:r>
                      <w:rPr>
                        <w:sz w:val="20"/>
                      </w:rPr>
                      <w:t xml:space="preserve">2021–2027 m. IP (ESF+) </w:t>
                    </w:r>
                  </w:p>
                  <w:p>
                    <w:pPr>
                      <w:rPr>
                        <w:sz w:val="20"/>
                      </w:rPr>
                    </w:pPr>
                  </w:p>
                  <w:p>
                    <w:pPr>
                      <w:rPr>
                        <w:sz w:val="20"/>
                      </w:rPr>
                    </w:pPr>
                  </w:p>
                  <w:p>
                    <w:pPr>
                      <w:rPr>
                        <w:sz w:val="20"/>
                      </w:rPr>
                    </w:pPr>
                  </w:p>
                  <w:p>
                    <w:pPr>
                      <w:rPr>
                        <w:sz w:val="20"/>
                      </w:rPr>
                    </w:pPr>
                    <w:r>
                      <w:rPr>
                        <w:sz w:val="20"/>
                      </w:rPr>
                      <w:t>2021–2027 m. IP (BF)</w:t>
                    </w:r>
                  </w:p>
                  <w:p>
                    <w:pPr>
                      <w:rPr>
                        <w:sz w:val="20"/>
                      </w:rPr>
                    </w:pPr>
                  </w:p>
                  <w:p>
                    <w:pPr>
                      <w:rPr>
                        <w:sz w:val="20"/>
                      </w:rPr>
                    </w:pPr>
                  </w:p>
                </w:tc>
                <w:tc>
                  <w:tcPr>
                    <w:tcW w:w="2551" w:type="dxa"/>
                    <w:tcBorders>
                      <w:bottom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p>
                    <w:pPr>
                      <w:ind w:left="-57" w:right="-57"/>
                      <w:rPr>
                        <w:sz w:val="20"/>
                      </w:rPr>
                    </w:pPr>
                  </w:p>
                </w:tc>
                <w:tc>
                  <w:tcPr>
                    <w:tcW w:w="851" w:type="dxa"/>
                    <w:shd w:val="clear" w:color="auto" w:fill="auto"/>
                  </w:tcPr>
                  <w:p>
                    <w:pPr>
                      <w:tabs>
                        <w:tab w:val="left" w:pos="184"/>
                        <w:tab w:val="center" w:pos="317"/>
                      </w:tabs>
                      <w:ind w:left="-57" w:right="-57"/>
                      <w:jc w:val="center"/>
                      <w:rPr>
                        <w:sz w:val="20"/>
                      </w:rPr>
                    </w:pPr>
                    <w:r>
                      <w:rPr>
                        <w:sz w:val="20"/>
                      </w:rPr>
                      <w:t>I</w:t>
                    </w:r>
                  </w:p>
                  <w:p>
                    <w:pPr>
                      <w:tabs>
                        <w:tab w:val="left" w:pos="184"/>
                        <w:tab w:val="center" w:pos="317"/>
                      </w:tabs>
                      <w:ind w:left="-57" w:right="-57"/>
                      <w:jc w:val="center"/>
                      <w:rPr>
                        <w:sz w:val="20"/>
                      </w:rPr>
                    </w:pPr>
                    <w:r>
                      <w:rPr>
                        <w:sz w:val="20"/>
                      </w:rPr>
                      <w:t>(2029 m.)</w:t>
                    </w:r>
                  </w:p>
                  <w:p>
                    <w:pPr>
                      <w:tabs>
                        <w:tab w:val="left" w:pos="184"/>
                        <w:tab w:val="center" w:pos="317"/>
                      </w:tabs>
                      <w:ind w:left="-57" w:right="-57"/>
                      <w:jc w:val="center"/>
                      <w:rPr>
                        <w:sz w:val="20"/>
                      </w:rPr>
                    </w:pPr>
                  </w:p>
                  <w:p>
                    <w:pPr>
                      <w:tabs>
                        <w:tab w:val="left" w:pos="184"/>
                        <w:tab w:val="center" w:pos="317"/>
                      </w:tabs>
                      <w:ind w:left="-57" w:right="-57"/>
                      <w:jc w:val="center"/>
                      <w:rPr>
                        <w:sz w:val="20"/>
                      </w:rPr>
                    </w:pPr>
                  </w:p>
                  <w:p>
                    <w:pPr>
                      <w:tabs>
                        <w:tab w:val="left" w:pos="184"/>
                        <w:tab w:val="center" w:pos="317"/>
                      </w:tabs>
                      <w:ind w:left="-57" w:right="-57"/>
                      <w:jc w:val="center"/>
                      <w:rPr>
                        <w:sz w:val="20"/>
                      </w:rPr>
                    </w:pPr>
                  </w:p>
                  <w:p>
                    <w:pPr>
                      <w:tabs>
                        <w:tab w:val="left" w:pos="184"/>
                        <w:tab w:val="center" w:pos="317"/>
                      </w:tabs>
                      <w:ind w:left="-57" w:right="-57"/>
                      <w:jc w:val="center"/>
                      <w:rPr>
                        <w:sz w:val="20"/>
                      </w:rPr>
                    </w:pPr>
                  </w:p>
                </w:tc>
                <w:tc>
                  <w:tcPr>
                    <w:tcW w:w="992" w:type="dxa"/>
                    <w:vMerge w:val="restart"/>
                    <w:tcBorders>
                      <w:bottom w:val="single" w:sz="4" w:space="0" w:color="auto"/>
                    </w:tcBorders>
                    <w:shd w:val="clear" w:color="auto" w:fill="auto"/>
                  </w:tcPr>
                  <w:p>
                    <w:pPr>
                      <w:rPr>
                        <w:sz w:val="20"/>
                      </w:rPr>
                    </w:pPr>
                    <w:r>
                      <w:rPr>
                        <w:sz w:val="20"/>
                      </w:rPr>
                      <w:t>CPVA</w:t>
                    </w:r>
                  </w:p>
                  <w:p>
                    <w:pPr>
                      <w:rPr>
                        <w:sz w:val="20"/>
                      </w:rPr>
                    </w:pPr>
                  </w:p>
                </w:tc>
                <w:tc>
                  <w:tcPr>
                    <w:tcW w:w="1276" w:type="dxa"/>
                    <w:vMerge w:val="restart"/>
                    <w:tcBorders>
                      <w:left w:val="single" w:sz="4" w:space="0" w:color="auto"/>
                      <w:bottom w:val="single" w:sz="4" w:space="0" w:color="auto"/>
                      <w:right w:val="single" w:sz="4" w:space="0" w:color="auto"/>
                    </w:tcBorders>
                    <w:shd w:val="clear" w:color="auto" w:fill="auto"/>
                  </w:tcPr>
                  <w:p>
                    <w:pPr>
                      <w:jc w:val="center"/>
                      <w:rPr>
                        <w:sz w:val="20"/>
                      </w:rPr>
                    </w:pPr>
                    <w:r>
                      <w:rPr>
                        <w:sz w:val="20"/>
                      </w:rPr>
                      <w:t>SAM</w:t>
                    </w:r>
                  </w:p>
                </w:tc>
              </w:tr>
              <w:tr>
                <w:trPr>
                  <w:trHeight w:val="1486"/>
                </w:trPr>
                <w:tc>
                  <w:tcPr>
                    <w:tcW w:w="2410"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1559"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992"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1276" w:type="dxa"/>
                    <w:vMerge/>
                    <w:tcBorders>
                      <w:bottom w:val="single" w:sz="4" w:space="0" w:color="auto"/>
                    </w:tcBorders>
                    <w:shd w:val="clear" w:color="auto" w:fill="auto"/>
                  </w:tcPr>
                  <w:p>
                    <w:pPr>
                      <w:rPr>
                        <w:sz w:val="20"/>
                        <w:lang w:val="en-US"/>
                      </w:rPr>
                    </w:pPr>
                  </w:p>
                </w:tc>
                <w:tc>
                  <w:tcPr>
                    <w:tcW w:w="992" w:type="dxa"/>
                    <w:vMerge/>
                    <w:tcBorders>
                      <w:bottom w:val="single" w:sz="4" w:space="0" w:color="auto"/>
                    </w:tcBorders>
                    <w:shd w:val="clear" w:color="auto" w:fill="auto"/>
                  </w:tcPr>
                  <w:p>
                    <w:pPr>
                      <w:rPr>
                        <w:sz w:val="20"/>
                      </w:rPr>
                    </w:pPr>
                  </w:p>
                </w:tc>
                <w:tc>
                  <w:tcPr>
                    <w:tcW w:w="2551" w:type="dxa"/>
                    <w:tcBorders>
                      <w:bottom w:val="single" w:sz="4" w:space="0" w:color="auto"/>
                    </w:tcBorders>
                    <w:shd w:val="clear" w:color="auto" w:fill="auto"/>
                  </w:tcPr>
                  <w:p>
                    <w:pPr>
                      <w:ind w:left="-57" w:right="-57"/>
                      <w:rPr>
                        <w:sz w:val="20"/>
                      </w:rPr>
                    </w:pPr>
                    <w:r>
                      <w:rPr>
                        <w:sz w:val="20"/>
                      </w:rPr>
                      <w:t xml:space="preserve">P </w:t>
                    </w:r>
                    <w:r>
                      <w:rPr>
                        <w:color w:val="000000"/>
                        <w:szCs w:val="24"/>
                      </w:rPr>
                      <w:t>–</w:t>
                    </w:r>
                    <w:r>
                      <w:rPr>
                        <w:sz w:val="20"/>
                      </w:rPr>
                      <w:t xml:space="preserve"> Sveikatos priežiūros įstaigos, įgyvendinusios sveikatos priežiūros specialistų įgalinimo, pritraukimo ir išlaikymo projektus, skaičius </w:t>
                    </w:r>
                  </w:p>
                </w:tc>
                <w:tc>
                  <w:tcPr>
                    <w:tcW w:w="851" w:type="dxa"/>
                    <w:tcBorders>
                      <w:bottom w:val="single" w:sz="4" w:space="0" w:color="auto"/>
                    </w:tcBorders>
                    <w:shd w:val="clear" w:color="auto" w:fill="auto"/>
                  </w:tcPr>
                  <w:p>
                    <w:pPr>
                      <w:ind w:left="-57" w:right="-57"/>
                      <w:jc w:val="center"/>
                      <w:rPr>
                        <w:sz w:val="20"/>
                      </w:rPr>
                    </w:pPr>
                    <w:r>
                      <w:rPr>
                        <w:sz w:val="20"/>
                      </w:rPr>
                      <w:t>6</w:t>
                    </w:r>
                  </w:p>
                  <w:p>
                    <w:pPr>
                      <w:ind w:left="-57" w:right="-57"/>
                      <w:jc w:val="center"/>
                      <w:rPr>
                        <w:sz w:val="20"/>
                      </w:rPr>
                    </w:pPr>
                    <w:r>
                      <w:rPr>
                        <w:sz w:val="20"/>
                      </w:rPr>
                      <w:t>(2029 m.)</w:t>
                    </w:r>
                  </w:p>
                </w:tc>
                <w:tc>
                  <w:tcPr>
                    <w:tcW w:w="992" w:type="dxa"/>
                    <w:vMerge/>
                    <w:tcBorders>
                      <w:bottom w:val="single" w:sz="4" w:space="0" w:color="auto"/>
                    </w:tcBorders>
                    <w:shd w:val="clear" w:color="auto" w:fill="auto"/>
                  </w:tcPr>
                  <w:p>
                    <w:pPr>
                      <w:rPr>
                        <w:sz w:val="20"/>
                      </w:rPr>
                    </w:pPr>
                  </w:p>
                </w:tc>
                <w:tc>
                  <w:tcPr>
                    <w:tcW w:w="1276" w:type="dxa"/>
                    <w:vMerge/>
                    <w:tcBorders>
                      <w:left w:val="single" w:sz="4" w:space="0" w:color="auto"/>
                      <w:bottom w:val="single" w:sz="4" w:space="0" w:color="auto"/>
                      <w:right w:val="single" w:sz="4" w:space="0" w:color="auto"/>
                    </w:tcBorders>
                    <w:shd w:val="clear" w:color="auto" w:fill="auto"/>
                  </w:tcPr>
                  <w:p>
                    <w:pPr>
                      <w:jc w:val="center"/>
                      <w:rPr>
                        <w:sz w:val="20"/>
                      </w:rPr>
                    </w:pPr>
                  </w:p>
                </w:tc>
              </w:tr>
              <w:tr>
                <w:trPr>
                  <w:trHeight w:val="1306"/>
                </w:trPr>
                <w:tc>
                  <w:tcPr>
                    <w:tcW w:w="2410"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vMerge/>
                    <w:shd w:val="clear" w:color="auto" w:fill="CCC0D9" w:themeFill="accent4" w:themeFillTint="66"/>
                  </w:tcPr>
                  <w:p>
                    <w:pPr>
                      <w:rPr>
                        <w:sz w:val="20"/>
                        <w:lang w:val="en-US"/>
                      </w:rPr>
                    </w:pPr>
                  </w:p>
                </w:tc>
                <w:tc>
                  <w:tcPr>
                    <w:tcW w:w="992" w:type="dxa"/>
                    <w:vMerge/>
                    <w:shd w:val="clear" w:color="auto" w:fill="CCC0D9" w:themeFill="accent4" w:themeFillTint="66"/>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Sveikatos priežiūros specialistų, kurie po dalyvavimo veiklose mažiausiai 2 metus dirbo sveikatos priežiūros įstaigose, dalis, proc.</w:t>
                    </w:r>
                  </w:p>
                </w:tc>
                <w:tc>
                  <w:tcPr>
                    <w:tcW w:w="851" w:type="dxa"/>
                    <w:shd w:val="clear" w:color="auto" w:fill="auto"/>
                  </w:tcPr>
                  <w:p>
                    <w:pPr>
                      <w:ind w:left="-57" w:right="-57"/>
                      <w:jc w:val="center"/>
                      <w:rPr>
                        <w:sz w:val="20"/>
                      </w:rPr>
                    </w:pPr>
                    <w:r>
                      <w:rPr>
                        <w:sz w:val="20"/>
                      </w:rPr>
                      <w:t>80</w:t>
                    </w:r>
                  </w:p>
                  <w:p>
                    <w:pPr>
                      <w:ind w:left="-57" w:right="-57"/>
                      <w:jc w:val="center"/>
                      <w:rPr>
                        <w:sz w:val="20"/>
                      </w:rPr>
                    </w:pPr>
                    <w:r>
                      <w:rPr>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tcPr>
                  <w:p>
                    <w:pPr>
                      <w:jc w:val="center"/>
                      <w:rPr>
                        <w:sz w:val="20"/>
                      </w:rPr>
                    </w:pPr>
                  </w:p>
                </w:tc>
              </w:tr>
              <w:tr>
                <w:trPr>
                  <w:trHeight w:val="946"/>
                </w:trPr>
                <w:tc>
                  <w:tcPr>
                    <w:tcW w:w="2410" w:type="dxa"/>
                    <w:vMerge w:val="restart"/>
                    <w:shd w:val="clear" w:color="auto" w:fill="auto"/>
                  </w:tcPr>
                  <w:p>
                    <w:pPr>
                      <w:rPr>
                        <w:sz w:val="20"/>
                      </w:rPr>
                    </w:pPr>
                    <w:r>
                      <w:rPr>
                        <w:sz w:val="20"/>
                      </w:rPr>
                      <w:t>10.3. Sveikatos priežiūros specialistų rengimas, pritraukimas, Vidurio ir vakarų Lietuvos regionas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Savivaldybių administracijos / 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tcBorders>
                      <w:bottom w:val="single" w:sz="4" w:space="0" w:color="auto"/>
                    </w:tcBorders>
                    <w:shd w:val="clear" w:color="auto" w:fill="auto"/>
                  </w:tcPr>
                  <w:p>
                    <w:pPr>
                      <w:rPr>
                        <w:sz w:val="20"/>
                        <w:lang w:val="en-US"/>
                      </w:rPr>
                    </w:pPr>
                    <w:r>
                      <w:rPr>
                        <w:sz w:val="20"/>
                        <w:lang w:val="en-US"/>
                      </w:rPr>
                      <w:t>23 820,691</w:t>
                    </w:r>
                  </w:p>
                </w:tc>
                <w:tc>
                  <w:tcPr>
                    <w:tcW w:w="992" w:type="dxa"/>
                    <w:tcBorders>
                      <w:bottom w:val="single" w:sz="4" w:space="0" w:color="auto"/>
                    </w:tcBorders>
                    <w:shd w:val="clear" w:color="auto" w:fill="auto"/>
                  </w:tcPr>
                  <w:p>
                    <w:pPr>
                      <w:rPr>
                        <w:sz w:val="20"/>
                      </w:rPr>
                    </w:pPr>
                    <w:r>
                      <w:rPr>
                        <w:sz w:val="20"/>
                      </w:rPr>
                      <w:t>2021–2027 m. IP (ESF+)</w:t>
                    </w:r>
                  </w:p>
                  <w:p>
                    <w:pPr>
                      <w:rPr>
                        <w:sz w:val="20"/>
                      </w:rPr>
                    </w:pPr>
                  </w:p>
                </w:tc>
                <w:tc>
                  <w:tcPr>
                    <w:tcW w:w="2551" w:type="dxa"/>
                    <w:shd w:val="clear" w:color="auto" w:fill="auto"/>
                  </w:tcPr>
                  <w:p>
                    <w:pPr>
                      <w:ind w:left="-57" w:right="-57"/>
                      <w:rPr>
                        <w:sz w:val="20"/>
                      </w:rPr>
                    </w:pPr>
                    <w:r>
                      <w:rPr>
                        <w:sz w:val="20"/>
                      </w:rPr>
                      <w:t xml:space="preserve">P – Asmenys, dalyvavę kvalifikacijos įgijimo veiklose, asmenys </w:t>
                    </w:r>
                  </w:p>
                  <w:p>
                    <w:pPr>
                      <w:ind w:left="-57" w:right="-57"/>
                      <w:rPr>
                        <w:sz w:val="20"/>
                      </w:rPr>
                    </w:pPr>
                  </w:p>
                </w:tc>
                <w:tc>
                  <w:tcPr>
                    <w:tcW w:w="851" w:type="dxa"/>
                    <w:shd w:val="clear" w:color="auto" w:fill="auto"/>
                  </w:tcPr>
                  <w:p>
                    <w:pPr>
                      <w:ind w:left="-57" w:right="-57"/>
                      <w:jc w:val="center"/>
                      <w:rPr>
                        <w:sz w:val="20"/>
                      </w:rPr>
                    </w:pPr>
                    <w:r>
                      <w:rPr>
                        <w:sz w:val="20"/>
                      </w:rPr>
                      <w:t>240</w:t>
                    </w:r>
                  </w:p>
                  <w:p>
                    <w:pPr>
                      <w:ind w:left="-57" w:right="-57"/>
                      <w:jc w:val="center"/>
                      <w:rPr>
                        <w:sz w:val="20"/>
                      </w:rPr>
                    </w:pPr>
                    <w:r>
                      <w:rPr>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sz w:val="20"/>
                      </w:rPr>
                    </w:pPr>
                    <w:r>
                      <w:rPr>
                        <w:sz w:val="20"/>
                      </w:rPr>
                      <w:t>SAM</w:t>
                    </w:r>
                  </w:p>
                </w:tc>
              </w:tr>
              <w:tr>
                <w:trPr>
                  <w:trHeight w:val="34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r>
                      <w:rPr>
                        <w:sz w:val="20"/>
                        <w:lang w:val="en-US"/>
                      </w:rPr>
                      <w:t>4 203,651</w:t>
                    </w:r>
                  </w:p>
                  <w:p>
                    <w:pPr>
                      <w:rPr>
                        <w:sz w:val="20"/>
                        <w:lang w:val="en-US"/>
                      </w:rPr>
                    </w:pPr>
                  </w:p>
                </w:tc>
                <w:tc>
                  <w:tcPr>
                    <w:tcW w:w="992" w:type="dxa"/>
                    <w:vMerge w:val="restart"/>
                    <w:shd w:val="clear" w:color="auto" w:fill="auto"/>
                  </w:tcPr>
                  <w:p>
                    <w:pPr>
                      <w:rPr>
                        <w:sz w:val="20"/>
                      </w:rPr>
                    </w:pPr>
                    <w:r>
                      <w:rPr>
                        <w:sz w:val="20"/>
                      </w:rPr>
                      <w:t>2021–2027 m. IP (BF)</w:t>
                    </w: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Asmenų, kurie po dalyvavimo veiklose įgijo  kvalifikaciją, dalis, proc.</w:t>
                    </w:r>
                  </w:p>
                </w:tc>
                <w:tc>
                  <w:tcPr>
                    <w:tcW w:w="851" w:type="dxa"/>
                    <w:shd w:val="clear" w:color="auto" w:fill="auto"/>
                  </w:tcPr>
                  <w:p>
                    <w:pPr>
                      <w:ind w:left="-57" w:right="-57"/>
                      <w:jc w:val="center"/>
                      <w:rPr>
                        <w:sz w:val="20"/>
                      </w:rPr>
                    </w:pPr>
                    <w:r>
                      <w:rPr>
                        <w:sz w:val="20"/>
                      </w:rPr>
                      <w:t>80</w:t>
                    </w:r>
                  </w:p>
                  <w:p>
                    <w:pPr>
                      <w:ind w:left="-57" w:right="-57"/>
                      <w:jc w:val="center"/>
                      <w:rPr>
                        <w:sz w:val="20"/>
                      </w:rPr>
                    </w:pPr>
                    <w:r>
                      <w:rPr>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sz w:val="20"/>
                      </w:rPr>
                    </w:pPr>
                  </w:p>
                </w:tc>
              </w:tr>
              <w:tr>
                <w:trPr>
                  <w:trHeight w:val="339"/>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shd w:val="clear" w:color="auto" w:fill="auto"/>
                  </w:tcPr>
                  <w:p>
                    <w:pPr>
                      <w:rPr>
                        <w:sz w:val="20"/>
                        <w:lang w:val="en-US"/>
                      </w:rPr>
                    </w:pPr>
                  </w:p>
                </w:tc>
                <w:tc>
                  <w:tcPr>
                    <w:tcW w:w="992" w:type="dxa"/>
                    <w:vMerge/>
                    <w:shd w:val="clear" w:color="auto" w:fill="CCC0D9" w:themeFill="accent4" w:themeFillTint="66"/>
                  </w:tcPr>
                  <w:p>
                    <w:pPr>
                      <w:rPr>
                        <w:sz w:val="20"/>
                      </w:rPr>
                    </w:pPr>
                  </w:p>
                </w:tc>
                <w:tc>
                  <w:tcPr>
                    <w:tcW w:w="2551" w:type="dxa"/>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rPr>
                    </w:pPr>
                    <w:r>
                      <w:rPr>
                        <w:sz w:val="20"/>
                      </w:rPr>
                      <w:t>500</w:t>
                    </w:r>
                  </w:p>
                  <w:p>
                    <w:pPr>
                      <w:ind w:left="-57" w:right="-57"/>
                      <w:jc w:val="center"/>
                      <w:rPr>
                        <w:sz w:val="20"/>
                      </w:rPr>
                    </w:pPr>
                    <w:r>
                      <w:rPr>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vAlign w:val="center"/>
                  </w:tcPr>
                  <w:p>
                    <w:pPr>
                      <w:rPr>
                        <w:sz w:val="20"/>
                      </w:rPr>
                    </w:pPr>
                  </w:p>
                </w:tc>
              </w:tr>
              <w:tr>
                <w:trPr>
                  <w:trHeight w:val="339"/>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shd w:val="clear" w:color="auto" w:fill="auto"/>
                  </w:tcPr>
                  <w:p>
                    <w:pPr>
                      <w:rPr>
                        <w:sz w:val="20"/>
                        <w:lang w:val="en-US"/>
                      </w:rPr>
                    </w:pPr>
                  </w:p>
                </w:tc>
                <w:tc>
                  <w:tcPr>
                    <w:tcW w:w="992" w:type="dxa"/>
                    <w:vMerge/>
                    <w:shd w:val="clear" w:color="auto" w:fill="CCC0D9" w:themeFill="accent4" w:themeFillTint="66"/>
                  </w:tcPr>
                  <w:p>
                    <w:pPr>
                      <w:rPr>
                        <w:sz w:val="20"/>
                      </w:rPr>
                    </w:pPr>
                  </w:p>
                </w:tc>
                <w:tc>
                  <w:tcPr>
                    <w:tcW w:w="2551" w:type="dxa"/>
                    <w:shd w:val="clear" w:color="auto" w:fill="auto"/>
                  </w:tcPr>
                  <w:p>
                    <w:pPr>
                      <w:ind w:left="-57" w:right="-57"/>
                      <w:rPr>
                        <w:sz w:val="20"/>
                      </w:rPr>
                    </w:pPr>
                    <w:r>
                      <w:rPr>
                        <w:sz w:val="20"/>
                      </w:rPr>
                      <w:t xml:space="preserve">R – </w:t>
                    </w:r>
                    <w:r>
                      <w:rPr>
                        <w:sz w:val="20"/>
                        <w:lang w:eastAsia="lt-LT"/>
                      </w:rPr>
                      <w:t>Specialistų, kurie po dalyvavimo veiklose įgijo ar patobulino kvalifikaciją, dalis, proc.</w:t>
                    </w:r>
                  </w:p>
                </w:tc>
                <w:tc>
                  <w:tcPr>
                    <w:tcW w:w="851" w:type="dxa"/>
                    <w:shd w:val="clear" w:color="auto" w:fill="auto"/>
                  </w:tcPr>
                  <w:p>
                    <w:pPr>
                      <w:ind w:left="-57" w:right="-57"/>
                      <w:jc w:val="center"/>
                      <w:rPr>
                        <w:sz w:val="20"/>
                        <w:lang w:val="en-US"/>
                      </w:rPr>
                    </w:pPr>
                    <w:r>
                      <w:rPr>
                        <w:sz w:val="20"/>
                        <w:lang w:val="en-US"/>
                      </w:rPr>
                      <w:t>90</w:t>
                    </w:r>
                  </w:p>
                  <w:p>
                    <w:pPr>
                      <w:ind w:left="-57" w:right="-57"/>
                      <w:jc w:val="center"/>
                      <w:rPr>
                        <w:sz w:val="20"/>
                      </w:rPr>
                    </w:pPr>
                    <w:r>
                      <w:rPr>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vAlign w:val="center"/>
                  </w:tcPr>
                  <w:p>
                    <w:pPr>
                      <w:rPr>
                        <w:sz w:val="20"/>
                      </w:rPr>
                    </w:pPr>
                  </w:p>
                </w:tc>
              </w:tr>
              <w:tr>
                <w:trPr>
                  <w:trHeight w:val="414"/>
                </w:trPr>
                <w:tc>
                  <w:tcPr>
                    <w:tcW w:w="2410" w:type="dxa"/>
                    <w:vMerge/>
                    <w:shd w:val="clear" w:color="auto" w:fill="auto"/>
                  </w:tcPr>
                  <w:p>
                    <w:pPr>
                      <w:rPr>
                        <w:b/>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b/>
                        <w:bCs/>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Sveikatos priežiūros įstaigos, įgyvendinusios sveikatos priežiūros specialistų įgalinimo, pritraukimo ir išlaikymo projektus, skaičius</w:t>
                    </w:r>
                  </w:p>
                </w:tc>
                <w:tc>
                  <w:tcPr>
                    <w:tcW w:w="851" w:type="dxa"/>
                    <w:shd w:val="clear" w:color="auto" w:fill="auto"/>
                  </w:tcPr>
                  <w:p>
                    <w:pPr>
                      <w:ind w:left="-57" w:right="-57"/>
                      <w:jc w:val="center"/>
                      <w:rPr>
                        <w:sz w:val="20"/>
                        <w:lang w:val="en-US"/>
                      </w:rPr>
                    </w:pPr>
                    <w:r>
                      <w:rPr>
                        <w:sz w:val="20"/>
                      </w:rPr>
                      <w:t>98</w:t>
                    </w:r>
                  </w:p>
                  <w:p>
                    <w:pPr>
                      <w:ind w:left="-57" w:right="-57"/>
                      <w:jc w:val="center"/>
                      <w:rPr>
                        <w:sz w:val="20"/>
                      </w:rPr>
                    </w:pPr>
                    <w:r>
                      <w:rPr>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color w:val="000000"/>
                        <w:sz w:val="20"/>
                      </w:rPr>
                    </w:pPr>
                  </w:p>
                </w:tc>
              </w:tr>
              <w:tr>
                <w:trPr>
                  <w:trHeight w:val="414"/>
                </w:trPr>
                <w:tc>
                  <w:tcPr>
                    <w:tcW w:w="2410" w:type="dxa"/>
                    <w:vMerge/>
                    <w:shd w:val="clear" w:color="auto" w:fill="auto"/>
                  </w:tcPr>
                  <w:p>
                    <w:pPr>
                      <w:rPr>
                        <w:b/>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b/>
                        <w:bCs/>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Sveikatos priežiūros specialistų, kurie po dalyvavimo veiklose mažiausiai 2 metus dirbo sveikatos priežiūros įstaigose, dalis, proc.</w:t>
                    </w:r>
                  </w:p>
                  <w:p>
                    <w:pPr>
                      <w:ind w:left="-57" w:right="-57"/>
                      <w:rPr>
                        <w:sz w:val="20"/>
                      </w:rPr>
                    </w:pPr>
                  </w:p>
                </w:tc>
                <w:tc>
                  <w:tcPr>
                    <w:tcW w:w="851" w:type="dxa"/>
                    <w:shd w:val="clear" w:color="auto" w:fill="auto"/>
                  </w:tcPr>
                  <w:p>
                    <w:pPr>
                      <w:ind w:left="-57" w:right="-57"/>
                      <w:jc w:val="center"/>
                      <w:rPr>
                        <w:sz w:val="20"/>
                      </w:rPr>
                    </w:pPr>
                    <w:r>
                      <w:rPr>
                        <w:sz w:val="20"/>
                      </w:rPr>
                      <w:t>80</w:t>
                    </w:r>
                  </w:p>
                  <w:p>
                    <w:pPr>
                      <w:ind w:left="-57" w:right="-57"/>
                      <w:jc w:val="center"/>
                      <w:rPr>
                        <w:sz w:val="20"/>
                      </w:rPr>
                    </w:pPr>
                    <w:r>
                      <w:rPr>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color w:val="000000"/>
                        <w:sz w:val="20"/>
                      </w:rPr>
                    </w:pPr>
                  </w:p>
                </w:tc>
              </w:tr>
              <w:tr>
                <w:trPr>
                  <w:trHeight w:val="414"/>
                </w:trPr>
                <w:tc>
                  <w:tcPr>
                    <w:tcW w:w="2410" w:type="dxa"/>
                    <w:vMerge w:val="restart"/>
                    <w:shd w:val="clear" w:color="auto" w:fill="F2F2F2" w:themeFill="background1" w:themeFillShade="F2"/>
                  </w:tcPr>
                  <w:p>
                    <w:pPr>
                      <w:rPr>
                        <w:sz w:val="20"/>
                      </w:rPr>
                    </w:pPr>
                    <w:r>
                      <w:rPr>
                        <w:b/>
                        <w:sz w:val="20"/>
                      </w:rPr>
                      <w:t>11. Specialistų kvalifikacijos tobulinimas ir perkvalifikavimas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lang w:val="en-US"/>
                      </w:rPr>
                      <w:t>18 303,358</w:t>
                    </w: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Slaugytojų, tenkančių vienam gydytojui, skaičius</w:t>
                    </w:r>
                  </w:p>
                </w:tc>
                <w:tc>
                  <w:tcPr>
                    <w:tcW w:w="851" w:type="dxa"/>
                    <w:vMerge w:val="restart"/>
                    <w:shd w:val="clear" w:color="auto" w:fill="F2F2F2" w:themeFill="background1" w:themeFillShade="F2"/>
                  </w:tcPr>
                  <w:p>
                    <w:pPr>
                      <w:ind w:left="-57" w:right="-57"/>
                      <w:jc w:val="center"/>
                      <w:rPr>
                        <w:sz w:val="20"/>
                      </w:rPr>
                    </w:pPr>
                    <w:r>
                      <w:rPr>
                        <w:sz w:val="20"/>
                      </w:rPr>
                      <w:t>2,5</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9 148,854</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1 614,504</w:t>
                    </w:r>
                  </w:p>
                </w:tc>
                <w:tc>
                  <w:tcPr>
                    <w:tcW w:w="992" w:type="dxa"/>
                    <w:shd w:val="clear" w:color="auto" w:fill="F2F2F2" w:themeFill="background1" w:themeFillShade="F2"/>
                  </w:tcPr>
                  <w:p>
                    <w:pPr>
                      <w:rPr>
                        <w:sz w:val="20"/>
                        <w:lang w:val="it-IT"/>
                      </w:rPr>
                    </w:pPr>
                    <w:r>
                      <w:rPr>
                        <w:sz w:val="20"/>
                      </w:rPr>
                      <w:t>2021–2027 m. IP (BF, VVL regionas)</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2 100</w:t>
                    </w:r>
                  </w:p>
                </w:tc>
                <w:tc>
                  <w:tcPr>
                    <w:tcW w:w="992" w:type="dxa"/>
                    <w:shd w:val="clear" w:color="auto" w:fill="F2F2F2" w:themeFill="background1" w:themeFillShade="F2"/>
                  </w:tcPr>
                  <w:p>
                    <w:pPr>
                      <w:rPr>
                        <w:sz w:val="20"/>
                      </w:rPr>
                    </w:pPr>
                    <w:r>
                      <w:rPr>
                        <w:sz w:val="20"/>
                      </w:rPr>
                      <w:t>EGADP</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440</w:t>
                    </w:r>
                  </w:p>
                </w:tc>
                <w:tc>
                  <w:tcPr>
                    <w:tcW w:w="992" w:type="dxa"/>
                    <w:shd w:val="clear" w:color="auto" w:fill="F2F2F2" w:themeFill="background1" w:themeFillShade="F2"/>
                  </w:tcPr>
                  <w:p>
                    <w:pPr>
                      <w:rPr>
                        <w:sz w:val="20"/>
                      </w:rPr>
                    </w:pPr>
                    <w:r>
                      <w:rPr>
                        <w:sz w:val="20"/>
                      </w:rPr>
                      <w:t>PVM iš VB</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5 000</w:t>
                    </w:r>
                  </w:p>
                </w:tc>
                <w:tc>
                  <w:tcPr>
                    <w:tcW w:w="992" w:type="dxa"/>
                    <w:shd w:val="clear" w:color="auto" w:fill="F2F2F2" w:themeFill="background1" w:themeFillShade="F2"/>
                  </w:tcPr>
                  <w:p>
                    <w:pPr>
                      <w:rPr>
                        <w:sz w:val="20"/>
                      </w:rPr>
                    </w:pPr>
                    <w:r>
                      <w:rPr>
                        <w:sz w:val="20"/>
                      </w:rPr>
                      <w:t>VB</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1198"/>
                </w:trPr>
                <w:tc>
                  <w:tcPr>
                    <w:tcW w:w="2410" w:type="dxa"/>
                    <w:shd w:val="clear" w:color="auto" w:fill="auto"/>
                  </w:tcPr>
                  <w:p>
                    <w:pPr>
                      <w:rPr>
                        <w:sz w:val="20"/>
                      </w:rPr>
                    </w:pPr>
                    <w:r>
                      <w:rPr>
                        <w:sz w:val="20"/>
                      </w:rPr>
                      <w:t xml:space="preserve">11.1. Sveikatos priežiūros  specialistų kvalifikaciją ir darbo sąlygas tobulinančių teisės aktų rengimas</w:t>
                    </w:r>
                  </w:p>
                </w:tc>
                <w:tc>
                  <w:tcPr>
                    <w:tcW w:w="709" w:type="dxa"/>
                    <w:shd w:val="clear" w:color="auto" w:fill="auto"/>
                  </w:tcPr>
                  <w:p>
                    <w:pPr>
                      <w:rPr>
                        <w:sz w:val="20"/>
                      </w:rPr>
                    </w:pPr>
                    <w:r>
                      <w:rPr>
                        <w:sz w:val="20"/>
                      </w:rPr>
                      <w:t>R</w:t>
                    </w:r>
                  </w:p>
                </w:tc>
                <w:tc>
                  <w:tcPr>
                    <w:tcW w:w="1559" w:type="dxa"/>
                    <w:shd w:val="clear" w:color="auto" w:fill="auto"/>
                  </w:tcPr>
                  <w:p>
                    <w:pPr>
                      <w:rPr>
                        <w:sz w:val="20"/>
                      </w:rPr>
                    </w:pPr>
                    <w:r>
                      <w:rPr>
                        <w:sz w:val="20"/>
                      </w:rPr>
                      <w:t>-</w:t>
                    </w:r>
                  </w:p>
                </w:tc>
                <w:tc>
                  <w:tcPr>
                    <w:tcW w:w="709" w:type="dxa"/>
                    <w:shd w:val="clear" w:color="auto" w:fill="auto"/>
                  </w:tcPr>
                  <w:p>
                    <w:pPr>
                      <w:rPr>
                        <w:sz w:val="20"/>
                      </w:rPr>
                    </w:pPr>
                    <w:r>
                      <w:rPr>
                        <w:sz w:val="20"/>
                      </w:rPr>
                      <w:t>-</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w:t>
                    </w:r>
                  </w:p>
                </w:tc>
                <w:tc>
                  <w:tcPr>
                    <w:tcW w:w="1276" w:type="dxa"/>
                    <w:shd w:val="clear" w:color="auto" w:fill="auto"/>
                  </w:tcPr>
                  <w:p>
                    <w:pPr>
                      <w:rPr>
                        <w:sz w:val="20"/>
                        <w:lang w:val="en-US"/>
                      </w:rPr>
                    </w:pPr>
                    <w:r>
                      <w:rPr>
                        <w:sz w:val="20"/>
                        <w:lang w:val="en-US"/>
                      </w:rPr>
                      <w:t>-</w:t>
                    </w:r>
                  </w:p>
                </w:tc>
                <w:tc>
                  <w:tcPr>
                    <w:tcW w:w="992" w:type="dxa"/>
                    <w:shd w:val="clear" w:color="auto" w:fill="auto"/>
                  </w:tcPr>
                  <w:p>
                    <w:pPr>
                      <w:rPr>
                        <w:sz w:val="20"/>
                      </w:rPr>
                    </w:pPr>
                    <w:r>
                      <w:rPr>
                        <w:sz w:val="20"/>
                      </w:rPr>
                      <w:t>-</w:t>
                    </w:r>
                  </w:p>
                </w:tc>
                <w:tc>
                  <w:tcPr>
                    <w:tcW w:w="2551" w:type="dxa"/>
                    <w:shd w:val="clear" w:color="auto" w:fill="auto"/>
                  </w:tcPr>
                  <w:p>
                    <w:pPr>
                      <w:ind w:right="-57"/>
                      <w:rPr>
                        <w:sz w:val="20"/>
                      </w:rPr>
                    </w:pPr>
                    <w:r>
                      <w:rPr>
                        <w:sz w:val="20"/>
                      </w:rPr>
                      <w:t>P – Įsigalioję teisės aktai dėl sveikatos priežiūros specialistų darbo sąlygų gerinimo ir profesinės kvalifikacijos tobulinimo, kompl.</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shd w:val="clear" w:color="auto" w:fill="auto"/>
                  </w:tcPr>
                  <w:p>
                    <w:pPr>
                      <w:rPr>
                        <w:sz w:val="20"/>
                      </w:rPr>
                    </w:pPr>
                    <w:r>
                      <w:rPr>
                        <w:sz w:val="20"/>
                      </w:rPr>
                      <w:t>-</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943"/>
                </w:trPr>
                <w:tc>
                  <w:tcPr>
                    <w:tcW w:w="2410" w:type="dxa"/>
                    <w:vMerge w:val="restart"/>
                    <w:shd w:val="clear" w:color="auto" w:fill="auto"/>
                  </w:tcPr>
                  <w:p>
                    <w:pPr>
                      <w:rPr>
                        <w:sz w:val="20"/>
                      </w:rPr>
                    </w:pPr>
                    <w:r>
                      <w:rPr>
                        <w:sz w:val="20"/>
                      </w:rPr>
                      <w:t xml:space="preserve">11.2. Sveikatos priežiūros  specialistų kvalifikacijos tobulinimas, Vidurio ir vakarų Lietuvos regionas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9 148,854</w:t>
                    </w:r>
                  </w:p>
                </w:tc>
                <w:tc>
                  <w:tcPr>
                    <w:tcW w:w="992" w:type="dxa"/>
                    <w:shd w:val="clear" w:color="auto" w:fill="auto"/>
                  </w:tcPr>
                  <w:p>
                    <w:pPr>
                      <w:rPr>
                        <w:sz w:val="20"/>
                      </w:rPr>
                    </w:pPr>
                    <w:r>
                      <w:rPr>
                        <w:sz w:val="20"/>
                      </w:rPr>
                      <w:t xml:space="preserve">2021–2027 m. IP (ESF+) </w:t>
                    </w:r>
                  </w:p>
                </w:tc>
                <w:tc>
                  <w:tcPr>
                    <w:tcW w:w="2551" w:type="dxa"/>
                    <w:vMerge w:val="restart"/>
                    <w:shd w:val="clear" w:color="auto" w:fill="auto"/>
                  </w:tcPr>
                  <w:p>
                    <w:pPr>
                      <w:ind w:right="-57"/>
                      <w:rPr>
                        <w:sz w:val="20"/>
                      </w:rPr>
                    </w:pPr>
                    <w:r>
                      <w:rPr>
                        <w:sz w:val="20"/>
                      </w:rPr>
                      <w:t>P – Specialistai, dalyvavę kvalifikacijos tobulinimo ar perkvalifikavimo veiklose, asmenys</w:t>
                    </w:r>
                  </w:p>
                </w:tc>
                <w:tc>
                  <w:tcPr>
                    <w:tcW w:w="851" w:type="dxa"/>
                    <w:vMerge w:val="restart"/>
                    <w:shd w:val="clear" w:color="auto" w:fill="auto"/>
                  </w:tcPr>
                  <w:p>
                    <w:pPr>
                      <w:ind w:left="-57" w:right="-57"/>
                      <w:jc w:val="center"/>
                      <w:rPr>
                        <w:sz w:val="20"/>
                        <w:lang w:val="en-US"/>
                      </w:rPr>
                    </w:pPr>
                    <w:r>
                      <w:rPr>
                        <w:sz w:val="20"/>
                      </w:rPr>
                      <w:t>27 600</w:t>
                    </w:r>
                  </w:p>
                  <w:p>
                    <w:pPr>
                      <w:ind w:left="-57" w:right="-57"/>
                      <w:jc w:val="center"/>
                      <w:rPr>
                        <w:sz w:val="20"/>
                      </w:rPr>
                    </w:pPr>
                    <w:r>
                      <w:rPr>
                        <w:sz w:val="20"/>
                      </w:rPr>
                      <w:t>(2029 m.)</w:t>
                    </w:r>
                  </w:p>
                  <w:p>
                    <w:pPr>
                      <w:rPr>
                        <w:sz w:val="20"/>
                      </w:rPr>
                    </w:pP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230"/>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r>
                      <w:rPr>
                        <w:sz w:val="20"/>
                        <w:lang w:val="en-US"/>
                      </w:rPr>
                      <w:t>1 614,504</w:t>
                    </w:r>
                  </w:p>
                </w:tc>
                <w:tc>
                  <w:tcPr>
                    <w:tcW w:w="992" w:type="dxa"/>
                    <w:vMerge w:val="restart"/>
                    <w:shd w:val="clear" w:color="auto" w:fill="auto"/>
                  </w:tcPr>
                  <w:p>
                    <w:pPr>
                      <w:rPr>
                        <w:sz w:val="20"/>
                      </w:rPr>
                    </w:pPr>
                    <w:r>
                      <w:rPr>
                        <w:sz w:val="20"/>
                      </w:rPr>
                      <w:t>2021–2027 m. IP (BF)</w:t>
                    </w:r>
                  </w:p>
                  <w:p>
                    <w:pPr>
                      <w:rPr>
                        <w:sz w:val="20"/>
                      </w:rPr>
                    </w:pPr>
                  </w:p>
                </w:tc>
                <w:tc>
                  <w:tcPr>
                    <w:tcW w:w="2551" w:type="dxa"/>
                    <w:vMerge/>
                    <w:shd w:val="clear" w:color="auto" w:fill="auto"/>
                  </w:tcPr>
                  <w:p>
                    <w:pPr>
                      <w:ind w:right="-57"/>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color w:val="000000"/>
                        <w:sz w:val="20"/>
                      </w:rPr>
                    </w:pPr>
                  </w:p>
                </w:tc>
              </w:tr>
              <w:tr>
                <w:trPr>
                  <w:trHeight w:val="833"/>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w:t>
                    </w:r>
                    <w:r>
                      <w:rPr>
                        <w:sz w:val="20"/>
                        <w:lang w:eastAsia="lt-LT"/>
                      </w:rPr>
                      <w:t xml:space="preserve"> Specialistų, kurie po dalyvavimo veiklose įgijo ar patobulino kvalifikaciją,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jc w:val="center"/>
                      <w:rPr>
                        <w:b/>
                        <w:bCs/>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color w:val="000000"/>
                        <w:sz w:val="20"/>
                      </w:rPr>
                    </w:pPr>
                  </w:p>
                </w:tc>
              </w:tr>
              <w:tr>
                <w:trPr>
                  <w:trHeight w:val="414"/>
                </w:trPr>
                <w:tc>
                  <w:tcPr>
                    <w:tcW w:w="2410" w:type="dxa"/>
                    <w:shd w:val="clear" w:color="auto" w:fill="auto"/>
                  </w:tcPr>
                  <w:p>
                    <w:pPr>
                      <w:rPr>
                        <w:sz w:val="20"/>
                      </w:rPr>
                    </w:pPr>
                    <w:r>
                      <w:rPr>
                        <w:sz w:val="20"/>
                      </w:rPr>
                      <w:t>11.3. Sveikatos priežiūros specialistų kvalifikacijos tobulinimas</w:t>
                    </w:r>
                  </w:p>
                </w:tc>
                <w:tc>
                  <w:tcPr>
                    <w:tcW w:w="709" w:type="dxa"/>
                    <w:shd w:val="clear" w:color="auto" w:fill="auto"/>
                  </w:tcPr>
                  <w:p>
                    <w:pPr>
                      <w:rPr>
                        <w:sz w:val="20"/>
                      </w:rPr>
                    </w:pPr>
                    <w:r>
                      <w:rPr>
                        <w:sz w:val="20"/>
                      </w:rPr>
                      <w:t>I</w:t>
                    </w:r>
                  </w:p>
                </w:tc>
                <w:tc>
                  <w:tcPr>
                    <w:tcW w:w="1559" w:type="dxa"/>
                    <w:shd w:val="clear" w:color="auto" w:fill="auto"/>
                  </w:tcPr>
                  <w:p>
                    <w:pPr>
                      <w:rPr>
                        <w:sz w:val="20"/>
                      </w:rPr>
                    </w:pPr>
                    <w:r>
                      <w:rPr>
                        <w:sz w:val="20"/>
                      </w:rPr>
                      <w:t>SAM</w:t>
                    </w:r>
                  </w:p>
                </w:tc>
                <w:tc>
                  <w:tcPr>
                    <w:tcW w:w="709" w:type="dxa"/>
                    <w:shd w:val="clear" w:color="auto" w:fill="auto"/>
                  </w:tcPr>
                  <w:p>
                    <w:pPr>
                      <w:rPr>
                        <w:sz w:val="20"/>
                      </w:rPr>
                    </w:pPr>
                    <w:r>
                      <w:rPr>
                        <w:sz w:val="20"/>
                      </w:rPr>
                      <w:t>P</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5 000</w:t>
                    </w:r>
                  </w:p>
                  <w:p>
                    <w:pPr>
                      <w:rPr>
                        <w:sz w:val="20"/>
                        <w:lang w:val="en-US"/>
                      </w:rPr>
                    </w:pPr>
                  </w:p>
                </w:tc>
                <w:tc>
                  <w:tcPr>
                    <w:tcW w:w="992" w:type="dxa"/>
                    <w:shd w:val="clear" w:color="auto" w:fill="auto"/>
                  </w:tcPr>
                  <w:p>
                    <w:pPr>
                      <w:ind w:left="-57" w:right="-57"/>
                      <w:rPr>
                        <w:sz w:val="20"/>
                      </w:rPr>
                    </w:pPr>
                    <w:r>
                      <w:rPr>
                        <w:sz w:val="20"/>
                      </w:rPr>
                      <w:t>VB</w:t>
                    </w:r>
                  </w:p>
                </w:tc>
                <w:tc>
                  <w:tcPr>
                    <w:tcW w:w="2551" w:type="dxa"/>
                    <w:shd w:val="clear" w:color="auto" w:fill="auto"/>
                  </w:tcPr>
                  <w:p>
                    <w:pPr>
                      <w:ind w:left="-57" w:right="-57"/>
                      <w:rPr>
                        <w:sz w:val="20"/>
                      </w:rPr>
                    </w:pPr>
                    <w:r>
                      <w:rPr>
                        <w:sz w:val="20"/>
                      </w:rPr>
                      <w:t>P – Specialistai, dalyvavę kvalifikacijos tobulinimo veiklose, asmenys</w:t>
                    </w:r>
                  </w:p>
                </w:tc>
                <w:tc>
                  <w:tcPr>
                    <w:tcW w:w="851" w:type="dxa"/>
                    <w:shd w:val="clear" w:color="auto" w:fill="auto"/>
                  </w:tcPr>
                  <w:p>
                    <w:pPr>
                      <w:ind w:left="-57" w:right="-57"/>
                      <w:jc w:val="center"/>
                      <w:rPr>
                        <w:sz w:val="20"/>
                      </w:rPr>
                    </w:pPr>
                    <w:r>
                      <w:rPr>
                        <w:sz w:val="20"/>
                      </w:rPr>
                      <w:t>18 000</w:t>
                    </w:r>
                  </w:p>
                  <w:p>
                    <w:pPr>
                      <w:ind w:left="-57" w:right="-57"/>
                      <w:jc w:val="center"/>
                      <w:rPr>
                        <w:sz w:val="20"/>
                      </w:rPr>
                    </w:pPr>
                    <w:r>
                      <w:rPr>
                        <w:sz w:val="20"/>
                      </w:rPr>
                      <w:t>(2030 m.)</w:t>
                    </w:r>
                  </w:p>
                  <w:p>
                    <w:pPr>
                      <w:ind w:left="-57" w:right="-57"/>
                      <w:jc w:val="center"/>
                      <w:rPr>
                        <w:sz w:val="20"/>
                      </w:rPr>
                    </w:pPr>
                  </w:p>
                </w:tc>
                <w:tc>
                  <w:tcPr>
                    <w:tcW w:w="992" w:type="dxa"/>
                    <w:shd w:val="clear" w:color="auto" w:fill="auto"/>
                  </w:tcPr>
                  <w:p>
                    <w:pPr>
                      <w:rPr>
                        <w:sz w:val="20"/>
                      </w:rPr>
                    </w:pPr>
                    <w:r>
                      <w:rPr>
                        <w:sz w:val="20"/>
                      </w:rPr>
                      <w:t>SAM</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val="restart"/>
                    <w:shd w:val="clear" w:color="auto" w:fill="auto"/>
                  </w:tcPr>
                  <w:p>
                    <w:pPr>
                      <w:rPr>
                        <w:sz w:val="20"/>
                      </w:rPr>
                    </w:pPr>
                    <w:r>
                      <w:rPr>
                        <w:sz w:val="20"/>
                      </w:rPr>
                      <w:t>11.4. Ilgalaikės priežiūros paslaugas teikiančių specialistų parengimas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2 100</w:t>
                    </w:r>
                  </w:p>
                  <w:p>
                    <w:pPr>
                      <w:rPr>
                        <w:sz w:val="20"/>
                        <w:lang w:val="en-US"/>
                      </w:rPr>
                    </w:pPr>
                  </w:p>
                </w:tc>
                <w:tc>
                  <w:tcPr>
                    <w:tcW w:w="992" w:type="dxa"/>
                    <w:shd w:val="clear" w:color="auto" w:fill="auto"/>
                  </w:tcPr>
                  <w:p>
                    <w:pPr>
                      <w:ind w:left="-57" w:right="-57"/>
                      <w:rPr>
                        <w:sz w:val="20"/>
                      </w:rPr>
                    </w:pPr>
                    <w:r>
                      <w:rPr>
                        <w:sz w:val="20"/>
                      </w:rPr>
                      <w:t>EGADP</w:t>
                    </w:r>
                  </w:p>
                  <w:p>
                    <w:pPr>
                      <w:ind w:left="-57" w:right="-57"/>
                      <w:rPr>
                        <w:sz w:val="20"/>
                      </w:rPr>
                    </w:pPr>
                  </w:p>
                </w:tc>
                <w:tc>
                  <w:tcPr>
                    <w:tcW w:w="2551" w:type="dxa"/>
                    <w:vMerge w:val="restart"/>
                    <w:shd w:val="clear" w:color="auto" w:fill="auto"/>
                  </w:tcPr>
                  <w:p>
                    <w:pPr>
                      <w:ind w:left="-57" w:right="-57"/>
                      <w:rPr>
                        <w:sz w:val="20"/>
                      </w:rPr>
                    </w:pPr>
                    <w:r>
                      <w:rPr>
                        <w:sz w:val="20"/>
                      </w:rPr>
                      <w:t xml:space="preserve">P – </w:t>
                    </w:r>
                    <w:r>
                      <w:rPr>
                        <w:sz w:val="20"/>
                        <w:lang w:eastAsia="lt-LT"/>
                      </w:rPr>
                      <w:t xml:space="preserve">Baigtas mažiausiai 1 000 ilgalaikės priežiūros specialistų mokymas, vnt. </w:t>
                    </w:r>
                  </w:p>
                </w:tc>
                <w:tc>
                  <w:tcPr>
                    <w:tcW w:w="851" w:type="dxa"/>
                    <w:vMerge w:val="restart"/>
                    <w:shd w:val="clear" w:color="auto" w:fill="auto"/>
                  </w:tcPr>
                  <w:p>
                    <w:pPr>
                      <w:ind w:left="-57" w:right="-57"/>
                      <w:jc w:val="center"/>
                      <w:rPr>
                        <w:sz w:val="20"/>
                      </w:rPr>
                    </w:pPr>
                    <w:r>
                      <w:rPr>
                        <w:sz w:val="20"/>
                      </w:rPr>
                      <w:t>1 000</w:t>
                    </w:r>
                  </w:p>
                  <w:p>
                    <w:pPr>
                      <w:ind w:left="-57" w:right="-57"/>
                      <w:jc w:val="center"/>
                      <w:rPr>
                        <w:sz w:val="20"/>
                      </w:rPr>
                    </w:pPr>
                    <w:r>
                      <w:rPr>
                        <w:sz w:val="20"/>
                      </w:rPr>
                      <w:t>(2024 m. IV ketv.)</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color w:val="000000"/>
                        <w:sz w:val="20"/>
                      </w:rPr>
                    </w:pPr>
                    <w:r>
                      <w:rPr>
                        <w:color w:val="000000"/>
                        <w:sz w:val="20"/>
                      </w:rPr>
                      <w:t>SAM,</w:t>
                    </w:r>
                  </w:p>
                  <w:p>
                    <w:pPr>
                      <w:rPr>
                        <w:sz w:val="20"/>
                      </w:rPr>
                    </w:pPr>
                    <w:r>
                      <w:rPr>
                        <w:sz w:val="20"/>
                      </w:rPr>
                      <w:t>SADM,</w:t>
                    </w:r>
                  </w:p>
                  <w:p>
                    <w:pPr>
                      <w:rPr>
                        <w:sz w:val="20"/>
                      </w:rPr>
                    </w:pPr>
                    <w:r>
                      <w:rPr>
                        <w:sz w:val="20"/>
                      </w:rPr>
                      <w:t>Švietimo, mokslo ir sporto ministerija</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lang w:val="en-US"/>
                      </w:rPr>
                    </w:pPr>
                    <w:r>
                      <w:rPr>
                        <w:sz w:val="20"/>
                        <w:lang w:val="en-US"/>
                      </w:rPr>
                      <w:t>440</w:t>
                    </w:r>
                  </w:p>
                </w:tc>
                <w:tc>
                  <w:tcPr>
                    <w:tcW w:w="992" w:type="dxa"/>
                    <w:shd w:val="clear" w:color="auto" w:fill="auto"/>
                  </w:tcPr>
                  <w:p>
                    <w:pPr>
                      <w:rPr>
                        <w:sz w:val="20"/>
                      </w:rPr>
                    </w:pPr>
                    <w:r>
                      <w:rPr>
                        <w:sz w:val="20"/>
                      </w:rPr>
                      <w:t>PVM iš VB</w:t>
                    </w:r>
                  </w:p>
                </w:tc>
                <w:tc>
                  <w:tcPr>
                    <w:tcW w:w="2551" w:type="dxa"/>
                    <w:vMerge/>
                    <w:tcBorders>
                      <w:bottom w:val="single" w:sz="4" w:space="0" w:color="auto"/>
                    </w:tcBorders>
                    <w:shd w:val="clear" w:color="auto" w:fill="FFFFFF" w:themeFill="background1"/>
                  </w:tcPr>
                  <w:p>
                    <w:pPr>
                      <w:ind w:left="-57" w:right="-57"/>
                      <w:rPr>
                        <w:sz w:val="20"/>
                      </w:rPr>
                    </w:pPr>
                  </w:p>
                </w:tc>
                <w:tc>
                  <w:tcPr>
                    <w:tcW w:w="851" w:type="dxa"/>
                    <w:vMerge/>
                    <w:tcBorders>
                      <w:bottom w:val="single" w:sz="4" w:space="0" w:color="auto"/>
                    </w:tcBorders>
                    <w:shd w:val="clear" w:color="auto" w:fill="FFFFFF" w:themeFill="background1"/>
                  </w:tcPr>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b/>
                        <w:bCs/>
                        <w:sz w:val="20"/>
                      </w:rPr>
                    </w:pPr>
                    <w:r>
                      <w:rPr>
                        <w:b/>
                        <w:bCs/>
                        <w:sz w:val="20"/>
                      </w:rPr>
                      <w:t>12. ASPĮ tinklo optimizavimo reformos valdymas ir komunikacija</w:t>
                    </w:r>
                  </w:p>
                </w:tc>
                <w:tc>
                  <w:tcPr>
                    <w:tcW w:w="709" w:type="dxa"/>
                    <w:vMerge w:val="restart"/>
                    <w:shd w:val="clear" w:color="auto" w:fill="F2F2F2" w:themeFill="background1" w:themeFillShade="F2"/>
                  </w:tcPr>
                  <w:p>
                    <w:pPr>
                      <w:rPr>
                        <w:sz w:val="20"/>
                      </w:rPr>
                    </w:pPr>
                    <w:r>
                      <w:rPr>
                        <w:sz w:val="20"/>
                      </w:rPr>
                      <w:t>M</w:t>
                    </w:r>
                  </w:p>
                </w:tc>
                <w:tc>
                  <w:tcPr>
                    <w:tcW w:w="1559" w:type="dxa"/>
                    <w:vMerge w:val="restart"/>
                    <w:shd w:val="clear" w:color="auto" w:fill="F2F2F2" w:themeFill="background1" w:themeFillShade="F2"/>
                  </w:tcPr>
                  <w:p>
                    <w:pPr>
                      <w:rPr>
                        <w:sz w:val="20"/>
                      </w:rPr>
                    </w:pPr>
                    <w:r>
                      <w:rPr>
                        <w:sz w:val="20"/>
                      </w:rPr>
                      <w:t>SAM</w:t>
                    </w:r>
                  </w:p>
                </w:tc>
                <w:tc>
                  <w:tcPr>
                    <w:tcW w:w="709" w:type="dxa"/>
                    <w:vMerge w:val="restart"/>
                    <w:shd w:val="clear" w:color="auto" w:fill="F2F2F2" w:themeFill="background1" w:themeFillShade="F2"/>
                  </w:tcPr>
                  <w:p>
                    <w:pPr>
                      <w:rPr>
                        <w:sz w:val="20"/>
                      </w:rPr>
                    </w:pPr>
                    <w:r>
                      <w:rPr>
                        <w:sz w:val="20"/>
                      </w:rPr>
                      <w:t>P</w:t>
                    </w:r>
                  </w:p>
                </w:tc>
                <w:tc>
                  <w:tcPr>
                    <w:tcW w:w="992" w:type="dxa"/>
                    <w:vMerge w:val="restart"/>
                    <w:shd w:val="clear" w:color="auto" w:fill="F2F2F2" w:themeFill="background1" w:themeFillShade="F2"/>
                  </w:tcPr>
                  <w:p>
                    <w:pPr>
                      <w:rPr>
                        <w:sz w:val="20"/>
                      </w:rPr>
                    </w:pPr>
                    <w:r>
                      <w:rPr>
                        <w:sz w:val="20"/>
                      </w:rPr>
                      <w:t>Taip</w:t>
                    </w:r>
                  </w:p>
                </w:tc>
                <w:tc>
                  <w:tcPr>
                    <w:tcW w:w="709" w:type="dxa"/>
                    <w:vMerge w:val="restart"/>
                    <w:shd w:val="clear" w:color="auto" w:fill="F2F2F2" w:themeFill="background1" w:themeFillShade="F2"/>
                  </w:tcPr>
                  <w:p>
                    <w:pPr>
                      <w:rPr>
                        <w:sz w:val="20"/>
                      </w:rPr>
                    </w:pPr>
                    <w:r>
                      <w:rPr>
                        <w:sz w:val="20"/>
                      </w:rPr>
                      <w:t>D</w:t>
                    </w:r>
                  </w:p>
                </w:tc>
                <w:tc>
                  <w:tcPr>
                    <w:tcW w:w="1276" w:type="dxa"/>
                    <w:vMerge w:val="restart"/>
                    <w:shd w:val="clear" w:color="auto" w:fill="F2F2F2" w:themeFill="background1" w:themeFillShade="F2"/>
                  </w:tcPr>
                  <w:p>
                    <w:pPr>
                      <w:rPr>
                        <w:b/>
                        <w:bCs/>
                        <w:sz w:val="20"/>
                        <w:lang w:val="en-US"/>
                      </w:rPr>
                    </w:pPr>
                    <w:r>
                      <w:rPr>
                        <w:b/>
                        <w:bCs/>
                        <w:sz w:val="20"/>
                        <w:lang w:val="en-US"/>
                      </w:rPr>
                      <w:t>1750</w:t>
                    </w:r>
                  </w:p>
                </w:tc>
                <w:tc>
                  <w:tcPr>
                    <w:tcW w:w="992" w:type="dxa"/>
                    <w:vMerge w:val="restart"/>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P </w:t>
                    </w:r>
                    <w:r>
                      <w:rPr>
                        <w:color w:val="000000"/>
                        <w:szCs w:val="24"/>
                      </w:rPr>
                      <w:t xml:space="preserve">– </w:t>
                    </w:r>
                    <w:r>
                      <w:rPr>
                        <w:sz w:val="20"/>
                      </w:rPr>
                      <w:t>Parengta reformos komunikacijos strategija, vnt.</w:t>
                    </w:r>
                  </w:p>
                </w:tc>
                <w:tc>
                  <w:tcPr>
                    <w:tcW w:w="851" w:type="dxa"/>
                    <w:shd w:val="clear" w:color="auto" w:fill="F2F2F2" w:themeFill="background1" w:themeFillShade="F2"/>
                  </w:tcPr>
                  <w:p>
                    <w:pPr>
                      <w:ind w:left="-57" w:right="-57"/>
                      <w:jc w:val="center"/>
                      <w:rPr>
                        <w:sz w:val="20"/>
                      </w:rPr>
                    </w:pPr>
                    <w:r>
                      <w:rPr>
                        <w:sz w:val="20"/>
                      </w:rPr>
                      <w:t>1</w:t>
                    </w:r>
                  </w:p>
                  <w:p>
                    <w:pPr>
                      <w:ind w:left="-57" w:right="-57"/>
                      <w:jc w:val="center"/>
                      <w:rPr>
                        <w:sz w:val="20"/>
                      </w:rPr>
                    </w:pPr>
                    <w:r>
                      <w:rPr>
                        <w:sz w:val="20"/>
                      </w:rPr>
                      <w:t>(2023 m.)</w:t>
                    </w: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w:t>
                    </w: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vMerge/>
                    <w:shd w:val="clear" w:color="auto" w:fill="F2F2F2" w:themeFill="background1" w:themeFillShade="F2"/>
                  </w:tcPr>
                  <w:p>
                    <w:pPr>
                      <w:rPr>
                        <w:b/>
                        <w:bCs/>
                        <w:sz w:val="20"/>
                        <w:lang w:val="en-US"/>
                      </w:rPr>
                    </w:pPr>
                  </w:p>
                </w:tc>
                <w:tc>
                  <w:tcPr>
                    <w:tcW w:w="992" w:type="dxa"/>
                    <w:vMerge/>
                    <w:shd w:val="clear" w:color="auto" w:fill="F2F2F2" w:themeFill="background1" w:themeFillShade="F2"/>
                  </w:tcPr>
                  <w:p>
                    <w:pPr>
                      <w:rPr>
                        <w:sz w:val="20"/>
                      </w:rPr>
                    </w:pPr>
                  </w:p>
                </w:tc>
                <w:tc>
                  <w:tcPr>
                    <w:tcW w:w="2551" w:type="dxa"/>
                    <w:shd w:val="clear" w:color="auto" w:fill="F2F2F2" w:themeFill="background1" w:themeFillShade="F2"/>
                  </w:tcPr>
                  <w:p>
                    <w:pPr>
                      <w:ind w:left="-57" w:right="-57"/>
                      <w:rPr>
                        <w:sz w:val="20"/>
                      </w:rPr>
                    </w:pPr>
                    <w:r>
                      <w:rPr>
                        <w:sz w:val="20"/>
                        <w:lang w:eastAsia="lt-LT"/>
                      </w:rPr>
                      <w:t xml:space="preserve">P </w:t>
                    </w:r>
                    <w:r>
                      <w:rPr>
                        <w:sz w:val="20"/>
                      </w:rPr>
                      <w:t>–</w:t>
                    </w:r>
                    <w:r>
                      <w:rPr>
                        <w:sz w:val="20"/>
                        <w:lang w:eastAsia="lt-LT"/>
                      </w:rPr>
                      <w:t xml:space="preserve"> Sveikatos įstaigų ir agentūrų viešųjų pirkimų centralizavimo plano priėmimas</w:t>
                    </w:r>
                  </w:p>
                </w:tc>
                <w:tc>
                  <w:tcPr>
                    <w:tcW w:w="851" w:type="dxa"/>
                    <w:shd w:val="clear" w:color="auto" w:fill="F2F2F2" w:themeFill="background1" w:themeFillShade="F2"/>
                  </w:tcPr>
                  <w:p>
                    <w:pPr>
                      <w:jc w:val="center"/>
                      <w:rPr>
                        <w:sz w:val="20"/>
                      </w:rPr>
                    </w:pPr>
                    <w:r>
                      <w:rPr>
                        <w:sz w:val="20"/>
                      </w:rPr>
                      <w:t>1</w:t>
                    </w:r>
                  </w:p>
                  <w:p>
                    <w:pPr>
                      <w:ind w:left="-57" w:right="-57"/>
                      <w:jc w:val="center"/>
                      <w:rPr>
                        <w:sz w:val="20"/>
                      </w:rPr>
                    </w:pPr>
                    <w:r>
                      <w:rPr>
                        <w:sz w:val="20"/>
                      </w:rPr>
                      <w:t>(202</w:t>
                    </w:r>
                    <w:r>
                      <w:rPr>
                        <w:sz w:val="20"/>
                        <w:lang w:val="en-US"/>
                      </w:rPr>
                      <w:t>3</w:t>
                    </w:r>
                    <w:r>
                      <w:rPr>
                        <w:sz w:val="20"/>
                      </w:rPr>
                      <w:t xml:space="preserve"> m. II ketv.)</w:t>
                    </w:r>
                  </w:p>
                </w:tc>
                <w:tc>
                  <w:tcPr>
                    <w:tcW w:w="992" w:type="dxa"/>
                    <w:shd w:val="clear" w:color="auto" w:fill="F2F2F2" w:themeFill="background1" w:themeFillShade="F2"/>
                  </w:tcPr>
                  <w:p>
                    <w:pPr>
                      <w:rPr>
                        <w:sz w:val="20"/>
                      </w:rPr>
                    </w:pP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SAM</w:t>
                    </w:r>
                  </w:p>
                </w:tc>
              </w:tr>
            </w:tbl>
            <w:p>
              <w:pPr>
                <w:ind w:left="142" w:hanging="142"/>
                <w:jc w:val="both"/>
                <w:rPr>
                  <w:bCs/>
                  <w:sz w:val="22"/>
                  <w:szCs w:val="22"/>
                </w:rPr>
              </w:pPr>
              <w:r>
                <w:rPr>
                  <w:bCs/>
                  <w:sz w:val="22"/>
                  <w:szCs w:val="22"/>
                </w:rPr>
                <w:t xml:space="preserve">Sutrumpinimai: </w:t>
              </w:r>
            </w:p>
            <w:p>
              <w:pPr>
                <w:jc w:val="both"/>
                <w:rPr>
                  <w:sz w:val="22"/>
                  <w:szCs w:val="22"/>
                </w:rPr>
              </w:pPr>
              <w:r>
                <w:rPr>
                  <w:sz w:val="22"/>
                  <w:szCs w:val="22"/>
                </w:rPr>
                <w:t>2 skiltyje: R – reguliacinė (-is), I – investicinė (-is), K – komunikacinė (-is), A – analitinė (-is), M – mišri (-us);</w:t>
              </w:r>
            </w:p>
            <w:p>
              <w:pPr>
                <w:jc w:val="both"/>
                <w:rPr>
                  <w:sz w:val="22"/>
                  <w:szCs w:val="22"/>
                </w:rPr>
              </w:pPr>
              <w:r>
                <w:rPr>
                  <w:sz w:val="22"/>
                  <w:szCs w:val="22"/>
                </w:rPr>
                <w:t xml:space="preserve">4 skiltyje: P – planavimas, vykdomas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w:t>
              </w:r>
              <w:r>
                <w:rPr>
                  <w:bCs/>
                  <w:sz w:val="22"/>
                  <w:szCs w:val="22"/>
                </w:rPr>
                <w:t xml:space="preserve">projektų finansavimo sąlygų aprašus (2022–2030 metų </w:t>
              </w:r>
              <w:r>
                <w:rPr>
                  <w:sz w:val="22"/>
                  <w:szCs w:val="22"/>
                </w:rPr>
                <w:t>plėtros programos valdytojos Lietuvos Respublikos sveikatos apsaugos ministerijos sveikatos priežiūros kokybės ir efektyvumo didinimo plėtros programos pažangos priemonės Nr. 11-002-02-11-01 „Gerinti sveikatos priežiūros paslaugų kokybę ir prieinamumą“</w:t>
              </w:r>
              <w:r>
                <w:rPr>
                  <w:bCs/>
                  <w:i/>
                  <w:sz w:val="22"/>
                  <w:szCs w:val="22"/>
                  <w:lang w:eastAsia="lt-LT"/>
                </w:rPr>
                <w:t xml:space="preserve"> </w:t>
              </w:r>
              <w:r>
                <w:rPr>
                  <w:bCs/>
                  <w:sz w:val="22"/>
                  <w:szCs w:val="22"/>
                  <w:lang w:eastAsia="lt-LT"/>
                </w:rPr>
                <w:t xml:space="preserve">aprašo priedai), </w:t>
              </w:r>
              <w:r>
                <w:rPr>
                  <w:sz w:val="22"/>
                  <w:szCs w:val="22"/>
                </w:rPr>
                <w:t>K – konkursas, T – tęstinė atranka, Pj – planavimas, kai ketinama įgyvendinti jungtinį projektą;</w:t>
              </w:r>
            </w:p>
            <w:p>
              <w:pPr>
                <w:ind w:firstLine="57"/>
                <w:jc w:val="both"/>
                <w:rPr>
                  <w:sz w:val="22"/>
                  <w:szCs w:val="22"/>
                </w:rPr>
              </w:pPr>
            </w:p>
            <w:p>
              <w:pPr>
                <w:ind w:left="142" w:hanging="142"/>
                <w:jc w:val="both"/>
                <w:rPr>
                  <w:sz w:val="22"/>
                  <w:szCs w:val="22"/>
                </w:rPr>
              </w:pPr>
              <w:r>
                <w:rPr>
                  <w:sz w:val="22"/>
                  <w:szCs w:val="22"/>
                </w:rPr>
                <w:t>6 skiltyje: DS – dotacija taikant sąlygas, D – dotacija, FP – finansinė priemonė, A – apdovanojimai;</w:t>
              </w:r>
            </w:p>
            <w:p>
              <w:pPr>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p>
              <w:pPr>
                <w:jc w:val="both"/>
                <w:rPr>
                  <w:sz w:val="22"/>
                  <w:szCs w:val="22"/>
                </w:rPr>
              </w:pPr>
            </w:p>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sdtContent>
        </w:sdt>
        <w:sdt>
          <w:sdtPr>
            <w:alias w:val="pabaiga"/>
            <w:tag w:val="part_409a53616be741a5b39ea703920f091a"/>
            <w:lock w:val="sdtLocked"/>
            <w:richText/>
          </w:sdtPr>
          <w:sdtContent>
            <w:p>
              <w:pPr>
                <w:jc w:val="center"/>
              </w:pPr>
              <w:r>
                <w:rPr>
                  <w:sz w:val="22"/>
                  <w:szCs w:val="22"/>
                </w:rPr>
                <w:t>________________</w:t>
              </w:r>
            </w:p>
          </w:sdtContent>
        </w:sd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3.2 priedas</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9e449e05f7411edbc04912defe897d1">
            <w:r w:rsidRPr="00532B9F">
              <w:rPr>
                <w:rFonts w:ascii="Arial" w:eastAsia="MS Mincho" w:hAnsi="Arial"/>
                <w:sz w:val="20"/>
                <w:i/>
                <w:iCs/>
                <w:color w:val="0000FF" w:themeColor="hyperlink"/>
                <w:u w:val="single"/>
              </w:rPr>
              <w:t>V-1640</w:t>
            </w:r>
          </w:fldSimple>
          <w:r>
            <w:rPr>
              <w:rFonts w:ascii="Arial" w:eastAsia="MS Mincho" w:hAnsi="Arial"/>
              <w:sz w:val="20"/>
              <w:i/>
              <w:iCs/>
            </w:rPr>
            <w:t>,
2022-11-08,
paskelbta TAR 2022-11-08, i. k. 2022-22630        </w:t>
          </w:r>
        </w:p>
        <w:p>
          <w:pPr>
            <w:pStyle w:val="PlainText"/>
            <w:rPr>
              <w:rFonts w:ascii="Arial" w:eastAsia="MS Mincho" w:hAnsi="Arial"/>
              <w:sz w:val="20"/>
              <w:i/>
              <w:iCs/>
            </w:rPr>
          </w:pPr>
          <w:r>
            <w:rPr>
              <w:rFonts w:ascii="Arial" w:eastAsia="MS Mincho" w:hAnsi="Arial"/>
              <w:sz w:val="20"/>
              <w:i/>
              <w:iCs/>
            </w:rPr>
            <w:t>Neteko galios nuo: 2022-12-15</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4fa5f07b6f11edbc04912defe897d1">
            <w:r w:rsidRPr="00532B9F">
              <w:rPr>
                <w:rFonts w:ascii="Arial" w:eastAsia="MS Mincho" w:hAnsi="Arial"/>
                <w:sz w:val="20"/>
                <w:i/>
                <w:iCs/>
                <w:color w:val="0000FF" w:themeColor="hyperlink"/>
                <w:u w:val="single"/>
              </w:rPr>
              <w:t>V-1854</w:t>
            </w:r>
          </w:fldSimple>
          <w:r>
            <w:rPr>
              <w:rFonts w:ascii="Arial" w:eastAsia="MS Mincho" w:hAnsi="Arial"/>
              <w:sz w:val="20"/>
              <w:i/>
              <w:iCs/>
            </w:rPr>
            <w:t>,
2022-12-14,
paskelbta TAR 2022-12-14, i. k. 2022-25434        </w:t>
          </w:r>
        </w:p>
        <w:p/>
        <w:p>
          <w:pPr>
            <w:pStyle w:val="PlainText"/>
            <w:rPr>
              <w:rFonts w:ascii="Arial" w:eastAsia="MS Mincho" w:hAnsi="Arial"/>
              <w:sz w:val="20"/>
              <w:iCs/>
            </w:rPr>
          </w:pPr>
          <w:r>
            <w:rPr>
              <w:rFonts w:ascii="Arial" w:eastAsia="MS Mincho" w:hAnsi="Arial"/>
              <w:sz w:val="20"/>
              <w:iCs/>
            </w:rPr>
            <w:t>PžP aprašo 1 priedas. 4.2 poveiklės Sveikatos priežiūros specialistų kompetencijų platformos sukūrimas PFSA (V-572)</w:t>
          </w:r>
        </w:p>
        <w:p/>
        <w:p>
          <w:pPr>
            <w:pStyle w:val="PlainText"/>
            <w:rPr>
              <w:rFonts w:ascii="Arial" w:eastAsia="MS Mincho" w:hAnsi="Arial"/>
              <w:sz w:val="20"/>
              <w:iCs/>
            </w:rPr>
          </w:pPr>
          <w:r>
            <w:rPr>
              <w:rFonts w:ascii="Arial" w:eastAsia="MS Mincho" w:hAnsi="Arial"/>
              <w:sz w:val="20"/>
              <w:iCs/>
            </w:rPr>
            <w:t>PžP aprašo 2 priedas. 2.2 poveiklės Infekcinių ligų klasterių centrų įrengimas PFSA (V-793)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3 priedas. 3.2 poveiklės Genomo tyrimams atlikti reikalingos įrangos įsigijimas ir tyrimų atlikimas PFSA (V-572)</w:t>
          </w:r>
        </w:p>
        <w:p/>
        <w:p>
          <w:pPr>
            <w:pStyle w:val="PlainText"/>
            <w:rPr>
              <w:rFonts w:ascii="Arial" w:eastAsia="MS Mincho" w:hAnsi="Arial"/>
              <w:sz w:val="20"/>
              <w:iCs/>
            </w:rPr>
          </w:pPr>
          <w:r>
            <w:rPr>
              <w:rFonts w:ascii="Arial" w:eastAsia="MS Mincho" w:hAnsi="Arial"/>
              <w:sz w:val="20"/>
              <w:iCs/>
            </w:rPr>
            <w:t>PžP aprašo 4 priedas. 4.4 poveiklės Sveikatos sektoriaus skaitmeninimo projektai_VVKT_ PFSA (V-793)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5 priedas. 4.4 poveiklės Sveikatos sektoriaus skaitmeninimo projektai_ESVIS_ PFSA (V-793)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6 priedas. 2.3 poveiklės Regioninių sveikatos priežiūros įstaigų infrastruktūros modernizavimas PFSA V-793)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7 priedas 3.1 poveiklės Pažangios terapijos centro statyba PFSA (V-793)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8 priedas. 8.2 poveiklės Bandomojo pavėžėjimo paslaugų teikimo projekto įgyvendinimasPFSA (V-572)</w:t>
          </w:r>
        </w:p>
        <w:p/>
        <w:p>
          <w:pPr>
            <w:pStyle w:val="PlainText"/>
            <w:rPr>
              <w:rFonts w:ascii="Arial" w:eastAsia="MS Mincho" w:hAnsi="Arial"/>
              <w:sz w:val="20"/>
              <w:iCs/>
            </w:rPr>
          </w:pPr>
          <w:r>
            <w:rPr>
              <w:rFonts w:ascii="Arial" w:eastAsia="MS Mincho" w:hAnsi="Arial"/>
              <w:sz w:val="20"/>
              <w:iCs/>
            </w:rPr>
            <w:t>PžP aprašo 9 priedas. 4.3 poveiklės Sveikatos priežiūros paslaugų kokybės vertinimo modelio (rodiklių švieslentės)1 (V-572)</w:t>
          </w:r>
        </w:p>
        <w:p/>
        <w:p>
          <w:pPr>
            <w:pStyle w:val="PlainText"/>
            <w:rPr>
              <w:rFonts w:ascii="Arial" w:eastAsia="MS Mincho" w:hAnsi="Arial"/>
              <w:sz w:val="20"/>
              <w:iCs/>
            </w:rPr>
          </w:pPr>
          <w:r>
            <w:rPr>
              <w:rFonts w:ascii="Arial" w:eastAsia="MS Mincho" w:hAnsi="Arial"/>
              <w:sz w:val="20"/>
              <w:iCs/>
            </w:rPr>
            <w:t>PžP aprašo 10 priedas. 9.2 ir 9.3 poveiklių GMP automobilių įrangos įsigijimas ir greitosios medicinos pagalbos st2 (V-572)</w:t>
          </w:r>
        </w:p>
        <w:p/>
        <w:p>
          <w:pPr>
            <w:pStyle w:val="PlainText"/>
            <w:rPr>
              <w:rFonts w:ascii="Arial" w:eastAsia="MS Mincho" w:hAnsi="Arial"/>
              <w:sz w:val="20"/>
              <w:iCs/>
            </w:rPr>
          </w:pPr>
          <w:r>
            <w:rPr>
              <w:rFonts w:ascii="Arial" w:eastAsia="MS Mincho" w:hAnsi="Arial"/>
              <w:sz w:val="20"/>
              <w:iCs/>
            </w:rPr>
            <w:t>PžP aprašo 11 priedas. 7.4 poveiklės Integruotų psichikos sveikatos paslaugų bei modelių išbandymas ir diegimas PF3 (V-678)</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5d7600350d11efbdaea558de59136c">
            <w:r w:rsidRPr="00532B9F">
              <w:rPr>
                <w:rFonts w:ascii="Arial" w:eastAsia="MS Mincho" w:hAnsi="Arial"/>
                <w:sz w:val="20"/>
                <w:i/>
                <w:iCs/>
                <w:color w:val="0000FF" w:themeColor="hyperlink"/>
                <w:u w:val="single"/>
              </w:rPr>
              <w:t>V-678</w:t>
            </w:r>
          </w:fldSimple>
          <w:r>
            <w:rPr>
              <w:rFonts w:ascii="Arial" w:eastAsia="MS Mincho" w:hAnsi="Arial"/>
              <w:sz w:val="20"/>
              <w:i/>
              <w:iCs/>
            </w:rPr>
            <w:t>,
2024-06-28,
paskelbta TAR 2024-06-28, i. k. 2024-11942        </w:t>
          </w:r>
        </w:p>
        <w:p/>
        <w:p>
          <w:pPr>
            <w:pStyle w:val="PlainText"/>
            <w:rPr>
              <w:rFonts w:ascii="Arial" w:eastAsia="MS Mincho" w:hAnsi="Arial"/>
              <w:sz w:val="20"/>
              <w:iCs/>
            </w:rPr>
          </w:pPr>
          <w:r>
            <w:rPr>
              <w:rFonts w:ascii="Arial" w:eastAsia="MS Mincho" w:hAnsi="Arial"/>
              <w:sz w:val="20"/>
              <w:iCs/>
            </w:rPr>
            <w:t>PžP aprašo 12 priedas. 4.4 poveiklės Sveikatos sektoriaus skaitmeninimo projektai_dekomponavimas_ PFSA (V-793)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13 priedas. 7.1_7.2 poveiklių Ambulator. psich. sveikatos paslaugų ir psichosocialinės reabilitacijos p4</w:t>
          </w:r>
        </w:p>
        <w:p/>
        <w:p>
          <w:pPr>
            <w:pStyle w:val="PlainText"/>
            <w:rPr>
              <w:rFonts w:ascii="Arial" w:eastAsia="MS Mincho" w:hAnsi="Arial"/>
              <w:sz w:val="20"/>
              <w:iCs/>
            </w:rPr>
          </w:pPr>
          <w:r>
            <w:rPr>
              <w:rFonts w:ascii="Arial" w:eastAsia="MS Mincho" w:hAnsi="Arial"/>
              <w:sz w:val="20"/>
              <w:iCs/>
            </w:rPr>
            <w:t>PžP aprašo 14 priedas. 4.4 poveiklės Sveikatos sektoriaus skaitmeninimo projektai_GMP_ PFSA (V-793)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15 priedas. 11.4 poveiklės Ilgalaikės priežiūros paslaugas teikiančių specialistų parengimas PFSA (V-572)</w:t>
          </w:r>
        </w:p>
        <w:p/>
        <w:p>
          <w:pPr>
            <w:pStyle w:val="PlainText"/>
            <w:rPr>
              <w:rFonts w:ascii="Arial" w:eastAsia="MS Mincho" w:hAnsi="Arial"/>
              <w:sz w:val="20"/>
              <w:iCs/>
            </w:rPr>
          </w:pPr>
          <w:r>
            <w:rPr>
              <w:rFonts w:ascii="Arial" w:eastAsia="MS Mincho" w:hAnsi="Arial"/>
              <w:sz w:val="20"/>
              <w:iCs/>
            </w:rPr>
            <w:t>PžP aprašo 16 priedas. 4.4 poveiklės Sveikatos sektoriaus skaitmeninimo projektai_ULSVIS_ PFSA (V-793)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17 priedas. 4.4 poveiklės Sveikatos sektoriaus skaitmeninimo projektai_VLK_ PFSA (V-793)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18 priedas. 1.2 Ilgalaikės priežiūros DS įrengimas_1.4 Mobiliųjų komandų aprūpinimas įranga ir transport (V-843)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66d130643411efafbb8694c098bac5">
            <w:r w:rsidRPr="00532B9F">
              <w:rPr>
                <w:rFonts w:ascii="Arial" w:eastAsia="MS Mincho" w:hAnsi="Arial"/>
                <w:sz w:val="20"/>
                <w:i/>
                <w:iCs/>
                <w:color w:val="0000FF" w:themeColor="hyperlink"/>
                <w:u w:val="single"/>
              </w:rPr>
              <w:t>V-843</w:t>
            </w:r>
          </w:fldSimple>
          <w:r>
            <w:rPr>
              <w:rFonts w:ascii="Arial" w:eastAsia="MS Mincho" w:hAnsi="Arial"/>
              <w:sz w:val="20"/>
              <w:i/>
              <w:iCs/>
            </w:rPr>
            <w:t>,
2024-08-27,
paskelbta TAR 2024-08-27, i. k. 2024-14871        </w:t>
          </w:r>
        </w:p>
        <w:p/>
        <w:p>
          <w:pPr>
            <w:pStyle w:val="PlainText"/>
            <w:rPr>
              <w:rFonts w:ascii="Arial" w:eastAsia="MS Mincho" w:hAnsi="Arial"/>
              <w:sz w:val="20"/>
              <w:iCs/>
            </w:rPr>
          </w:pPr>
          <w:r>
            <w:rPr>
              <w:rFonts w:ascii="Arial" w:eastAsia="MS Mincho" w:hAnsi="Arial"/>
              <w:sz w:val="20"/>
              <w:iCs/>
            </w:rPr>
            <w:t>PžP aprašo 19 priedas. 6.2-6.5 poveiklių Sveikatos centro sudėtyje teikiamų sveikatos priežiūros paslaugų infrastr6 (V-572)</w:t>
          </w:r>
        </w:p>
        <w:p/>
        <w:p>
          <w:pPr>
            <w:pStyle w:val="PlainText"/>
            <w:rPr>
              <w:rFonts w:ascii="Arial" w:eastAsia="MS Mincho" w:hAnsi="Arial"/>
              <w:sz w:val="20"/>
              <w:iCs/>
            </w:rPr>
          </w:pPr>
          <w:r>
            <w:rPr>
              <w:rFonts w:ascii="Arial" w:eastAsia="MS Mincho" w:hAnsi="Arial"/>
              <w:sz w:val="20"/>
              <w:iCs/>
            </w:rPr>
            <w:t>PžP aprašo 20 priedas. 4.4 poveiklės Sveikatos sektoriaus skaitmeninimo projektai_EuroHeart_ PFSA (V-572)</w:t>
          </w:r>
        </w:p>
        <w:p/>
        <w:p>
          <w:pPr>
            <w:pStyle w:val="PlainText"/>
            <w:rPr>
              <w:rFonts w:ascii="Arial" w:eastAsia="MS Mincho" w:hAnsi="Arial"/>
              <w:sz w:val="20"/>
              <w:iCs/>
            </w:rPr>
          </w:pPr>
          <w:r>
            <w:rPr>
              <w:rFonts w:ascii="Arial" w:eastAsia="MS Mincho" w:hAnsi="Arial"/>
              <w:sz w:val="20"/>
              <w:iCs/>
            </w:rPr>
            <w:t>PžP aprašo 21 priedas. 2.4-2.5 poveiklių Regionų ir savivaldybių sveikatos priežiūros įstaigų infrastruktūros mod7 (V-572)</w:t>
          </w:r>
        </w:p>
        <w:p/>
        <w:p>
          <w:pPr>
            <w:pStyle w:val="PlainText"/>
            <w:rPr>
              <w:rFonts w:ascii="Arial" w:eastAsia="MS Mincho" w:hAnsi="Arial"/>
              <w:sz w:val="20"/>
              <w:iCs/>
            </w:rPr>
          </w:pPr>
          <w:r>
            <w:rPr>
              <w:rFonts w:ascii="Arial" w:eastAsia="MS Mincho" w:hAnsi="Arial"/>
              <w:sz w:val="20"/>
              <w:iCs/>
            </w:rPr>
            <w:t>PžP aprašo 22 priedas. 4.4 poveiklės Sveikatos sektoriaus skaitmeninimo projektai_PFSA (V-793)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23 priedas 3.3 poveiklės Inovatyvių specializuotų sveikatos priežiūros paslaugų teikimo ir organizavimo modelių kūrimas ir išbandymas_onkologija_PFSA (V-793)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24 priedas. 4.4 poveiklės Sveikatos sektoriaus skaitmeninimo projektai_RC_ PFSA (V-793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25 priedas. 10.3 poveiklės Sveikatos priežiūros specialistų rengimas pritraukimas PFSA (V-572)</w:t>
          </w:r>
        </w:p>
        <w:p/>
        <w:p>
          <w:pPr>
            <w:pStyle w:val="PlainText"/>
            <w:rPr>
              <w:rFonts w:ascii="Arial" w:eastAsia="MS Mincho" w:hAnsi="Arial"/>
              <w:sz w:val="20"/>
              <w:iCs/>
            </w:rPr>
          </w:pPr>
          <w:r>
            <w:rPr>
              <w:rFonts w:ascii="Arial" w:eastAsia="MS Mincho" w:hAnsi="Arial"/>
              <w:sz w:val="20"/>
              <w:iCs/>
            </w:rPr>
            <w:t>PžP aprašo 26 priedas. 7.1 poveiklė Ambulatorinių psichik. sveikatos pasl. ir psichosocialinės reabilitac. plėtrai8 (V-572)</w:t>
          </w:r>
        </w:p>
        <w:p/>
        <w:p>
          <w:pPr>
            <w:pStyle w:val="PlainText"/>
            <w:rPr>
              <w:rFonts w:ascii="Arial" w:eastAsia="MS Mincho" w:hAnsi="Arial"/>
              <w:sz w:val="20"/>
              <w:iCs/>
            </w:rPr>
          </w:pPr>
          <w:r>
            <w:rPr>
              <w:rFonts w:ascii="Arial" w:eastAsia="MS Mincho" w:hAnsi="Arial"/>
              <w:sz w:val="20"/>
              <w:iCs/>
            </w:rPr>
            <w:t>PžP aprašo 27 priedas. 6.8 poveiklės Inovatyvių PSPP teikimo ir organizavimo modelių kūrimas ir išbandymas VVL (V-793)</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9621c01cb911ef8b14c5bcce136045">
            <w:r w:rsidRPr="00532B9F">
              <w:rPr>
                <w:rFonts w:ascii="Arial" w:eastAsia="MS Mincho" w:hAnsi="Arial"/>
                <w:sz w:val="20"/>
                <w:i/>
                <w:iCs/>
                <w:color w:val="0000FF" w:themeColor="hyperlink"/>
                <w:u w:val="single"/>
              </w:rPr>
              <w:t>V-594</w:t>
            </w:r>
          </w:fldSimple>
          <w:r>
            <w:rPr>
              <w:rFonts w:ascii="Arial" w:eastAsia="MS Mincho" w:hAnsi="Arial"/>
              <w:sz w:val="20"/>
              <w:i/>
              <w:iCs/>
            </w:rPr>
            <w:t>,
2024-05-28,
paskelbta TAR 2024-05-28, i. k. 2024-09518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28 priedas. 10.1-10.3 poveiklių Sveikatos priežiūros specialistų pasiūlos užtikrinimas PFSA (V-793)</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9158c100011411ed8fa7d02a65c371ad">
            <w:r w:rsidRPr="00532B9F">
              <w:rPr>
                <w:rFonts w:ascii="Arial" w:eastAsia="MS Mincho" w:hAnsi="Arial"/>
                <w:sz w:val="20"/>
                <w:iCs/>
                <w:color w:val="0000FF" w:themeColor="hyperlink"/>
                <w:u w:val="single"/>
              </w:rPr>
              <w:t>V-1218</w:t>
            </w:r>
          </w:fldSimple>
          <w:r>
            <w:rPr>
              <w:rFonts w:ascii="Arial" w:eastAsia="MS Mincho" w:hAnsi="Arial"/>
              <w:sz w:val="20"/>
              <w:iCs/>
            </w:rPr>
            <w:t>,
2022-07-11,
paskelbta TAR 2022-07-11, i. k. 2022-15213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b76b28016e711edb4cae1b158f98ea5">
            <w:r w:rsidRPr="00532B9F">
              <w:rPr>
                <w:rFonts w:ascii="Arial" w:eastAsia="MS Mincho" w:hAnsi="Arial"/>
                <w:sz w:val="20"/>
                <w:iCs/>
                <w:color w:val="0000FF" w:themeColor="hyperlink"/>
                <w:u w:val="single"/>
              </w:rPr>
              <w:t>V-1315</w:t>
            </w:r>
          </w:fldSimple>
          <w:r>
            <w:rPr>
              <w:rFonts w:ascii="Arial" w:eastAsia="MS Mincho" w:hAnsi="Arial"/>
              <w:sz w:val="20"/>
              <w:iCs/>
            </w:rPr>
            <w:t>,
2022-08-05,
paskelbta TAR 2022-08-08, i. k. 2022-16850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3879de01a3a11edb4cae1b158f98ea5">
            <w:r w:rsidRPr="00532B9F">
              <w:rPr>
                <w:rFonts w:ascii="Arial" w:eastAsia="MS Mincho" w:hAnsi="Arial"/>
                <w:sz w:val="20"/>
                <w:iCs/>
                <w:color w:val="0000FF" w:themeColor="hyperlink"/>
                <w:u w:val="single"/>
              </w:rPr>
              <w:t>V-1362</w:t>
            </w:r>
          </w:fldSimple>
          <w:r>
            <w:rPr>
              <w:rFonts w:ascii="Arial" w:eastAsia="MS Mincho" w:hAnsi="Arial"/>
              <w:sz w:val="20"/>
              <w:iCs/>
            </w:rPr>
            <w:t>,
2022-08-12,
paskelbta TAR 2022-08-12, i. k. 2022-17074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c9e449e05f7411edbc04912defe897d1">
            <w:r w:rsidRPr="00532B9F">
              <w:rPr>
                <w:rFonts w:ascii="Arial" w:eastAsia="MS Mincho" w:hAnsi="Arial"/>
                <w:sz w:val="20"/>
                <w:iCs/>
                <w:color w:val="0000FF" w:themeColor="hyperlink"/>
                <w:u w:val="single"/>
              </w:rPr>
              <w:t>V-1640</w:t>
            </w:r>
          </w:fldSimple>
          <w:r>
            <w:rPr>
              <w:rFonts w:ascii="Arial" w:eastAsia="MS Mincho" w:hAnsi="Arial"/>
              <w:sz w:val="20"/>
              <w:iCs/>
            </w:rPr>
            <w:t>,
2022-11-08,
paskelbta TAR 2022-11-08, i. k. 2022-22630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684fa5f07b6f11edbc04912defe897d1">
            <w:r w:rsidRPr="00532B9F">
              <w:rPr>
                <w:rFonts w:ascii="Arial" w:eastAsia="MS Mincho" w:hAnsi="Arial"/>
                <w:sz w:val="20"/>
                <w:iCs/>
                <w:color w:val="0000FF" w:themeColor="hyperlink"/>
                <w:u w:val="single"/>
              </w:rPr>
              <w:t>V-1854</w:t>
            </w:r>
          </w:fldSimple>
          <w:r>
            <w:rPr>
              <w:rFonts w:ascii="Arial" w:eastAsia="MS Mincho" w:hAnsi="Arial"/>
              <w:sz w:val="20"/>
              <w:iCs/>
            </w:rPr>
            <w:t>,
2022-12-14,
paskelbta TAR 2022-12-14, i. k. 2022-25434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5427e550828711ed8df094f359a60216">
            <w:r w:rsidRPr="00532B9F">
              <w:rPr>
                <w:rFonts w:ascii="Arial" w:eastAsia="MS Mincho" w:hAnsi="Arial"/>
                <w:sz w:val="20"/>
                <w:iCs/>
                <w:color w:val="0000FF" w:themeColor="hyperlink"/>
                <w:u w:val="single"/>
              </w:rPr>
              <w:t>V-1928</w:t>
            </w:r>
          </w:fldSimple>
          <w:r>
            <w:rPr>
              <w:rFonts w:ascii="Arial" w:eastAsia="MS Mincho" w:hAnsi="Arial"/>
              <w:sz w:val="20"/>
              <w:iCs/>
            </w:rPr>
            <w:t>,
2022-12-23,
paskelbta TAR 2022-12-23, i. k. 2022-26581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a392fdf082be11ed8df094f359a60216">
            <w:r w:rsidRPr="00532B9F">
              <w:rPr>
                <w:rFonts w:ascii="Arial" w:eastAsia="MS Mincho" w:hAnsi="Arial"/>
                <w:sz w:val="20"/>
                <w:iCs/>
                <w:color w:val="0000FF" w:themeColor="hyperlink"/>
                <w:u w:val="single"/>
              </w:rPr>
              <w:t>V-1956</w:t>
            </w:r>
          </w:fldSimple>
          <w:r>
            <w:rPr>
              <w:rFonts w:ascii="Arial" w:eastAsia="MS Mincho" w:hAnsi="Arial"/>
              <w:sz w:val="20"/>
              <w:iCs/>
            </w:rPr>
            <w:t>,
2022-12-23,
paskelbta TAR 2022-12-23, i. k. 2022-26786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a064ce608d0411ed8df094f359a60216">
            <w:r w:rsidRPr="00532B9F">
              <w:rPr>
                <w:rFonts w:ascii="Arial" w:eastAsia="MS Mincho" w:hAnsi="Arial"/>
                <w:sz w:val="20"/>
                <w:iCs/>
                <w:color w:val="0000FF" w:themeColor="hyperlink"/>
                <w:u w:val="single"/>
              </w:rPr>
              <w:t>V-19</w:t>
            </w:r>
          </w:fldSimple>
          <w:r>
            <w:rPr>
              <w:rFonts w:ascii="Arial" w:eastAsia="MS Mincho" w:hAnsi="Arial"/>
              <w:sz w:val="20"/>
              <w:iCs/>
            </w:rPr>
            <w:t>,
2023-01-05,
paskelbta TAR 2023-01-05, i. k. 2023-00285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114d3e095d111ed8df094f359a60216">
            <w:r w:rsidRPr="00532B9F">
              <w:rPr>
                <w:rFonts w:ascii="Arial" w:eastAsia="MS Mincho" w:hAnsi="Arial"/>
                <w:sz w:val="20"/>
                <w:iCs/>
                <w:color w:val="0000FF" w:themeColor="hyperlink"/>
                <w:u w:val="single"/>
              </w:rPr>
              <w:t>V-52</w:t>
            </w:r>
          </w:fldSimple>
          <w:r>
            <w:rPr>
              <w:rFonts w:ascii="Arial" w:eastAsia="MS Mincho" w:hAnsi="Arial"/>
              <w:sz w:val="20"/>
              <w:iCs/>
            </w:rPr>
            <w:t>,
2023-01-16,
paskelbta TAR 2023-01-16, i. k. 2023-00794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2f161909cc111ed8df094f359a60216">
            <w:r w:rsidRPr="00532B9F">
              <w:rPr>
                <w:rFonts w:ascii="Arial" w:eastAsia="MS Mincho" w:hAnsi="Arial"/>
                <w:sz w:val="20"/>
                <w:iCs/>
                <w:color w:val="0000FF" w:themeColor="hyperlink"/>
                <w:u w:val="single"/>
              </w:rPr>
              <w:t>V-114</w:t>
            </w:r>
          </w:fldSimple>
          <w:r>
            <w:rPr>
              <w:rFonts w:ascii="Arial" w:eastAsia="MS Mincho" w:hAnsi="Arial"/>
              <w:sz w:val="20"/>
              <w:iCs/>
            </w:rPr>
            <w:t>,
2023-01-25,
paskelbta TAR 2023-01-25, i. k. 2023-01232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4480390b98d11ed8df094f359a60216">
            <w:r w:rsidRPr="00532B9F">
              <w:rPr>
                <w:rFonts w:ascii="Arial" w:eastAsia="MS Mincho" w:hAnsi="Arial"/>
                <w:sz w:val="20"/>
                <w:iCs/>
                <w:color w:val="0000FF" w:themeColor="hyperlink"/>
                <w:u w:val="single"/>
              </w:rPr>
              <w:t>V-294</w:t>
            </w:r>
          </w:fldSimple>
          <w:r>
            <w:rPr>
              <w:rFonts w:ascii="Arial" w:eastAsia="MS Mincho" w:hAnsi="Arial"/>
              <w:sz w:val="20"/>
              <w:iCs/>
            </w:rPr>
            <w:t>,
2023-03-03,
paskelbta TAR 2023-03-03, i. k. 2023-03954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cf58f6f0d43611ed9978886e85107ab2">
            <w:r w:rsidRPr="00532B9F">
              <w:rPr>
                <w:rFonts w:ascii="Arial" w:eastAsia="MS Mincho" w:hAnsi="Arial"/>
                <w:sz w:val="20"/>
                <w:iCs/>
                <w:color w:val="0000FF" w:themeColor="hyperlink"/>
                <w:u w:val="single"/>
              </w:rPr>
              <w:t>V-415</w:t>
            </w:r>
          </w:fldSimple>
          <w:r>
            <w:rPr>
              <w:rFonts w:ascii="Arial" w:eastAsia="MS Mincho" w:hAnsi="Arial"/>
              <w:sz w:val="20"/>
              <w:iCs/>
            </w:rPr>
            <w:t>,
2023-04-06,
paskelbta TAR 2023-04-06, i. k. 2023-06655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c56cacd0d49611ed9978886e85107ab2">
            <w:r w:rsidRPr="00532B9F">
              <w:rPr>
                <w:rFonts w:ascii="Arial" w:eastAsia="MS Mincho" w:hAnsi="Arial"/>
                <w:sz w:val="20"/>
                <w:iCs/>
                <w:color w:val="0000FF" w:themeColor="hyperlink"/>
                <w:u w:val="single"/>
              </w:rPr>
              <w:t>V-420</w:t>
            </w:r>
          </w:fldSimple>
          <w:r>
            <w:rPr>
              <w:rFonts w:ascii="Arial" w:eastAsia="MS Mincho" w:hAnsi="Arial"/>
              <w:sz w:val="20"/>
              <w:iCs/>
            </w:rPr>
            <w:t>,
2023-04-06,
paskelbta TAR 2023-04-06, i. k. 2023-06762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581f2100f61311ed9978886e85107ab2">
            <w:r w:rsidRPr="00532B9F">
              <w:rPr>
                <w:rFonts w:ascii="Arial" w:eastAsia="MS Mincho" w:hAnsi="Arial"/>
                <w:sz w:val="20"/>
                <w:iCs/>
                <w:color w:val="0000FF" w:themeColor="hyperlink"/>
                <w:u w:val="single"/>
              </w:rPr>
              <w:t>V-565</w:t>
            </w:r>
          </w:fldSimple>
          <w:r>
            <w:rPr>
              <w:rFonts w:ascii="Arial" w:eastAsia="MS Mincho" w:hAnsi="Arial"/>
              <w:sz w:val="20"/>
              <w:iCs/>
            </w:rPr>
            <w:t>,
2023-05-19,
paskelbta TAR 2023-05-19, i. k. 2023-09467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c4acc6c0fb7b11ed9978886e85107ab2">
            <w:r w:rsidRPr="00532B9F">
              <w:rPr>
                <w:rFonts w:ascii="Arial" w:eastAsia="MS Mincho" w:hAnsi="Arial"/>
                <w:sz w:val="20"/>
                <w:iCs/>
                <w:color w:val="0000FF" w:themeColor="hyperlink"/>
                <w:u w:val="single"/>
              </w:rPr>
              <w:t>V-615</w:t>
            </w:r>
          </w:fldSimple>
          <w:r>
            <w:rPr>
              <w:rFonts w:ascii="Arial" w:eastAsia="MS Mincho" w:hAnsi="Arial"/>
              <w:sz w:val="20"/>
              <w:iCs/>
            </w:rPr>
            <w:t>,
2023-05-26,
paskelbta TAR 2023-05-26, i. k. 2023-10022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b633f2009da11ee9978886e85107ab2">
            <w:r w:rsidRPr="00532B9F">
              <w:rPr>
                <w:rFonts w:ascii="Arial" w:eastAsia="MS Mincho" w:hAnsi="Arial"/>
                <w:sz w:val="20"/>
                <w:iCs/>
                <w:color w:val="0000FF" w:themeColor="hyperlink"/>
                <w:u w:val="single"/>
              </w:rPr>
              <w:t>V-668</w:t>
            </w:r>
          </w:fldSimple>
          <w:r>
            <w:rPr>
              <w:rFonts w:ascii="Arial" w:eastAsia="MS Mincho" w:hAnsi="Arial"/>
              <w:sz w:val="20"/>
              <w:iCs/>
            </w:rPr>
            <w:t>,
2023-06-12,
paskelbta TAR 2023-06-13, i. k. 2023-11741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2f2a51d0168811ee9f7ec2ffce8b47bc">
            <w:r w:rsidRPr="00532B9F">
              <w:rPr>
                <w:rFonts w:ascii="Arial" w:eastAsia="MS Mincho" w:hAnsi="Arial"/>
                <w:sz w:val="20"/>
                <w:iCs/>
                <w:color w:val="0000FF" w:themeColor="hyperlink"/>
                <w:u w:val="single"/>
              </w:rPr>
              <w:t>V-745</w:t>
            </w:r>
          </w:fldSimple>
          <w:r>
            <w:rPr>
              <w:rFonts w:ascii="Arial" w:eastAsia="MS Mincho" w:hAnsi="Arial"/>
              <w:sz w:val="20"/>
              <w:iCs/>
            </w:rPr>
            <w:t>,
2023-06-29,
paskelbta TAR 2023-06-29, i. k. 2023-13199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e621ab70218411ee9de9e7e0fd363afc">
            <w:r w:rsidRPr="00532B9F">
              <w:rPr>
                <w:rFonts w:ascii="Arial" w:eastAsia="MS Mincho" w:hAnsi="Arial"/>
                <w:sz w:val="20"/>
                <w:iCs/>
                <w:color w:val="0000FF" w:themeColor="hyperlink"/>
                <w:u w:val="single"/>
              </w:rPr>
              <w:t>V-806</w:t>
            </w:r>
          </w:fldSimple>
          <w:r>
            <w:rPr>
              <w:rFonts w:ascii="Arial" w:eastAsia="MS Mincho" w:hAnsi="Arial"/>
              <w:sz w:val="20"/>
              <w:iCs/>
            </w:rPr>
            <w:t>,
2023-07-13,
paskelbta TAR 2023-07-13, i. k. 2023-14577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1c8e0a50263f11ee9de9e7e0fd363afc">
            <w:r w:rsidRPr="00532B9F">
              <w:rPr>
                <w:rFonts w:ascii="Arial" w:eastAsia="MS Mincho" w:hAnsi="Arial"/>
                <w:sz w:val="20"/>
                <w:iCs/>
                <w:color w:val="0000FF" w:themeColor="hyperlink"/>
                <w:u w:val="single"/>
              </w:rPr>
              <w:t>V-822</w:t>
            </w:r>
          </w:fldSimple>
          <w:r>
            <w:rPr>
              <w:rFonts w:ascii="Arial" w:eastAsia="MS Mincho" w:hAnsi="Arial"/>
              <w:sz w:val="20"/>
              <w:iCs/>
            </w:rPr>
            <w:t>,
2023-07-19,
paskelbta TAR 2023-07-19, i. k. 2023-14870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b02dc1c0311f11ee9de9e7e0fd363afc">
            <w:r w:rsidRPr="00532B9F">
              <w:rPr>
                <w:rFonts w:ascii="Arial" w:eastAsia="MS Mincho" w:hAnsi="Arial"/>
                <w:sz w:val="20"/>
                <w:iCs/>
                <w:color w:val="0000FF" w:themeColor="hyperlink"/>
                <w:u w:val="single"/>
              </w:rPr>
              <w:t>V-890</w:t>
            </w:r>
          </w:fldSimple>
          <w:r>
            <w:rPr>
              <w:rFonts w:ascii="Arial" w:eastAsia="MS Mincho" w:hAnsi="Arial"/>
              <w:sz w:val="20"/>
              <w:iCs/>
            </w:rPr>
            <w:t>,
2023-08-02,
paskelbta TAR 2023-08-02, i. k. 2023-15650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983e025047fe11ee9de9e7e0fd363afc">
            <w:r w:rsidRPr="00532B9F">
              <w:rPr>
                <w:rFonts w:ascii="Arial" w:eastAsia="MS Mincho" w:hAnsi="Arial"/>
                <w:sz w:val="20"/>
                <w:iCs/>
                <w:color w:val="0000FF" w:themeColor="hyperlink"/>
                <w:u w:val="single"/>
              </w:rPr>
              <w:t>V-948</w:t>
            </w:r>
          </w:fldSimple>
          <w:r>
            <w:rPr>
              <w:rFonts w:ascii="Arial" w:eastAsia="MS Mincho" w:hAnsi="Arial"/>
              <w:sz w:val="20"/>
              <w:iCs/>
            </w:rPr>
            <w:t>,
2023-08-31,
paskelbta TAR 2023-08-31, i. k. 2023-17204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20692ae053a011ee81b8b446907f594f">
            <w:r w:rsidRPr="00532B9F">
              <w:rPr>
                <w:rFonts w:ascii="Arial" w:eastAsia="MS Mincho" w:hAnsi="Arial"/>
                <w:sz w:val="20"/>
                <w:iCs/>
                <w:color w:val="0000FF" w:themeColor="hyperlink"/>
                <w:u w:val="single"/>
              </w:rPr>
              <w:t>V-1005</w:t>
            </w:r>
          </w:fldSimple>
          <w:r>
            <w:rPr>
              <w:rFonts w:ascii="Arial" w:eastAsia="MS Mincho" w:hAnsi="Arial"/>
              <w:sz w:val="20"/>
              <w:iCs/>
            </w:rPr>
            <w:t>,
2023-09-15,
paskelbta TAR 2023-09-15, i. k. 2023-18231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2fdb8f705e1011ee81b8b446907f594f">
            <w:r w:rsidRPr="00532B9F">
              <w:rPr>
                <w:rFonts w:ascii="Arial" w:eastAsia="MS Mincho" w:hAnsi="Arial"/>
                <w:sz w:val="20"/>
                <w:iCs/>
                <w:color w:val="0000FF" w:themeColor="hyperlink"/>
                <w:u w:val="single"/>
              </w:rPr>
              <w:t>V-1043</w:t>
            </w:r>
          </w:fldSimple>
          <w:r>
            <w:rPr>
              <w:rFonts w:ascii="Arial" w:eastAsia="MS Mincho" w:hAnsi="Arial"/>
              <w:sz w:val="20"/>
              <w:iCs/>
            </w:rPr>
            <w:t>,
2023-09-28,
paskelbta TAR 2023-09-28, i. k. 2023-18954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6dae5ed0629411eebc77e58877a83c4e">
            <w:r w:rsidRPr="00532B9F">
              <w:rPr>
                <w:rFonts w:ascii="Arial" w:eastAsia="MS Mincho" w:hAnsi="Arial"/>
                <w:sz w:val="20"/>
                <w:iCs/>
                <w:color w:val="0000FF" w:themeColor="hyperlink"/>
                <w:u w:val="single"/>
              </w:rPr>
              <w:t>V-1052</w:t>
            </w:r>
          </w:fldSimple>
          <w:r>
            <w:rPr>
              <w:rFonts w:ascii="Arial" w:eastAsia="MS Mincho" w:hAnsi="Arial"/>
              <w:sz w:val="20"/>
              <w:iCs/>
            </w:rPr>
            <w:t>,
2023-10-04,
paskelbta TAR 2023-10-04, i. k. 2023-19515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25756d0636511ee9fc7ee37cec6fc59">
            <w:r w:rsidRPr="00532B9F">
              <w:rPr>
                <w:rFonts w:ascii="Arial" w:eastAsia="MS Mincho" w:hAnsi="Arial"/>
                <w:sz w:val="20"/>
                <w:iCs/>
                <w:color w:val="0000FF" w:themeColor="hyperlink"/>
                <w:u w:val="single"/>
              </w:rPr>
              <w:t>V-1063</w:t>
            </w:r>
          </w:fldSimple>
          <w:r>
            <w:rPr>
              <w:rFonts w:ascii="Arial" w:eastAsia="MS Mincho" w:hAnsi="Arial"/>
              <w:sz w:val="20"/>
              <w:iCs/>
            </w:rPr>
            <w:t>,
2023-10-05,
paskelbta TAR 2023-10-05, i. k. 2023-19677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a3168000674111ee9fc7ee37cec6fc59">
            <w:r w:rsidRPr="00532B9F">
              <w:rPr>
                <w:rFonts w:ascii="Arial" w:eastAsia="MS Mincho" w:hAnsi="Arial"/>
                <w:sz w:val="20"/>
                <w:iCs/>
                <w:color w:val="0000FF" w:themeColor="hyperlink"/>
                <w:u w:val="single"/>
              </w:rPr>
              <w:t>V-1076</w:t>
            </w:r>
          </w:fldSimple>
          <w:r>
            <w:rPr>
              <w:rFonts w:ascii="Arial" w:eastAsia="MS Mincho" w:hAnsi="Arial"/>
              <w:sz w:val="20"/>
              <w:iCs/>
            </w:rPr>
            <w:t>,
2023-10-10,
paskelbta TAR 2023-10-10, i. k. 2023-19971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6f00a106e4111ee8f3cbca2fb16d96d">
            <w:r w:rsidRPr="00532B9F">
              <w:rPr>
                <w:rFonts w:ascii="Arial" w:eastAsia="MS Mincho" w:hAnsi="Arial"/>
                <w:sz w:val="20"/>
                <w:iCs/>
                <w:color w:val="0000FF" w:themeColor="hyperlink"/>
                <w:u w:val="single"/>
              </w:rPr>
              <w:t>V-1098</w:t>
            </w:r>
          </w:fldSimple>
          <w:r>
            <w:rPr>
              <w:rFonts w:ascii="Arial" w:eastAsia="MS Mincho" w:hAnsi="Arial"/>
              <w:sz w:val="20"/>
              <w:iCs/>
            </w:rPr>
            <w:t>,
2023-10-19,
paskelbta TAR 2023-10-19, i. k. 2023-20433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2d597a07c0811eea5a28c81c82193a8">
            <w:r w:rsidRPr="00532B9F">
              <w:rPr>
                <w:rFonts w:ascii="Arial" w:eastAsia="MS Mincho" w:hAnsi="Arial"/>
                <w:sz w:val="20"/>
                <w:iCs/>
                <w:color w:val="0000FF" w:themeColor="hyperlink"/>
                <w:u w:val="single"/>
              </w:rPr>
              <w:t>V-1144</w:t>
            </w:r>
          </w:fldSimple>
          <w:r>
            <w:rPr>
              <w:rFonts w:ascii="Arial" w:eastAsia="MS Mincho" w:hAnsi="Arial"/>
              <w:sz w:val="20"/>
              <w:iCs/>
            </w:rPr>
            <w:t>,
2023-11-03,
paskelbta TAR 2023-11-06, i. k. 2023-21542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23dd4a60895311eea5a28c81c82193a8">
            <w:r w:rsidRPr="00532B9F">
              <w:rPr>
                <w:rFonts w:ascii="Arial" w:eastAsia="MS Mincho" w:hAnsi="Arial"/>
                <w:sz w:val="20"/>
                <w:iCs/>
                <w:color w:val="0000FF" w:themeColor="hyperlink"/>
                <w:u w:val="single"/>
              </w:rPr>
              <w:t>V-1212</w:t>
            </w:r>
          </w:fldSimple>
          <w:r>
            <w:rPr>
              <w:rFonts w:ascii="Arial" w:eastAsia="MS Mincho" w:hAnsi="Arial"/>
              <w:sz w:val="20"/>
              <w:iCs/>
            </w:rPr>
            <w:t>,
2023-11-22,
paskelbta TAR 2023-11-22, i. k. 2023-22499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93ec3f40a0f111eea5a28c81c82193a8">
            <w:r w:rsidRPr="00532B9F">
              <w:rPr>
                <w:rFonts w:ascii="Arial" w:eastAsia="MS Mincho" w:hAnsi="Arial"/>
                <w:sz w:val="20"/>
                <w:iCs/>
                <w:color w:val="0000FF" w:themeColor="hyperlink"/>
                <w:u w:val="single"/>
              </w:rPr>
              <w:t>V-1375</w:t>
            </w:r>
          </w:fldSimple>
          <w:r>
            <w:rPr>
              <w:rFonts w:ascii="Arial" w:eastAsia="MS Mincho" w:hAnsi="Arial"/>
              <w:sz w:val="20"/>
              <w:iCs/>
            </w:rPr>
            <w:t>,
2023-12-22,
paskelbta TAR 2023-12-22, i. k. 2023-25268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abec530ae3111eea5a28c81c82193a8">
            <w:r w:rsidRPr="00532B9F">
              <w:rPr>
                <w:rFonts w:ascii="Arial" w:eastAsia="MS Mincho" w:hAnsi="Arial"/>
                <w:sz w:val="20"/>
                <w:iCs/>
                <w:color w:val="0000FF" w:themeColor="hyperlink"/>
                <w:u w:val="single"/>
              </w:rPr>
              <w:t>V-24</w:t>
            </w:r>
          </w:fldSimple>
          <w:r>
            <w:rPr>
              <w:rFonts w:ascii="Arial" w:eastAsia="MS Mincho" w:hAnsi="Arial"/>
              <w:sz w:val="20"/>
              <w:iCs/>
            </w:rPr>
            <w:t>,
2024-01-08,
paskelbta TAR 2024-01-08, i. k. 2024-00270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731ecd0b60511eea5a28c81c82193a8">
            <w:r w:rsidRPr="00532B9F">
              <w:rPr>
                <w:rFonts w:ascii="Arial" w:eastAsia="MS Mincho" w:hAnsi="Arial"/>
                <w:sz w:val="20"/>
                <w:iCs/>
                <w:color w:val="0000FF" w:themeColor="hyperlink"/>
                <w:u w:val="single"/>
              </w:rPr>
              <w:t>V-61</w:t>
            </w:r>
          </w:fldSimple>
          <w:r>
            <w:rPr>
              <w:rFonts w:ascii="Arial" w:eastAsia="MS Mincho" w:hAnsi="Arial"/>
              <w:sz w:val="20"/>
              <w:iCs/>
            </w:rPr>
            <w:t>,
2024-01-18,
paskelbta TAR 2024-01-18, i. k. 2024-00784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63a94f60bb4211eea5a28c81c82193a8">
            <w:r w:rsidRPr="00532B9F">
              <w:rPr>
                <w:rFonts w:ascii="Arial" w:eastAsia="MS Mincho" w:hAnsi="Arial"/>
                <w:sz w:val="20"/>
                <w:iCs/>
                <w:color w:val="0000FF" w:themeColor="hyperlink"/>
                <w:u w:val="single"/>
              </w:rPr>
              <w:t>V-99</w:t>
            </w:r>
          </w:fldSimple>
          <w:r>
            <w:rPr>
              <w:rFonts w:ascii="Arial" w:eastAsia="MS Mincho" w:hAnsi="Arial"/>
              <w:sz w:val="20"/>
              <w:iCs/>
            </w:rPr>
            <w:t>,
2024-01-25,
paskelbta TAR 2024-01-25, i. k. 2024-01177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3dddac90bf2f11eea5a28c81c82193a8">
            <w:r w:rsidRPr="00532B9F">
              <w:rPr>
                <w:rFonts w:ascii="Arial" w:eastAsia="MS Mincho" w:hAnsi="Arial"/>
                <w:sz w:val="20"/>
                <w:iCs/>
                <w:color w:val="0000FF" w:themeColor="hyperlink"/>
                <w:u w:val="single"/>
              </w:rPr>
              <w:t>V-125</w:t>
            </w:r>
          </w:fldSimple>
          <w:r>
            <w:rPr>
              <w:rFonts w:ascii="Arial" w:eastAsia="MS Mincho" w:hAnsi="Arial"/>
              <w:sz w:val="20"/>
              <w:iCs/>
            </w:rPr>
            <w:t>,
2024-01-30,
paskelbta TAR 2024-01-30, i. k. 2024-01629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c9488ef0c72f11eea5a28c81c82193a8">
            <w:r w:rsidRPr="00532B9F">
              <w:rPr>
                <w:rFonts w:ascii="Arial" w:eastAsia="MS Mincho" w:hAnsi="Arial"/>
                <w:sz w:val="20"/>
                <w:iCs/>
                <w:color w:val="0000FF" w:themeColor="hyperlink"/>
                <w:u w:val="single"/>
              </w:rPr>
              <w:t>V-176</w:t>
            </w:r>
          </w:fldSimple>
          <w:r>
            <w:rPr>
              <w:rFonts w:ascii="Arial" w:eastAsia="MS Mincho" w:hAnsi="Arial"/>
              <w:sz w:val="20"/>
              <w:iCs/>
            </w:rPr>
            <w:t>,
2024-02-09,
paskelbta TAR 2024-02-09, i. k. 2024-02495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e9a4c3b0c97511eea5a28c81c82193a8">
            <w:r w:rsidRPr="00532B9F">
              <w:rPr>
                <w:rFonts w:ascii="Arial" w:eastAsia="MS Mincho" w:hAnsi="Arial"/>
                <w:sz w:val="20"/>
                <w:iCs/>
                <w:color w:val="0000FF" w:themeColor="hyperlink"/>
                <w:u w:val="single"/>
              </w:rPr>
              <w:t>V-188</w:t>
            </w:r>
          </w:fldSimple>
          <w:r>
            <w:rPr>
              <w:rFonts w:ascii="Arial" w:eastAsia="MS Mincho" w:hAnsi="Arial"/>
              <w:sz w:val="20"/>
              <w:iCs/>
            </w:rPr>
            <w:t>,
2024-02-12,
paskelbta TAR 2024-02-12, i. k. 2024-02559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72933cc0cef711eea5a28c81c82193a8">
            <w:r w:rsidRPr="00532B9F">
              <w:rPr>
                <w:rFonts w:ascii="Arial" w:eastAsia="MS Mincho" w:hAnsi="Arial"/>
                <w:sz w:val="20"/>
                <w:iCs/>
                <w:color w:val="0000FF" w:themeColor="hyperlink"/>
                <w:u w:val="single"/>
              </w:rPr>
              <w:t>V-212</w:t>
            </w:r>
          </w:fldSimple>
          <w:r>
            <w:rPr>
              <w:rFonts w:ascii="Arial" w:eastAsia="MS Mincho" w:hAnsi="Arial"/>
              <w:sz w:val="20"/>
              <w:iCs/>
            </w:rPr>
            <w:t>,
2024-02-19,
paskelbta TAR 2024-02-19, i. k. 2024-03020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61680cd0d08911eead77e967e3995264">
            <w:r w:rsidRPr="00532B9F">
              <w:rPr>
                <w:rFonts w:ascii="Arial" w:eastAsia="MS Mincho" w:hAnsi="Arial"/>
                <w:sz w:val="20"/>
                <w:iCs/>
                <w:color w:val="0000FF" w:themeColor="hyperlink"/>
                <w:u w:val="single"/>
              </w:rPr>
              <w:t>V-225</w:t>
            </w:r>
          </w:fldSimple>
          <w:r>
            <w:rPr>
              <w:rFonts w:ascii="Arial" w:eastAsia="MS Mincho" w:hAnsi="Arial"/>
              <w:sz w:val="20"/>
              <w:iCs/>
            </w:rPr>
            <w:t>,
2024-02-21,
paskelbta TAR 2024-02-21, i. k. 2024-03264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39.</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151319b0db1a11eead77e967e3995264">
            <w:r w:rsidRPr="00532B9F">
              <w:rPr>
                <w:rFonts w:ascii="Arial" w:eastAsia="MS Mincho" w:hAnsi="Arial"/>
                <w:sz w:val="20"/>
                <w:iCs/>
                <w:color w:val="0000FF" w:themeColor="hyperlink"/>
                <w:u w:val="single"/>
              </w:rPr>
              <w:t>V-289</w:t>
            </w:r>
          </w:fldSimple>
          <w:r>
            <w:rPr>
              <w:rFonts w:ascii="Arial" w:eastAsia="MS Mincho" w:hAnsi="Arial"/>
              <w:sz w:val="20"/>
              <w:iCs/>
            </w:rPr>
            <w:t>,
2024-03-05,
paskelbta TAR 2024-03-05, i. k. 2024-04103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40.</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3cb5fe10166611efbcbfb318996800a8">
            <w:r w:rsidRPr="00532B9F">
              <w:rPr>
                <w:rFonts w:ascii="Arial" w:eastAsia="MS Mincho" w:hAnsi="Arial"/>
                <w:sz w:val="20"/>
                <w:iCs/>
                <w:color w:val="0000FF" w:themeColor="hyperlink"/>
                <w:u w:val="single"/>
              </w:rPr>
              <w:t>V-572</w:t>
            </w:r>
          </w:fldSimple>
          <w:r>
            <w:rPr>
              <w:rFonts w:ascii="Arial" w:eastAsia="MS Mincho" w:hAnsi="Arial"/>
              <w:sz w:val="20"/>
              <w:iCs/>
            </w:rPr>
            <w:t>,
2024-05-20,
paskelbta TAR 2024-05-20, i. k. 2024-09067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41.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169621c01cb911ef8b14c5bcce136045">
            <w:r w:rsidRPr="00532B9F">
              <w:rPr>
                <w:rFonts w:ascii="Arial" w:eastAsia="MS Mincho" w:hAnsi="Arial"/>
                <w:sz w:val="20"/>
                <w:iCs/>
                <w:color w:val="0000FF" w:themeColor="hyperlink"/>
                <w:u w:val="single"/>
              </w:rPr>
              <w:t>V-594</w:t>
            </w:r>
          </w:fldSimple>
          <w:r>
            <w:rPr>
              <w:rFonts w:ascii="Arial" w:eastAsia="MS Mincho" w:hAnsi="Arial"/>
              <w:sz w:val="20"/>
              <w:iCs/>
            </w:rPr>
            <w:t>,
2024-05-28,
paskelbta TAR 2024-05-28, i. k. 2024-09518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42.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675d7600350d11efbdaea558de59136c">
            <w:r w:rsidRPr="00532B9F">
              <w:rPr>
                <w:rFonts w:ascii="Arial" w:eastAsia="MS Mincho" w:hAnsi="Arial"/>
                <w:sz w:val="20"/>
                <w:iCs/>
                <w:color w:val="0000FF" w:themeColor="hyperlink"/>
                <w:u w:val="single"/>
              </w:rPr>
              <w:t>V-678</w:t>
            </w:r>
          </w:fldSimple>
          <w:r>
            <w:rPr>
              <w:rFonts w:ascii="Arial" w:eastAsia="MS Mincho" w:hAnsi="Arial"/>
              <w:sz w:val="20"/>
              <w:iCs/>
            </w:rPr>
            <w:t>,
2024-06-28,
paskelbta TAR 2024-06-28, i. k. 2024-11942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43.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05d80ca04ffd11efbdaea558de59136c">
            <w:r w:rsidRPr="00532B9F">
              <w:rPr>
                <w:rFonts w:ascii="Arial" w:eastAsia="MS Mincho" w:hAnsi="Arial"/>
                <w:sz w:val="20"/>
                <w:iCs/>
                <w:color w:val="0000FF" w:themeColor="hyperlink"/>
                <w:u w:val="single"/>
              </w:rPr>
              <w:t>V-793</w:t>
            </w:r>
          </w:fldSimple>
          <w:r>
            <w:rPr>
              <w:rFonts w:ascii="Arial" w:eastAsia="MS Mincho" w:hAnsi="Arial"/>
              <w:sz w:val="20"/>
              <w:iCs/>
            </w:rPr>
            <w:t>,
2024-08-01,
paskelbta TAR 2024-08-01, i. k. 2024-14036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44.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f66d130643411efafbb8694c098bac5">
            <w:r w:rsidRPr="00532B9F">
              <w:rPr>
                <w:rFonts w:ascii="Arial" w:eastAsia="MS Mincho" w:hAnsi="Arial"/>
                <w:sz w:val="20"/>
                <w:iCs/>
                <w:color w:val="0000FF" w:themeColor="hyperlink"/>
                <w:u w:val="single"/>
              </w:rPr>
              <w:t>V-843</w:t>
            </w:r>
          </w:fldSimple>
          <w:r>
            <w:rPr>
              <w:rFonts w:ascii="Arial" w:eastAsia="MS Mincho" w:hAnsi="Arial"/>
              <w:sz w:val="20"/>
              <w:iCs/>
            </w:rPr>
            <w:t>,
2024-08-27,
paskelbta TAR 2024-08-27, i. k. 2024-14871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widowControl w:val="0"/>
            <w:rPr>
              <w:rFonts w:ascii="Arial" w:hAnsi="Arial"/>
              <w:snapToGrid w:val="0"/>
            </w:rPr>
          </w:pPr>
        </w:p>
      </w:sdtContent>
    </w:sdt>
    <w:sectPr>
      <w:pgSz w:w="16838" w:h="11906" w:orient="landscape" w:code="9"/>
      <w:pgMar w:top="1701" w:right="1701" w:bottom="567" w:left="1134"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23</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17</w:t>
    </w:r>
    <w:r>
      <w:rPr>
        <w:szCs w:val="24"/>
      </w:rPr>
      <w:fldChar w:fldCharType="end"/>
    </w:r>
  </w:p>
  <w:p>
    <w:pPr>
      <w:tabs>
        <w:tab w:val="center" w:pos="4153"/>
        <w:tab w:val="right" w:pos="8306"/>
      </w:tabs>
      <w:rPr>
        <w:szCs w:val="24"/>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31</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044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4449"/>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webSettings" Target="webSettings.xml"/>
  <Relationship Id="rId11" Type="http://schemas.openxmlformats.org/officeDocument/2006/relationships/image" Target="media/image74.png"/>
  <Relationship Id="rId12" Type="http://schemas.openxmlformats.org/officeDocument/2006/relationships/oleObject" Target="embeddings/oleObject74.bin"/>
  <Relationship Id="rId13" Type="http://schemas.openxmlformats.org/officeDocument/2006/relationships/header" Target="header19.xml"/>
  <Relationship Id="rId14" Type="http://schemas.openxmlformats.org/officeDocument/2006/relationships/header" Target="header20.xml"/>
  <Relationship Id="rId15" Type="http://schemas.openxmlformats.org/officeDocument/2006/relationships/footer" Target="footer19.xml"/>
  <Relationship Id="rId16" Type="http://schemas.openxmlformats.org/officeDocument/2006/relationships/footer" Target="footer20.xml"/>
  <Relationship Id="rId17" Type="http://schemas.openxmlformats.org/officeDocument/2006/relationships/header" Target="header21.xml"/>
  <Relationship Id="rId18" Type="http://schemas.openxmlformats.org/officeDocument/2006/relationships/footer" Target="footer21.xml"/>
  <Relationship Id="rId19" Type="http://schemas.openxmlformats.org/officeDocument/2006/relationships/header" Target="header25.xml"/>
  <Relationship Id="rId2" Type="http://schemas.openxmlformats.org/officeDocument/2006/relationships/customXml" Target="../customXml/item2.xml"/>
  <Relationship Id="rId20" Type="http://schemas.openxmlformats.org/officeDocument/2006/relationships/header" Target="header26.xml"/>
  <Relationship Id="rId21" Type="http://schemas.openxmlformats.org/officeDocument/2006/relationships/footer" Target="footer25.xml"/>
  <Relationship Id="rId22" Type="http://schemas.openxmlformats.org/officeDocument/2006/relationships/footer" Target="footer26.xml"/>
  <Relationship Id="rId23" Type="http://schemas.openxmlformats.org/officeDocument/2006/relationships/header" Target="header27.xml"/>
  <Relationship Id="rId24" Type="http://schemas.openxmlformats.org/officeDocument/2006/relationships/footer" Target="footer27.xml"/>
  <Relationship Id="rId25"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openxmlformats.org/officeDocument/2006/relationships/settings" Target="settings.xml"/>
  <Relationship Id="rId8" Type="http://schemas.openxmlformats.org/officeDocument/2006/relationships/styles" Target="styles.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f8c1caabe0df49e198502b4b17034264" PartId="338c53cc72e64e39806f6e64bfa99048">
    <Part Type="preambule" DocPartId="a5dc527e952a46629f814acb02a68a8e" PartId="b55119ea5b19448c96fabf90dbccb4b9"/>
    <Part Type="pastraipa" DocPartId="cc90611dd24c491087d0fff5035be87c" PartId="e2e446847dd74fb198f9f4bc120dd735"/>
    <Part Type="signatura" DocPartId="bf3910d75445475e9ba178c29f724398" PartId="8d04719570ea4e7899eed59ab7a0f072"/>
  </Part>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d7b8cd9b6d7b482285af0e9839f22413" PartId="14c280c049e8456f9fb493e56e50b766">
    <Part Type="skyrius" Nr="1" Title="PLĖTROS PROGRAMOS PAŽANGOS PRIEMONĖS SIEKIAMI REZULTATAI" DocPartId="e80e9b157a5a4ed1972c3b4a13590405" PartId="cb2e19ccf0f640c7b40cf9cf5a50c66b"/>
    <Part Type="skyrius" Nr="2" Title="PLĖTROS PROGRAMOS PAŽANGOS PRIEMONĖS FINANSAVIMO ŠALTINIAI" DocPartId="fdb43120fd5945b0b28f372d3638606d" PartId="4604f1929c584b729069b54cbc0b8fc4"/>
    <Part Type="skyrius" Nr="3" Title="PLĖTROS PROGRAMOS PAŽANGOS PRIEMONĖS VEIKLŲ SUVESTINĖ" DocPartId="1bddb33c08254707be163cb39811516b" PartId="5db8ac39fbbd447dbb4913153dfff212"/>
    <Part Type="pabaiga" DocPartId="0439090d9a81489fa451252c8b318e94" PartId="409a53616be741a5b39ea703920f091a"/>
  </Part>
</Parts>
</file>

<file path=customXml/itemProps1.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2.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4.xml><?xml version="1.0" encoding="utf-8"?>
<ds:datastoreItem xmlns:ds="http://schemas.openxmlformats.org/officeDocument/2006/customXml" ds:itemID="{A16FE37D-0039-4FFD-8874-C9599CD31C62}">
  <ds:schemaRefs>
    <ds:schemaRef ds:uri="http://lrs.lt/TAIS/DocParts"/>
  </ds:schemaRefs>
</ds:datastoreItem>
</file>

<file path=docProps/app.xml><?xml version="1.0" encoding="utf-8"?>
<Properties xmlns="http://schemas.openxmlformats.org/officeDocument/2006/extended-properties">
  <Template>Normal.dotm</Template>
  <TotalTime>42</TotalTime>
  <Pages>34</Pages>
  <Words>6847</Words>
  <Characters>44092</Characters>
  <Application>Microsoft Office Word</Application>
  <DocSecurity>0</DocSecurity>
  <Lines>367</Lines>
  <Paragraphs>101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50838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2024-08-29T05:54:00Z</dcterms:modified>
  <revision>48</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