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e87918112be4965aa3a0e1f6cfe5463"/>
        <w:lock w:val="sdtLocked"/>
        <w:richText/>
      </w:sdtPr>
      <w:sdtContent>
        <w:p>
          <w:pPr>
            <w:jc w:val="both"/>
            <w:rPr>
              <w:rFonts w:ascii="Times New Roman" w:hAnsi="Times New Roman"/>
            </w:rPr>
          </w:pPr>
          <w:r>
            <w:rPr>
              <w:rFonts w:ascii="Times New Roman" w:hAnsi="Times New Roman"/>
              <w:b/>
              <w:i/>
            </w:rPr>
            <w:t>Suvestinė redakcija nuo 2024-11-06 iki 2024-11-08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85pt" o:ole="" fillcolor="window">
                <v:imagedata r:id="rId11" o:title=""/>
              </v:shape>
              <o:OLEObject Type="Embed" ProgID="Word.Picture.8" ShapeID="_x0000_i1025" DrawAspect="Content" ObjectID="_0000000001" r:id="rId12"/>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a027de4284ed4515a88b93634e5b3197"/>
        <w:lock w:val="sdtLocked"/>
        <w:richText/>
      </w:sdtPr>
      <w:sdtContent>
        <w:p>
          <w:pPr>
            <w:ind w:left="6521"/>
            <w:sectPr>
              <w:headerReference w:type="even" r:id="rId13"/>
              <w:headerReference w:type="default" r:id="rId14"/>
              <w:footerReference w:type="even" r:id="rId15"/>
              <w:footerReference w:type="default" r:id="rId16"/>
              <w:headerReference w:type="first" r:id="rId17"/>
              <w:footerReference w:type="first" r:id="rId18"/>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a027de4284ed4515a88b93634e5b3197"/>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cb2e19ccf0f640c7b40cf9cf5a50c66b"/>
            <w:lock w:val="sdtLocked"/>
            <w:richText/>
          </w:sdtPr>
          <w:sdtContent>
            <w:p>
              <w:pPr>
                <w:tabs>
                  <w:tab w:val="left" w:pos="1985"/>
                </w:tabs>
                <w:jc w:val="center"/>
                <w:rPr>
                  <w:b/>
                  <w:bCs/>
                  <w:sz w:val="22"/>
                  <w:szCs w:val="22"/>
                </w:rPr>
              </w:pPr>
              <w:sdt>
                <w:sdtPr>
                  <w:alias w:val="Numeris"/>
                  <w:tag w:val="nr_cb2e19ccf0f640c7b40cf9cf5a50c66b"/>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cb2e19ccf0f640c7b40cf9cf5a50c66b"/>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 1 mln. gyventojų</w:t>
                    </w:r>
                    <w:r>
                      <w:rPr>
                        <w:sz w:val="20"/>
                        <w:vertAlign w:val="superscript"/>
                      </w:rPr>
                      <w:t>1</w:t>
                    </w:r>
                  </w:p>
                </w:tc>
                <w:tc>
                  <w:tcPr>
                    <w:tcW w:w="1078" w:type="dxa"/>
                    <w:shd w:val="clear" w:color="auto" w:fill="FFFFFF" w:themeFill="background1"/>
                  </w:tcPr>
                  <w:p>
                    <w:pPr>
                      <w:jc w:val="center"/>
                      <w:rPr>
                        <w:color w:val="FFFFFF"/>
                        <w:sz w:val="20"/>
                      </w:rPr>
                    </w:pPr>
                    <w:r>
                      <w:rPr>
                        <w:sz w:val="20"/>
                      </w:rPr>
                      <w:t>Vnt.</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29 800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sdtContent>
        </w:sdt>
        <w:sdt>
          <w:sdtPr>
            <w:alias w:val="skyrius"/>
            <w:tag w:val="part_4604f1929c584b729069b54cbc0b8fc4"/>
            <w:lock w:val="sdtLocked"/>
            <w:richText/>
          </w:sdtPr>
          <w:sdtContent>
            <w:p>
              <w:pPr>
                <w:jc w:val="center"/>
                <w:rPr>
                  <w:b/>
                  <w:sz w:val="22"/>
                  <w:szCs w:val="22"/>
                </w:rPr>
              </w:pPr>
              <w:sdt>
                <w:sdtPr>
                  <w:alias w:val="Numeris"/>
                  <w:tag w:val="nr_4604f1929c584b729069b54cbc0b8fc4"/>
                  <w:lock w:val="sdtLocked"/>
                  <w:richText/>
                </w:sdtPr>
                <w:sdtContent>
                  <w:r>
                    <w:rPr>
                      <w:b/>
                      <w:sz w:val="22"/>
                      <w:szCs w:val="22"/>
                    </w:rPr>
                    <w:t>II</w:t>
                  </w:r>
                </w:sdtContent>
              </w:sdt>
              <w:r>
                <w:rPr>
                  <w:b/>
                  <w:sz w:val="22"/>
                  <w:szCs w:val="22"/>
                </w:rPr>
                <w:t xml:space="preserve"> SKYRIUS</w:t>
              </w:r>
            </w:p>
            <w:p>
              <w:pPr>
                <w:jc w:val="center"/>
                <w:rPr>
                  <w:b/>
                  <w:sz w:val="22"/>
                  <w:szCs w:val="22"/>
                </w:rPr>
              </w:pPr>
              <w:sdt>
                <w:sdtPr>
                  <w:alias w:val="Pavadinimas"/>
                  <w:tag w:val="title_4604f1929c584b729069b54cbc0b8fc4"/>
                  <w:lock w:val="sdtLocked"/>
                  <w:richText/>
                </w:sdtPr>
                <w:sdtContent>
                  <w:r>
                    <w:rPr>
                      <w:b/>
                      <w:sz w:val="22"/>
                      <w:szCs w:val="22"/>
                    </w:rPr>
                    <w:t>PLĖTROS PROGRAMOS PAŽANGOS PRIEMONĖS FINANSAVIMO ŠALTINIAI</w:t>
                  </w:r>
                </w:sdtContent>
              </w:sdt>
            </w:p>
            <w:p>
              <w:pPr>
                <w:jc w:val="center"/>
                <w:rPr>
                  <w:b/>
                  <w:sz w:val="22"/>
                  <w:szCs w:val="22"/>
                </w:rPr>
              </w:pPr>
            </w:p>
            <w:tbl>
              <w:tblPr>
                <w:tblW w:w="10348" w:type="dxa"/>
                <w:tblInd w:w="-147" w:type="dxa"/>
                <w:tblLayout w:type="fixed"/>
                <w:tblCellMar>
                  <w:left w:w="30" w:type="dxa"/>
                  <w:right w:w="30" w:type="dxa"/>
                </w:tblCellMar>
                <w:tblLook w:val="04A0" w:firstRow="1" w:lastRow="0" w:firstColumn="1" w:lastColumn="0" w:noHBand="0" w:noVBand="1"/>
              </w:tblPr>
              <w:tblGrid>
                <w:gridCol w:w="7513"/>
                <w:gridCol w:w="2835"/>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BE5F1" w:themeFill="accent1" w:themeFillTint="3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111 199, 719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80 648,806</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571 145,080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sz w:val="20"/>
                      </w:rPr>
                    </w:pPr>
                    <w:r>
                      <w:rPr>
                        <w:b/>
                        <w:sz w:val="20"/>
                      </w:rPr>
                      <w:t xml:space="preserve">1.4. Biudžetinių įstaigų pajamų įmokos ir kitos pajamos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jc w:val="center"/>
                      <w:rPr>
                        <w:b/>
                        <w:sz w:val="20"/>
                      </w:rPr>
                    </w:pPr>
                    <w:r>
                      <w:rPr>
                        <w:b/>
                        <w:sz w:val="20"/>
                      </w:rPr>
                      <w:t xml:space="preserve">762 993,605 </w:t>
                    </w:r>
                  </w:p>
                </w:tc>
              </w:tr>
            </w:tbl>
            <w:p>
              <w:pPr>
                <w:rPr>
                  <w:b/>
                  <w:sz w:val="18"/>
                  <w:szCs w:val="18"/>
                </w:rPr>
              </w:pPr>
            </w:p>
            <w:p/>
            <w:p>
              <w:pPr>
                <w:sectPr>
                  <w:pgSz w:w="11906" w:h="16838" w:code="9"/>
                  <w:pgMar w:top="851" w:right="567" w:bottom="1134" w:left="992" w:header="567" w:footer="567" w:gutter="0"/>
                  <w:pgNumType w:start="1"/>
                  <w:cols w:space="1296"/>
                  <w:titlePg/>
                  <w:docGrid w:linePitch="360"/>
                </w:sectPr>
              </w:pPr>
            </w:p>
            <w:p>
              <w:pPr>
                <w:tabs>
                  <w:tab w:val="center" w:pos="4819"/>
                  <w:tab w:val="right" w:pos="9638"/>
                </w:tabs>
                <w:jc w:val="center"/>
                <w:rPr>
                  <w:szCs w:val="24"/>
                </w:rPr>
              </w:pPr>
            </w:p>
          </w:sdtContent>
        </w:sdt>
        <w:sdt>
          <w:sdtPr>
            <w:alias w:val="skyrius"/>
            <w:tag w:val="part_935715272a9c4ac39093d5a83dd6e064"/>
            <w:lock w:val="sdtLocked"/>
            <w:richText/>
          </w:sdtPr>
          <w:sdtContent>
            <w:p>
              <w:pPr>
                <w:ind w:left="-284"/>
                <w:jc w:val="center"/>
                <w:sectPr>
                  <w:headerReference w:type="even" r:id="rId19"/>
                  <w:headerReference w:type="default" r:id="rId20"/>
                  <w:footerReference w:type="even" r:id="rId21"/>
                  <w:footerReference w:type="default" r:id="rId22"/>
                  <w:headerReference w:type="first" r:id="rId23"/>
                  <w:footerReference w:type="first" r:id="rId24"/>
                  <w:pgSz w:w="11906" w:h="16838" w:code="9"/>
                  <w:pgMar w:top="1701" w:right="567" w:bottom="1134" w:left="1701" w:header="1134" w:footer="1134" w:gutter="0"/>
                  <w:cols w:space="1296"/>
                  <w:titlePg/>
                  <w:docGrid w:linePitch="326"/>
                </w:sectPr>
              </w:pPr>
            </w:p>
            <w:p>
              <w:pPr>
                <w:ind w:left="-284"/>
                <w:jc w:val="center"/>
                <w:rPr>
                  <w:b/>
                  <w:bCs/>
                </w:rPr>
              </w:pPr>
              <w:sdt>
                <w:sdtPr>
                  <w:alias w:val="Numeris"/>
                  <w:tag w:val="nr_935715272a9c4ac39093d5a83dd6e064"/>
                  <w:lock w:val="sdtLocked"/>
                  <w:richText/>
                </w:sdtPr>
                <w:sdtContent>
                  <w:r>
                    <w:rPr>
                      <w:b/>
                      <w:bCs/>
                    </w:rPr>
                    <w:t>III</w:t>
                  </w:r>
                </w:sdtContent>
              </w:sdt>
              <w:r>
                <w:rPr>
                  <w:b/>
                  <w:bCs/>
                </w:rPr>
                <w:t xml:space="preserve"> SKYRIUS</w:t>
              </w:r>
            </w:p>
            <w:p>
              <w:pPr>
                <w:jc w:val="center"/>
                <w:rPr>
                  <w:b/>
                  <w:bCs/>
                </w:rPr>
              </w:pPr>
              <w:sdt>
                <w:sdtPr>
                  <w:alias w:val="Pavadinimas"/>
                  <w:tag w:val="title_935715272a9c4ac39093d5a83dd6e064"/>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 vnt.</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8 000</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7 200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 xml:space="preserve">ASPĮ; </w:t>
                    </w:r>
                  </w:p>
                  <w:p>
                    <w:pPr>
                      <w:rPr>
                        <w:sz w:val="20"/>
                      </w:rPr>
                    </w:pPr>
                    <w:r>
                      <w:rPr>
                        <w:sz w:val="20"/>
                      </w:rPr>
                      <w:t>ESFA</w:t>
                    </w:r>
                  </w:p>
                  <w:p>
                    <w:pPr>
                      <w:rPr>
                        <w:sz w:val="20"/>
                      </w:rPr>
                    </w:pPr>
                  </w:p>
                </w:tc>
                <w:tc>
                  <w:tcPr>
                    <w:tcW w:w="709" w:type="dxa"/>
                    <w:vMerge w:val="restart"/>
                  </w:tcPr>
                  <w:p>
                    <w:pPr>
                      <w:rPr>
                        <w:sz w:val="20"/>
                      </w:rPr>
                    </w:pPr>
                    <w:r>
                      <w:rPr>
                        <w:sz w:val="20"/>
                      </w:rPr>
                      <w:t>P/Pj</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8 823,193</w:t>
                    </w: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Cs w:val="24"/>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15</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1 557,034</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29 910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29 310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w:t>
                    </w:r>
                    <w:r>
                      <w:rPr>
                        <w:color w:val="000000"/>
                        <w:szCs w:val="24"/>
                      </w:rPr>
                      <w:t>–</w:t>
                    </w:r>
                    <w:r>
                      <w:rPr>
                        <w:color w:val="000000"/>
                        <w:sz w:val="20"/>
                      </w:rPr>
                      <w:t xml:space="preserve">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b/>
                        <w:bCs/>
                        <w:sz w:val="20"/>
                      </w:rPr>
                      <w:t xml:space="preserve"> </w:t>
                    </w:r>
                    <w:r>
                      <w:rPr>
                        <w:sz w:val="20"/>
                      </w:rPr>
                      <w:t>Lietuvos medicinos biblioteka</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rPr>
                    </w:pPr>
                    <w:r>
                      <w:rPr>
                        <w:sz w:val="20"/>
                      </w:rPr>
                      <w:t>10 540</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rPr>
                    </w:pPr>
                    <w:r>
                      <w:rPr>
                        <w:sz w:val="20"/>
                      </w:rPr>
                      <w:t>1 860</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r>
                      <w:rPr>
                        <w:sz w:val="20"/>
                      </w:rPr>
                      <w:t>45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sz w:val="20"/>
                      </w:rPr>
                    </w:pPr>
                    <w:r>
                      <w:rPr>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Savivaldybių administracijos, SAM,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lang w:val="en-US"/>
                      </w:rPr>
                      <w:t>23 820,691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2021–2027 m. IP (ESF+)</w:t>
                    </w:r>
                  </w:p>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Pr>
                  <w:p>
                    <w:pPr>
                      <w:rPr>
                        <w:sz w:val="20"/>
                        <w:lang w:val="en-US"/>
                      </w:rPr>
                    </w:pPr>
                    <w:r>
                      <w:rPr>
                        <w:sz w:val="20"/>
                        <w:lang w:val="en-US"/>
                      </w:rPr>
                      <w:t>240</w:t>
                    </w:r>
                  </w:p>
                  <w:p>
                    <w:pP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sz w:val="20"/>
                        <w:lang w:val="en-US"/>
                      </w:rPr>
                    </w:pPr>
                    <w:r>
                      <w:rPr>
                        <w:sz w:val="20"/>
                        <w:lang w:val="en-US"/>
                      </w:rPr>
                      <w:t>4 203,651</w:t>
                    </w:r>
                  </w:p>
                  <w:p>
                    <w:pPr>
                      <w:jc w:val="center"/>
                      <w:rPr>
                        <w:strike/>
                        <w:sz w:val="20"/>
                        <w:lang w:val="en-US"/>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2021–2027 m. IP (BF)</w:t>
                    </w:r>
                  </w:p>
                  <w:p>
                    <w:pPr>
                      <w:rPr>
                        <w:sz w:val="20"/>
                      </w:rPr>
                    </w:pPr>
                  </w:p>
                  <w:p>
                    <w:pPr>
                      <w:rPr>
                        <w:sz w:val="20"/>
                      </w:rPr>
                    </w:pPr>
                  </w:p>
                  <w:p>
                    <w:pPr>
                      <w:rPr>
                        <w:sz w:val="20"/>
                      </w:rPr>
                    </w:pPr>
                  </w:p>
                </w:tc>
                <w:tc>
                  <w:tcPr>
                    <w:tcW w:w="2551" w:type="dxa"/>
                    <w:tcBorders>
                      <w:left w:val="single" w:sz="4" w:space="0" w:color="auto"/>
                      <w:right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Asmenų, kurie po dalyvavimo veiklose įgijo  kvalifikaciją,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80</w:t>
                    </w:r>
                  </w:p>
                  <w:p>
                    <w:pPr>
                      <w:ind w:left="-57" w:right="-57"/>
                      <w:jc w:val="center"/>
                      <w:rPr>
                        <w:sz w:val="20"/>
                      </w:rPr>
                    </w:pPr>
                    <w:r>
                      <w:rPr>
                        <w:sz w:val="20"/>
                      </w:rPr>
                      <w:t>(2029 m.)</w:t>
                    </w:r>
                  </w:p>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500</w:t>
                    </w:r>
                  </w:p>
                  <w:p>
                    <w:pPr>
                      <w:ind w:left="-57" w:right="-57"/>
                      <w:jc w:val="center"/>
                      <w:rPr>
                        <w:sz w:val="20"/>
                      </w:rPr>
                    </w:pPr>
                    <w:r>
                      <w:rPr>
                        <w:sz w:val="20"/>
                      </w:rPr>
                      <w:t>(2029 m.)</w:t>
                    </w:r>
                  </w:p>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lang w:val="en-US"/>
                      </w:rPr>
                    </w:pPr>
                    <w:r>
                      <w:rPr>
                        <w:sz w:val="20"/>
                      </w:rPr>
                      <w:t>98</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Sveikatos priežiūros specialistų, kurie po dalyvavimo veiklose mažiausiai 2 metus dirbo sveikatos priežiūros įstaigose, dalis, proc.</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(V-572)</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(V-572)</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(V-678)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(V-843)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(V-1081)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(V-572)</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(V-572)</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(V-884)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57</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187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8785"/>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image" Target="media/image78.png"/>
  <Relationship Id="rId12" Type="http://schemas.openxmlformats.org/officeDocument/2006/relationships/oleObject" Target="embeddings/oleObject78.bin"/>
  <Relationship Id="rId13" Type="http://schemas.openxmlformats.org/officeDocument/2006/relationships/header" Target="header28.xml"/>
  <Relationship Id="rId14" Type="http://schemas.openxmlformats.org/officeDocument/2006/relationships/header" Target="header29.xml"/>
  <Relationship Id="rId15" Type="http://schemas.openxmlformats.org/officeDocument/2006/relationships/footer" Target="footer28.xml"/>
  <Relationship Id="rId16" Type="http://schemas.openxmlformats.org/officeDocument/2006/relationships/footer" Target="footer29.xml"/>
  <Relationship Id="rId17" Type="http://schemas.openxmlformats.org/officeDocument/2006/relationships/header" Target="header30.xml"/>
  <Relationship Id="rId18" Type="http://schemas.openxmlformats.org/officeDocument/2006/relationships/footer" Target="footer30.xml"/>
  <Relationship Id="rId19" Type="http://schemas.openxmlformats.org/officeDocument/2006/relationships/header" Target="header49.xml"/>
  <Relationship Id="rId2" Type="http://schemas.openxmlformats.org/officeDocument/2006/relationships/customXml" Target="../customXml/item2.xml"/>
  <Relationship Id="rId20" Type="http://schemas.openxmlformats.org/officeDocument/2006/relationships/header" Target="header50.xml"/>
  <Relationship Id="rId21" Type="http://schemas.openxmlformats.org/officeDocument/2006/relationships/footer" Target="footer49.xml"/>
  <Relationship Id="rId22" Type="http://schemas.openxmlformats.org/officeDocument/2006/relationships/footer" Target="footer50.xml"/>
  <Relationship Id="rId23" Type="http://schemas.openxmlformats.org/officeDocument/2006/relationships/header" Target="header51.xml"/>
  <Relationship Id="rId24" Type="http://schemas.openxmlformats.org/officeDocument/2006/relationships/footer" Target="footer51.xml"/>
  <Relationship Id="rId25"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8e87918112be4965aa3a0e1f6cfe5463">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a027de4284ed4515a88b93634e5b3197">
    <Part Type="skyrius" Nr="1" Title="PLĖTROS PROGRAMOS PAŽANGOS PRIEMONĖS SIEKIAMI REZULTATAI" DocPartId="e80e9b157a5a4ed1972c3b4a13590405" PartId="cb2e19ccf0f640c7b40cf9cf5a50c66b"/>
    <Part Type="skyrius" Nr="2" Title="PLĖTROS PROGRAMOS PAŽANGOS PRIEMONĖS FINANSAVIMO ŠALTINIAI" DocPartId="fdb43120fd5945b0b28f372d3638606d" PartId="4604f1929c584b729069b54cbc0b8fc4"/>
    <Part Type="skyrius" Nr="3" Title="PLĖTROS PROGRAMOS PAŽANGOS PRIEMONĖS VEIKLŲ SUVESTINĖ" DocPartId="1bddb33c08254707be163cb39811516b" PartId="935715272a9c4ac39093d5a83dd6e064"/>
    <Part Type="pabaiga" DocPartId="0439090d9a81489fa451252c8b318e94" PartId="409a53616be741a5b39ea703920f091a"/>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6CCDFE9E-4C2E-4FEF-BC61-A60182F40755}">
  <ds:schemaRefs>
    <ds:schemaRef ds:uri="http://lrs.lt/TAIS/DocParts"/>
  </ds:schemaRefs>
</ds:datastoreItem>
</file>

<file path=docProps/app.xml><?xml version="1.0" encoding="utf-8"?>
<Properties xmlns="http://schemas.openxmlformats.org/officeDocument/2006/extended-properties">
  <Template>Normal.dotm</Template>
  <TotalTime>52</TotalTime>
  <Pages>34</Pages>
  <Words>6847</Words>
  <Characters>44101</Characters>
  <Application>Microsoft Office Word</Application>
  <DocSecurity>0</DocSecurity>
  <Lines>367</Lines>
  <Paragraphs>101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50847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2024-11-07T12:11:00Z</dcterms:modified>
  <revision>55</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