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d9826620374af086fcbed62a82c7b3"/>
        <w:lock w:val="sdtLocked"/>
        <w:richText/>
      </w:sdtPr>
      <w:sdtContent>
        <w:p>
          <w:pPr>
            <w:jc w:val="both"/>
            <w:rPr>
              <w:rFonts w:ascii="Times New Roman" w:hAnsi="Times New Roman"/>
            </w:rPr>
          </w:pPr>
          <w:r>
            <w:rPr>
              <w:rFonts w:ascii="Times New Roman" w:hAnsi="Times New Roman"/>
              <w:b/>
              <w:i/>
            </w:rPr>
            <w:t>Suvestinė redakcija nuo 2025-07-01 iki 2025-07-09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8pt;height:44.6pt" o:ole="" fillcolor="window">
                <v:imagedata r:id="rId18" o:title=""/>
              </v:shape>
              <o:OLEObject Type="Embed" ProgID="Word.Picture.8" ShapeID="_x0000_i1025" DrawAspect="Content" ObjectID="_0000000001" r:id="rId19"/>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b30ab63848c54765864e9b4d7813cc3a"/>
        <w:lock w:val="sdtLocked"/>
        <w:richText/>
      </w:sdtPr>
      <w:sdtContent>
        <w:p>
          <w:pPr>
            <w:ind w:left="6521"/>
            <w:sectPr>
              <w:headerReference w:type="even" r:id="rId20"/>
              <w:headerReference w:type="default" r:id="rId21"/>
              <w:footerReference w:type="even" r:id="rId22"/>
              <w:footerReference w:type="default" r:id="rId23"/>
              <w:headerReference w:type="first" r:id="rId24"/>
              <w:footerReference w:type="first" r:id="rId25"/>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b30ab63848c54765864e9b4d7813cc3a"/>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3cd88d542e3c4ac994befb62ec5e09b1"/>
            <w:lock w:val="sdtLocked"/>
            <w:richText/>
          </w:sdtPr>
          <w:sdtContent>
            <w:p>
              <w:pPr>
                <w:tabs>
                  <w:tab w:val="left" w:pos="1985"/>
                </w:tabs>
                <w:jc w:val="center"/>
                <w:rPr>
                  <w:b/>
                  <w:bCs/>
                  <w:sz w:val="22"/>
                  <w:szCs w:val="22"/>
                </w:rPr>
              </w:pPr>
              <w:sdt>
                <w:sdtPr>
                  <w:alias w:val="Numeris"/>
                  <w:tag w:val="nr_3cd88d542e3c4ac994befb62ec5e09b1"/>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3cd88d542e3c4ac994befb62ec5e09b1"/>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sz w:val="20"/>
                      </w:rPr>
                    </w:pPr>
                    <w:r>
                      <w:rPr>
                        <w:bCs/>
                        <w:sz w:val="20"/>
                      </w:rPr>
                      <w:t>AŠĮFP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1106cf607dad4a3e9b69a66cb720f4d0"/>
            <w:lock w:val="sdtLocked"/>
            <w:richText/>
          </w:sdtPr>
          <w:sdtContent>
            <w:p>
              <w:pPr>
                <w:ind w:left="1080" w:hanging="360"/>
                <w:jc w:val="center"/>
                <w:rPr>
                  <w:b/>
                  <w:bCs/>
                  <w:color w:val="000000"/>
                  <w:szCs w:val="24"/>
                </w:rPr>
              </w:pPr>
              <w:sdt>
                <w:sdtPr>
                  <w:alias w:val="Numeris"/>
                  <w:tag w:val="nr_1106cf607dad4a3e9b69a66cb720f4d0"/>
                  <w:lock w:val="sdtLocked"/>
                  <w:richText/>
                </w:sdtPr>
                <w:sdtContent>
                  <w:r>
                    <w:rPr>
                      <w:b/>
                      <w:bCs/>
                      <w:color w:val="000000"/>
                      <w:szCs w:val="24"/>
                    </w:rPr>
                    <w:t>II</w:t>
                  </w:r>
                </w:sdtContent>
              </w:sdt>
              <w:r>
                <w:rPr>
                  <w:b/>
                  <w:bCs/>
                  <w:color w:val="000000"/>
                  <w:szCs w:val="24"/>
                </w:rPr>
                <w:t xml:space="preserve"> SKYRIUS</w:t>
              </w:r>
            </w:p>
            <w:p>
              <w:pPr>
                <w:ind w:left="1080" w:hanging="360"/>
                <w:jc w:val="center"/>
                <w:rPr>
                  <w:b/>
                  <w:bCs/>
                  <w:color w:val="000000"/>
                  <w:szCs w:val="24"/>
                </w:rPr>
              </w:pPr>
              <w:sdt>
                <w:sdtPr>
                  <w:alias w:val="Pavadinimas"/>
                  <w:tag w:val="title_1106cf607dad4a3e9b69a66cb720f4d0"/>
                  <w:lock w:val="sdtLocked"/>
                  <w:richText/>
                </w:sdtPr>
                <w:sdtContent>
                  <w:r>
                    <w:rPr>
                      <w:b/>
                      <w:bCs/>
                      <w:color w:val="000000"/>
                      <w:szCs w:val="24"/>
                    </w:rPr>
                    <w:t>PLĖTROS PROGRAMOS PAŽANGOS PRIEMONĖS FINANSAVIMO ŠALTINIAI</w:t>
                  </w:r>
                </w:sdtContent>
              </w:sdt>
            </w:p>
            <w:p>
              <w:pPr>
                <w:ind w:left="851"/>
                <w:jc w:val="center"/>
                <w:rPr>
                  <w:color w:val="000000"/>
                  <w:szCs w:val="24"/>
                </w:rPr>
              </w:pPr>
            </w:p>
            <w:tbl>
              <w:tblPr>
                <w:tblW w:w="10773" w:type="dxa"/>
                <w:tblLayout w:type="fixed"/>
                <w:tblCellMar>
                  <w:left w:w="30" w:type="dxa"/>
                  <w:right w:w="30" w:type="dxa"/>
                </w:tblCellMar>
                <w:tblLook w:val="04A0" w:firstRow="1" w:lastRow="0" w:firstColumn="1" w:lastColumn="0" w:noHBand="0" w:noVBand="1"/>
              </w:tblPr>
              <w:tblGrid>
                <w:gridCol w:w="7822"/>
                <w:gridCol w:w="2951"/>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 xml:space="preserve">85 781,753 </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1.2.3.1.68. Antrojo Šveicarijos įnašo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5 132,947</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600 231,779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1.3.3.1.68. Antrojo Šveicarijos įnašo finansinės paramos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29 086,699</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i/>
                        <w:iCs/>
                        <w:sz w:val="20"/>
                      </w:rPr>
                    </w:pPr>
                    <w:r>
                      <w:rPr>
                        <w:b/>
                        <w:sz w:val="20"/>
                      </w:rPr>
                      <w:t>1.4.</w:t>
                    </w:r>
                    <w:r>
                      <w:rPr>
                        <w:b/>
                        <w:i/>
                        <w:iCs/>
                        <w:sz w:val="20"/>
                      </w:rPr>
                      <w:t xml:space="preserve"> </w:t>
                    </w:r>
                    <w:r>
                      <w:rPr>
                        <w:b/>
                        <w:sz w:val="20"/>
                      </w:rPr>
                      <w:t>Biudžetinių įstaigų pajamų įmokos ir kitos pajamos</w:t>
                    </w:r>
                    <w:r>
                      <w:rPr>
                        <w:b/>
                        <w:i/>
                        <w:iCs/>
                        <w:sz w:val="20"/>
                      </w:rPr>
                      <w:t xml:space="preserve">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720" w:hanging="360"/>
                      <w:jc w:val="center"/>
                      <w:rPr>
                        <w:b/>
                        <w:sz w:val="20"/>
                        <w:lang w:val="en-US"/>
                      </w:rPr>
                    </w:pPr>
                    <w:r>
                      <w:rPr>
                        <w:b/>
                        <w:sz w:val="20"/>
                        <w:lang w:val="en-US"/>
                      </w:rPr>
                      <w:t>797</w:t>
                      <w:tab/>
                    </w:r>
                    <w:r>
                      <w:rPr>
                        <w:b/>
                        <w:sz w:val="20"/>
                      </w:rPr>
                      <w:t>213,251“</w:t>
                    </w:r>
                  </w:p>
                </w:tc>
              </w:tr>
            </w:tbl>
            <w:p>
              <w:pPr>
                <w:tabs>
                  <w:tab w:val="left" w:pos="1134"/>
                </w:tabs>
                <w:ind w:left="851"/>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37e153aa2d584ed0a84a49c48386c762"/>
            <w:lock w:val="sdtLocked"/>
            <w:richText/>
          </w:sdtPr>
          <w:sdtContent>
            <w:p>
              <w:pPr>
                <w:ind w:left="-284"/>
                <w:jc w:val="center"/>
                <w:sectPr>
                  <w:headerReference w:type="even" r:id="rId26"/>
                  <w:headerReference w:type="default" r:id="rId27"/>
                  <w:footerReference w:type="even" r:id="rId28"/>
                  <w:footerReference w:type="default" r:id="rId29"/>
                  <w:headerReference w:type="first" r:id="rId30"/>
                  <w:footerReference w:type="first" r:id="rId31"/>
                  <w:pgSz w:w="11906" w:h="16838" w:code="9"/>
                  <w:pgMar w:top="1701" w:right="567" w:bottom="1134" w:left="709" w:header="1134" w:footer="1134" w:gutter="0"/>
                  <w:cols w:space="1296"/>
                  <w:titlePg/>
                  <w:docGrid w:linePitch="326"/>
                </w:sectPr>
              </w:pPr>
            </w:p>
            <w:p>
              <w:pPr>
                <w:ind w:left="-284"/>
                <w:jc w:val="center"/>
                <w:rPr>
                  <w:b/>
                  <w:bCs/>
                </w:rPr>
              </w:pPr>
              <w:sdt>
                <w:sdtPr>
                  <w:alias w:val="Numeris"/>
                  <w:tag w:val="nr_37e153aa2d584ed0a84a49c48386c762"/>
                  <w:lock w:val="sdtLocked"/>
                  <w:richText/>
                </w:sdtPr>
                <w:sdtContent>
                  <w:r>
                    <w:rPr>
                      <w:b/>
                      <w:bCs/>
                    </w:rPr>
                    <w:t>III</w:t>
                  </w:r>
                </w:sdtContent>
              </w:sdt>
              <w:r>
                <w:rPr>
                  <w:b/>
                  <w:bCs/>
                </w:rPr>
                <w:t xml:space="preserve"> SKYRIUS</w:t>
              </w:r>
            </w:p>
            <w:p>
              <w:pPr>
                <w:jc w:val="center"/>
                <w:rPr>
                  <w:b/>
                  <w:bCs/>
                </w:rPr>
              </w:pPr>
              <w:sdt>
                <w:sdtPr>
                  <w:alias w:val="Pavadinimas"/>
                  <w:tag w:val="title_37e153aa2d584ed0a84a49c48386c762"/>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5 525</w:t>
                    </w:r>
                  </w:p>
                  <w:p>
                    <w:pPr>
                      <w:rPr>
                        <w:sz w:val="20"/>
                      </w:rPr>
                    </w:pP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975</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tcPr>
                  <w:p>
                    <w:pPr>
                      <w:rPr>
                        <w:iCs/>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34 310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33 630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 xml:space="preserve">7. </w:t>
                    </w:r>
                    <w:r>
                      <w:rPr>
                        <w:b/>
                        <w:sz w:val="20"/>
                      </w:rPr>
                      <w:t>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sz w:val="20"/>
                      </w:rPr>
                      <w:t>38 610,406</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10 718,845</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4 134,608</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7 174</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left w:val="single" w:sz="4" w:space="0" w:color="auto"/>
                      <w:right w:val="single" w:sz="4" w:space="0" w:color="auto"/>
                    </w:tcBorders>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lang w:val="en-US"/>
                      </w:rPr>
                    </w:pPr>
                    <w:r>
                      <w:rPr>
                        <w:sz w:val="20"/>
                        <w:lang w:val="en-US"/>
                      </w:rPr>
                      <w:t>1 266</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920"/>
                </w:trPr>
                <w:tc>
                  <w:tcPr>
                    <w:tcW w:w="2410" w:type="dxa"/>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LMB</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rPr>
                      <w:t>3 544,845</w:t>
                    </w:r>
                  </w:p>
                </w:tc>
                <w:tc>
                  <w:tcPr>
                    <w:tcW w:w="992"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sz w:val="20"/>
                      </w:rPr>
                      <w:t>P – Paramą gavusių nacionalinio, regionų ar vietos lygmens viešojo administravimo ar viešąsias paslaugas teikiančių įstaigų skaičius, subjektų skaičius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sz w:val="20"/>
                      </w:rPr>
                      <w:t>SAM</w:t>
                    </w:r>
                  </w:p>
                </w:tc>
              </w:tr>
              <w:tr>
                <w:trPr>
                  <w:trHeight w:val="920"/>
                </w:trPr>
                <w:tc>
                  <w:tcPr>
                    <w:tcW w:w="2410" w:type="dxa"/>
                    <w:vMerge/>
                    <w:tcBorders>
                      <w:left w:val="single" w:sz="4" w:space="0" w:color="auto"/>
                      <w:right w:val="single" w:sz="4" w:space="0" w:color="auto"/>
                    </w:tcBorders>
                    <w:shd w:val="clear" w:color="auto" w:fill="auto"/>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right w:val="single" w:sz="4" w:space="0" w:color="auto"/>
                    </w:tcBorders>
                  </w:tcPr>
                  <w:p>
                    <w:pPr>
                      <w:rPr>
                        <w:sz w:val="20"/>
                        <w:lang w:val="en-US"/>
                      </w:rPr>
                    </w:pPr>
                    <w:r>
                      <w:rPr>
                        <w:sz w:val="20"/>
                      </w:rPr>
                      <w:t>625, 561</w:t>
                    </w:r>
                  </w:p>
                </w:tc>
                <w:tc>
                  <w:tcPr>
                    <w:tcW w:w="992" w:type="dxa"/>
                    <w:tcBorders>
                      <w:left w:val="single" w:sz="4" w:space="0" w:color="auto"/>
                      <w:right w:val="single" w:sz="4" w:space="0" w:color="auto"/>
                    </w:tcBorders>
                  </w:tcPr>
                  <w:p>
                    <w:pPr>
                      <w:rPr>
                        <w:sz w:val="20"/>
                      </w:rPr>
                    </w:pPr>
                    <w:r>
                      <w:rPr>
                        <w:sz w:val="20"/>
                      </w:rPr>
                      <w:t>2021–2027 m. IP (BF)</w:t>
                    </w:r>
                  </w:p>
                </w:tc>
                <w:tc>
                  <w:tcPr>
                    <w:tcW w:w="2551" w:type="dxa"/>
                    <w:tcBorders>
                      <w:left w:val="single" w:sz="4" w:space="0" w:color="auto"/>
                      <w:right w:val="single" w:sz="4" w:space="0" w:color="auto"/>
                    </w:tcBorders>
                    <w:shd w:val="clear" w:color="auto" w:fill="auto"/>
                  </w:tcPr>
                  <w:p>
                    <w:pPr>
                      <w:ind w:left="-57" w:right="-57"/>
                      <w:rPr>
                        <w:color w:val="000000"/>
                        <w:sz w:val="20"/>
                      </w:rPr>
                    </w:pPr>
                    <w:r>
                      <w:rPr>
                        <w:sz w:val="20"/>
                      </w:rPr>
                      <w:t>R – Pacientų pasitenkinimas gautomis paslaugomis,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b/>
                        <w:bCs/>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left w:val="single" w:sz="4" w:space="0" w:color="auto"/>
                    </w:tcBorders>
                    <w:shd w:val="clear" w:color="auto" w:fill="F2F2F2" w:themeFill="background1" w:themeFillShade="F2"/>
                  </w:tcPr>
                  <w:p>
                    <w:pPr>
                      <w:rPr>
                        <w:b/>
                        <w:bCs/>
                        <w:sz w:val="20"/>
                      </w:rPr>
                    </w:pPr>
                  </w:p>
                </w:tc>
                <w:tc>
                  <w:tcPr>
                    <w:tcW w:w="992" w:type="dxa"/>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rPr>
                      <w:t>P – Specialistai, dalyvavę kvalifikacijos tobulinimo ar perkvalifikavimo veiklose, asmenys</w:t>
                    </w:r>
                  </w:p>
                </w:tc>
                <w:tc>
                  <w:tcPr>
                    <w:tcW w:w="851" w:type="dxa"/>
                    <w:tcBorders>
                      <w:right w:val="single" w:sz="4" w:space="0" w:color="auto"/>
                    </w:tcBorders>
                    <w:shd w:val="clear" w:color="auto" w:fill="F2F2F2" w:themeFill="background1" w:themeFillShade="F2"/>
                  </w:tcPr>
                  <w:p>
                    <w:pPr>
                      <w:ind w:left="-57" w:right="-57"/>
                      <w:jc w:val="center"/>
                      <w:rPr>
                        <w:sz w:val="20"/>
                      </w:rPr>
                    </w:pPr>
                    <w:r>
                      <w:rPr>
                        <w:sz w:val="20"/>
                      </w:rPr>
                      <w:t>550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b/>
                        <w:bCs/>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left w:val="single" w:sz="4" w:space="0" w:color="auto"/>
                    </w:tcBorders>
                    <w:shd w:val="clear" w:color="auto" w:fill="F2F2F2" w:themeFill="background1" w:themeFillShade="F2"/>
                  </w:tcPr>
                  <w:p>
                    <w:pPr>
                      <w:rPr>
                        <w:b/>
                        <w:bCs/>
                        <w:sz w:val="20"/>
                      </w:rPr>
                    </w:pPr>
                  </w:p>
                </w:tc>
                <w:tc>
                  <w:tcPr>
                    <w:tcW w:w="992" w:type="dxa"/>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rPr>
                      <w:t>R – Specialistų, kurie po dalyvavimo veiklose įgijo ar patobulino kvalifikaciją, dalis proc.</w:t>
                    </w:r>
                  </w:p>
                </w:tc>
                <w:tc>
                  <w:tcPr>
                    <w:tcW w:w="851" w:type="dxa"/>
                    <w:tcBorders>
                      <w:right w:val="single" w:sz="4" w:space="0" w:color="auto"/>
                    </w:tcBorders>
                    <w:shd w:val="clear" w:color="auto" w:fill="F2F2F2" w:themeFill="background1" w:themeFillShade="F2"/>
                  </w:tcPr>
                  <w:p>
                    <w:pPr>
                      <w:ind w:left="-57" w:right="-57"/>
                      <w:jc w:val="center"/>
                      <w:rPr>
                        <w:sz w:val="20"/>
                      </w:rPr>
                    </w:pPr>
                    <w:r>
                      <w:rPr>
                        <w:sz w:val="20"/>
                      </w:rPr>
                      <w:t>90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iCs/>
                        <w:color w:val="000000"/>
                        <w:sz w:val="20"/>
                      </w:rPr>
                    </w:pPr>
                    <w:r>
                      <w:rPr>
                        <w:iCs/>
                        <w:color w:val="000000"/>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trike/>
                        <w:color w:val="000000"/>
                        <w:sz w:val="20"/>
                      </w:rPr>
                    </w:pPr>
                    <w:r>
                      <w:rPr>
                        <w:color w:val="000000"/>
                        <w:sz w:val="20"/>
                      </w:rPr>
                      <w:t>Savivaldybių administracijos</w:t>
                    </w:r>
                    <w:r>
                      <w:rPr>
                        <w:strike/>
                        <w:color w:val="000000"/>
                        <w:sz w:val="20"/>
                      </w:rPr>
                      <w:t xml:space="preserve"> </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19 543,151</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Asmenys, dalyvavę kvalifikacijos įgijimo veiklose, asmenys </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240</w:t>
                    </w:r>
                  </w:p>
                  <w:p>
                    <w:pPr>
                      <w:jc w:val="center"/>
                      <w:rPr>
                        <w:color w:val="000000"/>
                        <w:sz w:val="20"/>
                      </w:rPr>
                    </w:pPr>
                    <w:r>
                      <w:rPr>
                        <w:color w:val="000000"/>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3 448,791</w:t>
                    </w:r>
                  </w:p>
                  <w:p>
                    <w:pPr>
                      <w:rPr>
                        <w:color w:val="000000"/>
                        <w:sz w:val="20"/>
                        <w:lang w:val="en-US"/>
                      </w:rPr>
                    </w:pPr>
                  </w:p>
                </w:tc>
                <w:tc>
                  <w:tcPr>
                    <w:tcW w:w="992"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 xml:space="preserve">R – Asmenų, kurie po dalyvavimo veiklose įgijo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p>
                    <w:pPr>
                      <w:jc w:val="center"/>
                      <w:rPr>
                        <w:color w:val="000000"/>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10</w:t>
                    </w:r>
                  </w:p>
                  <w:p>
                    <w:pPr>
                      <w:jc w:val="center"/>
                      <w:rPr>
                        <w:color w:val="000000"/>
                        <w:sz w:val="20"/>
                      </w:rPr>
                    </w:pPr>
                    <w:r>
                      <w:rPr>
                        <w:color w:val="000000"/>
                        <w:sz w:val="20"/>
                      </w:rPr>
                      <w:t>(2029 m.)</w:t>
                    </w:r>
                  </w:p>
                  <w:p>
                    <w:pPr>
                      <w:jc w:val="center"/>
                      <w:rPr>
                        <w:color w:val="00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Sveikatos priežiūros įstaigos, įgyvendinusios sveikatos priežiūros specialistų įgalinimo, pritraukimo ir išlaikymo projektus,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lang w:val="en-US"/>
                      </w:rPr>
                    </w:pPr>
                    <w:r>
                      <w:rPr>
                        <w:color w:val="000000"/>
                        <w:sz w:val="20"/>
                      </w:rPr>
                      <w:t>98</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Sveikatos priežiūros specialistų, kurie po dalyvavimo veiklose mažiausiai 2 metus dirbo sveikatos priežiūros įstaigose, dalis, proc.</w:t>
                      <w:tab/>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824"/>
                </w:trPr>
                <w:tc>
                  <w:tcPr>
                    <w:tcW w:w="2410" w:type="dxa"/>
                    <w:vMerge w:val="restart"/>
                    <w:tcBorders>
                      <w:top w:val="single" w:sz="4" w:space="0" w:color="auto"/>
                      <w:left w:val="single" w:sz="4" w:space="0" w:color="auto"/>
                      <w:right w:val="single" w:sz="4" w:space="0" w:color="auto"/>
                    </w:tcBorders>
                  </w:tcPr>
                  <w:p>
                    <w:pPr>
                      <w:rPr>
                        <w:iCs/>
                        <w:color w:val="000000"/>
                        <w:sz w:val="20"/>
                      </w:rPr>
                    </w:pPr>
                    <w:r>
                      <w:rPr>
                        <w:iCs/>
                        <w:color w:val="000000"/>
                        <w:sz w:val="20"/>
                      </w:rPr>
                      <w:t>10.4. Sveikatos priežiūros specialistų rengimas, pritraukimas, Vidurio ir vakarų Lietuvos regionas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 VASPVT</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4 277,540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Specialistai, dalyvavę kvalifikacijos tobulinimo ar perkvalifikavimo veiklose, asmenys </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500</w:t>
                    </w:r>
                  </w:p>
                  <w:p>
                    <w:pPr>
                      <w:jc w:val="center"/>
                      <w:rPr>
                        <w:color w:val="000000"/>
                        <w:sz w:val="20"/>
                      </w:rPr>
                    </w:pPr>
                    <w:r>
                      <w:rPr>
                        <w:color w:val="000000"/>
                        <w:sz w:val="20"/>
                      </w:rPr>
                      <w:t>(2029 m.)</w:t>
                    </w:r>
                  </w:p>
                  <w:p>
                    <w:pPr>
                      <w:jc w:val="center"/>
                      <w:rPr>
                        <w:color w:val="000000"/>
                        <w:sz w:val="20"/>
                      </w:rPr>
                    </w:pP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32"/>
                </w:trPr>
                <w:tc>
                  <w:tcPr>
                    <w:tcW w:w="2410" w:type="dxa"/>
                    <w:vMerge/>
                    <w:tcBorders>
                      <w:left w:val="single" w:sz="4" w:space="0" w:color="auto"/>
                      <w:right w:val="single" w:sz="4" w:space="0" w:color="auto"/>
                    </w:tcBorders>
                  </w:tcPr>
                  <w:p>
                    <w:pPr>
                      <w:rPr>
                        <w:iCs/>
                        <w:color w:val="000000"/>
                        <w:sz w:val="20"/>
                      </w:rPr>
                    </w:pPr>
                  </w:p>
                </w:tc>
                <w:tc>
                  <w:tcPr>
                    <w:tcW w:w="709" w:type="dxa"/>
                    <w:vMerge/>
                    <w:tcBorders>
                      <w:left w:val="single" w:sz="4" w:space="0" w:color="auto"/>
                      <w:right w:val="single" w:sz="4" w:space="0" w:color="auto"/>
                    </w:tcBorders>
                  </w:tcPr>
                  <w:p>
                    <w:pPr>
                      <w:rPr>
                        <w:color w:val="000000"/>
                        <w:sz w:val="20"/>
                      </w:rPr>
                    </w:pPr>
                  </w:p>
                </w:tc>
                <w:tc>
                  <w:tcPr>
                    <w:tcW w:w="1559"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992"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754,860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tcBorders>
                      <w:left w:val="single" w:sz="4" w:space="0" w:color="auto"/>
                      <w:right w:val="single" w:sz="4" w:space="0" w:color="auto"/>
                    </w:tcBorders>
                  </w:tcPr>
                  <w:p>
                    <w:pPr>
                      <w:rPr>
                        <w:color w:val="000000"/>
                        <w:szCs w:val="24"/>
                      </w:rPr>
                    </w:pPr>
                  </w:p>
                </w:tc>
                <w:tc>
                  <w:tcPr>
                    <w:tcW w:w="1276" w:type="dxa"/>
                    <w:vMerge/>
                    <w:tcBorders>
                      <w:left w:val="single" w:sz="4" w:space="0" w:color="auto"/>
                      <w:right w:val="single" w:sz="4" w:space="0" w:color="auto"/>
                    </w:tcBorders>
                  </w:tcPr>
                  <w:p>
                    <w:pPr>
                      <w:rPr>
                        <w:color w:val="000000"/>
                        <w:szCs w:val="24"/>
                      </w:rPr>
                    </w:pPr>
                  </w:p>
                </w:tc>
              </w:tr>
              <w:tr>
                <w:trPr>
                  <w:trHeight w:val="414"/>
                </w:trPr>
                <w:tc>
                  <w:tcPr>
                    <w:tcW w:w="2410" w:type="dxa"/>
                    <w:vMerge w:val="restart"/>
                    <w:shd w:val="clear" w:color="auto" w:fill="F2F2F2" w:themeFill="background1" w:themeFillShade="F2"/>
                  </w:tcPr>
                  <w:p>
                    <w:pPr>
                      <w:rPr>
                        <w:sz w:val="20"/>
                      </w:rPr>
                    </w:pPr>
                    <w:r>
                      <w:rPr>
                        <w:b/>
                        <w:sz w:val="20"/>
                      </w:rPr>
                      <w:t xml:space="preserve">11. </w:t>
                    </w:r>
                    <w:r>
                      <w:rPr>
                        <w:b/>
                        <w:bCs/>
                        <w:sz w:val="20"/>
                      </w:rPr>
                      <w:t>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sz w:val="20"/>
                        <w:lang w:val="en-US"/>
                      </w:rPr>
                      <w:t>18 092,952</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8 970,009</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1 582,943</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rPr>
                      <w:t>8 970,009</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27 050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rPr>
                      <w:t>1 582,943</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410" w:type="dxa"/>
                    <w:vMerge w:val="restart"/>
                    <w:shd w:val="clear" w:color="auto" w:fill="auto"/>
                  </w:tcPr>
                  <w:p>
                    <w:pPr>
                      <w:rPr>
                        <w:sz w:val="20"/>
                      </w:rPr>
                    </w:pPr>
                    <w:r>
                      <w:rPr>
                        <w:b/>
                        <w:bCs/>
                        <w:sz w:val="20"/>
                      </w:rPr>
                      <w:t>13. Programos „Motinos ir vaiko sveikata bei gerovė“ įgyvendinimas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Lietuvos sveikatos mokslų universiteto ligoninė Kauno klinikos</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Ne</w:t>
                    </w:r>
                  </w:p>
                </w:tc>
                <w:tc>
                  <w:tcPr>
                    <w:tcW w:w="709" w:type="dxa"/>
                    <w:vMerge w:val="restart"/>
                    <w:shd w:val="clear" w:color="auto" w:fill="auto"/>
                  </w:tcPr>
                  <w:p>
                    <w:pPr>
                      <w:jc w:val="center"/>
                      <w:rPr>
                        <w:sz w:val="20"/>
                      </w:rPr>
                    </w:pPr>
                    <w:r>
                      <w:rPr>
                        <w:sz w:val="20"/>
                      </w:rPr>
                      <w:t>D</w:t>
                    </w:r>
                  </w:p>
                </w:tc>
                <w:tc>
                  <w:tcPr>
                    <w:tcW w:w="1276" w:type="dxa"/>
                    <w:tcBorders>
                      <w:bottom w:val="single" w:sz="4" w:space="0" w:color="auto"/>
                    </w:tcBorders>
                    <w:shd w:val="clear" w:color="auto" w:fill="auto"/>
                  </w:tcPr>
                  <w:p>
                    <w:pPr>
                      <w:rPr>
                        <w:b/>
                        <w:bCs/>
                        <w:sz w:val="20"/>
                      </w:rPr>
                    </w:pPr>
                    <w:r>
                      <w:rPr>
                        <w:b/>
                        <w:bCs/>
                        <w:sz w:val="20"/>
                      </w:rPr>
                      <w:t>34 219,646</w:t>
                    </w:r>
                  </w:p>
                </w:tc>
                <w:tc>
                  <w:tcPr>
                    <w:tcW w:w="992" w:type="dxa"/>
                    <w:tcBorders>
                      <w:bottom w:val="single" w:sz="4" w:space="0" w:color="auto"/>
                    </w:tcBorders>
                    <w:shd w:val="clear" w:color="auto" w:fill="auto"/>
                  </w:tcPr>
                  <w:p>
                    <w:pPr>
                      <w:rPr>
                        <w:sz w:val="20"/>
                      </w:rPr>
                    </w:pPr>
                    <w:r>
                      <w:rPr>
                        <w:sz w:val="20"/>
                      </w:rPr>
                      <w:t>-</w:t>
                    </w:r>
                  </w:p>
                </w:tc>
                <w:tc>
                  <w:tcPr>
                    <w:tcW w:w="2551" w:type="dxa"/>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6"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shd w:val="clear" w:color="auto" w:fill="auto"/>
                  </w:tcPr>
                  <w:p>
                    <w:pPr>
                      <w:rPr>
                        <w:sz w:val="20"/>
                      </w:rPr>
                    </w:pPr>
                    <w:r>
                      <w:rPr>
                        <w:sz w:val="20"/>
                      </w:rPr>
                      <w:t>29 086,699</w:t>
                    </w:r>
                  </w:p>
                </w:tc>
                <w:tc>
                  <w:tcPr>
                    <w:tcW w:w="992" w:type="dxa"/>
                    <w:shd w:val="clear" w:color="auto" w:fill="auto"/>
                  </w:tcPr>
                  <w:p>
                    <w:pPr>
                      <w:rPr>
                        <w:sz w:val="20"/>
                      </w:rPr>
                    </w:pPr>
                    <w:r>
                      <w:rPr>
                        <w:sz w:val="20"/>
                      </w:rPr>
                      <w:t>AŠĮFP</w:t>
                    </w:r>
                  </w:p>
                </w:tc>
                <w:tc>
                  <w:tcPr>
                    <w:tcW w:w="2551" w:type="dxa"/>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851" w:type="dxa"/>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val="restart"/>
                    <w:shd w:val="clear" w:color="auto" w:fill="auto"/>
                  </w:tcPr>
                  <w:p>
                    <w:pPr>
                      <w:rPr>
                        <w:sz w:val="20"/>
                      </w:rPr>
                    </w:pPr>
                    <w:r>
                      <w:rPr>
                        <w:sz w:val="20"/>
                      </w:rPr>
                      <w:t>5 132,947</w:t>
                    </w:r>
                  </w:p>
                </w:tc>
                <w:tc>
                  <w:tcPr>
                    <w:tcW w:w="992" w:type="dxa"/>
                    <w:vMerge w:val="restart"/>
                    <w:shd w:val="clear" w:color="auto" w:fill="auto"/>
                  </w:tcPr>
                  <w:p>
                    <w:pPr>
                      <w:rPr>
                        <w:sz w:val="20"/>
                      </w:rPr>
                    </w:pPr>
                    <w:r>
                      <w:rPr>
                        <w:sz w:val="20"/>
                      </w:rPr>
                      <w:t>AŠĮFP</w:t>
                    </w:r>
                  </w:p>
                  <w:p>
                    <w:pPr>
                      <w:rPr>
                        <w:sz w:val="20"/>
                      </w:rPr>
                    </w:pPr>
                    <w:r>
                      <w:rPr>
                        <w:sz w:val="20"/>
                      </w:rPr>
                      <w:t>(BF)</w:t>
                    </w:r>
                  </w:p>
                </w:tc>
                <w:tc>
                  <w:tcPr>
                    <w:tcW w:w="2551" w:type="dxa"/>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851" w:type="dxa"/>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851" w:type="dxa"/>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851" w:type="dxa"/>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Sukurti paslaugų teikimo metodikos ir organizacinių procesų aprašai, vnt.</w:t>
                    </w:r>
                  </w:p>
                </w:tc>
                <w:tc>
                  <w:tcPr>
                    <w:tcW w:w="851" w:type="dxa"/>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851" w:type="dxa"/>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e74d06f3d11efa9a4c2046a78b308">
                <w:r w:rsidRPr="00532B9F">
                  <w:rPr>
                    <w:rFonts w:ascii="Times New Roman" w:eastAsia="MS Mincho" w:hAnsi="Times New Roman"/>
                    <w:sz w:val="20"/>
                    <w:i/>
                    <w:iCs/>
                    <w:color w:val="0000FF" w:themeColor="hyperlink"/>
                    <w:u w:val="single"/>
                  </w:rPr>
                  <w:t>V-888</w:t>
                </w:r>
              </w:fldSimple>
              <w:r>
                <w:rPr>
                  <w:rFonts w:ascii="Times New Roman" w:eastAsia="MS Mincho" w:hAnsi="Times New Roman"/>
                  <w:sz w:val="20"/>
                  <w:i/>
                  <w:iCs/>
                </w:rPr>
                <w:t>,
2024-09-10,
paskelbta TAR 2024-09-10, i. k. 2024-15910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(V-1131)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(V-1392)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(V-447)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(V-527)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6c07446ce11f0b070ee7f1ceefc75">
            <w:r w:rsidRPr="00532B9F">
              <w:rPr>
                <w:rFonts w:ascii="Times New Roman" w:eastAsia="MS Mincho" w:hAnsi="Times New Roman"/>
                <w:sz w:val="20"/>
                <w:i/>
                <w:iCs/>
                <w:color w:val="0000FF" w:themeColor="hyperlink"/>
                <w:u w:val="single"/>
              </w:rPr>
              <w:t>V-527</w:t>
            </w:r>
          </w:fldSimple>
          <w:r>
            <w:rPr>
              <w:rFonts w:ascii="Times New Roman" w:eastAsia="MS Mincho" w:hAnsi="Times New Roman"/>
              <w:sz w:val="20"/>
              <w:i/>
              <w:iCs/>
            </w:rPr>
            <w:t>,
2025-06-11,
paskelbta TAR 2025-06-11, i. k. 2025-10626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(V-151)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(V-540)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f2646e311f0b070ee7f1ceefc7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2025-06-11,
paskelbta TAR 2025-06-11, i. k. 2025-10635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(V-481)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(V-132)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(V-608)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p>
          <w:pPr>
            <w:pStyle w:val="PlainText"/>
            <w:rPr>
              <w:rFonts w:ascii="Times New Roman" w:eastAsia="MS Mincho" w:hAnsi="Times New Roman"/>
              <w:sz w:val="20"/>
              <w:iCs/>
            </w:rPr>
          </w:pPr>
          <w:r>
            <w:rPr>
              <w:rFonts w:ascii="Times New Roman" w:eastAsia="MS Mincho" w:hAnsi="Times New Roman"/>
              <w:sz w:val="20"/>
              <w:iCs/>
            </w:rPr>
            <w:t>Priedas Nr. 30 (V-410)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
          <w:pPr>
            <w:pStyle w:val="PlainText"/>
            <w:rPr>
              <w:rFonts w:ascii="Times New Roman" w:eastAsia="MS Mincho" w:hAnsi="Times New Roman"/>
              <w:sz w:val="20"/>
              <w:iCs/>
            </w:rPr>
          </w:pPr>
          <w:r>
            <w:rPr>
              <w:rFonts w:ascii="Times New Roman" w:eastAsia="MS Mincho" w:hAnsi="Times New Roman"/>
              <w:sz w:val="20"/>
              <w:iCs/>
            </w:rPr>
            <w:t>33 priedas (V-517)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da1b0415c11f0b070ee7f1ceefc75">
            <w:r w:rsidRPr="00532B9F">
              <w:rPr>
                <w:rFonts w:ascii="Times New Roman" w:eastAsia="MS Mincho" w:hAnsi="Times New Roman"/>
                <w:sz w:val="20"/>
                <w:i/>
                <w:iCs/>
                <w:color w:val="0000FF" w:themeColor="hyperlink"/>
                <w:u w:val="single"/>
              </w:rPr>
              <w:t>V-517</w:t>
            </w:r>
          </w:fldSimple>
          <w:r>
            <w:rPr>
              <w:rFonts w:ascii="Times New Roman" w:eastAsia="MS Mincho" w:hAnsi="Times New Roman"/>
              <w:sz w:val="20"/>
              <w:i/>
              <w:iCs/>
            </w:rPr>
            <w:t>,
2025-06-04,
paskelbta TAR 2025-06-04, i. k. 2025-10188        </w:t>
          </w:r>
        </w:p>
        <w:p/>
        <w:p>
          <w:pPr>
            <w:pStyle w:val="PlainText"/>
            <w:rPr>
              <w:rFonts w:ascii="Times New Roman" w:eastAsia="MS Mincho" w:hAnsi="Times New Roman"/>
              <w:sz w:val="20"/>
              <w:iCs/>
            </w:rPr>
          </w:pPr>
          <w:r>
            <w:rPr>
              <w:rFonts w:ascii="Times New Roman" w:eastAsia="MS Mincho" w:hAnsi="Times New Roman"/>
              <w:sz w:val="20"/>
              <w:iCs/>
            </w:rPr>
            <w:t>34 priedas (V-605)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5042765578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2025-06-30,
paskelbta TAR 2025-06-30, i. k. 2025-11856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4da1b0415c11f0b070ee7f1ceefc75">
            <w:r w:rsidRPr="00532B9F">
              <w:rPr>
                <w:rFonts w:ascii="Times New Roman" w:eastAsia="MS Mincho" w:hAnsi="Times New Roman"/>
                <w:sz w:val="20"/>
                <w:iCs/>
                <w:color w:val="0000FF" w:themeColor="hyperlink"/>
                <w:u w:val="single"/>
              </w:rPr>
              <w:t>V-517</w:t>
            </w:r>
          </w:fldSimple>
          <w:r>
            <w:rPr>
              <w:rFonts w:ascii="Times New Roman" w:eastAsia="MS Mincho" w:hAnsi="Times New Roman"/>
              <w:sz w:val="20"/>
              <w:iCs/>
            </w:rPr>
            <w:t>,
2025-06-04,
paskelbta TAR 2025-06-04, i. k. 2025-10188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c6c07446ce11f0b070ee7f1ceefc75">
            <w:r w:rsidRPr="00532B9F">
              <w:rPr>
                <w:rFonts w:ascii="Times New Roman" w:eastAsia="MS Mincho" w:hAnsi="Times New Roman"/>
                <w:sz w:val="20"/>
                <w:iCs/>
                <w:color w:val="0000FF" w:themeColor="hyperlink"/>
                <w:u w:val="single"/>
              </w:rPr>
              <w:t>V-527</w:t>
            </w:r>
          </w:fldSimple>
          <w:r>
            <w:rPr>
              <w:rFonts w:ascii="Times New Roman" w:eastAsia="MS Mincho" w:hAnsi="Times New Roman"/>
              <w:sz w:val="20"/>
              <w:iCs/>
            </w:rPr>
            <w:t>,
2025-06-11,
paskelbta TAR 2025-06-11, i. k. 2025-10626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0d2f2646e311f0b070ee7f1ceefc7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2025-06-11,
paskelbta TAR 2025-06-11, i. k. 2025-10635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5042765578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2025-06-30,
paskelbta TAR 2025-06-30, i. k. 2025-11856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4cacb4559a11f0b070ee7f1ceefc75">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2025-06-30,
paskelbta TAR 2025-06-30, i. k. 2025-11899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638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41"/>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header" Target="header6.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52.png"/>
  <Relationship Id="rId19" Type="http://schemas.openxmlformats.org/officeDocument/2006/relationships/oleObject" Target="embeddings/oleObject152.bin"/>
  <Relationship Id="rId2" Type="http://schemas.openxmlformats.org/officeDocument/2006/relationships/customXml" Target="../customXml/item2.xml"/>
  <Relationship Id="rId20" Type="http://schemas.openxmlformats.org/officeDocument/2006/relationships/header" Target="header97.xml"/>
  <Relationship Id="rId21" Type="http://schemas.openxmlformats.org/officeDocument/2006/relationships/header" Target="header98.xml"/>
  <Relationship Id="rId22" Type="http://schemas.openxmlformats.org/officeDocument/2006/relationships/footer" Target="footer97.xml"/>
  <Relationship Id="rId23" Type="http://schemas.openxmlformats.org/officeDocument/2006/relationships/footer" Target="footer98.xml"/>
  <Relationship Id="rId24" Type="http://schemas.openxmlformats.org/officeDocument/2006/relationships/header" Target="header99.xml"/>
  <Relationship Id="rId25" Type="http://schemas.openxmlformats.org/officeDocument/2006/relationships/footer" Target="footer99.xml"/>
  <Relationship Id="rId26" Type="http://schemas.openxmlformats.org/officeDocument/2006/relationships/header" Target="header154.xml"/>
  <Relationship Id="rId27" Type="http://schemas.openxmlformats.org/officeDocument/2006/relationships/header" Target="header155.xml"/>
  <Relationship Id="rId28" Type="http://schemas.openxmlformats.org/officeDocument/2006/relationships/footer" Target="footer154.xml"/>
  <Relationship Id="rId29" Type="http://schemas.openxmlformats.org/officeDocument/2006/relationships/footer" Target="footer155.xml"/>
  <Relationship Id="rId3" Type="http://schemas.openxmlformats.org/officeDocument/2006/relationships/customXml" Target="../customXml/item3.xml"/>
  <Relationship Id="rId30" Type="http://schemas.openxmlformats.org/officeDocument/2006/relationships/header" Target="header156.xml"/>
  <Relationship Id="rId31" Type="http://schemas.openxmlformats.org/officeDocument/2006/relationships/footer" Target="footer156.xml"/>
  <Relationship Id="rId32" Type="http://schemas.openxmlformats.org/officeDocument/2006/relationships/customXml" Target="../customXml/item4.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4.xml"/>
  <Relationship Id="rId8" Type="http://schemas.openxmlformats.org/officeDocument/2006/relationships/footer" Target="footer5.xml"/>
  <Relationship Id="rId9" Type="http://schemas.openxmlformats.org/officeDocument/2006/relationships/footer" Target="footer6.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d5d9826620374af086fcbed62a82c7b3">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b30ab63848c54765864e9b4d7813cc3a">
    <Part Type="skyrius" Nr="1" Title="PLĖTROS PROGRAMOS PAŽANGOS PRIEMONĖS SIEKIAMI REZULTATAI" DocPartId="e80e9b157a5a4ed1972c3b4a13590405" PartId="3cd88d542e3c4ac994befb62ec5e09b1"/>
    <Part Type="skyrius" Nr="II" Title="PLĖTROS PROGRAMOS PAŽANGOS PRIEMONĖS FINANSAVIMO ŠALTINIAI" DocPartId="fdb43120fd5945b0b28f372d3638606d" PartId="1106cf607dad4a3e9b69a66cb720f4d0"/>
    <Part Type="skyrius" Nr="3" Title="PLĖTROS PROGRAMOS PAŽANGOS PRIEMONĖS VEIKLŲ SUVESTINĖ" DocPartId="1bddb33c08254707be163cb39811516b" PartId="37e153aa2d584ed0a84a49c48386c762"/>
    <Part Type="pabaiga" DocPartId="0439090d9a81489fa451252c8b318e94" PartId="409a53616be741a5b39ea703920f091a"/>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1AA71948-D29A-4F0D-A98F-43F5C88807DF}">
  <ds:schemaRefs>
    <ds:schemaRef ds:uri="http://lrs.lt/TAIS/DocParts"/>
  </ds:schemaRefs>
</ds:datastoreItem>
</file>

<file path=customXml/itemProps6.xml><?xml version="1.0" encoding="utf-8"?>
<ds:datastoreItem xmlns:ds="http://schemas.openxmlformats.org/officeDocument/2006/customXml" ds:itemID="{B5B370A0-23A3-4EE7-874E-2A84D12AA03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123</TotalTime>
  <Pages>52</Pages>
  <Words>12141</Words>
  <Characters>77782</Characters>
  <Application>Microsoft Office Word</Application>
  <DocSecurity>0</DocSecurity>
  <Lines>648</Lines>
  <Paragraphs>179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89744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JŪRĖNIENĖ Jolanta</lastModifiedBy>
  <lastPrinted>2001-05-09T09:40:00Z</lastPrinted>
  <dcterms:modified xsi:type="dcterms:W3CDTF">2025-07-04T13:50:00Z</dcterms:modified>
  <revision>89</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