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151a97030aa41f0a1cfeaef410d84a9"/>
        <w:lock w:val="sdtLocked"/>
        <w:richText/>
      </w:sdtPr>
      <w:sdtContent>
        <w:p>
          <w:pPr>
            <w:jc w:val="both"/>
            <w:rPr>
              <w:rFonts w:ascii="Times New Roman" w:hAnsi="Times New Roman"/>
            </w:rPr>
          </w:pPr>
          <w:r>
            <w:rPr>
              <w:rFonts w:ascii="Times New Roman" w:hAnsi="Times New Roman"/>
              <w:b/>
              <w:i/>
            </w:rPr>
            <w:t>Suvestinė redakcija nuo 2024-11-09 iki 2024-11-20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4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b30ab63848c54765864e9b4d7813cc3a"/>
        <w:lock w:val="sdtLocked"/>
        <w:richText/>
      </w:sdtPr>
      <w:sdtContent>
        <w:p>
          <w:pPr>
            <w:ind w:left="6521"/>
            <w:sectPr>
              <w:headerReference w:type="even" r:id="rId19"/>
              <w:headerReference w:type="default" r:id="rId20"/>
              <w:footerReference w:type="even" r:id="rId21"/>
              <w:footerReference w:type="default" r:id="rId22"/>
              <w:headerReference w:type="first" r:id="rId23"/>
              <w:footerReference w:type="first" r:id="rId24"/>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b30ab63848c54765864e9b4d7813cc3a"/>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3cd88d542e3c4ac994befb62ec5e09b1"/>
            <w:lock w:val="sdtLocked"/>
            <w:richText/>
          </w:sdtPr>
          <w:sdtContent>
            <w:p>
              <w:pPr>
                <w:tabs>
                  <w:tab w:val="left" w:pos="1985"/>
                </w:tabs>
                <w:jc w:val="center"/>
                <w:rPr>
                  <w:b/>
                  <w:bCs/>
                  <w:sz w:val="22"/>
                  <w:szCs w:val="22"/>
                </w:rPr>
              </w:pPr>
              <w:sdt>
                <w:sdtPr>
                  <w:alias w:val="Numeris"/>
                  <w:tag w:val="nr_3cd88d542e3c4ac994befb62ec5e09b1"/>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3cd88d542e3c4ac994befb62ec5e09b1"/>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1079" w:type="dxa"/>
                    <w:shd w:val="clear" w:color="auto" w:fill="FFFFFF" w:themeFill="background1"/>
                  </w:tcPr>
                  <w:p>
                    <w:pPr>
                      <w:rPr>
                        <w:iCs/>
                        <w:sz w:val="20"/>
                      </w:rPr>
                    </w:pPr>
                    <w:r>
                      <w:rPr>
                        <w:iCs/>
                        <w:sz w:val="20"/>
                      </w:rPr>
                      <w:t xml:space="preserve">Rezultato </w:t>
                    </w:r>
                  </w:p>
                </w:tc>
                <w:tc>
                  <w:tcPr>
                    <w:tcW w:w="2541" w:type="dxa"/>
                    <w:shd w:val="clear" w:color="auto" w:fill="FFFFFF" w:themeFill="background1"/>
                  </w:tcPr>
                  <w:p>
                    <w:pPr>
                      <w:rPr>
                        <w:sz w:val="20"/>
                      </w:rPr>
                    </w:pPr>
                    <w:r>
                      <w:rPr>
                        <w:sz w:val="20"/>
                      </w:rPr>
                      <w:t xml:space="preserve">Šalies gyventojų, kuriems teikiamos su sveikata susijusios elektroninės paslaugos,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30</w:t>
                    </w:r>
                  </w:p>
                  <w:p>
                    <w:pPr>
                      <w:jc w:val="center"/>
                      <w:rPr>
                        <w:sz w:val="20"/>
                      </w:rPr>
                    </w:pPr>
                    <w:r>
                      <w:rPr>
                        <w:sz w:val="20"/>
                      </w:rPr>
                      <w:t>(2021 m.)</w:t>
                    </w:r>
                  </w:p>
                  <w:p>
                    <w:pPr>
                      <w:jc w:val="center"/>
                      <w:rPr>
                        <w:sz w:val="20"/>
                      </w:rPr>
                    </w:pPr>
                  </w:p>
                </w:tc>
                <w:tc>
                  <w:tcPr>
                    <w:tcW w:w="945" w:type="dxa"/>
                    <w:shd w:val="clear" w:color="auto" w:fill="FFFFFF" w:themeFill="background1"/>
                  </w:tcPr>
                  <w:p>
                    <w:pPr>
                      <w:jc w:val="center"/>
                      <w:rPr>
                        <w:sz w:val="20"/>
                      </w:rPr>
                    </w:pPr>
                    <w:r>
                      <w:rPr>
                        <w:sz w:val="20"/>
                      </w:rPr>
                      <w:t>60</w:t>
                    </w:r>
                  </w:p>
                  <w:p>
                    <w:pPr>
                      <w:jc w:val="center"/>
                      <w:rPr>
                        <w:sz w:val="20"/>
                      </w:rPr>
                    </w:pPr>
                    <w:r>
                      <w:rPr>
                        <w:sz w:val="20"/>
                      </w:rPr>
                      <w:t>(2025 m. IV ketv.)</w:t>
                    </w:r>
                  </w:p>
                  <w:p>
                    <w:pPr>
                      <w:jc w:val="center"/>
                      <w:rPr>
                        <w:sz w:val="20"/>
                      </w:rPr>
                    </w:pPr>
                  </w:p>
                </w:tc>
                <w:tc>
                  <w:tcPr>
                    <w:tcW w:w="1079" w:type="dxa"/>
                    <w:shd w:val="clear" w:color="auto" w:fill="FFFFFF" w:themeFill="background1"/>
                  </w:tcPr>
                  <w:p>
                    <w:pPr>
                      <w:jc w:val="center"/>
                      <w:rPr>
                        <w:sz w:val="20"/>
                      </w:rPr>
                    </w:pPr>
                    <w:r>
                      <w:rPr>
                        <w:sz w:val="20"/>
                      </w:rPr>
                      <w:t>98</w:t>
                    </w:r>
                  </w:p>
                  <w:p>
                    <w:pPr>
                      <w:jc w:val="center"/>
                      <w:rPr>
                        <w:sz w:val="20"/>
                      </w:rPr>
                    </w:pP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Ambulatorinių ir stacionarinių asmens sveikatos priežiūros įstaigų, naudojančių e. sveikatos produktus,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color w:val="FFFFFF"/>
                        <w:sz w:val="20"/>
                      </w:rPr>
                    </w:pPr>
                    <w:r>
                      <w:rPr>
                        <w:sz w:val="20"/>
                      </w:rPr>
                      <w:t>50 (2021 m.)</w:t>
                    </w:r>
                  </w:p>
                </w:tc>
                <w:tc>
                  <w:tcPr>
                    <w:tcW w:w="945" w:type="dxa"/>
                    <w:shd w:val="clear" w:color="auto" w:fill="FFFFFF" w:themeFill="background1"/>
                  </w:tcPr>
                  <w:p>
                    <w:pPr>
                      <w:jc w:val="center"/>
                      <w:rPr>
                        <w:sz w:val="20"/>
                      </w:rPr>
                    </w:pPr>
                    <w:r>
                      <w:rPr>
                        <w:sz w:val="20"/>
                      </w:rPr>
                      <w:t>60</w:t>
                    </w:r>
                  </w:p>
                  <w:p>
                    <w:pPr>
                      <w:jc w:val="center"/>
                      <w:rPr>
                        <w:sz w:val="20"/>
                      </w:rPr>
                    </w:pPr>
                    <w:r>
                      <w:rPr>
                        <w:sz w:val="20"/>
                      </w:rPr>
                      <w:t>(2023 m. IV ketv.)</w:t>
                    </w:r>
                  </w:p>
                  <w:p>
                    <w:pPr>
                      <w:jc w:val="center"/>
                      <w:rPr>
                        <w:sz w:val="20"/>
                      </w:rPr>
                    </w:pPr>
                    <w:r>
                      <w:rPr>
                        <w:sz w:val="20"/>
                      </w:rPr>
                      <w:t>70</w:t>
                    </w:r>
                  </w:p>
                  <w:p>
                    <w:pPr>
                      <w:jc w:val="center"/>
                      <w:rPr>
                        <w:color w:val="FFFFFF"/>
                        <w:sz w:val="20"/>
                      </w:rPr>
                    </w:pPr>
                    <w:r>
                      <w:rPr>
                        <w:sz w:val="20"/>
                      </w:rPr>
                      <w:t>(2025 m. IV ketv.)</w:t>
                    </w:r>
                  </w:p>
                </w:tc>
                <w:tc>
                  <w:tcPr>
                    <w:tcW w:w="1079" w:type="dxa"/>
                    <w:shd w:val="clear" w:color="auto" w:fill="FFFFFF" w:themeFill="background1"/>
                  </w:tcPr>
                  <w:p>
                    <w:pPr>
                      <w:jc w:val="center"/>
                      <w:rPr>
                        <w:color w:val="FFFFFF"/>
                        <w:sz w:val="20"/>
                      </w:rPr>
                    </w:pPr>
                    <w:r>
                      <w:rPr>
                        <w:sz w:val="20"/>
                      </w:rPr>
                      <w:t>98</w:t>
                    </w: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p>
                    <w:pPr>
                      <w:jc w:val="center"/>
                      <w:rPr>
                        <w:color w:val="FFFFFF"/>
                        <w:sz w:val="20"/>
                      </w:rPr>
                    </w:pPr>
                  </w:p>
                </w:tc>
                <w:tc>
                  <w:tcPr>
                    <w:tcW w:w="945" w:type="dxa"/>
                    <w:shd w:val="clear" w:color="auto" w:fill="FFFFFF" w:themeFill="background1"/>
                  </w:tcPr>
                  <w:p>
                    <w:pPr>
                      <w:jc w:val="center"/>
                      <w:rPr>
                        <w:sz w:val="20"/>
                      </w:rPr>
                    </w:pPr>
                    <w:r>
                      <w:rPr>
                        <w:sz w:val="20"/>
                      </w:rPr>
                      <w:t>426 000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2 138 000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sz w:val="20"/>
                      </w:rPr>
                    </w:pPr>
                    <w:r>
                      <w:rPr>
                        <w:bCs/>
                        <w:sz w:val="20"/>
                      </w:rPr>
                      <w:t>AŠĮFP</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1106cf607dad4a3e9b69a66cb720f4d0"/>
            <w:lock w:val="sdtLocked"/>
            <w:richText/>
          </w:sdtPr>
          <w:sdtContent>
            <w:p>
              <w:pPr>
                <w:ind w:left="1080" w:hanging="360"/>
                <w:jc w:val="center"/>
                <w:rPr>
                  <w:b/>
                  <w:bCs/>
                  <w:color w:val="000000"/>
                  <w:szCs w:val="24"/>
                </w:rPr>
              </w:pPr>
              <w:sdt>
                <w:sdtPr>
                  <w:alias w:val="Numeris"/>
                  <w:tag w:val="nr_1106cf607dad4a3e9b69a66cb720f4d0"/>
                  <w:lock w:val="sdtLocked"/>
                  <w:richText/>
                </w:sdtPr>
                <w:sdtContent>
                  <w:r>
                    <w:rPr>
                      <w:b/>
                      <w:bCs/>
                      <w:color w:val="000000"/>
                      <w:szCs w:val="24"/>
                    </w:rPr>
                    <w:t>II</w:t>
                  </w:r>
                </w:sdtContent>
              </w:sdt>
              <w:r>
                <w:rPr>
                  <w:b/>
                  <w:bCs/>
                  <w:color w:val="000000"/>
                  <w:szCs w:val="24"/>
                </w:rPr>
                <w:t xml:space="preserve"> SKYRIUS</w:t>
              </w:r>
            </w:p>
            <w:p>
              <w:pPr>
                <w:ind w:left="1080" w:hanging="360"/>
                <w:jc w:val="center"/>
                <w:rPr>
                  <w:b/>
                  <w:bCs/>
                  <w:color w:val="000000"/>
                  <w:szCs w:val="24"/>
                </w:rPr>
              </w:pPr>
              <w:sdt>
                <w:sdtPr>
                  <w:alias w:val="Pavadinimas"/>
                  <w:tag w:val="title_1106cf607dad4a3e9b69a66cb720f4d0"/>
                  <w:lock w:val="sdtLocked"/>
                  <w:richText/>
                </w:sdtPr>
                <w:sdtContent>
                  <w:r>
                    <w:rPr>
                      <w:b/>
                      <w:bCs/>
                      <w:color w:val="000000"/>
                      <w:szCs w:val="24"/>
                    </w:rPr>
                    <w:t>PLĖTROS PROGRAMOS PAŽANGOS PRIEMONĖS FINANSAVIMO ŠALTINIAI</w:t>
                  </w:r>
                </w:sdtContent>
              </w:sdt>
            </w:p>
            <w:p>
              <w:pPr>
                <w:ind w:left="851"/>
                <w:jc w:val="center"/>
                <w:rPr>
                  <w:color w:val="000000"/>
                  <w:szCs w:val="24"/>
                </w:rPr>
              </w:pPr>
            </w:p>
            <w:tbl>
              <w:tblPr>
                <w:tblW w:w="10773" w:type="dxa"/>
                <w:tblLayout w:type="fixed"/>
                <w:tblCellMar>
                  <w:left w:w="30" w:type="dxa"/>
                  <w:right w:w="30" w:type="dxa"/>
                </w:tblCellMar>
                <w:tblLook w:val="04A0" w:firstRow="1" w:lastRow="0" w:firstColumn="1" w:lastColumn="0" w:noHBand="0" w:noVBand="1"/>
              </w:tblPr>
              <w:tblGrid>
                <w:gridCol w:w="7822"/>
                <w:gridCol w:w="2951"/>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 xml:space="preserve">85 781,753 </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1.2.3.1.68. Antrojo Šveicarijos įnašo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5 132,947</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600 231,779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1.3.3.1.68. Antrojo Šveicarijos įnašo finansinės paramos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29 086,699</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i/>
                        <w:iCs/>
                        <w:sz w:val="20"/>
                      </w:rPr>
                    </w:pPr>
                    <w:r>
                      <w:rPr>
                        <w:b/>
                        <w:sz w:val="20"/>
                      </w:rPr>
                      <w:t>1.4.</w:t>
                    </w:r>
                    <w:r>
                      <w:rPr>
                        <w:b/>
                        <w:i/>
                        <w:iCs/>
                        <w:sz w:val="20"/>
                      </w:rPr>
                      <w:t xml:space="preserve"> </w:t>
                    </w:r>
                    <w:r>
                      <w:rPr>
                        <w:b/>
                        <w:sz w:val="20"/>
                      </w:rPr>
                      <w:t>Biudžetinių įstaigų pajamų įmokos ir kitos pajamos</w:t>
                    </w:r>
                    <w:r>
                      <w:rPr>
                        <w:b/>
                        <w:i/>
                        <w:iCs/>
                        <w:sz w:val="20"/>
                      </w:rPr>
                      <w:t xml:space="preserve">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720" w:hanging="360"/>
                      <w:jc w:val="center"/>
                      <w:rPr>
                        <w:b/>
                        <w:sz w:val="20"/>
                        <w:lang w:val="en-US"/>
                      </w:rPr>
                    </w:pPr>
                    <w:r>
                      <w:rPr>
                        <w:b/>
                        <w:sz w:val="20"/>
                        <w:lang w:val="en-US"/>
                      </w:rPr>
                      <w:t>797</w:t>
                      <w:tab/>
                    </w:r>
                    <w:r>
                      <w:rPr>
                        <w:b/>
                        <w:sz w:val="20"/>
                      </w:rPr>
                      <w:t>213,251“</w:t>
                    </w:r>
                  </w:p>
                </w:tc>
              </w:tr>
            </w:tbl>
            <w:p>
              <w:pPr>
                <w:tabs>
                  <w:tab w:val="left" w:pos="1134"/>
                </w:tabs>
                <w:ind w:left="851"/>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800071dc9d68401a95f36aeac88fa10f"/>
            <w:lock w:val="sdtLocked"/>
            <w:richText/>
          </w:sdtPr>
          <w:sdtContent>
            <w:p>
              <w:pPr>
                <w:ind w:left="-284"/>
                <w:jc w:val="center"/>
                <w:sectPr>
                  <w:headerReference w:type="even" r:id="rId25"/>
                  <w:headerReference w:type="default" r:id="rId26"/>
                  <w:footerReference w:type="even" r:id="rId27"/>
                  <w:footerReference w:type="default" r:id="rId28"/>
                  <w:headerReference w:type="first" r:id="rId29"/>
                  <w:footerReference w:type="first" r:id="rId30"/>
                  <w:pgSz w:w="11906" w:h="16838" w:code="9"/>
                  <w:pgMar w:top="1701" w:right="567" w:bottom="1134" w:left="709" w:header="1134" w:footer="1134" w:gutter="0"/>
                  <w:cols w:space="1296"/>
                  <w:titlePg/>
                  <w:docGrid w:linePitch="326"/>
                </w:sectPr>
              </w:pPr>
            </w:p>
            <w:p>
              <w:pPr>
                <w:ind w:left="-284"/>
                <w:jc w:val="center"/>
                <w:rPr>
                  <w:b/>
                  <w:bCs/>
                </w:rPr>
              </w:pPr>
              <w:sdt>
                <w:sdtPr>
                  <w:alias w:val="Numeris"/>
                  <w:tag w:val="nr_800071dc9d68401a95f36aeac88fa10f"/>
                  <w:lock w:val="sdtLocked"/>
                  <w:richText/>
                </w:sdtPr>
                <w:sdtContent>
                  <w:r>
                    <w:rPr>
                      <w:b/>
                      <w:bCs/>
                    </w:rPr>
                    <w:t>III</w:t>
                  </w:r>
                </w:sdtContent>
              </w:sdt>
              <w:r>
                <w:rPr>
                  <w:b/>
                  <w:bCs/>
                </w:rPr>
                <w:t xml:space="preserve"> SKYRIUS</w:t>
              </w:r>
            </w:p>
            <w:p>
              <w:pPr>
                <w:jc w:val="center"/>
                <w:rPr>
                  <w:b/>
                  <w:bCs/>
                </w:rPr>
              </w:pPr>
              <w:sdt>
                <w:sdtPr>
                  <w:alias w:val="Pavadinimas"/>
                  <w:tag w:val="title_800071dc9d68401a95f36aeac88fa10f"/>
                  <w:lock w:val="sdtLocked"/>
                  <w:richText/>
                </w:sdtPr>
                <w:sdtContent>
                  <w:r>
                    <w:rPr>
                      <w:b/>
                      <w:bCs/>
                    </w:rPr>
                    <w:t>PLĖTROS PROGRAMOS PAŽANGOS PRIEMONĖS VEIKLŲ SUVESTINĖ</w:t>
                  </w:r>
                </w:sdtContent>
              </w:sdt>
            </w:p>
            <w:p>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55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55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410"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410" w:type="dxa"/>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410" w:type="dxa"/>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410" w:type="dxa"/>
                    <w:vMerge/>
                    <w:tcBorders>
                      <w:left w:val="single" w:sz="4" w:space="0" w:color="auto"/>
                      <w:bottom w:val="single" w:sz="4" w:space="0" w:color="auto"/>
                      <w:right w:val="single" w:sz="4" w:space="0" w:color="auto"/>
                    </w:tcBorders>
                  </w:tcPr>
                  <w:p>
                    <w:pPr>
                      <w:ind w:left="-57" w:right="-57"/>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410" w:type="dxa"/>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559"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992"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jc w:val="center"/>
                      <w:rPr>
                        <w:color w:val="000000"/>
                        <w:sz w:val="20"/>
                      </w:rPr>
                    </w:pPr>
                  </w:p>
                </w:tc>
                <w:tc>
                  <w:tcPr>
                    <w:tcW w:w="992" w:type="dxa"/>
                    <w:vMerge/>
                    <w:tcBorders>
                      <w:left w:val="single" w:sz="4" w:space="0" w:color="auto"/>
                      <w:bottom w:val="single" w:sz="4" w:space="0" w:color="auto"/>
                      <w:right w:val="single" w:sz="4" w:space="0" w:color="auto"/>
                    </w:tcBorders>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410" w:type="dxa"/>
                    <w:vMerge/>
                    <w:tcBorders>
                      <w:left w:val="single" w:sz="4" w:space="0" w:color="auto"/>
                      <w:right w:val="single" w:sz="4" w:space="0" w:color="auto"/>
                    </w:tcBorders>
                  </w:tcPr>
                  <w:p>
                    <w:pPr>
                      <w:ind w:left="-57" w:right="-57"/>
                      <w:rPr>
                        <w:iCs/>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276" w:type="dxa"/>
                    <w:tcBorders>
                      <w:left w:val="single" w:sz="4" w:space="0" w:color="auto"/>
                      <w:right w:val="single" w:sz="4" w:space="0" w:color="auto"/>
                    </w:tcBorders>
                  </w:tcPr>
                  <w:p>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 Pasirengimo grėsmėms stiprinimas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253 823,507</w:t>
                    </w:r>
                  </w:p>
                  <w:p>
                    <w:pP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9</w:t>
                    </w:r>
                  </w:p>
                  <w:p>
                    <w:pPr>
                      <w:ind w:left="-57" w:right="-57"/>
                      <w:jc w:val="center"/>
                      <w:rPr>
                        <w:color w:val="000000"/>
                        <w:sz w:val="20"/>
                      </w:rPr>
                    </w:pPr>
                    <w:r>
                      <w:rPr>
                        <w:color w:val="000000"/>
                        <w:sz w:val="20"/>
                      </w:rPr>
                      <w:t>(2030 m.)</w:t>
                    </w:r>
                  </w:p>
                  <w:p>
                    <w:pPr>
                      <w:ind w:left="-57" w:right="-57"/>
                      <w:jc w:val="center"/>
                      <w:rPr>
                        <w:color w:val="000000"/>
                        <w:sz w:val="20"/>
                      </w:rPr>
                    </w:pPr>
                  </w:p>
                  <w:p>
                    <w:pPr>
                      <w:ind w:left="-57" w:right="-57"/>
                      <w:jc w:val="center"/>
                      <w:rPr>
                        <w:color w:val="000000"/>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12</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31 111,338</w:t>
                    </w:r>
                  </w:p>
                  <w:p>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Efektyvių organų donorų skaičius 1 mln. gyventojų</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 xml:space="preserve">R – Aktyviojo gydymo sveikatos priežiūros įstaigose nustatytų invazinių </w:t>
                    </w:r>
                    <w:r>
                      <w:rPr>
                        <w:i/>
                        <w:iCs/>
                        <w:color w:val="000000"/>
                        <w:sz w:val="20"/>
                      </w:rPr>
                      <w:t>Klebsiella pneumoniae</w:t>
                    </w:r>
                    <w:r>
                      <w:rPr>
                        <w:color w:val="000000"/>
                        <w:sz w:val="20"/>
                      </w:rPr>
                      <w:t xml:space="preserve">, atsparių  trečios kartos cefalosporinams, dalis (EARS-Net duomenimis),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47 847,749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w:t>
                    </w:r>
                  </w:p>
                  <w:p>
                    <w:pPr>
                      <w:jc w:val="center"/>
                      <w:rPr>
                        <w:sz w:val="20"/>
                      </w:rPr>
                    </w:pPr>
                    <w:r>
                      <w:rPr>
                        <w:sz w:val="20"/>
                      </w:rPr>
                      <w:t>Vidurio ir vakarų Lietuvos (toliau – VVL) regionas)</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8 443,721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212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70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ind w:left="-57" w:right="-57"/>
                      <w:jc w:val="center"/>
                      <w:rPr>
                        <w:color w:val="000000"/>
                        <w:sz w:val="20"/>
                      </w:rPr>
                    </w:pPr>
                  </w:p>
                </w:tc>
                <w:tc>
                  <w:tcPr>
                    <w:tcW w:w="992" w:type="dxa"/>
                    <w:vMerge/>
                    <w:tcBorders>
                      <w:left w:val="single" w:sz="4" w:space="0" w:color="auto"/>
                      <w:right w:val="single" w:sz="4" w:space="0" w:color="auto"/>
                    </w:tcBorders>
                    <w:vAlign w:val="center"/>
                  </w:tcPr>
                  <w:p>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Nustatyti infekcinių ligų centrų infrastruktūros reikalavimai, </w:t>
                    </w:r>
                    <w:r>
                      <w:rPr>
                        <w:color w:val="000000"/>
                        <w:sz w:val="20"/>
                      </w:rPr>
                      <w:t>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w:t>
                    </w:r>
                    <w:r>
                      <w:rPr>
                        <w:sz w:val="20"/>
                        <w:lang w:eastAsia="lt-LT"/>
                      </w:rPr>
                      <w:t>Nustatyti ligoninių skubiosios medicinos pagalbos, reanimacijos ir intensyviosios terapijos skyrių infrastruktūros reikalavimai,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124 153,509</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497"/>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26 071,338</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tcBorders>
                      <w:left w:val="single" w:sz="4" w:space="0" w:color="auto"/>
                      <w:bottom w:val="single" w:sz="4" w:space="0" w:color="auto"/>
                      <w:right w:val="single" w:sz="4" w:space="0" w:color="auto"/>
                    </w:tcBorders>
                    <w:vAlign w:val="center"/>
                  </w:tcPr>
                  <w:p>
                    <w:pPr>
                      <w:rPr>
                        <w:color w:val="000000"/>
                        <w:sz w:val="20"/>
                      </w:rPr>
                    </w:pPr>
                  </w:p>
                </w:tc>
                <w:tc>
                  <w:tcPr>
                    <w:tcW w:w="709" w:type="dxa"/>
                    <w:vMerge/>
                    <w:tcBorders>
                      <w:left w:val="single" w:sz="4" w:space="0" w:color="auto"/>
                      <w:bottom w:val="single" w:sz="4" w:space="0" w:color="auto"/>
                      <w:right w:val="single" w:sz="4" w:space="0" w:color="auto"/>
                    </w:tcBorders>
                    <w:vAlign w:val="center"/>
                  </w:tcPr>
                  <w:p>
                    <w:pPr>
                      <w:rPr>
                        <w:color w:val="000000"/>
                        <w:sz w:val="20"/>
                      </w:rPr>
                    </w:pPr>
                  </w:p>
                </w:tc>
                <w:tc>
                  <w:tcPr>
                    <w:tcW w:w="1559"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2.3. Regioninių sveikatos priežiūros įstaigų infrastruktūros modernizavimas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24 000</w:t>
                    </w:r>
                  </w:p>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801"/>
                </w:trPr>
                <w:tc>
                  <w:tcPr>
                    <w:tcW w:w="2410" w:type="dxa"/>
                    <w:vMerge/>
                    <w:tcBorders>
                      <w:top w:val="single" w:sz="4" w:space="0" w:color="auto"/>
                      <w:left w:val="single" w:sz="4" w:space="0" w:color="auto"/>
                      <w:bottom w:val="single" w:sz="4" w:space="0" w:color="auto"/>
                      <w:right w:val="single" w:sz="4" w:space="0" w:color="auto"/>
                    </w:tcBorders>
                  </w:tcPr>
                  <w:p>
                    <w:pPr>
                      <w:ind w:left="-57" w:right="-57"/>
                      <w:rPr>
                        <w:iCs/>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r>
              <w:tr>
                <w:trPr>
                  <w:trHeight w:val="719"/>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1025"/>
                </w:trPr>
                <w:tc>
                  <w:tcPr>
                    <w:tcW w:w="2410" w:type="dxa"/>
                    <w:vMerge w:val="restart"/>
                  </w:tcPr>
                  <w:p>
                    <w:pPr>
                      <w:rPr>
                        <w:sz w:val="20"/>
                      </w:rPr>
                    </w:pPr>
                    <w:r>
                      <w:rPr>
                        <w:sz w:val="20"/>
                      </w:rPr>
                      <w:t>2.4 Regionų ir savivaldybių sveikatos priežiūros įstaigų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pPr>
                      <w:rPr>
                        <w:sz w:val="20"/>
                      </w:rPr>
                    </w:pPr>
                    <w:r>
                      <w:rPr>
                        <w:color w:val="000000"/>
                        <w:sz w:val="20"/>
                      </w:rPr>
                      <w:t>9 133,595</w:t>
                    </w:r>
                  </w:p>
                </w:tc>
                <w:tc>
                  <w:tcPr>
                    <w:tcW w:w="992" w:type="dxa"/>
                  </w:tcPr>
                  <w:p>
                    <w:pPr>
                      <w:rPr>
                        <w:sz w:val="20"/>
                      </w:rPr>
                    </w:pPr>
                    <w:r>
                      <w:rPr>
                        <w:sz w:val="20"/>
                      </w:rPr>
                      <w:t>2021–2027 m. IP (ERPF)</w:t>
                    </w:r>
                  </w:p>
                  <w:p>
                    <w:pPr>
                      <w:rPr>
                        <w:sz w:val="20"/>
                      </w:rPr>
                    </w:pPr>
                  </w:p>
                </w:tc>
                <w:tc>
                  <w:tcPr>
                    <w:tcW w:w="2551"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96 410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9 133,595</w:t>
                    </w:r>
                  </w:p>
                </w:tc>
                <w:tc>
                  <w:tcPr>
                    <w:tcW w:w="992" w:type="dxa"/>
                  </w:tcPr>
                  <w:p>
                    <w:pPr>
                      <w:rPr>
                        <w:sz w:val="20"/>
                      </w:rPr>
                    </w:pPr>
                    <w:r>
                      <w:rPr>
                        <w:sz w:val="20"/>
                      </w:rPr>
                      <w:t>2021–2027 m. IP (BF)</w:t>
                    </w:r>
                  </w:p>
                </w:tc>
                <w:tc>
                  <w:tcPr>
                    <w:tcW w:w="2551"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851" w:type="dxa"/>
                    <w:shd w:val="clear" w:color="auto" w:fill="auto"/>
                  </w:tcPr>
                  <w:p>
                    <w:pPr>
                      <w:ind w:left="-57" w:right="-57"/>
                      <w:jc w:val="center"/>
                      <w:rPr>
                        <w:sz w:val="20"/>
                      </w:rPr>
                    </w:pPr>
                    <w:r>
                      <w:rPr>
                        <w:sz w:val="20"/>
                      </w:rPr>
                      <w:t>91 590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410" w:type="dxa"/>
                    <w:vMerge w:val="restart"/>
                  </w:tcPr>
                  <w:p>
                    <w:pPr>
                      <w:rPr>
                        <w:sz w:val="20"/>
                      </w:rPr>
                    </w:pPr>
                    <w:r>
                      <w:rPr>
                        <w:sz w:val="20"/>
                      </w:rPr>
                      <w:t>2.5. Regionų ir savivaldybių sveikatos priežiūros įstaigų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shd w:val="clear" w:color="auto" w:fill="auto"/>
                  </w:tcPr>
                  <w:p>
                    <w:pPr>
                      <w:rPr>
                        <w:sz w:val="20"/>
                      </w:rPr>
                    </w:pPr>
                    <w:r>
                      <w:rPr>
                        <w:sz w:val="20"/>
                      </w:rPr>
                      <w:t>44 022,749</w:t>
                    </w:r>
                  </w:p>
                </w:tc>
                <w:tc>
                  <w:tcPr>
                    <w:tcW w:w="992" w:type="dxa"/>
                  </w:tcPr>
                  <w:p>
                    <w:pPr>
                      <w:rPr>
                        <w:sz w:val="20"/>
                      </w:rPr>
                    </w:pPr>
                    <w:r>
                      <w:rPr>
                        <w:sz w:val="20"/>
                      </w:rPr>
                      <w:t>2021–2027 m. IP (ERPF)</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pPr>
                      <w:ind w:left="-57" w:right="-57"/>
                      <w:jc w:val="center"/>
                      <w:rPr>
                        <w:sz w:val="20"/>
                      </w:rPr>
                    </w:pPr>
                    <w:r>
                      <w:rPr>
                        <w:sz w:val="20"/>
                      </w:rPr>
                      <w:t>295 640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rPr>
                    </w:pPr>
                    <w:r>
                      <w:rPr>
                        <w:sz w:val="20"/>
                      </w:rPr>
                      <w:t>7 768,721</w:t>
                    </w:r>
                  </w:p>
                </w:tc>
                <w:tc>
                  <w:tcPr>
                    <w:tcW w:w="992" w:type="dxa"/>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280 860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410" w:type="dxa"/>
                    <w:vMerge w:val="restart"/>
                  </w:tcPr>
                  <w:p>
                    <w:pPr>
                      <w:rPr>
                        <w:sz w:val="20"/>
                      </w:rPr>
                    </w:pPr>
                    <w:r>
                      <w:rPr>
                        <w:sz w:val="20"/>
                      </w:rPr>
                      <w:t>2.6. Skubios telemedicinos paslaugų diegimas,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3 825</w:t>
                    </w:r>
                  </w:p>
                  <w:p>
                    <w:pPr>
                      <w:rPr>
                        <w:sz w:val="20"/>
                      </w:rPr>
                    </w:pPr>
                  </w:p>
                </w:tc>
                <w:tc>
                  <w:tcPr>
                    <w:tcW w:w="992" w:type="dxa"/>
                  </w:tcPr>
                  <w:p>
                    <w:pPr>
                      <w:rPr>
                        <w:sz w:val="20"/>
                      </w:rPr>
                    </w:pPr>
                    <w:r>
                      <w:rPr>
                        <w:sz w:val="20"/>
                      </w:rPr>
                      <w:t>2021–2027 m. IP (ERPF)</w:t>
                    </w:r>
                  </w:p>
                </w:tc>
                <w:tc>
                  <w:tcPr>
                    <w:tcW w:w="2551"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pPr>
                      <w:ind w:left="-57" w:right="-57"/>
                      <w:jc w:val="center"/>
                      <w:rPr>
                        <w:sz w:val="20"/>
                      </w:rPr>
                    </w:pPr>
                    <w:r>
                      <w:rPr>
                        <w:sz w:val="20"/>
                      </w:rPr>
                      <w:t>8 000</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vMerge w:val="restart"/>
                  </w:tcPr>
                  <w:p>
                    <w:pPr>
                      <w:rPr>
                        <w:sz w:val="20"/>
                      </w:rPr>
                    </w:pPr>
                    <w:r>
                      <w:rPr>
                        <w:sz w:val="20"/>
                      </w:rPr>
                      <w:t>675</w:t>
                    </w:r>
                  </w:p>
                  <w:p>
                    <w:pPr>
                      <w:rPr>
                        <w:color w:val="000000"/>
                        <w:sz w:val="20"/>
                      </w:rPr>
                    </w:pPr>
                  </w:p>
                </w:tc>
                <w:tc>
                  <w:tcPr>
                    <w:tcW w:w="992" w:type="dxa"/>
                    <w:vMerge w:val="restart"/>
                  </w:tcPr>
                  <w:p>
                    <w:pPr>
                      <w:rPr>
                        <w:color w:val="000000"/>
                        <w:sz w:val="20"/>
                      </w:rPr>
                    </w:pPr>
                    <w:r>
                      <w:rPr>
                        <w:sz w:val="20"/>
                      </w:rPr>
                      <w:t>2021–2027 m. IP (BF)</w:t>
                    </w:r>
                  </w:p>
                </w:tc>
                <w:tc>
                  <w:tcPr>
                    <w:tcW w:w="2551" w:type="dxa"/>
                    <w:vMerge/>
                  </w:tcPr>
                  <w:p>
                    <w:pPr>
                      <w:ind w:left="-57" w:right="-57"/>
                      <w:rPr>
                        <w:color w:val="FF0000"/>
                        <w:sz w:val="20"/>
                      </w:rPr>
                    </w:pPr>
                  </w:p>
                </w:tc>
                <w:tc>
                  <w:tcPr>
                    <w:tcW w:w="851" w:type="dxa"/>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410" w:type="dxa"/>
                    <w:vMerge/>
                    <w:vAlign w:val="center"/>
                  </w:tcPr>
                  <w:p>
                    <w:pPr>
                      <w:rPr>
                        <w:color w:val="000000"/>
                        <w:sz w:val="20"/>
                      </w:rPr>
                    </w:pPr>
                  </w:p>
                </w:tc>
                <w:tc>
                  <w:tcPr>
                    <w:tcW w:w="709" w:type="dxa"/>
                    <w:vMerge/>
                    <w:vAlign w:val="center"/>
                  </w:tcPr>
                  <w:p>
                    <w:pPr>
                      <w:rPr>
                        <w:color w:val="000000"/>
                        <w:sz w:val="20"/>
                      </w:rPr>
                    </w:pPr>
                  </w:p>
                </w:tc>
                <w:tc>
                  <w:tcPr>
                    <w:tcW w:w="1559" w:type="dxa"/>
                    <w:vMerge/>
                    <w:vAlign w:val="center"/>
                  </w:tcPr>
                  <w:p>
                    <w:pPr>
                      <w:rPr>
                        <w:color w:val="000000"/>
                        <w:sz w:val="20"/>
                      </w:rPr>
                    </w:pPr>
                  </w:p>
                </w:tc>
                <w:tc>
                  <w:tcPr>
                    <w:tcW w:w="709" w:type="dxa"/>
                    <w:vMerge/>
                    <w:vAlign w:val="center"/>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ign w:val="center"/>
                  </w:tcPr>
                  <w:p>
                    <w:pPr>
                      <w:rPr>
                        <w:color w:val="000000"/>
                        <w:sz w:val="20"/>
                      </w:rPr>
                    </w:pPr>
                  </w:p>
                </w:tc>
                <w:tc>
                  <w:tcPr>
                    <w:tcW w:w="992" w:type="dxa"/>
                    <w:vMerge/>
                    <w:vAlign w:val="center"/>
                  </w:tcPr>
                  <w:p>
                    <w:pPr>
                      <w:rPr>
                        <w:color w:val="000000"/>
                        <w:sz w:val="20"/>
                      </w:rPr>
                    </w:pPr>
                  </w:p>
                </w:tc>
                <w:tc>
                  <w:tcPr>
                    <w:tcW w:w="2551"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pPr>
                      <w:ind w:left="-57" w:right="-57"/>
                      <w:jc w:val="center"/>
                      <w:rPr>
                        <w:sz w:val="20"/>
                      </w:rPr>
                    </w:pPr>
                    <w:r>
                      <w:rPr>
                        <w:sz w:val="20"/>
                      </w:rPr>
                      <w:t>7 200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709" w:type="dxa"/>
                    <w:vMerge w:val="restart"/>
                    <w:shd w:val="clear" w:color="auto" w:fill="F2F2F2" w:themeFill="background1" w:themeFillShade="F2"/>
                  </w:tcPr>
                  <w:p>
                    <w:pPr>
                      <w:rPr>
                        <w:color w:val="000000"/>
                        <w:sz w:val="20"/>
                      </w:rPr>
                    </w:pPr>
                    <w:r>
                      <w:rPr>
                        <w:sz w:val="20"/>
                      </w:rPr>
                      <w:t>-</w:t>
                    </w:r>
                  </w:p>
                </w:tc>
                <w:tc>
                  <w:tcPr>
                    <w:tcW w:w="1559"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992"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1276" w:type="dxa"/>
                    <w:shd w:val="clear" w:color="auto" w:fill="F2F2F2" w:themeFill="background1" w:themeFillShade="F2"/>
                  </w:tcPr>
                  <w:p>
                    <w:pPr>
                      <w:rPr>
                        <w:color w:val="000000"/>
                        <w:sz w:val="20"/>
                      </w:rPr>
                    </w:pPr>
                    <w:r>
                      <w:rPr>
                        <w:b/>
                        <w:bCs/>
                        <w:sz w:val="20"/>
                      </w:rPr>
                      <w:t>52 970,227</w:t>
                    </w:r>
                  </w:p>
                </w:tc>
                <w:tc>
                  <w:tcPr>
                    <w:tcW w:w="992" w:type="dxa"/>
                    <w:shd w:val="clear" w:color="auto" w:fill="F2F2F2" w:themeFill="background1" w:themeFillShade="F2"/>
                  </w:tcPr>
                  <w:p>
                    <w:pPr>
                      <w:rPr>
                        <w:color w:val="000000"/>
                        <w:sz w:val="20"/>
                      </w:rPr>
                    </w:pPr>
                    <w:r>
                      <w:rPr>
                        <w:sz w:val="20"/>
                      </w:rPr>
                      <w:t>-</w:t>
                    </w:r>
                  </w:p>
                </w:tc>
                <w:tc>
                  <w:tcPr>
                    <w:tcW w:w="2551"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19 500</w:t>
                    </w:r>
                  </w:p>
                </w:tc>
                <w:tc>
                  <w:tcPr>
                    <w:tcW w:w="992" w:type="dxa"/>
                    <w:shd w:val="clear" w:color="auto" w:fill="F2F2F2" w:themeFill="background1" w:themeFillShade="F2"/>
                  </w:tcPr>
                  <w:p>
                    <w:pPr>
                      <w:rPr>
                        <w:sz w:val="20"/>
                      </w:rPr>
                    </w:pPr>
                    <w:r>
                      <w:rPr>
                        <w:sz w:val="20"/>
                      </w:rPr>
                      <w:t>EGADP</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4 090</w:t>
                    </w:r>
                  </w:p>
                </w:tc>
                <w:tc>
                  <w:tcPr>
                    <w:tcW w:w="992" w:type="dxa"/>
                    <w:shd w:val="clear" w:color="auto" w:fill="F2F2F2" w:themeFill="background1" w:themeFillShade="F2"/>
                  </w:tcPr>
                  <w:p>
                    <w:pPr>
                      <w:rPr>
                        <w:sz w:val="20"/>
                      </w:rPr>
                    </w:pPr>
                    <w:r>
                      <w:rPr>
                        <w:sz w:val="20"/>
                      </w:rPr>
                      <w:t>PVM iš 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8 823,193</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1 557,034</w:t>
                    </w:r>
                  </w:p>
                </w:tc>
                <w:tc>
                  <w:tcPr>
                    <w:tcW w:w="992" w:type="dxa"/>
                    <w:shd w:val="clear" w:color="auto" w:fill="F2F2F2" w:themeFill="background1" w:themeFillShade="F2"/>
                  </w:tcPr>
                  <w:p>
                    <w:pPr>
                      <w:rPr>
                        <w:sz w:val="20"/>
                      </w:rPr>
                    </w:pPr>
                    <w:r>
                      <w:rPr>
                        <w:sz w:val="20"/>
                      </w:rPr>
                      <w:t xml:space="preserve">2021–2027 m. IP (BF,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19 000</w:t>
                    </w:r>
                  </w:p>
                </w:tc>
                <w:tc>
                  <w:tcPr>
                    <w:tcW w:w="992" w:type="dxa"/>
                    <w:shd w:val="clear" w:color="auto" w:fill="F2F2F2" w:themeFill="background1" w:themeFillShade="F2"/>
                  </w:tcPr>
                  <w:p>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410" w:type="dxa"/>
                    <w:vMerge w:val="restart"/>
                  </w:tcPr>
                  <w:p>
                    <w:pPr>
                      <w:rPr>
                        <w:color w:val="000000"/>
                        <w:sz w:val="20"/>
                      </w:rPr>
                    </w:pPr>
                    <w:r>
                      <w:rPr>
                        <w:sz w:val="20"/>
                      </w:rPr>
                      <w:t>3.1. Pažangios terapijos centro statyba</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VšĮ Vilniaus universiteto ligoninė Santaros klinikos</w:t>
                    </w:r>
                  </w:p>
                </w:tc>
                <w:tc>
                  <w:tcPr>
                    <w:tcW w:w="709" w:type="dxa"/>
                    <w:vMerge w:val="restart"/>
                  </w:tcPr>
                  <w:p>
                    <w:pPr>
                      <w:rPr>
                        <w:color w:val="000000"/>
                        <w:sz w:val="20"/>
                      </w:rPr>
                    </w:pPr>
                    <w:r>
                      <w:rPr>
                        <w:sz w:val="20"/>
                      </w:rPr>
                      <w:t>P</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pPr>
                      <w:rPr>
                        <w:color w:val="000000"/>
                        <w:sz w:val="20"/>
                      </w:rPr>
                    </w:pPr>
                    <w:r>
                      <w:rPr>
                        <w:color w:val="000000"/>
                        <w:sz w:val="20"/>
                      </w:rPr>
                      <w:t>13 200</w:t>
                    </w:r>
                  </w:p>
                </w:tc>
                <w:tc>
                  <w:tcPr>
                    <w:tcW w:w="992" w:type="dxa"/>
                    <w:tcBorders>
                      <w:left w:val="single" w:sz="4" w:space="0" w:color="auto"/>
                      <w:right w:val="single" w:sz="4" w:space="0" w:color="auto"/>
                    </w:tcBorders>
                    <w:vAlign w:val="center"/>
                  </w:tcPr>
                  <w:p>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tcBorders>
                      <w:left w:val="single" w:sz="4" w:space="0" w:color="auto"/>
                      <w:right w:val="single" w:sz="4" w:space="0" w:color="auto"/>
                    </w:tcBorders>
                    <w:vAlign w:val="center"/>
                  </w:tcPr>
                  <w:p>
                    <w:pPr>
                      <w:rPr>
                        <w:color w:val="000000"/>
                        <w:sz w:val="20"/>
                      </w:rPr>
                    </w:pPr>
                    <w:r>
                      <w:rPr>
                        <w:color w:val="000000"/>
                        <w:sz w:val="20"/>
                      </w:rPr>
                      <w:t>2 770</w:t>
                    </w:r>
                  </w:p>
                </w:tc>
                <w:tc>
                  <w:tcPr>
                    <w:tcW w:w="992" w:type="dxa"/>
                    <w:tcBorders>
                      <w:left w:val="single" w:sz="4" w:space="0" w:color="auto"/>
                      <w:right w:val="single" w:sz="4" w:space="0" w:color="auto"/>
                    </w:tcBorders>
                    <w:vAlign w:val="center"/>
                  </w:tcPr>
                  <w:p>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val="restart"/>
                    <w:tcBorders>
                      <w:left w:val="single" w:sz="4" w:space="0" w:color="auto"/>
                      <w:right w:val="single" w:sz="4" w:space="0" w:color="auto"/>
                    </w:tcBorders>
                    <w:vAlign w:val="center"/>
                  </w:tcPr>
                  <w:p>
                    <w:pPr>
                      <w:rPr>
                        <w:color w:val="000000"/>
                        <w:sz w:val="20"/>
                      </w:rPr>
                    </w:pPr>
                  </w:p>
                </w:tc>
                <w:tc>
                  <w:tcPr>
                    <w:tcW w:w="992" w:type="dxa"/>
                    <w:vMerge w:val="restart"/>
                    <w:tcBorders>
                      <w:left w:val="single" w:sz="4" w:space="0" w:color="auto"/>
                      <w:right w:val="single" w:sz="4" w:space="0" w:color="auto"/>
                    </w:tcBorders>
                    <w:vAlign w:val="center"/>
                  </w:tcPr>
                  <w:p>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410" w:type="dxa"/>
                    <w:vMerge w:val="restart"/>
                  </w:tcPr>
                  <w:p>
                    <w:pPr>
                      <w:rPr>
                        <w:color w:val="000000"/>
                        <w:sz w:val="20"/>
                      </w:rPr>
                    </w:pPr>
                    <w:r>
                      <w:rPr>
                        <w:sz w:val="20"/>
                      </w:rPr>
                      <w:t>3.2. Genomo tyrimams atlikti reikalingos įrangos įsigijimas ir tyrimų atlikimas</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ASPĮ</w:t>
                    </w:r>
                  </w:p>
                </w:tc>
                <w:tc>
                  <w:tcPr>
                    <w:tcW w:w="709" w:type="dxa"/>
                    <w:vMerge w:val="restart"/>
                  </w:tcPr>
                  <w:p>
                    <w:pPr>
                      <w:rPr>
                        <w:color w:val="000000"/>
                        <w:sz w:val="20"/>
                      </w:rPr>
                    </w:pPr>
                    <w:r>
                      <w:rPr>
                        <w:sz w:val="20"/>
                      </w:rPr>
                      <w:t>P</w:t>
                    </w:r>
                  </w:p>
                </w:tc>
                <w:tc>
                  <w:tcPr>
                    <w:tcW w:w="992" w:type="dxa"/>
                    <w:vMerge w:val="restart"/>
                  </w:tcPr>
                  <w:p>
                    <w:pPr>
                      <w:rPr>
                        <w:color w:val="000000"/>
                        <w:sz w:val="20"/>
                      </w:rPr>
                    </w:pPr>
                    <w:r>
                      <w:rPr>
                        <w:sz w:val="20"/>
                      </w:rPr>
                      <w:t>Taip</w:t>
                    </w:r>
                  </w:p>
                </w:tc>
                <w:tc>
                  <w:tcPr>
                    <w:tcW w:w="709" w:type="dxa"/>
                    <w:vMerge w:val="restart"/>
                  </w:tcPr>
                  <w:p>
                    <w:pPr>
                      <w:rPr>
                        <w:color w:val="000000"/>
                        <w:sz w:val="20"/>
                      </w:rPr>
                    </w:pPr>
                    <w:r>
                      <w:rPr>
                        <w:sz w:val="20"/>
                      </w:rPr>
                      <w:t>D</w:t>
                    </w:r>
                  </w:p>
                </w:tc>
                <w:tc>
                  <w:tcPr>
                    <w:tcW w:w="1276" w:type="dxa"/>
                  </w:tcPr>
                  <w:p>
                    <w:pPr>
                      <w:rPr>
                        <w:color w:val="000000"/>
                        <w:sz w:val="20"/>
                      </w:rPr>
                    </w:pPr>
                    <w:r>
                      <w:rPr>
                        <w:sz w:val="20"/>
                      </w:rPr>
                      <w:t>6 300</w:t>
                    </w:r>
                  </w:p>
                </w:tc>
                <w:tc>
                  <w:tcPr>
                    <w:tcW w:w="992" w:type="dxa"/>
                  </w:tcPr>
                  <w:p>
                    <w:pPr>
                      <w:rPr>
                        <w:color w:val="000000"/>
                        <w:sz w:val="20"/>
                      </w:rPr>
                    </w:pPr>
                    <w:r>
                      <w:rPr>
                        <w:sz w:val="20"/>
                      </w:rPr>
                      <w:t>EGADP</w:t>
                    </w:r>
                  </w:p>
                </w:tc>
                <w:tc>
                  <w:tcPr>
                    <w:tcW w:w="2551"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restart"/>
                  </w:tcPr>
                  <w:p>
                    <w:pPr>
                      <w:rPr>
                        <w:color w:val="000000"/>
                        <w:sz w:val="20"/>
                      </w:rPr>
                    </w:pPr>
                    <w:r>
                      <w:rPr>
                        <w:sz w:val="20"/>
                      </w:rPr>
                      <w:t>1 320</w:t>
                    </w:r>
                  </w:p>
                </w:tc>
                <w:tc>
                  <w:tcPr>
                    <w:tcW w:w="992" w:type="dxa"/>
                    <w:vMerge w:val="restart"/>
                  </w:tcPr>
                  <w:p>
                    <w:pPr>
                      <w:rPr>
                        <w:color w:val="000000"/>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851" w:type="dxa"/>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851" w:type="dxa"/>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410" w:type="dxa"/>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rPr>
                    </w:pPr>
                    <w:r>
                      <w:rPr>
                        <w:sz w:val="20"/>
                      </w:rPr>
                      <w:t>5 525</w:t>
                    </w:r>
                  </w:p>
                  <w:p>
                    <w:pPr>
                      <w:rPr>
                        <w:sz w:val="20"/>
                      </w:rPr>
                    </w:pPr>
                  </w:p>
                  <w:p>
                    <w:pPr>
                      <w:rPr>
                        <w:sz w:val="20"/>
                      </w:rPr>
                    </w:pPr>
                  </w:p>
                </w:tc>
                <w:tc>
                  <w:tcPr>
                    <w:tcW w:w="992" w:type="dxa"/>
                    <w:vMerge w:val="restart"/>
                  </w:tcPr>
                  <w:p>
                    <w:pPr>
                      <w:rPr>
                        <w:sz w:val="20"/>
                      </w:rPr>
                    </w:pPr>
                    <w:r>
                      <w:rPr>
                        <w:sz w:val="20"/>
                      </w:rPr>
                      <w:t>2021–2027 m. IP (ESF</w:t>
                    </w:r>
                    <w:r>
                      <w:rPr>
                        <w:sz w:val="20"/>
                        <w:lang w:val="en-US"/>
                      </w:rPr>
                      <w:t>+</w:t>
                    </w:r>
                    <w:r>
                      <w:rPr>
                        <w:sz w:val="20"/>
                      </w:rPr>
                      <w:t xml:space="preserve">) </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851" w:type="dxa"/>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975</w:t>
                    </w:r>
                  </w:p>
                </w:tc>
                <w:tc>
                  <w:tcPr>
                    <w:tcW w:w="992" w:type="dxa"/>
                    <w:vMerge w:val="restart"/>
                  </w:tcPr>
                  <w:p>
                    <w:pPr>
                      <w:rPr>
                        <w:sz w:val="20"/>
                      </w:rPr>
                    </w:pPr>
                    <w:r>
                      <w:rPr>
                        <w:sz w:val="20"/>
                      </w:rPr>
                      <w:t xml:space="preserve">2021–2027 m. IP (BF) </w:t>
                    </w:r>
                  </w:p>
                </w:tc>
                <w:tc>
                  <w:tcPr>
                    <w:tcW w:w="2551" w:type="dxa"/>
                    <w:shd w:val="clear" w:color="auto" w:fill="FFFFFF" w:themeFill="background1"/>
                  </w:tcPr>
                  <w:p>
                    <w:pPr>
                      <w:ind w:left="-57" w:right="-57"/>
                      <w:rPr>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410" w:type="dxa"/>
                  </w:tcPr>
                  <w:p>
                    <w:pPr>
                      <w:rPr>
                        <w:iCs/>
                        <w:sz w:val="20"/>
                      </w:rPr>
                    </w:pPr>
                    <w:r>
                      <w:rPr>
                        <w:iCs/>
                        <w:sz w:val="20"/>
                      </w:rPr>
                      <w:t>3.4. Sudėtingų sveikatos priežiūros diagnostikos ir gydymo paslaugų infrastruktūros modernizavimas</w:t>
                    </w:r>
                  </w:p>
                </w:tc>
                <w:tc>
                  <w:tcPr>
                    <w:tcW w:w="709" w:type="dxa"/>
                  </w:tcPr>
                  <w:p>
                    <w:pPr>
                      <w:rPr>
                        <w:color w:val="000000"/>
                        <w:sz w:val="20"/>
                      </w:rPr>
                    </w:pPr>
                    <w:r>
                      <w:rPr>
                        <w:sz w:val="20"/>
                      </w:rPr>
                      <w:t>I</w:t>
                    </w:r>
                  </w:p>
                </w:tc>
                <w:tc>
                  <w:tcPr>
                    <w:tcW w:w="1559" w:type="dxa"/>
                  </w:tcPr>
                  <w:p>
                    <w:pPr>
                      <w:rPr>
                        <w:color w:val="000000"/>
                        <w:sz w:val="20"/>
                      </w:rPr>
                    </w:pPr>
                    <w:r>
                      <w:rPr>
                        <w:sz w:val="20"/>
                      </w:rPr>
                      <w:t>ASPĮ</w:t>
                    </w:r>
                  </w:p>
                </w:tc>
                <w:tc>
                  <w:tcPr>
                    <w:tcW w:w="709" w:type="dxa"/>
                  </w:tcPr>
                  <w:p>
                    <w:pPr>
                      <w:rPr>
                        <w:color w:val="000000"/>
                        <w:sz w:val="20"/>
                      </w:rPr>
                    </w:pPr>
                    <w:r>
                      <w:rPr>
                        <w:sz w:val="20"/>
                      </w:rPr>
                      <w:t>P</w:t>
                    </w:r>
                  </w:p>
                </w:tc>
                <w:tc>
                  <w:tcPr>
                    <w:tcW w:w="992" w:type="dxa"/>
                  </w:tcPr>
                  <w:p>
                    <w:pPr>
                      <w:rPr>
                        <w:color w:val="000000"/>
                        <w:sz w:val="20"/>
                      </w:rPr>
                    </w:pPr>
                    <w:r>
                      <w:rPr>
                        <w:sz w:val="20"/>
                      </w:rPr>
                      <w:t>Taip</w:t>
                    </w:r>
                  </w:p>
                </w:tc>
                <w:tc>
                  <w:tcPr>
                    <w:tcW w:w="709" w:type="dxa"/>
                  </w:tcPr>
                  <w:p>
                    <w:pPr>
                      <w:rPr>
                        <w:color w:val="000000"/>
                        <w:sz w:val="20"/>
                      </w:rPr>
                    </w:pPr>
                    <w:r>
                      <w:rPr>
                        <w:sz w:val="20"/>
                      </w:rPr>
                      <w:t>D</w:t>
                    </w:r>
                  </w:p>
                </w:tc>
                <w:tc>
                  <w:tcPr>
                    <w:tcW w:w="1276" w:type="dxa"/>
                  </w:tcPr>
                  <w:p>
                    <w:pPr>
                      <w:rPr>
                        <w:sz w:val="20"/>
                      </w:rPr>
                    </w:pPr>
                    <w:r>
                      <w:rPr>
                        <w:sz w:val="20"/>
                      </w:rPr>
                      <w:t>19 000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P – Modernizuotų asmens sveikatos priežiūros įstaigų skaičius</w:t>
                    </w:r>
                  </w:p>
                </w:tc>
                <w:tc>
                  <w:tcPr>
                    <w:tcW w:w="851" w:type="dxa"/>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tcPr>
                  <w:p>
                    <w:pPr>
                      <w:rPr>
                        <w:iCs/>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b/>
                        <w:bCs/>
                        <w:sz w:val="20"/>
                      </w:rPr>
                    </w:pPr>
                    <w:r>
                      <w:rPr>
                        <w:b/>
                        <w:bCs/>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both"/>
                      <w:rPr>
                        <w:sz w:val="20"/>
                      </w:rPr>
                    </w:pPr>
                    <w:r>
                      <w:rPr>
                        <w:sz w:val="20"/>
                      </w:rPr>
                      <w:t>R – Mirštamumas nuo miokardo infarkto per 30 dienų nuo hospitalizacijos,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230"/>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 xml:space="preserve">R –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R –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val="restart"/>
                  </w:tcPr>
                  <w:p>
                    <w:pPr>
                      <w:rPr>
                        <w:sz w:val="20"/>
                      </w:rPr>
                    </w:pPr>
                    <w:r>
                      <w:rPr>
                        <w:sz w:val="20"/>
                      </w:rPr>
                      <w:t>4.1. Teisės aktų ir kitų sveikatos skaitmeninimo srities dokumentų parengimas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shd w:val="clear" w:color="auto" w:fill="auto"/>
                  </w:tcPr>
                  <w:p>
                    <w:pPr>
                      <w:ind w:left="-57" w:right="-57"/>
                      <w:jc w:val="both"/>
                      <w:rPr>
                        <w:sz w:val="20"/>
                      </w:rPr>
                    </w:pPr>
                    <w:r>
                      <w:rPr>
                        <w:sz w:val="20"/>
                      </w:rPr>
                      <w:t>P – Įsigalioję teisės aktai, reglamentuojantys pakartotinį sveikatos duomenų naudojimą, kompl.</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left w:val="single" w:sz="4" w:space="0" w:color="auto"/>
                      <w:right w:val="single" w:sz="4" w:space="0" w:color="auto"/>
                    </w:tcBorders>
                    <w:shd w:val="clear" w:color="auto" w:fill="auto"/>
                  </w:tcPr>
                  <w:p>
                    <w:pPr>
                      <w:rPr>
                        <w:sz w:val="20"/>
                      </w:rPr>
                    </w:pP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left w:val="single" w:sz="4" w:space="0" w:color="auto"/>
                      <w:right w:val="single" w:sz="4" w:space="0" w:color="auto"/>
                    </w:tcBorders>
                    <w:shd w:val="clear" w:color="auto" w:fill="auto"/>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w:t>
                    </w:r>
                    <w:r>
                      <w:rPr>
                        <w:sz w:val="20"/>
                        <w:lang w:val="en-US"/>
                      </w:rPr>
                      <w:t>6</w:t>
                    </w:r>
                    <w:r>
                      <w:rPr>
                        <w:sz w:val="20"/>
                      </w:rPr>
                      <w:t xml:space="preserve"> m. II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851" w:type="dxa"/>
                    <w:tcBorders>
                      <w:right w:val="single" w:sz="4" w:space="0" w:color="auto"/>
                    </w:tcBorders>
                    <w:shd w:val="clear" w:color="auto" w:fill="auto"/>
                  </w:tcPr>
                  <w:p>
                    <w:pPr>
                      <w:jc w:val="center"/>
                      <w:rPr>
                        <w:sz w:val="20"/>
                        <w:lang w:val="en-US"/>
                      </w:rPr>
                    </w:pPr>
                    <w:r>
                      <w:rPr>
                        <w:sz w:val="20"/>
                        <w:lang w:val="en-US"/>
                      </w:rPr>
                      <w:t>1</w:t>
                    </w:r>
                  </w:p>
                  <w:p>
                    <w:pPr>
                      <w:ind w:left="-57" w:right="-57"/>
                      <w:jc w:val="center"/>
                      <w:rPr>
                        <w:sz w:val="20"/>
                      </w:rPr>
                    </w:pPr>
                    <w:r>
                      <w:rPr>
                        <w:sz w:val="20"/>
                      </w:rPr>
                      <w:t>(2024 m. 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37"/>
                </w:trPr>
                <w:tc>
                  <w:tcPr>
                    <w:tcW w:w="2410" w:type="dxa"/>
                    <w:vMerge w:val="restart"/>
                    <w:shd w:val="clear" w:color="auto" w:fill="auto"/>
                  </w:tcPr>
                  <w:p>
                    <w:pPr>
                      <w:rPr>
                        <w:sz w:val="20"/>
                      </w:rPr>
                    </w:pPr>
                    <w:r>
                      <w:rPr>
                        <w:sz w:val="20"/>
                      </w:rPr>
                      <w:t>4.2. Sveikatos priežiūros specialistų kompetencijų platformos sukūrimas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Valstybinė akreditavimo sveikatos priežiūros veiklai tarnyba prie Sveikatos apsaugos ministerijos (toliau –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rPr>
                    </w:pPr>
                    <w:r>
                      <w:rPr>
                        <w:sz w:val="20"/>
                      </w:rPr>
                      <w:t>2 011</w:t>
                    </w:r>
                  </w:p>
                </w:tc>
                <w:tc>
                  <w:tcPr>
                    <w:tcW w:w="992" w:type="dxa"/>
                    <w:shd w:val="clear" w:color="auto" w:fill="auto"/>
                  </w:tcPr>
                  <w:p>
                    <w:pPr>
                      <w:rPr>
                        <w:sz w:val="20"/>
                      </w:rPr>
                    </w:pPr>
                    <w:r>
                      <w:rPr>
                        <w:sz w:val="20"/>
                      </w:rPr>
                      <w:t>EGADP</w:t>
                    </w:r>
                  </w:p>
                </w:tc>
                <w:tc>
                  <w:tcPr>
                    <w:tcW w:w="2551" w:type="dxa"/>
                    <w:vMerge w:val="restart"/>
                    <w:shd w:val="clear" w:color="auto" w:fill="auto"/>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rPr>
                    </w:pPr>
                    <w:r>
                      <w:rPr>
                        <w:sz w:val="20"/>
                      </w:rPr>
                      <w:t>422</w:t>
                    </w:r>
                  </w:p>
                </w:tc>
                <w:tc>
                  <w:tcPr>
                    <w:tcW w:w="992" w:type="dxa"/>
                    <w:vMerge w:val="restart"/>
                    <w:shd w:val="clear" w:color="auto" w:fill="auto"/>
                  </w:tcPr>
                  <w:p>
                    <w:pPr>
                      <w:rPr>
                        <w:sz w:val="20"/>
                      </w:rPr>
                    </w:pPr>
                    <w:r>
                      <w:rPr>
                        <w:iCs/>
                        <w:sz w:val="20"/>
                      </w:rPr>
                      <w:t>PVM iš VB</w:t>
                    </w:r>
                  </w:p>
                </w:tc>
                <w:tc>
                  <w:tcPr>
                    <w:tcW w:w="2551" w:type="dxa"/>
                    <w:vMerge/>
                    <w:shd w:val="clear" w:color="auto" w:fill="auto"/>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specialistų kompetencijų platformos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IV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(2030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555"/>
                </w:trPr>
                <w:tc>
                  <w:tcPr>
                    <w:tcW w:w="2410" w:type="dxa"/>
                    <w:vMerge w:val="restart"/>
                  </w:tcPr>
                  <w:p>
                    <w:pPr>
                      <w:rPr>
                        <w:sz w:val="20"/>
                      </w:rPr>
                    </w:pPr>
                    <w:r>
                      <w:rPr>
                        <w:sz w:val="20"/>
                      </w:rPr>
                      <w:t>4.3. S</w:t>
                    </w:r>
                    <w:r>
                      <w:rPr>
                        <w:sz w:val="20"/>
                        <w:lang w:eastAsia="lt-LT"/>
                      </w:rPr>
                      <w:t>veikatos priežiūros paslaugų kokybės vertinimo modelio (rodiklių švieslentės) sukūrimas</w:t>
                    </w:r>
                  </w:p>
                </w:tc>
                <w:tc>
                  <w:tcPr>
                    <w:tcW w:w="709" w:type="dxa"/>
                    <w:vMerge w:val="restart"/>
                  </w:tcPr>
                  <w:p>
                    <w:pPr>
                      <w:rPr>
                        <w:sz w:val="20"/>
                      </w:rPr>
                    </w:pPr>
                    <w:r>
                      <w:rPr>
                        <w:sz w:val="20"/>
                      </w:rPr>
                      <w:t>I</w:t>
                    </w:r>
                  </w:p>
                </w:tc>
                <w:tc>
                  <w:tcPr>
                    <w:tcW w:w="1559" w:type="dxa"/>
                    <w:vMerge w:val="restart"/>
                  </w:tcPr>
                  <w:p>
                    <w:pPr>
                      <w:rPr>
                        <w:sz w:val="20"/>
                      </w:rPr>
                    </w:pPr>
                    <w:r>
                      <w:rPr>
                        <w:sz w:val="20"/>
                      </w:rPr>
                      <w:t>Valstybinė ligonių kasa prie Sveikatos apsaugos ministerijos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2 500</w:t>
                    </w:r>
                  </w:p>
                </w:tc>
                <w:tc>
                  <w:tcPr>
                    <w:tcW w:w="992" w:type="dxa"/>
                  </w:tcPr>
                  <w:p>
                    <w:pPr>
                      <w:rPr>
                        <w:sz w:val="20"/>
                      </w:rPr>
                    </w:pPr>
                    <w:r>
                      <w:rPr>
                        <w:sz w:val="20"/>
                      </w:rPr>
                      <w:t>EGADP</w:t>
                    </w:r>
                  </w:p>
                </w:tc>
                <w:tc>
                  <w:tcPr>
                    <w:tcW w:w="2551" w:type="dxa"/>
                    <w:vMerge w:val="restart"/>
                    <w:shd w:val="clear" w:color="auto" w:fill="auto"/>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851" w:type="dxa"/>
                    <w:vMerge w:val="restart"/>
                    <w:shd w:val="clear" w:color="auto" w:fill="auto"/>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69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val="restart"/>
                    <w:tcBorders>
                      <w:bottom w:val="single" w:sz="4" w:space="0" w:color="auto"/>
                    </w:tcBorders>
                  </w:tcPr>
                  <w:p>
                    <w:pPr>
                      <w:rPr>
                        <w:sz w:val="20"/>
                      </w:rPr>
                    </w:pPr>
                    <w:r>
                      <w:rPr>
                        <w:sz w:val="20"/>
                      </w:rPr>
                      <w:t>530</w:t>
                    </w:r>
                  </w:p>
                </w:tc>
                <w:tc>
                  <w:tcPr>
                    <w:tcW w:w="992" w:type="dxa"/>
                    <w:vMerge w:val="restart"/>
                    <w:tcBorders>
                      <w:bottom w:val="single" w:sz="4" w:space="0" w:color="auto"/>
                    </w:tcBorders>
                  </w:tcPr>
                  <w:p>
                    <w:pPr>
                      <w:rPr>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shd w:val="clear" w:color="auto" w:fill="auto"/>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val="restart"/>
                    <w:tcBorders>
                      <w:top w:val="single" w:sz="4" w:space="0" w:color="auto"/>
                      <w:left w:val="single" w:sz="4" w:space="0" w:color="auto"/>
                      <w:right w:val="single" w:sz="4" w:space="0" w:color="auto"/>
                    </w:tcBorders>
                  </w:tcPr>
                  <w:p>
                    <w:pPr>
                      <w:rPr>
                        <w:iCs/>
                        <w:sz w:val="20"/>
                      </w:rPr>
                    </w:pPr>
                    <w:r>
                      <w:rPr>
                        <w:iCs/>
                        <w:sz w:val="20"/>
                      </w:rPr>
                      <w:t>4.4. Sveikatos sektoriaus skaitmeninimo projektai</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VĮ Registrų centras, SAM pavaldžios įstaigos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84 835,491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50"/>
                </w:trPr>
                <w:tc>
                  <w:tcPr>
                    <w:tcW w:w="2410" w:type="dxa"/>
                    <w:vMerge/>
                    <w:tcBorders>
                      <w:left w:val="single" w:sz="4" w:space="0" w:color="auto"/>
                      <w:right w:val="single" w:sz="4" w:space="0" w:color="auto"/>
                    </w:tcBorders>
                  </w:tcPr>
                  <w:p>
                    <w:pPr>
                      <w:rPr>
                        <w:iCs/>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right w:val="single" w:sz="4" w:space="0" w:color="auto"/>
                    </w:tcBorders>
                  </w:tcPr>
                  <w:p>
                    <w:pPr>
                      <w:rPr>
                        <w:sz w:val="20"/>
                      </w:rPr>
                    </w:pPr>
                    <w:r>
                      <w:rPr>
                        <w:sz w:val="20"/>
                      </w:rPr>
                      <w:t>17 816,662</w:t>
                    </w:r>
                  </w:p>
                </w:tc>
                <w:tc>
                  <w:tcPr>
                    <w:tcW w:w="992" w:type="dxa"/>
                    <w:vMerge w:val="restart"/>
                    <w:tcBorders>
                      <w:top w:val="single" w:sz="4" w:space="0" w:color="auto"/>
                      <w:left w:val="single" w:sz="4" w:space="0" w:color="auto"/>
                      <w:right w:val="single" w:sz="4" w:space="0" w:color="auto"/>
                    </w:tcBorders>
                  </w:tcPr>
                  <w:p>
                    <w:pPr>
                      <w:rPr>
                        <w:sz w:val="20"/>
                      </w:rPr>
                    </w:pPr>
                    <w:r>
                      <w:rPr>
                        <w:sz w:val="20"/>
                      </w:rPr>
                      <w:t>PVM iš VB</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 (tarpinis)</w:t>
                    </w:r>
                  </w:p>
                </w:tc>
                <w:tc>
                  <w:tcPr>
                    <w:tcW w:w="851" w:type="dxa"/>
                    <w:tcBorders>
                      <w:top w:val="single" w:sz="4" w:space="0" w:color="auto"/>
                      <w:left w:val="single" w:sz="4" w:space="0" w:color="auto"/>
                      <w:right w:val="single" w:sz="4" w:space="0" w:color="auto"/>
                    </w:tcBorders>
                    <w:shd w:val="clear" w:color="auto" w:fill="auto"/>
                  </w:tcPr>
                  <w:p>
                    <w:pPr>
                      <w:jc w:val="center"/>
                      <w:rPr>
                        <w:sz w:val="20"/>
                      </w:rPr>
                    </w:pPr>
                    <w:r>
                      <w:rPr>
                        <w:sz w:val="20"/>
                      </w:rPr>
                      <w:t>60</w:t>
                    </w:r>
                  </w:p>
                  <w:p>
                    <w:pPr>
                      <w:jc w:val="center"/>
                      <w:rPr>
                        <w:sz w:val="20"/>
                      </w:rPr>
                    </w:pPr>
                    <w:r>
                      <w:rPr>
                        <w:sz w:val="20"/>
                      </w:rPr>
                      <w:t>(2023 m. IV ketv.)</w:t>
                    </w:r>
                  </w:p>
                  <w:p>
                    <w:pPr>
                      <w:ind w:left="-57" w:right="-57"/>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70</w:t>
                    </w:r>
                  </w:p>
                  <w:p>
                    <w:pPr>
                      <w:ind w:left="-57" w:right="-57"/>
                      <w:jc w:val="center"/>
                      <w:rPr>
                        <w:sz w:val="20"/>
                      </w:rPr>
                    </w:pPr>
                    <w:r>
                      <w:rPr>
                        <w:sz w:val="20"/>
                      </w:rPr>
                      <w:t>(2025 m. IV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709" w:type="dxa"/>
                    <w:shd w:val="clear" w:color="auto" w:fill="F2F2F2" w:themeFill="background1" w:themeFillShade="F2"/>
                  </w:tcPr>
                  <w:p>
                    <w:pPr>
                      <w:rPr>
                        <w:sz w:val="20"/>
                      </w:rPr>
                    </w:pPr>
                    <w:r>
                      <w:rPr>
                        <w:sz w:val="20"/>
                      </w:rPr>
                      <w:t>A</w:t>
                    </w:r>
                  </w:p>
                </w:tc>
                <w:tc>
                  <w:tcPr>
                    <w:tcW w:w="1559" w:type="dxa"/>
                    <w:shd w:val="clear" w:color="auto" w:fill="F2F2F2" w:themeFill="background1" w:themeFillShade="F2"/>
                  </w:tcPr>
                  <w:p>
                    <w:pPr>
                      <w:rPr>
                        <w:sz w:val="20"/>
                      </w:rPr>
                    </w:pPr>
                    <w:r>
                      <w:rPr>
                        <w:sz w:val="20"/>
                      </w:rPr>
                      <w:t>SAM</w:t>
                    </w:r>
                  </w:p>
                </w:tc>
                <w:tc>
                  <w:tcPr>
                    <w:tcW w:w="709" w:type="dxa"/>
                    <w:shd w:val="clear" w:color="auto" w:fill="F2F2F2" w:themeFill="background1" w:themeFillShade="F2"/>
                  </w:tcPr>
                  <w:p>
                    <w:pPr>
                      <w:rPr>
                        <w:sz w:val="20"/>
                      </w:rPr>
                    </w:pPr>
                    <w:r>
                      <w:rPr>
                        <w:sz w:val="20"/>
                      </w:rPr>
                      <w:t>P</w:t>
                    </w:r>
                  </w:p>
                </w:tc>
                <w:tc>
                  <w:tcPr>
                    <w:tcW w:w="992" w:type="dxa"/>
                    <w:shd w:val="clear" w:color="auto" w:fill="F2F2F2" w:themeFill="background1" w:themeFillShade="F2"/>
                  </w:tcPr>
                  <w:p>
                    <w:pPr>
                      <w:rPr>
                        <w:sz w:val="20"/>
                      </w:rPr>
                    </w:pPr>
                    <w:r>
                      <w:rPr>
                        <w:sz w:val="20"/>
                      </w:rPr>
                      <w:t>Ne</w:t>
                    </w:r>
                  </w:p>
                </w:tc>
                <w:tc>
                  <w:tcPr>
                    <w:tcW w:w="709" w:type="dxa"/>
                    <w:shd w:val="clear" w:color="auto" w:fill="F2F2F2" w:themeFill="background1" w:themeFillShade="F2"/>
                  </w:tcPr>
                  <w:p>
                    <w:pPr>
                      <w:rPr>
                        <w:sz w:val="20"/>
                      </w:rPr>
                    </w:pPr>
                    <w:r>
                      <w:rPr>
                        <w:sz w:val="20"/>
                      </w:rPr>
                      <w:t>D</w:t>
                    </w:r>
                  </w:p>
                </w:tc>
                <w:tc>
                  <w:tcPr>
                    <w:tcW w:w="1276" w:type="dxa"/>
                    <w:shd w:val="clear" w:color="auto" w:fill="F2F2F2" w:themeFill="background1" w:themeFillShade="F2"/>
                  </w:tcPr>
                  <w:p>
                    <w:pPr>
                      <w:rPr>
                        <w:b/>
                        <w:bCs/>
                        <w:sz w:val="20"/>
                      </w:rPr>
                    </w:pPr>
                    <w:r>
                      <w:rPr>
                        <w:b/>
                        <w:bCs/>
                        <w:sz w:val="20"/>
                        <w:lang w:val="en-US"/>
                      </w:rPr>
                      <w:t>169,719</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val="restart"/>
                    <w:shd w:val="clear" w:color="auto" w:fill="F2F2F2" w:themeFill="background1" w:themeFillShade="F2"/>
                  </w:tcPr>
                  <w:p>
                    <w:pPr>
                      <w:ind w:firstLine="53"/>
                      <w:rPr>
                        <w:iCs/>
                        <w:sz w:val="20"/>
                      </w:rPr>
                    </w:pPr>
                    <w:r>
                      <w:rPr>
                        <w:b/>
                        <w:bCs/>
                        <w:iCs/>
                        <w:sz w:val="20"/>
                      </w:rPr>
                      <w:t>6. Bazinių sveikatos priežiūros paslaugų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rPr>
                    </w:pPr>
                    <w:r>
                      <w:rPr>
                        <w:b/>
                        <w:bCs/>
                        <w:sz w:val="20"/>
                      </w:rPr>
                      <w:t>191 754,999</w:t>
                    </w:r>
                  </w:p>
                </w:tc>
                <w:tc>
                  <w:tcPr>
                    <w:tcW w:w="992" w:type="dxa"/>
                    <w:shd w:val="clear" w:color="auto" w:fill="F2F2F2" w:themeFill="background1" w:themeFillShade="F2"/>
                  </w:tcPr>
                  <w:p>
                    <w:pPr>
                      <w:rPr>
                        <w:sz w:val="20"/>
                      </w:rPr>
                    </w:pPr>
                    <w:r>
                      <w:rPr>
                        <w:sz w:val="20"/>
                      </w:rPr>
                      <w:t>-</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pPr>
                      <w:ind w:left="-57" w:right="-57"/>
                      <w:jc w:val="center"/>
                      <w:rPr>
                        <w:sz w:val="20"/>
                      </w:rPr>
                    </w:pPr>
                    <w:r>
                      <w:rPr>
                        <w:sz w:val="20"/>
                      </w:rPr>
                      <w:t>40/60</w:t>
                    </w:r>
                  </w:p>
                  <w:p>
                    <w:pPr>
                      <w:ind w:left="-57" w:right="-57"/>
                      <w:jc w:val="center"/>
                      <w:rPr>
                        <w:sz w:val="20"/>
                      </w:rPr>
                    </w:pPr>
                    <w:r>
                      <w:rPr>
                        <w:sz w:val="20"/>
                      </w:rPr>
                      <w:t>(2026 m.)</w:t>
                    </w:r>
                  </w:p>
                </w:tc>
                <w:tc>
                  <w:tcPr>
                    <w:tcW w:w="992" w:type="dxa"/>
                    <w:vMerge w:val="restart"/>
                    <w:shd w:val="clear" w:color="auto" w:fill="F2F2F2" w:themeFill="background1" w:themeFillShade="F2"/>
                  </w:tcPr>
                  <w:p>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16 079,260</w:t>
                    </w:r>
                  </w:p>
                </w:tc>
                <w:tc>
                  <w:tcPr>
                    <w:tcW w:w="992" w:type="dxa"/>
                    <w:shd w:val="clear" w:color="auto" w:fill="F2F2F2" w:themeFill="background1" w:themeFillShade="F2"/>
                  </w:tcPr>
                  <w:p>
                    <w:pPr>
                      <w:rPr>
                        <w:sz w:val="20"/>
                      </w:rPr>
                    </w:pPr>
                    <w:r>
                      <w:rPr>
                        <w:sz w:val="20"/>
                      </w:rPr>
                      <w:t>2021–2027 m. IP (ERPF, Sostinės regionas)</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pPr>
                      <w:ind w:left="-57" w:right="-57"/>
                      <w:jc w:val="center"/>
                      <w:rPr>
                        <w:sz w:val="20"/>
                      </w:rPr>
                    </w:pPr>
                    <w:r>
                      <w:rPr>
                        <w:sz w:val="20"/>
                      </w:rPr>
                      <w:t>60,0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16 079,260 </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95 490,258 </w:t>
                    </w:r>
                  </w:p>
                </w:tc>
                <w:tc>
                  <w:tcPr>
                    <w:tcW w:w="992" w:type="dxa"/>
                    <w:shd w:val="clear" w:color="auto" w:fill="F2F2F2" w:themeFill="background1" w:themeFillShade="F2"/>
                  </w:tcPr>
                  <w:p>
                    <w:pPr>
                      <w:rPr>
                        <w:sz w:val="20"/>
                      </w:rPr>
                    </w:pPr>
                    <w:r>
                      <w:rPr>
                        <w:sz w:val="20"/>
                      </w:rPr>
                      <w:t>2021–2027 m. IP (ERPF,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w:t>
                    </w:r>
                  </w:p>
                </w:tc>
                <w:tc>
                  <w:tcPr>
                    <w:tcW w:w="851" w:type="dxa"/>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33 366,750</w:t>
                    </w:r>
                  </w:p>
                </w:tc>
                <w:tc>
                  <w:tcPr>
                    <w:tcW w:w="992" w:type="dxa"/>
                    <w:shd w:val="clear" w:color="auto" w:fill="F2F2F2" w:themeFill="background1" w:themeFillShade="F2"/>
                  </w:tcPr>
                  <w:p>
                    <w:pPr>
                      <w:rPr>
                        <w:sz w:val="20"/>
                      </w:rPr>
                    </w:pPr>
                    <w:r>
                      <w:rPr>
                        <w:sz w:val="20"/>
                      </w:rPr>
                      <w:t>2021–2027 m. IP (ESF+, VVL regionas)</w:t>
                    </w:r>
                  </w:p>
                </w:tc>
                <w:tc>
                  <w:tcPr>
                    <w:tcW w:w="2551" w:type="dxa"/>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851" w:type="dxa"/>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22 739,471 </w:t>
                    </w:r>
                  </w:p>
                </w:tc>
                <w:tc>
                  <w:tcPr>
                    <w:tcW w:w="992" w:type="dxa"/>
                    <w:shd w:val="clear" w:color="auto" w:fill="F2F2F2" w:themeFill="background1" w:themeFillShade="F2"/>
                  </w:tcPr>
                  <w:p>
                    <w:pPr>
                      <w:rPr>
                        <w:sz w:val="20"/>
                      </w:rPr>
                    </w:pPr>
                    <w:r>
                      <w:rPr>
                        <w:sz w:val="20"/>
                      </w:rPr>
                      <w:t>2021–2027 m. IP (BF,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pPr>
                      <w:ind w:left="-57" w:right="-57"/>
                      <w:jc w:val="center"/>
                      <w:rPr>
                        <w:sz w:val="20"/>
                      </w:rPr>
                    </w:pPr>
                    <w:r>
                      <w:rPr>
                        <w:sz w:val="20"/>
                      </w:rPr>
                      <w:t>73 020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81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Aktyviojo gydymo lovų užimtumas, proc.</w:t>
                    </w:r>
                  </w:p>
                </w:tc>
                <w:tc>
                  <w:tcPr>
                    <w:tcW w:w="851" w:type="dxa"/>
                    <w:shd w:val="clear" w:color="auto" w:fill="F2F2F2" w:themeFill="background1" w:themeFillShade="F2"/>
                  </w:tcPr>
                  <w:p>
                    <w:pPr>
                      <w:ind w:left="-57" w:right="-57"/>
                      <w:jc w:val="center"/>
                      <w:rPr>
                        <w:sz w:val="20"/>
                      </w:rPr>
                    </w:pPr>
                    <w:r>
                      <w:rPr>
                        <w:sz w:val="20"/>
                      </w:rPr>
                      <w:t>82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Patvirtintas atnaujintas Šeimos medicinos plėtros 2016–2025 m. veiksmų planas</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410" w:type="dxa"/>
                    <w:vMerge w:val="restart"/>
                  </w:tcPr>
                  <w:p>
                    <w:pPr>
                      <w:rPr>
                        <w:sz w:val="20"/>
                      </w:rPr>
                    </w:pPr>
                    <w:r>
                      <w:rPr>
                        <w:sz w:val="20"/>
                      </w:rPr>
                      <w:t>6.2. Sveikatos centro pirminės ambulatorinės asmens sveikatos priežiūros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5 700,000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5 700,000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410" w:type="dxa"/>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7 603,764</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7 603,764</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410" w:type="dxa"/>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31 110,000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rPr>
                      <w:t>5 490,000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410" w:type="dxa"/>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50 398,601</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8 893,871</w:t>
                    </w:r>
                  </w:p>
                </w:tc>
                <w:tc>
                  <w:tcPr>
                    <w:tcW w:w="992" w:type="dxa"/>
                    <w:vMerge w:val="restart"/>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58"/>
                </w:trPr>
                <w:tc>
                  <w:tcPr>
                    <w:tcW w:w="2410" w:type="dxa"/>
                    <w:vMerge w:val="restart"/>
                  </w:tcPr>
                  <w:p>
                    <w:pPr>
                      <w:rPr>
                        <w:sz w:val="20"/>
                      </w:rPr>
                    </w:pPr>
                    <w:r>
                      <w:rPr>
                        <w:sz w:val="20"/>
                      </w:rPr>
                      <w:t>6.6. Dienos stacionaro ir dienos chirurgijos paslaugų plėtra regiono lygiu,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2 775,496</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10 090</w:t>
                    </w:r>
                  </w:p>
                  <w:p>
                    <w:pPr>
                      <w:ind w:left="-57" w:right="-57"/>
                      <w:jc w:val="center"/>
                      <w:rPr>
                        <w:sz w:val="20"/>
                      </w:rPr>
                    </w:pPr>
                    <w:r>
                      <w:rPr>
                        <w:sz w:val="20"/>
                      </w:rPr>
                      <w:t>(2029 m.)</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28"/>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2 775,496</w:t>
                    </w:r>
                  </w:p>
                  <w:p>
                    <w:pPr>
                      <w:rPr>
                        <w:sz w:val="20"/>
                      </w:rPr>
                    </w:pPr>
                  </w:p>
                </w:tc>
                <w:tc>
                  <w:tcPr>
                    <w:tcW w:w="992" w:type="dxa"/>
                    <w:vMerge w:val="restart"/>
                  </w:tcPr>
                  <w:p>
                    <w:pPr>
                      <w:rPr>
                        <w:sz w:val="20"/>
                      </w:rPr>
                    </w:pPr>
                    <w:r>
                      <w:rPr>
                        <w:sz w:val="20"/>
                      </w:rPr>
                      <w:t>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9 890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77"/>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869"/>
                </w:trPr>
                <w:tc>
                  <w:tcPr>
                    <w:tcW w:w="2410" w:type="dxa"/>
                    <w:vMerge w:val="restart"/>
                  </w:tcPr>
                  <w:p>
                    <w:pPr>
                      <w:rPr>
                        <w:iCs/>
                        <w:sz w:val="20"/>
                      </w:rPr>
                    </w:pPr>
                    <w:r>
                      <w:rPr>
                        <w:sz w:val="20"/>
                      </w:rPr>
                      <w:t>6.7. Dienos stacionaro ir dienos chirurgijos paslaugų plėtra regiono lygiu,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13 981,657</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pPr>
                      <w:ind w:left="-57" w:right="-57"/>
                      <w:jc w:val="center"/>
                      <w:rPr>
                        <w:sz w:val="20"/>
                      </w:rPr>
                    </w:pPr>
                    <w:r>
                      <w:rPr>
                        <w:sz w:val="20"/>
                      </w:rPr>
                      <w:t>29 910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019"/>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2 467,350</w:t>
                    </w:r>
                  </w:p>
                </w:tc>
                <w:tc>
                  <w:tcPr>
                    <w:tcW w:w="992" w:type="dxa"/>
                    <w:vMerge w:val="restart"/>
                  </w:tcPr>
                  <w:p>
                    <w:pPr>
                      <w:rPr>
                        <w:sz w:val="20"/>
                      </w:rPr>
                    </w:pPr>
                    <w:r>
                      <w:rPr>
                        <w:sz w:val="20"/>
                      </w:rPr>
                      <w:t xml:space="preserve">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29 310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6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tcBorders>
                      <w:bottom w:val="single" w:sz="4" w:space="0" w:color="auto"/>
                    </w:tcBorders>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857"/>
                </w:trPr>
                <w:tc>
                  <w:tcPr>
                    <w:tcW w:w="2410" w:type="dxa"/>
                    <w:vMerge w:val="restart"/>
                  </w:tcPr>
                  <w:p>
                    <w:pPr>
                      <w:rPr>
                        <w:sz w:val="20"/>
                      </w:rPr>
                    </w:pPr>
                    <w:r>
                      <w:rPr>
                        <w:sz w:val="20"/>
                      </w:rPr>
                      <w:t>6.8. Inovatyvių pirminės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administracijos,ASPĮ, SAM</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bottom w:val="single" w:sz="4" w:space="0" w:color="auto"/>
                    </w:tcBorders>
                  </w:tcPr>
                  <w:p>
                    <w:pPr>
                      <w:rPr>
                        <w:sz w:val="20"/>
                        <w:lang w:val="en-US"/>
                      </w:rPr>
                    </w:pPr>
                    <w:r>
                      <w:rPr>
                        <w:sz w:val="20"/>
                        <w:lang w:val="en-US"/>
                      </w:rPr>
                      <w:t>33 366,750</w:t>
                    </w:r>
                  </w:p>
                </w:tc>
                <w:tc>
                  <w:tcPr>
                    <w:tcW w:w="992" w:type="dxa"/>
                    <w:tcBorders>
                      <w:bottom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851" w:type="dxa"/>
                    <w:shd w:val="clear" w:color="auto" w:fill="auto"/>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lang w:val="en-US"/>
                      </w:rPr>
                      <w:t>5 888,250</w:t>
                    </w:r>
                  </w:p>
                </w:tc>
                <w:tc>
                  <w:tcPr>
                    <w:tcW w:w="992" w:type="dxa"/>
                    <w:vMerge w:val="restart"/>
                  </w:tcPr>
                  <w:p>
                    <w:pPr>
                      <w:rPr>
                        <w:sz w:val="20"/>
                      </w:rPr>
                    </w:pPr>
                    <w:r>
                      <w:rPr>
                        <w:sz w:val="20"/>
                      </w:rPr>
                      <w:t xml:space="preserve">2021–2027m.  IP (BF) </w:t>
                    </w: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lang w:val="en-US"/>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b/>
                        <w:bCs/>
                        <w:color w:val="FF0000"/>
                        <w:sz w:val="20"/>
                      </w:rPr>
                    </w:pPr>
                    <w:r>
                      <w:rPr>
                        <w:color w:val="000000"/>
                        <w:sz w:val="20"/>
                      </w:rPr>
                      <w:t xml:space="preserve">R – Pacientų pasitenkinimas gautomis paslaugomis, proc. </w:t>
                    </w:r>
                  </w:p>
                </w:tc>
                <w:tc>
                  <w:tcPr>
                    <w:tcW w:w="851" w:type="dxa"/>
                    <w:shd w:val="clear" w:color="auto" w:fill="auto"/>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0"/>
                      </w:rPr>
                    </w:pPr>
                    <w:r>
                      <w:rPr>
                        <w:sz w:val="20"/>
                      </w:rPr>
                      <w:t>6.9. ASPĮ išlaidų, patirtų įgyvendinant pertvarką, kompensavimas</w:t>
                    </w:r>
                  </w:p>
                </w:tc>
                <w:tc>
                  <w:tcPr>
                    <w:tcW w:w="709" w:type="dxa"/>
                  </w:tcPr>
                  <w:p>
                    <w:pPr>
                      <w:rPr>
                        <w:sz w:val="20"/>
                      </w:rPr>
                    </w:pPr>
                    <w:r>
                      <w:rPr>
                        <w:sz w:val="20"/>
                      </w:rPr>
                      <w:t>I</w:t>
                    </w:r>
                  </w:p>
                </w:tc>
                <w:tc>
                  <w:tcPr>
                    <w:tcW w:w="1559" w:type="dxa"/>
                  </w:tcPr>
                  <w:p>
                    <w:pPr>
                      <w:rPr>
                        <w:sz w:val="20"/>
                      </w:rPr>
                    </w:pPr>
                    <w:r>
                      <w:rPr>
                        <w:sz w:val="20"/>
                      </w:rPr>
                      <w:t>ASPĮ</w:t>
                    </w:r>
                  </w:p>
                </w:tc>
                <w:tc>
                  <w:tcPr>
                    <w:tcW w:w="709" w:type="dxa"/>
                  </w:tcPr>
                  <w:p>
                    <w:pPr>
                      <w:rPr>
                        <w:sz w:val="20"/>
                      </w:rPr>
                    </w:pPr>
                    <w:r>
                      <w:rPr>
                        <w:sz w:val="20"/>
                      </w:rPr>
                      <w:t>P</w:t>
                    </w:r>
                  </w:p>
                </w:tc>
                <w:tc>
                  <w:tcPr>
                    <w:tcW w:w="992" w:type="dxa"/>
                  </w:tcPr>
                  <w:p>
                    <w:pPr>
                      <w:rPr>
                        <w:sz w:val="20"/>
                      </w:rPr>
                    </w:pPr>
                    <w:r>
                      <w:rPr>
                        <w:sz w:val="20"/>
                      </w:rPr>
                      <w:t>Taip</w:t>
                    </w:r>
                  </w:p>
                </w:tc>
                <w:tc>
                  <w:tcPr>
                    <w:tcW w:w="709" w:type="dxa"/>
                  </w:tcPr>
                  <w:p>
                    <w:pPr>
                      <w:rPr>
                        <w:sz w:val="20"/>
                      </w:rPr>
                    </w:pPr>
                    <w:r>
                      <w:rPr>
                        <w:sz w:val="20"/>
                      </w:rPr>
                      <w:t>D</w:t>
                    </w:r>
                  </w:p>
                </w:tc>
                <w:tc>
                  <w:tcPr>
                    <w:tcW w:w="1276" w:type="dxa"/>
                  </w:tcPr>
                  <w:p>
                    <w:pPr>
                      <w:rPr>
                        <w:sz w:val="20"/>
                      </w:rPr>
                    </w:pPr>
                    <w:r>
                      <w:rPr>
                        <w:sz w:val="20"/>
                        <w:lang w:val="en-US"/>
                      </w:rPr>
                      <w:t>8 000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7. Ambulatorinių psichikos sveikatos priežiūros paslaugų plėtra ir kokybės gerinimas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38 400</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851" w:type="dxa"/>
                    <w:vMerge w:val="restart"/>
                    <w:shd w:val="clear" w:color="auto" w:fill="F2F2F2" w:themeFill="background1" w:themeFillShade="F2"/>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shd w:val="clear" w:color="auto" w:fill="F2F2F2" w:themeFill="background1" w:themeFillShade="F2"/>
                  </w:tcPr>
                  <w:p>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851" w:type="dxa"/>
                    <w:shd w:val="clear" w:color="auto" w:fill="F2F2F2" w:themeFill="background1" w:themeFillShade="F2"/>
                  </w:tcPr>
                  <w:p>
                    <w:pPr>
                      <w:ind w:left="-57" w:right="-57"/>
                      <w:jc w:val="center"/>
                      <w:rPr>
                        <w:sz w:val="20"/>
                      </w:rPr>
                    </w:pPr>
                    <w:r>
                      <w:rPr>
                        <w:sz w:val="20"/>
                      </w:rPr>
                      <w:t>431714</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12 710,597</w:t>
                    </w:r>
                  </w:p>
                </w:tc>
                <w:tc>
                  <w:tcPr>
                    <w:tcW w:w="992" w:type="dxa"/>
                    <w:shd w:val="clear" w:color="auto" w:fill="F2F2F2" w:themeFill="background1" w:themeFillShade="F2"/>
                  </w:tcPr>
                  <w:p>
                    <w:pPr>
                      <w:rPr>
                        <w:sz w:val="20"/>
                      </w:rPr>
                    </w:pPr>
                    <w:r>
                      <w:rPr>
                        <w:sz w:val="20"/>
                      </w:rPr>
                      <w:t>2021–2027 m. IP (ERPF, VVL regionas)</w:t>
                    </w:r>
                  </w:p>
                </w:tc>
                <w:tc>
                  <w:tcPr>
                    <w:tcW w:w="2551" w:type="dxa"/>
                    <w:vMerge w:val="restart"/>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851" w:type="dxa"/>
                    <w:vMerge w:val="restart"/>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10 540</w:t>
                    </w:r>
                  </w:p>
                </w:tc>
                <w:tc>
                  <w:tcPr>
                    <w:tcW w:w="992" w:type="dxa"/>
                    <w:shd w:val="clear" w:color="auto" w:fill="F2F2F2" w:themeFill="background1" w:themeFillShade="F2"/>
                  </w:tcPr>
                  <w:p>
                    <w:pPr>
                      <w:rPr>
                        <w:sz w:val="20"/>
                      </w:rPr>
                    </w:pPr>
                    <w:r>
                      <w:rPr>
                        <w:sz w:val="20"/>
                      </w:rPr>
                      <w:t>2021–2027 m. IP (ESF</w:t>
                    </w:r>
                    <w:r>
                      <w:rPr>
                        <w:sz w:val="20"/>
                        <w:lang w:val="it-IT"/>
                      </w:rPr>
                      <w:t>+</w:t>
                    </w:r>
                    <w:r>
                      <w:rPr>
                        <w:sz w:val="20"/>
                      </w:rPr>
                      <w:t>,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4 103,047</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6 000</w:t>
                    </w:r>
                  </w:p>
                </w:tc>
                <w:tc>
                  <w:tcPr>
                    <w:tcW w:w="992" w:type="dxa"/>
                    <w:shd w:val="clear" w:color="auto" w:fill="F2F2F2" w:themeFill="background1" w:themeFillShade="F2"/>
                  </w:tcPr>
                  <w:p>
                    <w:pPr>
                      <w:rPr>
                        <w:sz w:val="20"/>
                      </w:rPr>
                    </w:pPr>
                    <w:r>
                      <w:rPr>
                        <w:sz w:val="20"/>
                      </w:rPr>
                      <w:t>VB</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382"/>
                </w:trPr>
                <w:tc>
                  <w:tcPr>
                    <w:tcW w:w="2410" w:type="dxa"/>
                    <w:vMerge w:val="restart"/>
                  </w:tcPr>
                  <w:p>
                    <w:pPr>
                      <w:rPr>
                        <w:sz w:val="20"/>
                      </w:rPr>
                    </w:pPr>
                    <w:r>
                      <w:rPr>
                        <w:sz w:val="20"/>
                      </w:rPr>
                      <w:t>7.1. Ambulatorinių psichikos sveikatos paslaugų ir psichosocialinės reabilitacijos plėtrai reikalingos infrastruktūros įrengimas,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shd w:val="clear" w:color="auto" w:fill="auto"/>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2 523,178</w:t>
                    </w:r>
                  </w:p>
                  <w:p>
                    <w:pPr>
                      <w:rPr>
                        <w:sz w:val="20"/>
                        <w:lang w:val="en-US"/>
                      </w:rPr>
                    </w:pPr>
                  </w:p>
                </w:tc>
                <w:tc>
                  <w:tcPr>
                    <w:tcW w:w="992" w:type="dxa"/>
                  </w:tcPr>
                  <w:p>
                    <w:pPr>
                      <w:rPr>
                        <w:sz w:val="20"/>
                      </w:rPr>
                    </w:pPr>
                    <w:r>
                      <w:rPr>
                        <w:sz w:val="20"/>
                      </w:rPr>
                      <w:t>2021–2027 m. IP (ERPF)</w:t>
                    </w: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2 523,178</w:t>
                    </w:r>
                  </w:p>
                </w:tc>
                <w:tc>
                  <w:tcPr>
                    <w:tcW w:w="992" w:type="dxa"/>
                  </w:tcPr>
                  <w:p>
                    <w:pPr>
                      <w:rPr>
                        <w:sz w:val="20"/>
                      </w:rPr>
                    </w:pPr>
                    <w:r>
                      <w:rPr>
                        <w:sz w:val="20"/>
                      </w:rPr>
                      <w:t>2021–2027 m. IP (BF)</w:t>
                    </w: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410" w:type="dxa"/>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709" w:type="dxa"/>
                    <w:vMerge w:val="restart"/>
                  </w:tcPr>
                  <w:p>
                    <w:pPr>
                      <w:rPr>
                        <w:sz w:val="20"/>
                      </w:rPr>
                    </w:pPr>
                    <w:r>
                      <w:rPr>
                        <w:sz w:val="20"/>
                      </w:rPr>
                      <w:t>I</w:t>
                    </w:r>
                  </w:p>
                  <w:p>
                    <w:pPr>
                      <w:rPr>
                        <w:sz w:val="20"/>
                      </w:rPr>
                    </w:pPr>
                  </w:p>
                </w:tc>
                <w:tc>
                  <w:tcPr>
                    <w:tcW w:w="1559" w:type="dxa"/>
                    <w:vMerge w:val="restart"/>
                  </w:tcPr>
                  <w:p>
                    <w:pPr>
                      <w:rPr>
                        <w:sz w:val="20"/>
                      </w:rPr>
                    </w:pPr>
                    <w:r>
                      <w:rPr>
                        <w:sz w:val="20"/>
                      </w:rPr>
                      <w:t>ASPĮ</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tcPr>
                  <w:p>
                    <w:pPr>
                      <w:rPr>
                        <w:sz w:val="20"/>
                      </w:rPr>
                    </w:pPr>
                    <w:r>
                      <w:rPr>
                        <w:sz w:val="20"/>
                      </w:rPr>
                      <w:t>Taip</w:t>
                    </w:r>
                  </w:p>
                  <w:p>
                    <w:pPr>
                      <w:rPr>
                        <w:sz w:val="20"/>
                      </w:rPr>
                    </w:pPr>
                  </w:p>
                </w:tc>
                <w:tc>
                  <w:tcPr>
                    <w:tcW w:w="709" w:type="dxa"/>
                    <w:vMerge w:val="restart"/>
                  </w:tcPr>
                  <w:p>
                    <w:pPr>
                      <w:rPr>
                        <w:sz w:val="20"/>
                      </w:rPr>
                    </w:pPr>
                    <w:r>
                      <w:rPr>
                        <w:sz w:val="20"/>
                      </w:rPr>
                      <w:t>D</w:t>
                    </w:r>
                  </w:p>
                  <w:p>
                    <w:pPr>
                      <w:rPr>
                        <w:sz w:val="20"/>
                      </w:rPr>
                    </w:pPr>
                  </w:p>
                </w:tc>
                <w:tc>
                  <w:tcPr>
                    <w:tcW w:w="1276" w:type="dxa"/>
                  </w:tcPr>
                  <w:p>
                    <w:pPr>
                      <w:rPr>
                        <w:sz w:val="20"/>
                        <w:lang w:val="en-US"/>
                      </w:rPr>
                    </w:pPr>
                    <w:r>
                      <w:rPr>
                        <w:sz w:val="20"/>
                        <w:lang w:val="en-US"/>
                      </w:rPr>
                      <w:t>12 710,597</w:t>
                    </w:r>
                  </w:p>
                </w:tc>
                <w:tc>
                  <w:tcPr>
                    <w:tcW w:w="992" w:type="dxa"/>
                  </w:tcPr>
                  <w:p>
                    <w:pPr>
                      <w:rPr>
                        <w:sz w:val="20"/>
                      </w:rPr>
                    </w:pPr>
                    <w:r>
                      <w:rPr>
                        <w:sz w:val="20"/>
                      </w:rPr>
                      <w:t>2021–2027 m. IP (ERPF)</w:t>
                    </w:r>
                  </w:p>
                  <w:p>
                    <w:pPr>
                      <w:rPr>
                        <w:sz w:val="20"/>
                      </w:rPr>
                    </w:pP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2 243,047</w:t>
                    </w:r>
                  </w:p>
                  <w:p>
                    <w:pPr>
                      <w:rPr>
                        <w:sz w:val="20"/>
                      </w:rPr>
                    </w:pPr>
                  </w:p>
                </w:tc>
                <w:tc>
                  <w:tcPr>
                    <w:tcW w:w="992" w:type="dxa"/>
                  </w:tcPr>
                  <w:p>
                    <w:pPr>
                      <w:rPr>
                        <w:sz w:val="20"/>
                      </w:rPr>
                    </w:pPr>
                    <w:r>
                      <w:rPr>
                        <w:sz w:val="20"/>
                      </w:rPr>
                      <w:t>2021–2027 m. IP (BF)</w:t>
                    </w:r>
                  </w:p>
                  <w:p>
                    <w:pPr>
                      <w:rPr>
                        <w:sz w:val="20"/>
                      </w:rPr>
                    </w:pP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709" w:type="dxa"/>
                  </w:tcPr>
                  <w:p>
                    <w:pPr>
                      <w:rPr>
                        <w:sz w:val="22"/>
                        <w:szCs w:val="22"/>
                      </w:rPr>
                    </w:pPr>
                    <w:r>
                      <w:rPr>
                        <w:sz w:val="20"/>
                      </w:rPr>
                      <w:t>I</w:t>
                    </w:r>
                  </w:p>
                </w:tc>
                <w:tc>
                  <w:tcPr>
                    <w:tcW w:w="1559" w:type="dxa"/>
                  </w:tcPr>
                  <w:p>
                    <w:pPr>
                      <w:rPr>
                        <w:sz w:val="22"/>
                        <w:szCs w:val="22"/>
                      </w:rPr>
                    </w:pPr>
                    <w:r>
                      <w:rPr>
                        <w:sz w:val="20"/>
                      </w:rPr>
                      <w:t>ASPĮ</w:t>
                    </w:r>
                  </w:p>
                </w:tc>
                <w:tc>
                  <w:tcPr>
                    <w:tcW w:w="709" w:type="dxa"/>
                  </w:tcPr>
                  <w:p>
                    <w:pPr>
                      <w:rPr>
                        <w:sz w:val="22"/>
                        <w:szCs w:val="22"/>
                      </w:rPr>
                    </w:pPr>
                    <w:r>
                      <w:rPr>
                        <w:sz w:val="20"/>
                      </w:rPr>
                      <w:t>P</w:t>
                    </w:r>
                  </w:p>
                </w:tc>
                <w:tc>
                  <w:tcPr>
                    <w:tcW w:w="992" w:type="dxa"/>
                  </w:tcPr>
                  <w:p>
                    <w:pPr>
                      <w:rPr>
                        <w:sz w:val="22"/>
                        <w:szCs w:val="22"/>
                      </w:rPr>
                    </w:pPr>
                    <w:r>
                      <w:rPr>
                        <w:sz w:val="20"/>
                      </w:rPr>
                      <w:t>Taip</w:t>
                    </w:r>
                  </w:p>
                </w:tc>
                <w:tc>
                  <w:tcPr>
                    <w:tcW w:w="709" w:type="dxa"/>
                  </w:tcPr>
                  <w:p>
                    <w:pPr>
                      <w:rPr>
                        <w:sz w:val="22"/>
                        <w:szCs w:val="22"/>
                      </w:rPr>
                    </w:pPr>
                    <w:r>
                      <w:rPr>
                        <w:sz w:val="20"/>
                      </w:rPr>
                      <w:t>D</w:t>
                    </w:r>
                  </w:p>
                </w:tc>
                <w:tc>
                  <w:tcPr>
                    <w:tcW w:w="1276" w:type="dxa"/>
                  </w:tcPr>
                  <w:p>
                    <w:pPr>
                      <w:rPr>
                        <w:sz w:val="22"/>
                        <w:szCs w:val="22"/>
                        <w:lang w:val="en-US"/>
                      </w:rPr>
                    </w:pPr>
                    <w:r>
                      <w:rPr>
                        <w:sz w:val="20"/>
                      </w:rPr>
                      <w:t>6 000</w:t>
                    </w:r>
                  </w:p>
                </w:tc>
                <w:tc>
                  <w:tcPr>
                    <w:tcW w:w="992" w:type="dxa"/>
                  </w:tcPr>
                  <w:p>
                    <w:pPr>
                      <w:rPr>
                        <w:sz w:val="22"/>
                        <w:szCs w:val="22"/>
                      </w:rPr>
                    </w:pPr>
                    <w:r>
                      <w:rPr>
                        <w:sz w:val="20"/>
                      </w:rPr>
                      <w:t>VB</w:t>
                    </w:r>
                  </w:p>
                </w:tc>
                <w:tc>
                  <w:tcPr>
                    <w:tcW w:w="2551"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410" w:type="dxa"/>
                    <w:vMerge w:val="restart"/>
                    <w:tcBorders>
                      <w:top w:val="single" w:sz="4" w:space="0" w:color="auto"/>
                      <w:left w:val="single" w:sz="4" w:space="0" w:color="auto"/>
                      <w:right w:val="single" w:sz="4" w:space="0" w:color="auto"/>
                    </w:tcBorders>
                  </w:tcPr>
                  <w:p>
                    <w:pPr>
                      <w:rPr>
                        <w:sz w:val="20"/>
                      </w:rPr>
                    </w:pPr>
                    <w:r>
                      <w:rPr>
                        <w:sz w:val="20"/>
                      </w:rPr>
                      <w:t>7.4.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7 174</w:t>
                    </w:r>
                  </w:p>
                  <w:p>
                    <w:pPr>
                      <w:rPr>
                        <w:sz w:val="20"/>
                        <w:lang w:val="en-US"/>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left w:val="single" w:sz="4" w:space="0" w:color="auto"/>
                      <w:right w:val="single" w:sz="4" w:space="0" w:color="auto"/>
                    </w:tcBorders>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left w:val="single" w:sz="4" w:space="0" w:color="auto"/>
                      <w:right w:val="single" w:sz="4" w:space="0" w:color="auto"/>
                    </w:tcBorders>
                  </w:tcPr>
                  <w:p>
                    <w:pPr>
                      <w:rPr>
                        <w:sz w:val="20"/>
                        <w:lang w:val="en-US"/>
                      </w:rPr>
                    </w:pPr>
                    <w:r>
                      <w:rPr>
                        <w:sz w:val="20"/>
                        <w:lang w:val="en-US"/>
                      </w:rPr>
                      <w:t>1 266</w:t>
                    </w:r>
                  </w:p>
                </w:tc>
                <w:tc>
                  <w:tcPr>
                    <w:tcW w:w="992" w:type="dxa"/>
                    <w:vMerge w:val="restart"/>
                    <w:tcBorders>
                      <w:top w:val="single" w:sz="4" w:space="0" w:color="auto"/>
                      <w:left w:val="single" w:sz="4" w:space="0" w:color="auto"/>
                      <w:right w:val="single" w:sz="4" w:space="0" w:color="auto"/>
                    </w:tcBorders>
                  </w:tcPr>
                  <w:p>
                    <w:pPr>
                      <w:rPr>
                        <w:sz w:val="20"/>
                      </w:rPr>
                    </w:pPr>
                    <w:r>
                      <w:rPr>
                        <w:sz w:val="20"/>
                      </w:rPr>
                      <w:t>2021–2027 m. IP (BF)</w:t>
                    </w:r>
                  </w:p>
                </w:tc>
                <w:tc>
                  <w:tcPr>
                    <w:tcW w:w="2551" w:type="dxa"/>
                    <w:tcBorders>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shd w:val="clear" w:color="auto" w:fill="FFFFFF" w:themeFill="background1"/>
                  </w:tcPr>
                  <w:p>
                    <w:pPr>
                      <w:ind w:left="-57" w:right="-57"/>
                      <w:rPr>
                        <w:color w:val="000000"/>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920"/>
                </w:trPr>
                <w:tc>
                  <w:tcPr>
                    <w:tcW w:w="2410" w:type="dxa"/>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LMB</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3 366</w:t>
                    </w:r>
                  </w:p>
                  <w:p>
                    <w:pPr>
                      <w:rPr>
                        <w:sz w:val="20"/>
                        <w:lang w:val="en-US"/>
                      </w:rPr>
                    </w:pPr>
                  </w:p>
                </w:tc>
                <w:tc>
                  <w:tcPr>
                    <w:tcW w:w="992"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tcBorders>
                      <w:top w:val="single" w:sz="4" w:space="0" w:color="auto"/>
                      <w:left w:val="single" w:sz="4" w:space="0" w:color="auto"/>
                      <w:right w:val="single" w:sz="4" w:space="0" w:color="auto"/>
                    </w:tcBorders>
                  </w:tcPr>
                  <w:p>
                    <w:pPr>
                      <w:rPr>
                        <w:sz w:val="20"/>
                      </w:rPr>
                    </w:pPr>
                    <w:r>
                      <w:rPr>
                        <w:sz w:val="20"/>
                      </w:rPr>
                      <w:t>CPVA</w:t>
                    </w:r>
                  </w:p>
                </w:tc>
                <w:tc>
                  <w:tcPr>
                    <w:tcW w:w="1276" w:type="dxa"/>
                    <w:tcBorders>
                      <w:top w:val="single" w:sz="4" w:space="0" w:color="auto"/>
                      <w:left w:val="single" w:sz="4" w:space="0" w:color="auto"/>
                      <w:right w:val="single" w:sz="4" w:space="0" w:color="auto"/>
                    </w:tcBorders>
                    <w:vAlign w:val="center"/>
                  </w:tcPr>
                  <w:p>
                    <w:pPr>
                      <w:rPr>
                        <w:color w:val="000000"/>
                        <w:sz w:val="20"/>
                      </w:rPr>
                    </w:pPr>
                  </w:p>
                </w:tc>
              </w:tr>
              <w:tr>
                <w:trPr>
                  <w:trHeight w:val="920"/>
                </w:trPr>
                <w:tc>
                  <w:tcPr>
                    <w:tcW w:w="2410" w:type="dxa"/>
                    <w:vMerge/>
                    <w:tcBorders>
                      <w:left w:val="single" w:sz="4" w:space="0" w:color="auto"/>
                      <w:right w:val="single" w:sz="4" w:space="0" w:color="auto"/>
                    </w:tcBorders>
                    <w:shd w:val="clear" w:color="auto" w:fill="auto"/>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594</w:t>
                    </w:r>
                  </w:p>
                </w:tc>
                <w:tc>
                  <w:tcPr>
                    <w:tcW w:w="992" w:type="dxa"/>
                    <w:tcBorders>
                      <w:left w:val="single" w:sz="4" w:space="0" w:color="auto"/>
                      <w:right w:val="single" w:sz="4" w:space="0" w:color="auto"/>
                    </w:tcBorders>
                  </w:tcPr>
                  <w:p>
                    <w:pPr>
                      <w:rPr>
                        <w:sz w:val="20"/>
                      </w:rPr>
                    </w:pPr>
                    <w:r>
                      <w:rPr>
                        <w:sz w:val="20"/>
                      </w:rPr>
                      <w:t>2021–2027 m. IP (BF)</w:t>
                    </w:r>
                  </w:p>
                </w:tc>
                <w:tc>
                  <w:tcPr>
                    <w:tcW w:w="2551" w:type="dxa"/>
                    <w:tcBorders>
                      <w:left w:val="single" w:sz="4" w:space="0" w:color="auto"/>
                      <w:right w:val="single" w:sz="4" w:space="0" w:color="auto"/>
                    </w:tcBorders>
                    <w:shd w:val="clear" w:color="auto" w:fill="auto"/>
                  </w:tcPr>
                  <w:p>
                    <w:pPr>
                      <w:ind w:left="-57" w:right="-57"/>
                      <w:rPr>
                        <w:color w:val="000000"/>
                        <w:sz w:val="20"/>
                      </w:rPr>
                    </w:pPr>
                    <w:r>
                      <w:rPr>
                        <w:color w:val="000000"/>
                        <w:sz w:val="20"/>
                      </w:rPr>
                      <w:t>R – Pacientų pasitenkinimas gautomis paslaugomis,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left w:val="single" w:sz="4" w:space="0" w:color="auto"/>
                      <w:right w:val="single" w:sz="4" w:space="0" w:color="auto"/>
                    </w:tcBorders>
                  </w:tcPr>
                  <w:p>
                    <w:pPr>
                      <w:rPr>
                        <w:sz w:val="20"/>
                      </w:rPr>
                    </w:pPr>
                  </w:p>
                </w:tc>
                <w:tc>
                  <w:tcPr>
                    <w:tcW w:w="1276" w:type="dxa"/>
                    <w:tcBorders>
                      <w:left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i/>
                        <w:iCs/>
                        <w:sz w:val="20"/>
                      </w:rPr>
                    </w:pPr>
                    <w:r>
                      <w:rPr>
                        <w:b/>
                        <w:bCs/>
                        <w:sz w:val="20"/>
                      </w:rPr>
                      <w:t>8. Pacientų pavėžėjimo paslaugos modelio sukūrimas ir išbandymas</w:t>
                    </w:r>
                  </w:p>
                </w:tc>
                <w:tc>
                  <w:tcPr>
                    <w:tcW w:w="709" w:type="dxa"/>
                    <w:shd w:val="clear" w:color="auto" w:fill="F2F2F2" w:themeFill="background1" w:themeFillShade="F2"/>
                  </w:tcPr>
                  <w:p>
                    <w:pPr>
                      <w:rPr>
                        <w:sz w:val="20"/>
                      </w:rPr>
                    </w:pPr>
                    <w:r>
                      <w:rPr>
                        <w:sz w:val="20"/>
                      </w:rPr>
                      <w:t>-</w:t>
                    </w:r>
                  </w:p>
                </w:tc>
                <w:tc>
                  <w:tcPr>
                    <w:tcW w:w="1559"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992"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7 000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w:t>
                    </w:r>
                  </w:p>
                </w:tc>
                <w:tc>
                  <w:tcPr>
                    <w:tcW w:w="851" w:type="dxa"/>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8.1. Pavėžėjimo paslaugų organizavimą ir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851" w:type="dxa"/>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410" w:type="dxa"/>
                    <w:vMerge w:val="restart"/>
                  </w:tcPr>
                  <w:p>
                    <w:pPr>
                      <w:rPr>
                        <w:sz w:val="20"/>
                      </w:rPr>
                    </w:pPr>
                    <w:r>
                      <w:rPr>
                        <w:sz w:val="20"/>
                      </w:rPr>
                      <w:t>8.2. Bandomojo pavėžėjimo paslaugų teikimo projekto įgyvendinimas</w:t>
                    </w:r>
                  </w:p>
                </w:tc>
                <w:tc>
                  <w:tcPr>
                    <w:tcW w:w="709" w:type="dxa"/>
                    <w:vMerge w:val="restart"/>
                  </w:tcPr>
                  <w:p>
                    <w:pPr>
                      <w:rPr>
                        <w:sz w:val="20"/>
                      </w:rPr>
                    </w:pPr>
                    <w:r>
                      <w:rPr>
                        <w:sz w:val="20"/>
                      </w:rPr>
                      <w:t>M</w:t>
                    </w:r>
                  </w:p>
                </w:tc>
                <w:tc>
                  <w:tcPr>
                    <w:tcW w:w="1559" w:type="dxa"/>
                    <w:vMerge w:val="restart"/>
                  </w:tcPr>
                  <w:p>
                    <w:pPr>
                      <w:rPr>
                        <w:sz w:val="20"/>
                      </w:rPr>
                    </w:pPr>
                    <w:r>
                      <w:rPr>
                        <w:sz w:val="20"/>
                      </w:rPr>
                      <w:t>V</w:t>
                    </w:r>
                    <w:r>
                      <w:rPr>
                        <w:sz w:val="18"/>
                        <w:szCs w:val="18"/>
                      </w:rPr>
                      <w:t>šĮ Kauno miesto greitosios medicinos pagalbos stotis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lang w:val="en-US"/>
                      </w:rPr>
                    </w:pPr>
                    <w:r>
                      <w:rPr>
                        <w:sz w:val="20"/>
                        <w:lang w:val="en-US"/>
                      </w:rPr>
                      <w:t>7 000</w:t>
                    </w:r>
                  </w:p>
                </w:tc>
                <w:tc>
                  <w:tcPr>
                    <w:tcW w:w="992" w:type="dxa"/>
                    <w:vMerge w:val="restart"/>
                  </w:tcPr>
                  <w:p>
                    <w:pPr>
                      <w:rPr>
                        <w:sz w:val="20"/>
                      </w:rPr>
                    </w:pPr>
                    <w:r>
                      <w:rPr>
                        <w:sz w:val="20"/>
                      </w:rPr>
                      <w:t>VB</w:t>
                    </w:r>
                  </w:p>
                </w:tc>
                <w:tc>
                  <w:tcPr>
                    <w:tcW w:w="2551"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9. Greitosios medicinos pagalbos tinklo veiklos efektyvumo didinimas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41 150</w:t>
                    </w:r>
                  </w:p>
                </w:tc>
                <w:tc>
                  <w:tcPr>
                    <w:tcW w:w="992" w:type="dxa"/>
                    <w:shd w:val="clear" w:color="auto" w:fill="F2F2F2" w:themeFill="background1" w:themeFillShade="F2"/>
                  </w:tcPr>
                  <w:p>
                    <w:pPr>
                      <w:rPr>
                        <w:sz w:val="20"/>
                      </w:rPr>
                    </w:pPr>
                    <w:r>
                      <w:rPr>
                        <w:sz w:val="20"/>
                      </w:rPr>
                      <w:t xml:space="preserve">- </w:t>
                    </w:r>
                  </w:p>
                </w:tc>
                <w:tc>
                  <w:tcPr>
                    <w:tcW w:w="2551" w:type="dxa"/>
                    <w:vMerge w:val="restart"/>
                    <w:shd w:val="clear" w:color="auto" w:fill="F2F2F2" w:themeFill="background1" w:themeFillShade="F2"/>
                  </w:tcPr>
                  <w:p>
                    <w:pPr>
                      <w:ind w:left="-57" w:right="-57"/>
                      <w:rPr>
                        <w:sz w:val="20"/>
                      </w:rPr>
                    </w:pPr>
                    <w:r>
                      <w:rPr>
                        <w:sz w:val="20"/>
                      </w:rPr>
                      <w:t>-</w:t>
                    </w:r>
                  </w:p>
                </w:tc>
                <w:tc>
                  <w:tcPr>
                    <w:tcW w:w="851" w:type="dxa"/>
                    <w:vMerge w:val="restart"/>
                    <w:shd w:val="clear" w:color="auto" w:fill="F2F2F2" w:themeFill="background1" w:themeFillShade="F2"/>
                  </w:tcPr>
                  <w:p>
                    <w:pPr>
                      <w:ind w:left="-57" w:right="-57"/>
                      <w:jc w:val="cente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76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(BF,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26 078</w:t>
                    </w:r>
                  </w:p>
                </w:tc>
                <w:tc>
                  <w:tcPr>
                    <w:tcW w:w="992" w:type="dxa"/>
                    <w:shd w:val="clear" w:color="auto" w:fill="F2F2F2" w:themeFill="background1" w:themeFillShade="F2"/>
                  </w:tcPr>
                  <w:p>
                    <w:pPr>
                      <w:rPr>
                        <w:sz w:val="20"/>
                      </w:rPr>
                    </w:pPr>
                    <w:r>
                      <w:rPr>
                        <w:sz w:val="20"/>
                      </w:rPr>
                      <w:t>2021–2027 m. IP (ERPF,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4 602</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9.1. Centralizuotą greitosios medicinos pagalbos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rPr>
                        <w:sz w:val="20"/>
                      </w:rPr>
                    </w:pPr>
                    <w:r>
                      <w:rPr>
                        <w:sz w:val="20"/>
                      </w:rPr>
                      <w:t xml:space="preserve">P – </w:t>
                    </w:r>
                    <w:r>
                      <w:rPr>
                        <w:sz w:val="20"/>
                        <w:lang w:eastAsia="lt-LT"/>
                      </w:rPr>
                      <w:t>Lietuvos Respublikos sveikatos priežiūros įstaigų įstatymo, Lietuvos Respublikos sveikatos sistemos įstatymo ir susijusių teisės aktų pakeitimų įsigaliojimas</w:t>
                    </w:r>
                    <w:r>
                      <w:rPr>
                        <w:sz w:val="20"/>
                      </w:rPr>
                      <w:t xml:space="preserve">, kompl. </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jc w:val="center"/>
                      <w:rPr>
                        <w:sz w:val="20"/>
                      </w:rPr>
                    </w:pPr>
                    <w:r>
                      <w:rPr>
                        <w:sz w:val="20"/>
                      </w:rPr>
                      <w:t>-</w:t>
                    </w:r>
                  </w:p>
                </w:tc>
                <w:tc>
                  <w:tcPr>
                    <w:tcW w:w="1276" w:type="dxa"/>
                    <w:tcBorders>
                      <w:left w:val="single" w:sz="4" w:space="0" w:color="auto"/>
                      <w:right w:val="single" w:sz="4" w:space="0" w:color="auto"/>
                    </w:tcBorders>
                  </w:tcPr>
                  <w:p>
                    <w:pPr>
                      <w:jc w:val="center"/>
                      <w:rPr>
                        <w:sz w:val="20"/>
                      </w:rPr>
                    </w:pPr>
                    <w:r>
                      <w:rPr>
                        <w:sz w:val="20"/>
                      </w:rPr>
                      <w:t>SAM</w:t>
                    </w:r>
                  </w:p>
                </w:tc>
              </w:tr>
              <w:tr>
                <w:trPr>
                  <w:trHeight w:val="1286"/>
                </w:trPr>
                <w:tc>
                  <w:tcPr>
                    <w:tcW w:w="2410" w:type="dxa"/>
                    <w:vMerge w:val="restart"/>
                  </w:tcPr>
                  <w:p>
                    <w:pPr>
                      <w:rPr>
                        <w:sz w:val="20"/>
                      </w:rPr>
                    </w:pPr>
                    <w:r>
                      <w:rPr>
                        <w:sz w:val="20"/>
                      </w:rPr>
                      <w:t>9.2. Greitosios medicinos pagalbos automobilių, įrangos įsigijimas ir greitosios medicinos pagalbos stočių infrastruktūros pritaikymas,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Greitosios medicinos pagalbos tarnyba (toliau –GMP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5 235</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790 000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5 235</w:t>
                    </w:r>
                  </w:p>
                </w:tc>
                <w:tc>
                  <w:tcPr>
                    <w:tcW w:w="992" w:type="dxa"/>
                    <w:vMerge w:val="restart"/>
                  </w:tcPr>
                  <w:p>
                    <w:pPr>
                      <w:rPr>
                        <w:sz w:val="20"/>
                      </w:rPr>
                    </w:pPr>
                    <w:r>
                      <w:rPr>
                        <w:sz w:val="20"/>
                      </w:rPr>
                      <w:t>2021–2027 m. IP (BF)</w:t>
                    </w: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val="restart"/>
                  </w:tcPr>
                  <w:p>
                    <w:pPr>
                      <w:rPr>
                        <w:sz w:val="20"/>
                      </w:rPr>
                    </w:pPr>
                    <w:r>
                      <w:rPr>
                        <w:sz w:val="20"/>
                      </w:rPr>
                      <w:t>9.3. Greitosios medicinos pagalbos automobilių, įrangos įsigijimas ir greitosios medicinos pagalbos stočių infrastruktūros pritaikymas,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26 078</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 xml:space="preserve">2 000 000 </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4 602</w:t>
                    </w:r>
                  </w:p>
                </w:tc>
                <w:tc>
                  <w:tcPr>
                    <w:tcW w:w="992" w:type="dxa"/>
                    <w:vMerge w:val="restart"/>
                  </w:tcPr>
                  <w:p>
                    <w:pPr>
                      <w:rPr>
                        <w:sz w:val="20"/>
                      </w:rPr>
                    </w:pPr>
                    <w:r>
                      <w:rPr>
                        <w:sz w:val="20"/>
                      </w:rPr>
                      <w:t>2021–2027 m. IP (BF)</w:t>
                    </w:r>
                  </w:p>
                </w:tc>
                <w:tc>
                  <w:tcPr>
                    <w:tcW w:w="2551" w:type="dxa"/>
                    <w:tcBorders>
                      <w:bottom w:val="single" w:sz="4" w:space="0" w:color="auto"/>
                    </w:tcBorders>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tabs>
                        <w:tab w:val="left" w:pos="860"/>
                      </w:tabs>
                      <w:rPr>
                        <w:sz w:val="20"/>
                      </w:rPr>
                    </w:pPr>
                    <w:r>
                      <w:rPr>
                        <w:b/>
                        <w:bCs/>
                        <w:sz w:val="20"/>
                      </w:rPr>
                      <w:t>10.</w:t>
                    </w:r>
                    <w:r>
                      <w:rPr>
                        <w:sz w:val="20"/>
                      </w:rPr>
                      <w:t xml:space="preserve"> </w:t>
                    </w:r>
                    <w:r>
                      <w:rPr>
                        <w:b/>
                        <w:sz w:val="20"/>
                      </w:rPr>
                      <w:t>Sveikatos priežiūros specialistų pasiūlos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b/>
                        <w:bCs/>
                        <w:sz w:val="20"/>
                        <w:lang w:val="en-US"/>
                      </w:rPr>
                    </w:pPr>
                    <w:r>
                      <w:rPr>
                        <w:b/>
                        <w:bCs/>
                        <w:sz w:val="20"/>
                        <w:lang w:val="en-US"/>
                      </w:rPr>
                      <w:t>30 786,642</w:t>
                    </w:r>
                  </w:p>
                  <w:p>
                    <w:pPr>
                      <w:rPr>
                        <w:b/>
                        <w:bCs/>
                        <w:sz w:val="20"/>
                      </w:rPr>
                    </w:pP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rPr>
                    </w:pPr>
                    <w:r>
                      <w:rPr>
                        <w:sz w:val="20"/>
                      </w:rPr>
                      <w:t>26 168,646</w:t>
                    </w:r>
                  </w:p>
                </w:tc>
                <w:tc>
                  <w:tcPr>
                    <w:tcW w:w="992" w:type="dxa"/>
                    <w:shd w:val="clear" w:color="auto" w:fill="F2F2F2" w:themeFill="background1" w:themeFillShade="F2"/>
                  </w:tcPr>
                  <w:p>
                    <w:pPr>
                      <w:rPr>
                        <w:sz w:val="20"/>
                      </w:rPr>
                    </w:pPr>
                    <w:r>
                      <w:rPr>
                        <w:sz w:val="20"/>
                      </w:rPr>
                      <w:t>2021–2027 m. IP (ESF+, VVL regionas)</w:t>
                    </w:r>
                  </w:p>
                </w:tc>
                <w:tc>
                  <w:tcPr>
                    <w:tcW w:w="2551" w:type="dxa"/>
                    <w:vMerge/>
                    <w:shd w:val="clear" w:color="auto" w:fill="CCC0D9" w:themeFill="accent4" w:themeFillTint="66"/>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trike/>
                        <w:sz w:val="20"/>
                      </w:rPr>
                    </w:pPr>
                  </w:p>
                  <w:p>
                    <w:pPr>
                      <w:rPr>
                        <w:sz w:val="20"/>
                        <w:lang w:val="en-US"/>
                      </w:rPr>
                    </w:pPr>
                    <w:r>
                      <w:rPr>
                        <w:sz w:val="20"/>
                      </w:rPr>
                      <w:t>4 617,996</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963"/>
                </w:trPr>
                <w:tc>
                  <w:tcPr>
                    <w:tcW w:w="2410" w:type="dxa"/>
                    <w:vMerge w:val="restart"/>
                    <w:shd w:val="clear" w:color="auto" w:fill="auto"/>
                  </w:tcPr>
                  <w:p>
                    <w:pPr>
                      <w:rPr>
                        <w:sz w:val="20"/>
                      </w:rPr>
                    </w:pPr>
                    <w:r>
                      <w:rPr>
                        <w:sz w:val="20"/>
                      </w:rPr>
                      <w:t>10.1. Sveikatos žmogiškųjų išteklių valdymo efektyvumo didinimas,</w:t>
                    </w:r>
                    <w:r>
                      <w:t xml:space="preserve"> </w:t>
                    </w:r>
                    <w:r>
                      <w:rPr>
                        <w:sz w:val="20"/>
                      </w:rPr>
                      <w:t>Vidurio ir vakarų Lietuvos regionas</w:t>
                    </w:r>
                  </w:p>
                </w:tc>
                <w:tc>
                  <w:tcPr>
                    <w:tcW w:w="709" w:type="dxa"/>
                    <w:vMerge w:val="restart"/>
                    <w:shd w:val="clear" w:color="auto" w:fill="auto"/>
                  </w:tcPr>
                  <w:p>
                    <w:pPr>
                      <w:rPr>
                        <w:sz w:val="20"/>
                      </w:rPr>
                    </w:pPr>
                    <w:r>
                      <w:rPr>
                        <w:sz w:val="20"/>
                      </w:rPr>
                      <w:t>M</w:t>
                    </w:r>
                  </w:p>
                  <w:p>
                    <w:pPr>
                      <w:rPr>
                        <w:sz w:val="20"/>
                      </w:rPr>
                    </w:pPr>
                  </w:p>
                </w:tc>
                <w:tc>
                  <w:tcPr>
                    <w:tcW w:w="1559" w:type="dxa"/>
                    <w:vMerge w:val="restart"/>
                    <w:shd w:val="clear" w:color="auto" w:fill="auto"/>
                  </w:tcPr>
                  <w:p>
                    <w:pPr>
                      <w:rPr>
                        <w:sz w:val="20"/>
                      </w:rPr>
                    </w:pPr>
                    <w:r>
                      <w:rPr>
                        <w:sz w:val="20"/>
                      </w:rPr>
                      <w:t>SAM</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467,50</w:t>
                    </w:r>
                  </w:p>
                  <w:p>
                    <w:pPr>
                      <w:rPr>
                        <w:sz w:val="20"/>
                        <w:lang w:val="en-US"/>
                      </w:rPr>
                    </w:pPr>
                  </w:p>
                  <w:p>
                    <w:pPr>
                      <w:rPr>
                        <w:sz w:val="20"/>
                        <w:lang w:val="en-US"/>
                      </w:rPr>
                    </w:pPr>
                  </w:p>
                  <w:p>
                    <w:pPr>
                      <w:rPr>
                        <w:sz w:val="20"/>
                        <w:lang w:val="en-US"/>
                      </w:rPr>
                    </w:pPr>
                  </w:p>
                </w:tc>
                <w:tc>
                  <w:tcPr>
                    <w:tcW w:w="992" w:type="dxa"/>
                    <w:shd w:val="clear" w:color="auto" w:fill="auto"/>
                  </w:tcPr>
                  <w:p>
                    <w:pPr>
                      <w:rPr>
                        <w:sz w:val="20"/>
                      </w:rPr>
                    </w:pPr>
                    <w:r>
                      <w:rPr>
                        <w:sz w:val="20"/>
                      </w:rPr>
                      <w:t>2021–2027 m. IP (ESF+)</w:t>
                    </w:r>
                  </w:p>
                  <w:p>
                    <w:pPr>
                      <w:rPr>
                        <w:sz w:val="20"/>
                      </w:rPr>
                    </w:pPr>
                  </w:p>
                </w:tc>
                <w:tc>
                  <w:tcPr>
                    <w:tcW w:w="2551" w:type="dxa"/>
                    <w:vMerge w:val="restart"/>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sz w:val="20"/>
                      </w:rPr>
                    </w:pPr>
                  </w:p>
                </w:tc>
              </w:tr>
              <w:tr>
                <w:trPr>
                  <w:trHeight w:val="329"/>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p>
                  <w:p>
                    <w:pPr>
                      <w:rPr>
                        <w:sz w:val="20"/>
                        <w:lang w:val="en-US"/>
                      </w:rPr>
                    </w:pPr>
                    <w:r>
                      <w:rPr>
                        <w:sz w:val="20"/>
                        <w:lang w:val="en-US"/>
                      </w:rPr>
                      <w:t>82,50</w:t>
                    </w:r>
                  </w:p>
                </w:tc>
                <w:tc>
                  <w:tcPr>
                    <w:tcW w:w="992" w:type="dxa"/>
                    <w:vMerge w:val="restart"/>
                    <w:shd w:val="clear" w:color="auto" w:fill="auto"/>
                  </w:tcPr>
                  <w:p>
                    <w:pPr>
                      <w:rPr>
                        <w:sz w:val="20"/>
                      </w:rPr>
                    </w:pPr>
                    <w:r>
                      <w:rPr>
                        <w:sz w:val="20"/>
                      </w:rPr>
                      <w:t xml:space="preserve">2021–2027 m.  IP (BF)</w:t>
                    </w:r>
                  </w:p>
                  <w:p>
                    <w:pPr>
                      <w:rPr>
                        <w:sz w:val="20"/>
                      </w:rPr>
                    </w:pPr>
                  </w:p>
                </w:tc>
                <w:tc>
                  <w:tcPr>
                    <w:tcW w:w="2551" w:type="dxa"/>
                    <w:vMerge/>
                    <w:shd w:val="clear" w:color="auto" w:fill="auto"/>
                  </w:tcPr>
                  <w:p>
                    <w:pPr>
                      <w:ind w:left="-57" w:right="-57"/>
                      <w:jc w:val="both"/>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987"/>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Parengta ir patvirtinta ilgalaikė sveikatos žmogiškųjų išteklių valdymo strategija, vnt.</w:t>
                    </w:r>
                  </w:p>
                </w:tc>
                <w:tc>
                  <w:tcPr>
                    <w:tcW w:w="851" w:type="dxa"/>
                    <w:shd w:val="clear" w:color="auto" w:fill="auto"/>
                  </w:tcPr>
                  <w:p>
                    <w:pPr>
                      <w:jc w:val="center"/>
                      <w:rPr>
                        <w:sz w:val="20"/>
                      </w:rPr>
                    </w:pPr>
                    <w:r>
                      <w:rPr>
                        <w:sz w:val="20"/>
                      </w:rPr>
                      <w:t>1</w:t>
                    </w:r>
                  </w:p>
                  <w:p>
                    <w:pPr>
                      <w:ind w:left="-57" w:right="-57" w:firstLine="53"/>
                      <w:jc w:val="center"/>
                      <w:rPr>
                        <w:sz w:val="20"/>
                      </w:rPr>
                    </w:pPr>
                    <w:r>
                      <w:rPr>
                        <w:sz w:val="20"/>
                      </w:rPr>
                      <w:t>(2026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618"/>
                </w:trPr>
                <w:tc>
                  <w:tcPr>
                    <w:tcW w:w="2410" w:type="dxa"/>
                    <w:vMerge w:val="restart"/>
                    <w:tcBorders>
                      <w:bottom w:val="single" w:sz="4" w:space="0" w:color="auto"/>
                    </w:tcBorders>
                    <w:shd w:val="clear" w:color="auto" w:fill="auto"/>
                  </w:tcPr>
                  <w:p>
                    <w:pPr>
                      <w:rPr>
                        <w:sz w:val="20"/>
                      </w:rPr>
                    </w:pPr>
                    <w:r>
                      <w:rPr>
                        <w:sz w:val="20"/>
                      </w:rPr>
                      <w:t>10.2. Sveikatos priežiūros specialistų įgalinimo, pritraukimo ir išlaikymo sveikatos priežiūros įstaigoje modelio kūrimas ir diegimas, Vidurio ir vakarų Lietuvos regionas</w:t>
                    </w:r>
                  </w:p>
                </w:tc>
                <w:tc>
                  <w:tcPr>
                    <w:tcW w:w="709" w:type="dxa"/>
                    <w:vMerge w:val="restart"/>
                    <w:tcBorders>
                      <w:bottom w:val="single" w:sz="4" w:space="0" w:color="auto"/>
                    </w:tcBorders>
                    <w:shd w:val="clear" w:color="auto" w:fill="auto"/>
                  </w:tcPr>
                  <w:p>
                    <w:pPr>
                      <w:rPr>
                        <w:sz w:val="20"/>
                      </w:rPr>
                    </w:pPr>
                    <w:r>
                      <w:rPr>
                        <w:sz w:val="20"/>
                      </w:rPr>
                      <w:t>I</w:t>
                    </w:r>
                  </w:p>
                </w:tc>
                <w:tc>
                  <w:tcPr>
                    <w:tcW w:w="1559" w:type="dxa"/>
                    <w:vMerge w:val="restart"/>
                    <w:tcBorders>
                      <w:bottom w:val="single" w:sz="4" w:space="0" w:color="auto"/>
                    </w:tcBorders>
                    <w:shd w:val="clear" w:color="auto" w:fill="auto"/>
                  </w:tcPr>
                  <w:p>
                    <w:pPr>
                      <w:rPr>
                        <w:sz w:val="20"/>
                      </w:rPr>
                    </w:pPr>
                    <w:r>
                      <w:rPr>
                        <w:sz w:val="20"/>
                      </w:rPr>
                      <w:t>SAM</w:t>
                    </w:r>
                  </w:p>
                </w:tc>
                <w:tc>
                  <w:tcPr>
                    <w:tcW w:w="709" w:type="dxa"/>
                    <w:vMerge w:val="restart"/>
                    <w:tcBorders>
                      <w:bottom w:val="single" w:sz="4" w:space="0" w:color="auto"/>
                    </w:tcBorders>
                    <w:shd w:val="clear" w:color="auto" w:fill="auto"/>
                  </w:tcPr>
                  <w:p>
                    <w:pPr>
                      <w:rPr>
                        <w:sz w:val="20"/>
                      </w:rPr>
                    </w:pPr>
                    <w:r>
                      <w:rPr>
                        <w:sz w:val="20"/>
                      </w:rPr>
                      <w:t>P</w:t>
                    </w:r>
                  </w:p>
                </w:tc>
                <w:tc>
                  <w:tcPr>
                    <w:tcW w:w="992" w:type="dxa"/>
                    <w:vMerge w:val="restart"/>
                    <w:tcBorders>
                      <w:bottom w:val="single" w:sz="4" w:space="0" w:color="auto"/>
                    </w:tcBorders>
                    <w:shd w:val="clear" w:color="auto" w:fill="auto"/>
                  </w:tcPr>
                  <w:p>
                    <w:pPr>
                      <w:rPr>
                        <w:sz w:val="20"/>
                      </w:rPr>
                    </w:pPr>
                    <w:r>
                      <w:rPr>
                        <w:sz w:val="20"/>
                      </w:rPr>
                      <w:t>Taip</w:t>
                    </w:r>
                  </w:p>
                </w:tc>
                <w:tc>
                  <w:tcPr>
                    <w:tcW w:w="709" w:type="dxa"/>
                    <w:vMerge w:val="restart"/>
                    <w:tcBorders>
                      <w:bottom w:val="single" w:sz="4" w:space="0" w:color="auto"/>
                    </w:tcBorders>
                    <w:shd w:val="clear" w:color="auto" w:fill="auto"/>
                  </w:tcPr>
                  <w:p>
                    <w:pPr>
                      <w:rPr>
                        <w:sz w:val="20"/>
                      </w:rPr>
                    </w:pPr>
                    <w:r>
                      <w:rPr>
                        <w:sz w:val="20"/>
                      </w:rPr>
                      <w:t>D</w:t>
                    </w:r>
                  </w:p>
                </w:tc>
                <w:tc>
                  <w:tcPr>
                    <w:tcW w:w="1276" w:type="dxa"/>
                    <w:vMerge w:val="restart"/>
                    <w:tcBorders>
                      <w:bottom w:val="single" w:sz="4" w:space="0" w:color="auto"/>
                    </w:tcBorders>
                    <w:shd w:val="clear" w:color="auto" w:fill="auto"/>
                  </w:tcPr>
                  <w:p>
                    <w:pPr>
                      <w:rPr>
                        <w:sz w:val="20"/>
                        <w:lang w:val="en-US"/>
                      </w:rPr>
                    </w:pPr>
                    <w:r>
                      <w:rPr>
                        <w:sz w:val="20"/>
                        <w:lang w:val="en-US"/>
                      </w:rPr>
                      <w:t xml:space="preserve">1 880,455 </w:t>
                    </w: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r>
                      <w:rPr>
                        <w:sz w:val="20"/>
                        <w:lang w:val="en-US"/>
                      </w:rPr>
                      <w:t>331,845</w:t>
                    </w:r>
                  </w:p>
                  <w:p>
                    <w:pPr>
                      <w:rPr>
                        <w:sz w:val="20"/>
                        <w:lang w:val="en-US"/>
                      </w:rPr>
                    </w:pPr>
                  </w:p>
                  <w:p>
                    <w:pPr>
                      <w:rPr>
                        <w:sz w:val="20"/>
                        <w:lang w:val="en-US"/>
                      </w:rPr>
                    </w:pPr>
                  </w:p>
                </w:tc>
                <w:tc>
                  <w:tcPr>
                    <w:tcW w:w="992" w:type="dxa"/>
                    <w:vMerge w:val="restart"/>
                    <w:tcBorders>
                      <w:bottom w:val="single" w:sz="4" w:space="0" w:color="auto"/>
                    </w:tcBorders>
                    <w:shd w:val="clear" w:color="auto" w:fill="auto"/>
                  </w:tcPr>
                  <w:p>
                    <w:pPr>
                      <w:rPr>
                        <w:sz w:val="20"/>
                      </w:rPr>
                    </w:pPr>
                    <w:r>
                      <w:rPr>
                        <w:sz w:val="20"/>
                      </w:rPr>
                      <w:t xml:space="preserve">2021–2027 m. IP (ESF+) </w:t>
                    </w:r>
                  </w:p>
                  <w:p>
                    <w:pPr>
                      <w:rPr>
                        <w:sz w:val="20"/>
                      </w:rPr>
                    </w:pPr>
                  </w:p>
                  <w:p>
                    <w:pPr>
                      <w:rPr>
                        <w:sz w:val="20"/>
                      </w:rPr>
                    </w:pPr>
                  </w:p>
                  <w:p>
                    <w:pPr>
                      <w:rPr>
                        <w:sz w:val="20"/>
                      </w:rPr>
                    </w:pPr>
                  </w:p>
                  <w:p>
                    <w:pPr>
                      <w:rPr>
                        <w:sz w:val="20"/>
                      </w:rPr>
                    </w:pPr>
                    <w:r>
                      <w:rPr>
                        <w:sz w:val="20"/>
                      </w:rPr>
                      <w:t>2021–2027 m. IP (BF)</w:t>
                    </w:r>
                  </w:p>
                  <w:p>
                    <w:pPr>
                      <w:rPr>
                        <w:sz w:val="20"/>
                      </w:rPr>
                    </w:pPr>
                  </w:p>
                  <w:p>
                    <w:pPr>
                      <w:rPr>
                        <w:sz w:val="20"/>
                      </w:rPr>
                    </w:pPr>
                  </w:p>
                </w:tc>
                <w:tc>
                  <w:tcPr>
                    <w:tcW w:w="2551" w:type="dxa"/>
                    <w:tcBorders>
                      <w:bottom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p>
                    <w:pPr>
                      <w:ind w:left="-57" w:right="-57"/>
                      <w:rPr>
                        <w:sz w:val="20"/>
                      </w:rPr>
                    </w:pPr>
                  </w:p>
                </w:tc>
                <w:tc>
                  <w:tcPr>
                    <w:tcW w:w="851" w:type="dxa"/>
                    <w:shd w:val="clear" w:color="auto" w:fill="auto"/>
                  </w:tcPr>
                  <w:p>
                    <w:pPr>
                      <w:tabs>
                        <w:tab w:val="left" w:pos="184"/>
                        <w:tab w:val="center" w:pos="317"/>
                      </w:tabs>
                      <w:ind w:left="-57" w:right="-57"/>
                      <w:jc w:val="center"/>
                      <w:rPr>
                        <w:sz w:val="20"/>
                      </w:rPr>
                    </w:pPr>
                    <w:r>
                      <w:rPr>
                        <w:sz w:val="20"/>
                      </w:rPr>
                      <w:t>I</w:t>
                    </w:r>
                  </w:p>
                  <w:p>
                    <w:pPr>
                      <w:tabs>
                        <w:tab w:val="left" w:pos="184"/>
                        <w:tab w:val="center" w:pos="317"/>
                      </w:tabs>
                      <w:ind w:left="-57" w:right="-57"/>
                      <w:jc w:val="center"/>
                      <w:rPr>
                        <w:sz w:val="20"/>
                      </w:rPr>
                    </w:pPr>
                    <w:r>
                      <w:rPr>
                        <w:sz w:val="20"/>
                      </w:rPr>
                      <w:t>(2029 m.)</w:t>
                    </w: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tc>
                <w:tc>
                  <w:tcPr>
                    <w:tcW w:w="992" w:type="dxa"/>
                    <w:vMerge w:val="restart"/>
                    <w:tcBorders>
                      <w:bottom w:val="single" w:sz="4" w:space="0" w:color="auto"/>
                    </w:tcBorders>
                    <w:shd w:val="clear" w:color="auto" w:fill="auto"/>
                  </w:tcPr>
                  <w:p>
                    <w:pPr>
                      <w:rPr>
                        <w:sz w:val="20"/>
                      </w:rPr>
                    </w:pPr>
                    <w:r>
                      <w:rPr>
                        <w:sz w:val="20"/>
                      </w:rPr>
                      <w:t>CPVA</w:t>
                    </w:r>
                  </w:p>
                  <w:p>
                    <w:pPr>
                      <w:rPr>
                        <w:sz w:val="20"/>
                      </w:rPr>
                    </w:pPr>
                  </w:p>
                </w:tc>
                <w:tc>
                  <w:tcPr>
                    <w:tcW w:w="1276" w:type="dxa"/>
                    <w:vMerge w:val="restart"/>
                    <w:tcBorders>
                      <w:left w:val="single" w:sz="4" w:space="0" w:color="auto"/>
                      <w:bottom w:val="single" w:sz="4" w:space="0" w:color="auto"/>
                      <w:right w:val="single" w:sz="4" w:space="0" w:color="auto"/>
                    </w:tcBorders>
                    <w:shd w:val="clear" w:color="auto" w:fill="auto"/>
                  </w:tcPr>
                  <w:p>
                    <w:pPr>
                      <w:jc w:val="center"/>
                      <w:rPr>
                        <w:sz w:val="20"/>
                      </w:rPr>
                    </w:pPr>
                    <w:r>
                      <w:rPr>
                        <w:sz w:val="20"/>
                      </w:rPr>
                      <w:t>SAM</w:t>
                    </w:r>
                  </w:p>
                </w:tc>
              </w:tr>
              <w:tr>
                <w:trPr>
                  <w:trHeight w:val="1486"/>
                </w:trPr>
                <w:tc>
                  <w:tcPr>
                    <w:tcW w:w="2410"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559"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992"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276" w:type="dxa"/>
                    <w:vMerge/>
                    <w:tcBorders>
                      <w:bottom w:val="single" w:sz="4" w:space="0" w:color="auto"/>
                    </w:tcBorders>
                    <w:shd w:val="clear" w:color="auto" w:fill="auto"/>
                  </w:tcPr>
                  <w:p>
                    <w:pPr>
                      <w:rPr>
                        <w:sz w:val="20"/>
                        <w:lang w:val="en-US"/>
                      </w:rPr>
                    </w:pPr>
                  </w:p>
                </w:tc>
                <w:tc>
                  <w:tcPr>
                    <w:tcW w:w="992" w:type="dxa"/>
                    <w:vMerge/>
                    <w:tcBorders>
                      <w:bottom w:val="single" w:sz="4" w:space="0" w:color="auto"/>
                    </w:tcBorders>
                    <w:shd w:val="clear" w:color="auto" w:fill="auto"/>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shd w:val="clear" w:color="auto" w:fill="auto"/>
                  </w:tcPr>
                  <w:p>
                    <w:pPr>
                      <w:ind w:left="-57" w:right="-57"/>
                      <w:jc w:val="center"/>
                      <w:rPr>
                        <w:sz w:val="20"/>
                      </w:rPr>
                    </w:pPr>
                    <w:r>
                      <w:rPr>
                        <w:sz w:val="20"/>
                      </w:rPr>
                      <w:t>6</w:t>
                    </w:r>
                  </w:p>
                  <w:p>
                    <w:pPr>
                      <w:ind w:left="-57" w:right="-57"/>
                      <w:jc w:val="center"/>
                      <w:rPr>
                        <w:sz w:val="20"/>
                      </w:rPr>
                    </w:pPr>
                    <w:r>
                      <w:rPr>
                        <w:sz w:val="20"/>
                      </w:rPr>
                      <w:t>(2029 m.)</w:t>
                    </w:r>
                  </w:p>
                </w:tc>
                <w:tc>
                  <w:tcPr>
                    <w:tcW w:w="992" w:type="dxa"/>
                    <w:vMerge/>
                    <w:tcBorders>
                      <w:bottom w:val="single" w:sz="4" w:space="0" w:color="auto"/>
                    </w:tcBorders>
                    <w:shd w:val="clear" w:color="auto" w:fill="auto"/>
                  </w:tcPr>
                  <w:p>
                    <w:pPr>
                      <w:rPr>
                        <w:sz w:val="20"/>
                      </w:rPr>
                    </w:pPr>
                  </w:p>
                </w:tc>
                <w:tc>
                  <w:tcPr>
                    <w:tcW w:w="1276" w:type="dxa"/>
                    <w:vMerge/>
                    <w:tcBorders>
                      <w:left w:val="single" w:sz="4" w:space="0" w:color="auto"/>
                      <w:bottom w:val="single" w:sz="4" w:space="0" w:color="auto"/>
                      <w:right w:val="single" w:sz="4" w:space="0" w:color="auto"/>
                    </w:tcBorders>
                    <w:shd w:val="clear" w:color="auto" w:fill="auto"/>
                  </w:tcPr>
                  <w:p>
                    <w:pPr>
                      <w:jc w:val="center"/>
                      <w:rPr>
                        <w:sz w:val="20"/>
                      </w:rPr>
                    </w:pPr>
                  </w:p>
                </w:tc>
              </w:tr>
              <w:tr>
                <w:trPr>
                  <w:trHeight w:val="1306"/>
                </w:trPr>
                <w:tc>
                  <w:tcPr>
                    <w:tcW w:w="2410"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vMerge/>
                    <w:shd w:val="clear" w:color="auto" w:fill="CCC0D9" w:themeFill="accent4" w:themeFillTint="66"/>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tcPr>
                  <w:p>
                    <w:pPr>
                      <w:jc w:val="center"/>
                      <w:rPr>
                        <w:sz w:val="20"/>
                      </w:rPr>
                    </w:pPr>
                  </w:p>
                </w:tc>
              </w:tr>
              <w:tr>
                <w:trPr>
                  <w:trHeight w:val="946"/>
                </w:trPr>
                <w:tc>
                  <w:tcPr>
                    <w:tcW w:w="2410" w:type="dxa"/>
                    <w:vMerge w:val="restart"/>
                    <w:shd w:val="clear" w:color="auto" w:fill="auto"/>
                  </w:tcPr>
                  <w:p>
                    <w:pPr>
                      <w:rPr>
                        <w:iCs/>
                        <w:color w:val="000000"/>
                        <w:sz w:val="20"/>
                      </w:rPr>
                    </w:pPr>
                    <w:r>
                      <w:rPr>
                        <w:iCs/>
                        <w:color w:val="000000"/>
                        <w:sz w:val="20"/>
                      </w:rPr>
                      <w:t>10.3. Sveikatos priežiūros specialistų rengimas, pritraukimas,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trike/>
                        <w:color w:val="000000"/>
                        <w:sz w:val="20"/>
                      </w:rPr>
                    </w:pPr>
                    <w:r>
                      <w:rPr>
                        <w:color w:val="000000"/>
                        <w:sz w:val="20"/>
                      </w:rPr>
                      <w:t>Savivaldybių administracijos</w:t>
                    </w:r>
                    <w:r>
                      <w:rPr>
                        <w:strike/>
                        <w:color w:val="000000"/>
                        <w:sz w:val="20"/>
                      </w:rPr>
                      <w:t xml:space="preserve"> </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19 543,151</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Asmenys, dalyvavę kvalifikacijos įgijimo veiklose, asmenys </w:t>
                    </w:r>
                  </w:p>
                </w:tc>
                <w:tc>
                  <w:tcPr>
                    <w:tcW w:w="851" w:type="dxa"/>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240</w:t>
                    </w:r>
                  </w:p>
                  <w:p>
                    <w:pPr>
                      <w:jc w:val="center"/>
                      <w:rPr>
                        <w:color w:val="000000"/>
                        <w:sz w:val="20"/>
                      </w:rPr>
                    </w:pPr>
                    <w:r>
                      <w:rPr>
                        <w:color w:val="000000"/>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sz w:val="20"/>
                      </w:rPr>
                    </w:pPr>
                    <w:r>
                      <w:rPr>
                        <w:sz w:val="20"/>
                      </w:rPr>
                      <w:t>SAM</w:t>
                    </w:r>
                  </w:p>
                </w:tc>
              </w:tr>
              <w:tr>
                <w:trPr>
                  <w:trHeight w:val="34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3 448,791</w:t>
                    </w:r>
                  </w:p>
                  <w:p>
                    <w:pPr>
                      <w:rPr>
                        <w:color w:val="000000"/>
                        <w:sz w:val="20"/>
                        <w:lang w:val="en-US"/>
                      </w:rPr>
                    </w:pPr>
                  </w:p>
                </w:tc>
                <w:tc>
                  <w:tcPr>
                    <w:tcW w:w="992"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 xml:space="preserve">R – Asmenų, kurie po dalyvavimo veiklose įgijo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p>
                    <w:pPr>
                      <w:jc w:val="center"/>
                      <w:rPr>
                        <w:color w:val="000000"/>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10</w:t>
                    </w:r>
                  </w:p>
                  <w:p>
                    <w:pPr>
                      <w:jc w:val="center"/>
                      <w:rPr>
                        <w:color w:val="000000"/>
                        <w:sz w:val="20"/>
                      </w:rPr>
                    </w:pPr>
                    <w:r>
                      <w:rPr>
                        <w:color w:val="000000"/>
                        <w:sz w:val="20"/>
                      </w:rPr>
                      <w:t>(2029 m.)</w:t>
                    </w:r>
                  </w:p>
                  <w:p>
                    <w:pPr>
                      <w:jc w:val="center"/>
                      <w:rPr>
                        <w:color w:val="00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Sveikatos priežiūros įstaigos, įgyvendinusios sveikatos priežiūros specialistų įgalinimo, pritraukimo ir išlaikymo projektus,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lang w:val="en-US"/>
                      </w:rPr>
                    </w:pPr>
                    <w:r>
                      <w:rPr>
                        <w:color w:val="000000"/>
                        <w:sz w:val="20"/>
                      </w:rPr>
                      <w:t>98</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Sveikatos priežiūros specialistų, kurie po dalyvavimo veiklose mažiausiai 2 metus dirbo sveikatos priežiūros įstaigose, dalis, proc.</w:t>
                      <w:tab/>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824"/>
                </w:trPr>
                <w:tc>
                  <w:tcPr>
                    <w:tcW w:w="2410" w:type="dxa"/>
                    <w:vMerge w:val="restart"/>
                    <w:tcBorders>
                      <w:top w:val="single" w:sz="4" w:space="0" w:color="auto"/>
                      <w:left w:val="single" w:sz="4" w:space="0" w:color="auto"/>
                      <w:right w:val="single" w:sz="4" w:space="0" w:color="auto"/>
                    </w:tcBorders>
                  </w:tcPr>
                  <w:p>
                    <w:pPr>
                      <w:rPr>
                        <w:iCs/>
                        <w:color w:val="000000"/>
                        <w:sz w:val="20"/>
                      </w:rPr>
                    </w:pPr>
                    <w:r>
                      <w:rPr>
                        <w:iCs/>
                        <w:color w:val="000000"/>
                        <w:sz w:val="20"/>
                      </w:rPr>
                      <w:t>10.4. Sveikatos priežiūros specialistų rengimas, pritraukimas, Vidurio ir vakarų Lietuvos regionas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 VASPVT</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4 277,540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Specialistai, dalyvavę kvalifikacijos tobulinimo ar perkvalifikavimo veiklose, asmenys </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500</w:t>
                    </w:r>
                  </w:p>
                  <w:p>
                    <w:pPr>
                      <w:jc w:val="center"/>
                      <w:rPr>
                        <w:color w:val="000000"/>
                        <w:sz w:val="20"/>
                      </w:rPr>
                    </w:pPr>
                    <w:r>
                      <w:rPr>
                        <w:color w:val="000000"/>
                        <w:sz w:val="20"/>
                      </w:rPr>
                      <w:t>(2029 m.)</w:t>
                    </w:r>
                  </w:p>
                  <w:p>
                    <w:pPr>
                      <w:jc w:val="center"/>
                      <w:rPr>
                        <w:color w:val="000000"/>
                        <w:sz w:val="20"/>
                      </w:rPr>
                    </w:pP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32"/>
                </w:trPr>
                <w:tc>
                  <w:tcPr>
                    <w:tcW w:w="2410" w:type="dxa"/>
                    <w:vMerge/>
                    <w:tcBorders>
                      <w:left w:val="single" w:sz="4" w:space="0" w:color="auto"/>
                      <w:right w:val="single" w:sz="4" w:space="0" w:color="auto"/>
                    </w:tcBorders>
                  </w:tcPr>
                  <w:p>
                    <w:pPr>
                      <w:rPr>
                        <w:iCs/>
                        <w:color w:val="000000"/>
                        <w:sz w:val="20"/>
                      </w:rPr>
                    </w:pPr>
                  </w:p>
                </w:tc>
                <w:tc>
                  <w:tcPr>
                    <w:tcW w:w="709" w:type="dxa"/>
                    <w:vMerge/>
                    <w:tcBorders>
                      <w:left w:val="single" w:sz="4" w:space="0" w:color="auto"/>
                      <w:right w:val="single" w:sz="4" w:space="0" w:color="auto"/>
                    </w:tcBorders>
                  </w:tcPr>
                  <w:p>
                    <w:pPr>
                      <w:rPr>
                        <w:color w:val="000000"/>
                        <w:sz w:val="20"/>
                      </w:rPr>
                    </w:pPr>
                  </w:p>
                </w:tc>
                <w:tc>
                  <w:tcPr>
                    <w:tcW w:w="1559"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992"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754,860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tcBorders>
                      <w:left w:val="single" w:sz="4" w:space="0" w:color="auto"/>
                      <w:right w:val="single" w:sz="4" w:space="0" w:color="auto"/>
                    </w:tcBorders>
                  </w:tcPr>
                  <w:p>
                    <w:pPr>
                      <w:rPr>
                        <w:color w:val="000000"/>
                        <w:szCs w:val="24"/>
                      </w:rPr>
                    </w:pPr>
                  </w:p>
                </w:tc>
                <w:tc>
                  <w:tcPr>
                    <w:tcW w:w="1276" w:type="dxa"/>
                    <w:vMerge/>
                    <w:tcBorders>
                      <w:left w:val="single" w:sz="4" w:space="0" w:color="auto"/>
                      <w:right w:val="single" w:sz="4" w:space="0" w:color="auto"/>
                    </w:tcBorders>
                  </w:tcPr>
                  <w:p>
                    <w:pPr>
                      <w:rPr>
                        <w:color w:val="000000"/>
                        <w:szCs w:val="24"/>
                      </w:rPr>
                    </w:pPr>
                  </w:p>
                </w:tc>
              </w:tr>
              <w:tr>
                <w:trPr>
                  <w:trHeight w:val="414"/>
                </w:trPr>
                <w:tc>
                  <w:tcPr>
                    <w:tcW w:w="2410" w:type="dxa"/>
                    <w:vMerge w:val="restart"/>
                    <w:shd w:val="clear" w:color="auto" w:fill="F2F2F2" w:themeFill="background1" w:themeFillShade="F2"/>
                  </w:tcPr>
                  <w:p>
                    <w:pPr>
                      <w:rPr>
                        <w:sz w:val="20"/>
                      </w:rPr>
                    </w:pPr>
                    <w:r>
                      <w:rPr>
                        <w:b/>
                        <w:sz w:val="20"/>
                      </w:rPr>
                      <w:t>11. Specialistų kvalifikacijos tobulinimas ir perkvalifikavimas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lang w:val="en-US"/>
                      </w:rPr>
                      <w:t>18 303,358</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9 148,854</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1 614,504</w:t>
                    </w:r>
                  </w:p>
                </w:tc>
                <w:tc>
                  <w:tcPr>
                    <w:tcW w:w="992" w:type="dxa"/>
                    <w:shd w:val="clear" w:color="auto" w:fill="F2F2F2" w:themeFill="background1" w:themeFillShade="F2"/>
                  </w:tcPr>
                  <w:p>
                    <w:pPr>
                      <w:rPr>
                        <w:sz w:val="20"/>
                        <w:lang w:val="it-IT"/>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2 100</w:t>
                    </w:r>
                  </w:p>
                </w:tc>
                <w:tc>
                  <w:tcPr>
                    <w:tcW w:w="992" w:type="dxa"/>
                    <w:shd w:val="clear" w:color="auto" w:fill="F2F2F2" w:themeFill="background1" w:themeFillShade="F2"/>
                  </w:tcPr>
                  <w:p>
                    <w:pPr>
                      <w:rPr>
                        <w:sz w:val="20"/>
                      </w:rPr>
                    </w:pPr>
                    <w:r>
                      <w:rPr>
                        <w:sz w:val="20"/>
                      </w:rPr>
                      <w:t>EGADP</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440</w:t>
                    </w:r>
                  </w:p>
                </w:tc>
                <w:tc>
                  <w:tcPr>
                    <w:tcW w:w="992" w:type="dxa"/>
                    <w:shd w:val="clear" w:color="auto" w:fill="F2F2F2" w:themeFill="background1" w:themeFillShade="F2"/>
                  </w:tcPr>
                  <w:p>
                    <w:pPr>
                      <w:rPr>
                        <w:sz w:val="20"/>
                      </w:rPr>
                    </w:pPr>
                    <w:r>
                      <w:rPr>
                        <w:sz w:val="20"/>
                      </w:rPr>
                      <w:t>PVM iš 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5 000</w:t>
                    </w:r>
                  </w:p>
                </w:tc>
                <w:tc>
                  <w:tcPr>
                    <w:tcW w:w="992" w:type="dxa"/>
                    <w:shd w:val="clear" w:color="auto" w:fill="F2F2F2" w:themeFill="background1" w:themeFillShade="F2"/>
                  </w:tcPr>
                  <w:p>
                    <w:pPr>
                      <w:rPr>
                        <w:sz w:val="20"/>
                      </w:rPr>
                    </w:pPr>
                    <w:r>
                      <w:rPr>
                        <w:sz w:val="20"/>
                      </w:rPr>
                      <w:t>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1198"/>
                </w:trPr>
                <w:tc>
                  <w:tcPr>
                    <w:tcW w:w="2410" w:type="dxa"/>
                    <w:shd w:val="clear" w:color="auto" w:fill="auto"/>
                  </w:tcPr>
                  <w:p>
                    <w:pPr>
                      <w:rPr>
                        <w:sz w:val="20"/>
                      </w:rPr>
                    </w:pPr>
                    <w:r>
                      <w:rPr>
                        <w:sz w:val="20"/>
                      </w:rPr>
                      <w:t xml:space="preserve">11.1. Sveikatos priežiūros  specialistų kvalifikaciją ir darbo sąlygas tobulinančių teisės aktų rengimas</w:t>
                    </w:r>
                  </w:p>
                </w:tc>
                <w:tc>
                  <w:tcPr>
                    <w:tcW w:w="709" w:type="dxa"/>
                    <w:shd w:val="clear" w:color="auto" w:fill="auto"/>
                  </w:tcPr>
                  <w:p>
                    <w:pPr>
                      <w:rPr>
                        <w:sz w:val="20"/>
                      </w:rPr>
                    </w:pPr>
                    <w:r>
                      <w:rPr>
                        <w:sz w:val="20"/>
                      </w:rPr>
                      <w:t>R</w:t>
                    </w:r>
                  </w:p>
                </w:tc>
                <w:tc>
                  <w:tcPr>
                    <w:tcW w:w="1559" w:type="dxa"/>
                    <w:shd w:val="clear" w:color="auto" w:fill="auto"/>
                  </w:tcPr>
                  <w:p>
                    <w:pPr>
                      <w:rPr>
                        <w:sz w:val="20"/>
                      </w:rPr>
                    </w:pPr>
                    <w:r>
                      <w:rPr>
                        <w:sz w:val="20"/>
                      </w:rPr>
                      <w:t>-</w:t>
                    </w:r>
                  </w:p>
                </w:tc>
                <w:tc>
                  <w:tcPr>
                    <w:tcW w:w="709" w:type="dxa"/>
                    <w:shd w:val="clear" w:color="auto" w:fill="auto"/>
                  </w:tcPr>
                  <w:p>
                    <w:pPr>
                      <w:rPr>
                        <w:sz w:val="20"/>
                      </w:rPr>
                    </w:pPr>
                    <w:r>
                      <w:rPr>
                        <w:sz w:val="20"/>
                      </w:rPr>
                      <w:t>-</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w:t>
                    </w:r>
                  </w:p>
                </w:tc>
                <w:tc>
                  <w:tcPr>
                    <w:tcW w:w="1276" w:type="dxa"/>
                    <w:shd w:val="clear" w:color="auto" w:fill="auto"/>
                  </w:tcPr>
                  <w:p>
                    <w:pPr>
                      <w:rPr>
                        <w:sz w:val="20"/>
                        <w:lang w:val="en-US"/>
                      </w:rPr>
                    </w:pPr>
                    <w:r>
                      <w:rPr>
                        <w:sz w:val="20"/>
                        <w:lang w:val="en-US"/>
                      </w:rPr>
                      <w:t>-</w:t>
                    </w:r>
                  </w:p>
                </w:tc>
                <w:tc>
                  <w:tcPr>
                    <w:tcW w:w="992" w:type="dxa"/>
                    <w:shd w:val="clear" w:color="auto" w:fill="auto"/>
                  </w:tcPr>
                  <w:p>
                    <w:pPr>
                      <w:rPr>
                        <w:sz w:val="20"/>
                      </w:rPr>
                    </w:pPr>
                    <w:r>
                      <w:rPr>
                        <w:sz w:val="20"/>
                      </w:rPr>
                      <w:t>-</w:t>
                    </w:r>
                  </w:p>
                </w:tc>
                <w:tc>
                  <w:tcPr>
                    <w:tcW w:w="2551"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410" w:type="dxa"/>
                    <w:vMerge w:val="restart"/>
                    <w:shd w:val="clear" w:color="auto" w:fill="auto"/>
                  </w:tcPr>
                  <w:p>
                    <w:pPr>
                      <w:rPr>
                        <w:sz w:val="20"/>
                      </w:rPr>
                    </w:pPr>
                    <w:r>
                      <w:rPr>
                        <w:sz w:val="20"/>
                      </w:rPr>
                      <w:t xml:space="preserve">11.2. Sveikatos priežiūros  specialistų kvalifikacijos tobulinimas,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9 148,854</w:t>
                    </w:r>
                  </w:p>
                </w:tc>
                <w:tc>
                  <w:tcPr>
                    <w:tcW w:w="992" w:type="dxa"/>
                    <w:shd w:val="clear" w:color="auto" w:fill="auto"/>
                  </w:tcPr>
                  <w:p>
                    <w:pPr>
                      <w:rPr>
                        <w:sz w:val="20"/>
                      </w:rPr>
                    </w:pPr>
                    <w:r>
                      <w:rPr>
                        <w:sz w:val="20"/>
                      </w:rPr>
                      <w:t xml:space="preserve">2021–2027 m. IP (ESF+) </w:t>
                    </w:r>
                  </w:p>
                </w:tc>
                <w:tc>
                  <w:tcPr>
                    <w:tcW w:w="2551" w:type="dxa"/>
                    <w:vMerge w:val="restart"/>
                    <w:shd w:val="clear" w:color="auto" w:fill="auto"/>
                  </w:tcPr>
                  <w:p>
                    <w:pPr>
                      <w:ind w:right="-57"/>
                      <w:rPr>
                        <w:sz w:val="20"/>
                      </w:rPr>
                    </w:pPr>
                    <w:r>
                      <w:rPr>
                        <w:sz w:val="20"/>
                      </w:rPr>
                      <w:t>P – Specialistai, dalyvavę kvalifikacijos tobulinimo ar perkvalifikavimo veiklose, asmenys</w:t>
                    </w:r>
                  </w:p>
                </w:tc>
                <w:tc>
                  <w:tcPr>
                    <w:tcW w:w="851" w:type="dxa"/>
                    <w:vMerge w:val="restart"/>
                    <w:shd w:val="clear" w:color="auto" w:fill="auto"/>
                  </w:tcPr>
                  <w:p>
                    <w:pPr>
                      <w:ind w:left="-57" w:right="-57"/>
                      <w:jc w:val="center"/>
                      <w:rPr>
                        <w:sz w:val="20"/>
                        <w:lang w:val="en-US"/>
                      </w:rPr>
                    </w:pPr>
                    <w:r>
                      <w:rPr>
                        <w:sz w:val="20"/>
                      </w:rPr>
                      <w:t>27 600</w:t>
                    </w:r>
                  </w:p>
                  <w:p>
                    <w:pPr>
                      <w:ind w:left="-57" w:right="-57"/>
                      <w:jc w:val="center"/>
                      <w:rPr>
                        <w:sz w:val="20"/>
                      </w:rPr>
                    </w:pPr>
                    <w:r>
                      <w:rPr>
                        <w:sz w:val="20"/>
                      </w:rPr>
                      <w:t>(2029 m.)</w:t>
                    </w:r>
                  </w:p>
                  <w:p>
                    <w:pP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230"/>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1 614,504</w:t>
                    </w:r>
                  </w:p>
                </w:tc>
                <w:tc>
                  <w:tcPr>
                    <w:tcW w:w="992" w:type="dxa"/>
                    <w:vMerge w:val="restart"/>
                    <w:shd w:val="clear" w:color="auto" w:fill="auto"/>
                  </w:tcPr>
                  <w:p>
                    <w:pPr>
                      <w:rPr>
                        <w:sz w:val="20"/>
                      </w:rPr>
                    </w:pPr>
                    <w:r>
                      <w:rPr>
                        <w:sz w:val="20"/>
                      </w:rPr>
                      <w:t>2021–2027 m. IP (BF)</w:t>
                    </w:r>
                  </w:p>
                  <w:p>
                    <w:pPr>
                      <w:rPr>
                        <w:sz w:val="20"/>
                      </w:rPr>
                    </w:pPr>
                  </w:p>
                </w:tc>
                <w:tc>
                  <w:tcPr>
                    <w:tcW w:w="2551" w:type="dxa"/>
                    <w:vMerge/>
                    <w:shd w:val="clear" w:color="auto" w:fill="auto"/>
                  </w:tcPr>
                  <w:p>
                    <w:pPr>
                      <w:ind w:right="-57"/>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833"/>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414"/>
                </w:trPr>
                <w:tc>
                  <w:tcPr>
                    <w:tcW w:w="2410" w:type="dxa"/>
                    <w:shd w:val="clear" w:color="auto" w:fill="auto"/>
                  </w:tcPr>
                  <w:p>
                    <w:pPr>
                      <w:rPr>
                        <w:sz w:val="20"/>
                      </w:rPr>
                    </w:pPr>
                    <w:r>
                      <w:rPr>
                        <w:sz w:val="20"/>
                      </w:rPr>
                      <w:t>11.3. Sveikatos priežiūros specialistų kvalifikacijos tobulinimas</w:t>
                    </w:r>
                  </w:p>
                </w:tc>
                <w:tc>
                  <w:tcPr>
                    <w:tcW w:w="709" w:type="dxa"/>
                    <w:shd w:val="clear" w:color="auto" w:fill="auto"/>
                  </w:tcPr>
                  <w:p>
                    <w:pPr>
                      <w:rPr>
                        <w:sz w:val="20"/>
                      </w:rPr>
                    </w:pPr>
                    <w:r>
                      <w:rPr>
                        <w:sz w:val="20"/>
                      </w:rPr>
                      <w:t>I</w:t>
                    </w:r>
                  </w:p>
                </w:tc>
                <w:tc>
                  <w:tcPr>
                    <w:tcW w:w="1559" w:type="dxa"/>
                    <w:shd w:val="clear" w:color="auto" w:fill="auto"/>
                  </w:tcPr>
                  <w:p>
                    <w:pPr>
                      <w:rPr>
                        <w:sz w:val="20"/>
                      </w:rPr>
                    </w:pPr>
                    <w:r>
                      <w:rPr>
                        <w:sz w:val="20"/>
                      </w:rPr>
                      <w:t>SAM</w:t>
                    </w:r>
                  </w:p>
                </w:tc>
                <w:tc>
                  <w:tcPr>
                    <w:tcW w:w="709" w:type="dxa"/>
                    <w:shd w:val="clear" w:color="auto" w:fill="auto"/>
                  </w:tcPr>
                  <w:p>
                    <w:pPr>
                      <w:rPr>
                        <w:sz w:val="20"/>
                      </w:rPr>
                    </w:pPr>
                    <w:r>
                      <w:rPr>
                        <w:sz w:val="20"/>
                      </w:rPr>
                      <w:t>P</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5 000</w:t>
                    </w:r>
                  </w:p>
                  <w:p>
                    <w:pPr>
                      <w:rPr>
                        <w:sz w:val="20"/>
                        <w:lang w:val="en-US"/>
                      </w:rPr>
                    </w:pPr>
                  </w:p>
                </w:tc>
                <w:tc>
                  <w:tcPr>
                    <w:tcW w:w="992" w:type="dxa"/>
                    <w:shd w:val="clear" w:color="auto" w:fill="auto"/>
                  </w:tcPr>
                  <w:p>
                    <w:pPr>
                      <w:ind w:left="-57" w:right="-57"/>
                      <w:rPr>
                        <w:sz w:val="20"/>
                      </w:rPr>
                    </w:pPr>
                    <w:r>
                      <w:rPr>
                        <w:sz w:val="20"/>
                      </w:rPr>
                      <w:t>VB</w:t>
                    </w:r>
                  </w:p>
                </w:tc>
                <w:tc>
                  <w:tcPr>
                    <w:tcW w:w="2551" w:type="dxa"/>
                    <w:shd w:val="clear" w:color="auto" w:fill="auto"/>
                  </w:tcPr>
                  <w:p>
                    <w:pPr>
                      <w:ind w:left="-57" w:right="-57"/>
                      <w:rPr>
                        <w:sz w:val="20"/>
                      </w:rPr>
                    </w:pPr>
                    <w:r>
                      <w:rPr>
                        <w:sz w:val="20"/>
                      </w:rPr>
                      <w:t>P – Specialistai, dalyvavę kvalifikacijos tobulinimo veiklose, asmenys</w:t>
                    </w:r>
                  </w:p>
                </w:tc>
                <w:tc>
                  <w:tcPr>
                    <w:tcW w:w="851" w:type="dxa"/>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val="restart"/>
                    <w:shd w:val="clear" w:color="auto" w:fill="auto"/>
                  </w:tcPr>
                  <w:p>
                    <w:pPr>
                      <w:rPr>
                        <w:sz w:val="20"/>
                      </w:rPr>
                    </w:pPr>
                    <w:r>
                      <w:rPr>
                        <w:sz w:val="20"/>
                      </w:rPr>
                      <w:t>11.4. Ilgalaikės priežiūros paslaugas teikiančių specialistų parengimas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2 100</w:t>
                    </w:r>
                  </w:p>
                  <w:p>
                    <w:pPr>
                      <w:rPr>
                        <w:sz w:val="20"/>
                        <w:lang w:val="en-US"/>
                      </w:rPr>
                    </w:pPr>
                  </w:p>
                </w:tc>
                <w:tc>
                  <w:tcPr>
                    <w:tcW w:w="992" w:type="dxa"/>
                    <w:shd w:val="clear" w:color="auto" w:fill="auto"/>
                  </w:tcPr>
                  <w:p>
                    <w:pPr>
                      <w:ind w:left="-57" w:right="-57"/>
                      <w:rPr>
                        <w:sz w:val="20"/>
                      </w:rPr>
                    </w:pPr>
                    <w:r>
                      <w:rPr>
                        <w:sz w:val="20"/>
                      </w:rPr>
                      <w:t>EGADP</w:t>
                    </w:r>
                  </w:p>
                  <w:p>
                    <w:pPr>
                      <w:ind w:left="-57" w:right="-57"/>
                      <w:rPr>
                        <w:sz w:val="20"/>
                      </w:rPr>
                    </w:pPr>
                  </w:p>
                </w:tc>
                <w:tc>
                  <w:tcPr>
                    <w:tcW w:w="2551"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851" w:type="dxa"/>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lang w:val="en-US"/>
                      </w:rPr>
                    </w:pPr>
                    <w:r>
                      <w:rPr>
                        <w:sz w:val="20"/>
                        <w:lang w:val="en-US"/>
                      </w:rPr>
                      <w:t>440</w:t>
                    </w:r>
                  </w:p>
                </w:tc>
                <w:tc>
                  <w:tcPr>
                    <w:tcW w:w="992" w:type="dxa"/>
                    <w:shd w:val="clear" w:color="auto" w:fill="auto"/>
                  </w:tcPr>
                  <w:p>
                    <w:pPr>
                      <w:rPr>
                        <w:sz w:val="20"/>
                      </w:rPr>
                    </w:pPr>
                    <w:r>
                      <w:rPr>
                        <w:sz w:val="20"/>
                      </w:rPr>
                      <w:t>PVM iš VB</w:t>
                    </w:r>
                  </w:p>
                </w:tc>
                <w:tc>
                  <w:tcPr>
                    <w:tcW w:w="2551" w:type="dxa"/>
                    <w:vMerge/>
                    <w:tcBorders>
                      <w:bottom w:val="single" w:sz="4" w:space="0" w:color="auto"/>
                    </w:tcBorders>
                    <w:shd w:val="clear" w:color="auto" w:fill="FFFFFF" w:themeFill="background1"/>
                  </w:tcPr>
                  <w:p>
                    <w:pPr>
                      <w:ind w:left="-57" w:right="-57"/>
                      <w:rPr>
                        <w:sz w:val="20"/>
                      </w:rPr>
                    </w:pPr>
                  </w:p>
                </w:tc>
                <w:tc>
                  <w:tcPr>
                    <w:tcW w:w="851" w:type="dxa"/>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b/>
                        <w:bCs/>
                        <w:sz w:val="20"/>
                      </w:rPr>
                    </w:pPr>
                    <w:r>
                      <w:rPr>
                        <w:b/>
                        <w:bCs/>
                        <w:sz w:val="20"/>
                      </w:rPr>
                      <w:t>12. ASPĮ tinklo optimizavimo reformos valdymas ir komunikacija</w:t>
                    </w:r>
                  </w:p>
                </w:tc>
                <w:tc>
                  <w:tcPr>
                    <w:tcW w:w="709" w:type="dxa"/>
                    <w:vMerge w:val="restart"/>
                    <w:shd w:val="clear" w:color="auto" w:fill="F2F2F2" w:themeFill="background1" w:themeFillShade="F2"/>
                  </w:tcPr>
                  <w:p>
                    <w:pPr>
                      <w:rPr>
                        <w:sz w:val="20"/>
                      </w:rPr>
                    </w:pPr>
                    <w:r>
                      <w:rPr>
                        <w:sz w:val="20"/>
                      </w:rPr>
                      <w:t>M</w:t>
                    </w:r>
                  </w:p>
                </w:tc>
                <w:tc>
                  <w:tcPr>
                    <w:tcW w:w="1559" w:type="dxa"/>
                    <w:vMerge w:val="restart"/>
                    <w:shd w:val="clear" w:color="auto" w:fill="F2F2F2" w:themeFill="background1" w:themeFillShade="F2"/>
                  </w:tcPr>
                  <w:p>
                    <w:pPr>
                      <w:rPr>
                        <w:sz w:val="20"/>
                      </w:rPr>
                    </w:pPr>
                    <w:r>
                      <w:rPr>
                        <w:sz w:val="20"/>
                      </w:rPr>
                      <w:t>SAM</w:t>
                    </w:r>
                  </w:p>
                </w:tc>
                <w:tc>
                  <w:tcPr>
                    <w:tcW w:w="709" w:type="dxa"/>
                    <w:vMerge w:val="restart"/>
                    <w:shd w:val="clear" w:color="auto" w:fill="F2F2F2" w:themeFill="background1" w:themeFillShade="F2"/>
                  </w:tcPr>
                  <w:p>
                    <w:pPr>
                      <w:rPr>
                        <w:sz w:val="20"/>
                      </w:rPr>
                    </w:pPr>
                    <w:r>
                      <w:rPr>
                        <w:sz w:val="20"/>
                      </w:rPr>
                      <w:t>P</w:t>
                    </w:r>
                  </w:p>
                </w:tc>
                <w:tc>
                  <w:tcPr>
                    <w:tcW w:w="992" w:type="dxa"/>
                    <w:vMerge w:val="restart"/>
                    <w:shd w:val="clear" w:color="auto" w:fill="F2F2F2" w:themeFill="background1" w:themeFillShade="F2"/>
                  </w:tcPr>
                  <w:p>
                    <w:pPr>
                      <w:rPr>
                        <w:sz w:val="20"/>
                      </w:rPr>
                    </w:pPr>
                    <w:r>
                      <w:rPr>
                        <w:sz w:val="20"/>
                      </w:rPr>
                      <w:t>Taip</w:t>
                    </w:r>
                  </w:p>
                </w:tc>
                <w:tc>
                  <w:tcPr>
                    <w:tcW w:w="709" w:type="dxa"/>
                    <w:vMerge w:val="restart"/>
                    <w:shd w:val="clear" w:color="auto" w:fill="F2F2F2" w:themeFill="background1" w:themeFillShade="F2"/>
                  </w:tcPr>
                  <w:p>
                    <w:pPr>
                      <w:rPr>
                        <w:sz w:val="20"/>
                      </w:rPr>
                    </w:pPr>
                    <w:r>
                      <w:rPr>
                        <w:sz w:val="20"/>
                      </w:rPr>
                      <w:t>D</w:t>
                    </w:r>
                  </w:p>
                </w:tc>
                <w:tc>
                  <w:tcPr>
                    <w:tcW w:w="1276" w:type="dxa"/>
                    <w:vMerge w:val="restart"/>
                    <w:shd w:val="clear" w:color="auto" w:fill="F2F2F2" w:themeFill="background1" w:themeFillShade="F2"/>
                  </w:tcPr>
                  <w:p>
                    <w:pPr>
                      <w:rPr>
                        <w:b/>
                        <w:bCs/>
                        <w:sz w:val="20"/>
                        <w:lang w:val="en-US"/>
                      </w:rPr>
                    </w:pPr>
                    <w:r>
                      <w:rPr>
                        <w:b/>
                        <w:bCs/>
                        <w:sz w:val="20"/>
                        <w:lang w:val="en-US"/>
                      </w:rPr>
                      <w:t>1750</w:t>
                    </w:r>
                  </w:p>
                </w:tc>
                <w:tc>
                  <w:tcPr>
                    <w:tcW w:w="992" w:type="dxa"/>
                    <w:vMerge w:val="restart"/>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851" w:type="dxa"/>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vMerge/>
                    <w:shd w:val="clear" w:color="auto" w:fill="F2F2F2" w:themeFill="background1" w:themeFillShade="F2"/>
                  </w:tcPr>
                  <w:p>
                    <w:pPr>
                      <w:rPr>
                        <w:b/>
                        <w:bCs/>
                        <w:sz w:val="20"/>
                        <w:lang w:val="en-US"/>
                      </w:rPr>
                    </w:pPr>
                  </w:p>
                </w:tc>
                <w:tc>
                  <w:tcPr>
                    <w:tcW w:w="992" w:type="dxa"/>
                    <w:vMerge/>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851" w:type="dxa"/>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410" w:type="dxa"/>
                    <w:vMerge w:val="restart"/>
                    <w:shd w:val="clear" w:color="auto" w:fill="auto"/>
                  </w:tcPr>
                  <w:p>
                    <w:pPr>
                      <w:rPr>
                        <w:sz w:val="20"/>
                      </w:rPr>
                    </w:pPr>
                    <w:r>
                      <w:rPr>
                        <w:b/>
                        <w:bCs/>
                        <w:sz w:val="20"/>
                      </w:rPr>
                      <w:t>13. Programos „Motinos ir vaiko sveikata bei gerovė“ įgyvendinimas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Lietuvos sveikatos mokslų universiteto ligoninė Kauno klinikos</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Ne</w:t>
                    </w:r>
                  </w:p>
                </w:tc>
                <w:tc>
                  <w:tcPr>
                    <w:tcW w:w="709" w:type="dxa"/>
                    <w:vMerge w:val="restart"/>
                    <w:shd w:val="clear" w:color="auto" w:fill="auto"/>
                  </w:tcPr>
                  <w:p>
                    <w:pPr>
                      <w:jc w:val="center"/>
                      <w:rPr>
                        <w:sz w:val="20"/>
                      </w:rPr>
                    </w:pPr>
                    <w:r>
                      <w:rPr>
                        <w:sz w:val="20"/>
                      </w:rPr>
                      <w:t>D</w:t>
                    </w:r>
                  </w:p>
                </w:tc>
                <w:tc>
                  <w:tcPr>
                    <w:tcW w:w="1276" w:type="dxa"/>
                    <w:tcBorders>
                      <w:bottom w:val="single" w:sz="4" w:space="0" w:color="auto"/>
                    </w:tcBorders>
                    <w:shd w:val="clear" w:color="auto" w:fill="auto"/>
                  </w:tcPr>
                  <w:p>
                    <w:pPr>
                      <w:rPr>
                        <w:b/>
                        <w:bCs/>
                        <w:sz w:val="20"/>
                      </w:rPr>
                    </w:pPr>
                    <w:r>
                      <w:rPr>
                        <w:b/>
                        <w:bCs/>
                        <w:sz w:val="20"/>
                      </w:rPr>
                      <w:t>34 219,646</w:t>
                    </w:r>
                  </w:p>
                </w:tc>
                <w:tc>
                  <w:tcPr>
                    <w:tcW w:w="992" w:type="dxa"/>
                    <w:tcBorders>
                      <w:bottom w:val="single" w:sz="4" w:space="0" w:color="auto"/>
                    </w:tcBorders>
                    <w:shd w:val="clear" w:color="auto" w:fill="auto"/>
                  </w:tcPr>
                  <w:p>
                    <w:pPr>
                      <w:rPr>
                        <w:sz w:val="20"/>
                      </w:rPr>
                    </w:pPr>
                    <w:r>
                      <w:rPr>
                        <w:sz w:val="20"/>
                      </w:rPr>
                      <w:t>-</w:t>
                    </w:r>
                  </w:p>
                </w:tc>
                <w:tc>
                  <w:tcPr>
                    <w:tcW w:w="2551" w:type="dxa"/>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6"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shd w:val="clear" w:color="auto" w:fill="auto"/>
                  </w:tcPr>
                  <w:p>
                    <w:pPr>
                      <w:rPr>
                        <w:sz w:val="20"/>
                      </w:rPr>
                    </w:pPr>
                    <w:r>
                      <w:rPr>
                        <w:sz w:val="20"/>
                      </w:rPr>
                      <w:t>29 086,699</w:t>
                    </w:r>
                  </w:p>
                </w:tc>
                <w:tc>
                  <w:tcPr>
                    <w:tcW w:w="992" w:type="dxa"/>
                    <w:shd w:val="clear" w:color="auto" w:fill="auto"/>
                  </w:tcPr>
                  <w:p>
                    <w:pPr>
                      <w:rPr>
                        <w:sz w:val="20"/>
                      </w:rPr>
                    </w:pPr>
                    <w:r>
                      <w:rPr>
                        <w:sz w:val="20"/>
                      </w:rPr>
                      <w:t>AŠĮFP</w:t>
                    </w:r>
                  </w:p>
                </w:tc>
                <w:tc>
                  <w:tcPr>
                    <w:tcW w:w="2551" w:type="dxa"/>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851" w:type="dxa"/>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val="restart"/>
                    <w:shd w:val="clear" w:color="auto" w:fill="auto"/>
                  </w:tcPr>
                  <w:p>
                    <w:pPr>
                      <w:rPr>
                        <w:sz w:val="20"/>
                      </w:rPr>
                    </w:pPr>
                    <w:r>
                      <w:rPr>
                        <w:sz w:val="20"/>
                      </w:rPr>
                      <w:t>5 132,947</w:t>
                    </w:r>
                  </w:p>
                </w:tc>
                <w:tc>
                  <w:tcPr>
                    <w:tcW w:w="992" w:type="dxa"/>
                    <w:vMerge w:val="restart"/>
                    <w:shd w:val="clear" w:color="auto" w:fill="auto"/>
                  </w:tcPr>
                  <w:p>
                    <w:pPr>
                      <w:rPr>
                        <w:sz w:val="20"/>
                      </w:rPr>
                    </w:pPr>
                    <w:r>
                      <w:rPr>
                        <w:sz w:val="20"/>
                      </w:rPr>
                      <w:t>AŠĮFP</w:t>
                    </w:r>
                  </w:p>
                  <w:p>
                    <w:pPr>
                      <w:rPr>
                        <w:sz w:val="20"/>
                      </w:rPr>
                    </w:pPr>
                    <w:r>
                      <w:rPr>
                        <w:sz w:val="20"/>
                      </w:rPr>
                      <w:t>(BF)</w:t>
                    </w:r>
                  </w:p>
                </w:tc>
                <w:tc>
                  <w:tcPr>
                    <w:tcW w:w="2551" w:type="dxa"/>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851" w:type="dxa"/>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851" w:type="dxa"/>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851" w:type="dxa"/>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Sukurti paslaugų teikimo metodikos ir organizacinių procesų aprašai, vnt.</w:t>
                    </w:r>
                  </w:p>
                </w:tc>
                <w:tc>
                  <w:tcPr>
                    <w:tcW w:w="851" w:type="dxa"/>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851" w:type="dxa"/>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e74d06f3d11efa9a4c2046a78b308">
                <w:r w:rsidRPr="00532B9F">
                  <w:rPr>
                    <w:rFonts w:ascii="Times New Roman" w:eastAsia="MS Mincho" w:hAnsi="Times New Roman"/>
                    <w:sz w:val="20"/>
                    <w:i/>
                    <w:iCs/>
                    <w:color w:val="0000FF" w:themeColor="hyperlink"/>
                    <w:u w:val="single"/>
                  </w:rPr>
                  <w:t>V-888</w:t>
                </w:r>
              </w:fldSimple>
              <w:r>
                <w:rPr>
                  <w:rFonts w:ascii="Times New Roman" w:eastAsia="MS Mincho" w:hAnsi="Times New Roman"/>
                  <w:sz w:val="20"/>
                  <w:i/>
                  <w:iCs/>
                </w:rPr>
                <w:t>,
2024-09-10,
paskelbta TAR 2024-09-10, i. k. 2024-15910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pabaiga"/>
            <w:tag w:val="part_409a53616be741a5b39ea703920f091a"/>
            <w:lock w:val="sdtLocked"/>
            <w:richText/>
          </w:sdtPr>
          <w:sdtContent>
            <w:p>
              <w:pPr>
                <w:jc w:val="center"/>
              </w:pPr>
              <w:r>
                <w:rPr>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(V-572)</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(V-572)</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(V-678)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p4</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(V-843)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(V-1081)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(V-572)</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(V-572)</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(V-884)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
          <w:pPr>
            <w:pStyle w:val="PlainText"/>
            <w:rPr>
              <w:rFonts w:ascii="Times New Roman" w:eastAsia="MS Mincho" w:hAnsi="Times New Roman"/>
              <w:sz w:val="20"/>
              <w:iCs/>
            </w:rPr>
          </w:pPr>
          <w:r>
            <w:rPr>
              <w:rFonts w:ascii="Times New Roman" w:eastAsia="MS Mincho" w:hAnsi="Times New Roman"/>
              <w:sz w:val="20"/>
              <w:iCs/>
            </w:rPr>
            <w:t>Priedas Nr. 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75"/>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249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4929"/>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header" Target="header6.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79.png"/>
  <Relationship Id="rId18" Type="http://schemas.openxmlformats.org/officeDocument/2006/relationships/oleObject" Target="embeddings/oleObject79.bin"/>
  <Relationship Id="rId19" Type="http://schemas.openxmlformats.org/officeDocument/2006/relationships/header" Target="header31.xml"/>
  <Relationship Id="rId2" Type="http://schemas.openxmlformats.org/officeDocument/2006/relationships/customXml" Target="../customXml/item2.xml"/>
  <Relationship Id="rId20" Type="http://schemas.openxmlformats.org/officeDocument/2006/relationships/header" Target="header32.xml"/>
  <Relationship Id="rId21" Type="http://schemas.openxmlformats.org/officeDocument/2006/relationships/footer" Target="footer31.xml"/>
  <Relationship Id="rId22" Type="http://schemas.openxmlformats.org/officeDocument/2006/relationships/footer" Target="footer32.xml"/>
  <Relationship Id="rId23" Type="http://schemas.openxmlformats.org/officeDocument/2006/relationships/header" Target="header33.xml"/>
  <Relationship Id="rId24" Type="http://schemas.openxmlformats.org/officeDocument/2006/relationships/footer" Target="footer33.xml"/>
  <Relationship Id="rId25" Type="http://schemas.openxmlformats.org/officeDocument/2006/relationships/header" Target="header52.xml"/>
  <Relationship Id="rId26" Type="http://schemas.openxmlformats.org/officeDocument/2006/relationships/header" Target="header53.xml"/>
  <Relationship Id="rId27" Type="http://schemas.openxmlformats.org/officeDocument/2006/relationships/footer" Target="footer52.xml"/>
  <Relationship Id="rId28" Type="http://schemas.openxmlformats.org/officeDocument/2006/relationships/footer" Target="footer53.xml"/>
  <Relationship Id="rId29" Type="http://schemas.openxmlformats.org/officeDocument/2006/relationships/header" Target="header54.xml"/>
  <Relationship Id="rId3" Type="http://schemas.openxmlformats.org/officeDocument/2006/relationships/customXml" Target="../customXml/item3.xml"/>
  <Relationship Id="rId30" Type="http://schemas.openxmlformats.org/officeDocument/2006/relationships/footer" Target="footer54.xml"/>
  <Relationship Id="rId31" Type="http://schemas.openxmlformats.org/officeDocument/2006/relationships/customXml" Target="../customXml/item4.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er" Target="footer4.xml"/>
  <Relationship Id="rId7" Type="http://schemas.openxmlformats.org/officeDocument/2006/relationships/footer" Target="footer5.xml"/>
  <Relationship Id="rId8" Type="http://schemas.openxmlformats.org/officeDocument/2006/relationships/footer" Target="footer6.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8c1caabe0df49e198502b4b17034264" PartId="8151a97030aa41f0a1cfeaef410d84a9">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b30ab63848c54765864e9b4d7813cc3a">
    <Part Type="skyrius" Nr="1" Title="PLĖTROS PROGRAMOS PAŽANGOS PRIEMONĖS SIEKIAMI REZULTATAI" DocPartId="e80e9b157a5a4ed1972c3b4a13590405" PartId="3cd88d542e3c4ac994befb62ec5e09b1"/>
    <Part Type="skyrius" Nr="II" Title="PLĖTROS PROGRAMOS PAŽANGOS PRIEMONĖS FINANSAVIMO ŠALTINIAI" DocPartId="fdb43120fd5945b0b28f372d3638606d" PartId="1106cf607dad4a3e9b69a66cb720f4d0"/>
    <Part Type="skyrius" Nr="3" Title="PLĖTROS PROGRAMOS PAŽANGOS PRIEMONĖS VEIKLŲ SUVESTINĖ" DocPartId="1bddb33c08254707be163cb39811516b" PartId="800071dc9d68401a95f36aeac88fa10f"/>
    <Part Type="pabaiga" DocPartId="0439090d9a81489fa451252c8b318e94" PartId="409a53616be741a5b39ea703920f091a"/>
  </Part>
</Parts>
</file>

<file path=customXml/itemProps1.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4.xml><?xml version="1.0" encoding="utf-8"?>
<ds:datastoreItem xmlns:ds="http://schemas.openxmlformats.org/officeDocument/2006/customXml" ds:itemID="{6FF1F5F8-48D3-4F66-96F9-BD1984CB27C0}">
  <ds:schemaRefs>
    <ds:schemaRef ds:uri="http://lrs.lt/TAIS/DocParts"/>
  </ds:schemaRefs>
</ds:datastoreItem>
</file>

<file path=docProps/app.xml><?xml version="1.0" encoding="utf-8"?>
<Properties xmlns="http://schemas.openxmlformats.org/officeDocument/2006/extended-properties">
  <Template>Normal.dotm</Template>
  <TotalTime>83</TotalTime>
  <Pages>58</Pages>
  <Words>13998</Words>
  <Characters>89972</Characters>
  <Application>Microsoft Office Word</Application>
  <DocSecurity>0</DocSecurity>
  <Lines>749</Lines>
  <Paragraphs>207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103763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ŠAULYTĖ SKAIRIENĖ Dalia</lastModifiedBy>
  <lastPrinted>2001-05-09T09:40:00Z</lastPrinted>
  <dcterms:modified xsi:type="dcterms:W3CDTF">2024-11-18T07:32:00Z</dcterms:modified>
  <revision>67</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