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84b1efba064331a80e9c9fe52aa463"/>
        <w:lock w:val="sdtLocked"/>
        <w:richText/>
      </w:sdtPr>
      <w:sdtContent>
        <w:p>
          <w:pPr>
            <w:jc w:val="both"/>
            <w:rPr>
              <w:rFonts w:ascii="Times New Roman" w:hAnsi="Times New Roman"/>
            </w:rPr>
          </w:pPr>
          <w:r>
            <w:rPr>
              <w:rFonts w:ascii="Times New Roman" w:hAnsi="Times New Roman"/>
              <w:b/>
              <w:i/>
            </w:rPr>
            <w:t>Suvestinė redakcija nuo 2025-07-22 iki 2025-10-03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4.4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0789763510bd46f8a68943d293cb1fc6"/>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0789763510bd46f8a68943d293cb1fc6"/>
                  <w:lock w:val="sdtLocked"/>
                  <w:richText/>
                </w:sdtPr>
                <w:sdtContent>
                  <w:r>
                    <w:rPr>
                      <w:b/>
                      <w:bCs/>
                    </w:rPr>
                    <w:t>III</w:t>
                  </w:r>
                </w:sdtContent>
              </w:sdt>
              <w:r>
                <w:rPr>
                  <w:b/>
                  <w:bCs/>
                </w:rPr>
                <w:t xml:space="preserve"> SKYRIUS</w:t>
              </w:r>
            </w:p>
            <w:p>
              <w:pPr>
                <w:jc w:val="center"/>
                <w:rPr>
                  <w:b/>
                  <w:bCs/>
                </w:rPr>
              </w:pPr>
              <w:sdt>
                <w:sdtPr>
                  <w:alias w:val="Pavadinimas"/>
                  <w:tag w:val="title_0789763510bd46f8a68943d293cb1fc6"/>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79"/>
                </w:trPr>
                <w:tc>
                  <w:tcPr>
                    <w:tcW w:w="2410"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
                        <w:bCs/>
                        <w:sz w:val="20"/>
                      </w:rPr>
                    </w:pPr>
                    <w:r>
                      <w:rPr>
                        <w:b/>
                        <w:bCs/>
                        <w:sz w:val="20"/>
                      </w:rPr>
                      <w:t>2. Pasirengimo grėsmėms stiprinimas: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tcPr>
                  <w:p>
                    <w:pPr>
                      <w:jc w:val="center"/>
                      <w:rPr>
                        <w:color w:val="000000"/>
                        <w:sz w:val="20"/>
                      </w:rPr>
                    </w:pPr>
                    <w:r>
                      <w:rPr>
                        <w:color w:val="000000"/>
                        <w:sz w:val="20"/>
                      </w:rPr>
                      <w:t>276 377,588</w:t>
                    </w:r>
                  </w:p>
                  <w:p>
                    <w:pPr>
                      <w:jc w:val="center"/>
                      <w:rPr>
                        <w:color w:val="000000"/>
                        <w:sz w:val="20"/>
                      </w:rPr>
                    </w:pP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trike/>
                        <w:sz w:val="20"/>
                      </w:rPr>
                    </w:pPr>
                    <w:r>
                      <w:rPr>
                        <w:color w:val="000000"/>
                        <w:sz w:val="20"/>
                      </w:rPr>
                      <w:t>158 683,999</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tcPr>
                  <w:p>
                    <w:pPr>
                      <w:jc w:val="center"/>
                      <w:rPr>
                        <w:color w:val="000000"/>
                        <w:sz w:val="20"/>
                      </w:rPr>
                    </w:pPr>
                    <w:r>
                      <w:rPr>
                        <w:color w:val="000000"/>
                        <w:sz w:val="20"/>
                      </w:rPr>
                      <w:t>33 322,741</w:t>
                    </w:r>
                  </w:p>
                  <w:p>
                    <w:pPr>
                      <w:ind w:left="-57" w:right="-57"/>
                      <w:jc w:val="center"/>
                      <w:rPr>
                        <w:strike/>
                        <w:sz w:val="20"/>
                      </w:rPr>
                    </w:pP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2021–2027 m. IP (ERPF, Sostinės regionas)</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2021–2027 m. IP (BF, Sostinės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p>
                    <w:pPr>
                      <w:ind w:left="-57" w:right="-57"/>
                      <w:jc w:val="center"/>
                      <w:rPr>
                        <w:sz w:val="20"/>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8 340,359</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(ESF+,</w:t>
                    </w:r>
                  </w:p>
                  <w:p>
                    <w:pPr>
                      <w:ind w:left="-57" w:right="-57"/>
                      <w:jc w:val="center"/>
                      <w:rPr>
                        <w:sz w:val="20"/>
                      </w:rPr>
                    </w:pPr>
                    <w:r>
                      <w:rPr>
                        <w:sz w:val="20"/>
                      </w:rPr>
                      <w:t>VVL regionas)</w:t>
                    </w:r>
                  </w:p>
                  <w:p>
                    <w:pPr>
                      <w:ind w:left="-57" w:right="-57"/>
                      <w:jc w:val="center"/>
                      <w:rPr>
                        <w:sz w:val="20"/>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R – Specialistų, kurie po dalyvavimo veiklose įgijo ar patobulino kvalifikaciją, dalis proc.</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1 471,829</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riežiūros įstaigų infrastruktūros modernizavimas</w:t>
                    </w:r>
                  </w:p>
                </w:tc>
                <w:tc>
                  <w:tcPr>
                    <w:tcW w:w="70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70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sz w:val="20"/>
                      </w:rPr>
                      <w:t>34 530,49</w:t>
                    </w:r>
                    <w:r>
                      <w:rPr>
                        <w:sz w:val="20"/>
                        <w:lang w:val="en-US"/>
                      </w:rPr>
                      <w:t>0</w:t>
                    </w:r>
                  </w:p>
                </w:tc>
                <w:tc>
                  <w:tcPr>
                    <w:tcW w:w="992"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551"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7 251,403</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5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2.7. Medicinos darbuotojų paruošimas operatyviai ir koordinuotai teikti asmens sveikatos priežiūros paslaugas sužalotiems kariams ir civiliams</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8 340,359</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4 920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85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1 471,829</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5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2.7.1. Medicinos darbuotojų (pirminės sveikatos priežiūros) paruošimas operatyviai ir koordinuotai teikti asmens sveikatos priežiūros paslaugas sužalotiems kariams ir civiliams </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SAM</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1 616,463</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1 090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85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285,259</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5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2.7.2. Medicinos darbuotojų (specializuotos sveikatos priežiūros) paruošimas operatyviai ir koordinuotai teikti asmens sveikatos priežiūros paslaugas sužalotiems kariams ir civiliams</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SAM</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6 723,896</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3 830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b/>
                        <w:bCs/>
                        <w:color w:val="000000"/>
                        <w:sz w:val="20"/>
                      </w:rPr>
                    </w:pPr>
                  </w:p>
                </w:tc>
              </w:tr>
              <w:tr>
                <w:trPr>
                  <w:trHeight w:val="85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1 186,570</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p>
                    <w:pPr>
                      <w:jc w:val="center"/>
                      <w:rPr>
                        <w:sz w:val="20"/>
                      </w:rPr>
                    </w:pPr>
                    <w:r>
                      <w:rPr>
                        <w:sz w:val="20"/>
                      </w:rPr>
                      <w:t>95 373,260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p>
                    <w:pPr>
                      <w:jc w:val="center"/>
                      <w:rPr>
                        <w:sz w:val="20"/>
                      </w:rPr>
                    </w:pPr>
                    <w:r>
                      <w:rPr>
                        <w:sz w:val="20"/>
                      </w:rPr>
                      <w:t>78 816,001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3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highlight w:val="yellow"/>
                      </w:rPr>
                    </w:pPr>
                  </w:p>
                  <w:p>
                    <w:pPr>
                      <w:jc w:val="center"/>
                      <w:rPr>
                        <w:sz w:val="20"/>
                      </w:rPr>
                    </w:pPr>
                    <w:r>
                      <w:rPr>
                        <w:sz w:val="20"/>
                      </w:rPr>
                      <w:t>16 557,259</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551"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551" w:type="dxa"/>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410" w:type="dxa"/>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76 412,839</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16 252,404</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70</w:t>
                    </w:r>
                  </w:p>
                  <w:p>
                    <w:pPr>
                      <w:ind w:left="-57" w:right="-57"/>
                      <w:jc w:val="center"/>
                      <w:rPr>
                        <w:sz w:val="20"/>
                      </w:rPr>
                    </w:pPr>
                    <w:r>
                      <w:rPr>
                        <w:sz w:val="20"/>
                      </w:rPr>
                      <w:t>(2025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iCs/>
                        <w:sz w:val="20"/>
                      </w:rPr>
                    </w:pPr>
                    <w:r>
                      <w:rPr>
                        <w:b/>
                        <w:bCs/>
                        <w:iCs/>
                        <w:sz w:val="20"/>
                      </w:rPr>
                      <w:t>6. Bazinių sveikatos priežiūros paslaugų užtikrinimas: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189 480,681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16 079,260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16 079,260 </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95 490,258 </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trike/>
                        <w:sz w:val="20"/>
                      </w:rPr>
                    </w:pPr>
                    <w:r>
                      <w:rPr>
                        <w:sz w:val="20"/>
                      </w:rPr>
                      <w:t>31 433,580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22 398,323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rPr>
                      <w:t>3 544,845</w:t>
                    </w: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rPr>
                      <w:t>625, 561</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b/>
                        <w:bCs/>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left w:val="single" w:sz="4" w:space="0" w:color="auto"/>
                    </w:tcBorders>
                    <w:shd w:val="clear" w:color="auto" w:fill="F2F2F2" w:themeFill="background1" w:themeFillShade="F2"/>
                  </w:tcPr>
                  <w:p>
                    <w:pPr>
                      <w:rPr>
                        <w:b/>
                        <w:bCs/>
                        <w:sz w:val="20"/>
                      </w:rPr>
                    </w:pPr>
                  </w:p>
                </w:tc>
                <w:tc>
                  <w:tcPr>
                    <w:tcW w:w="992" w:type="dxa"/>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851" w:type="dxa"/>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b/>
                        <w:bCs/>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left w:val="single" w:sz="4" w:space="0" w:color="auto"/>
                    </w:tcBorders>
                    <w:shd w:val="clear" w:color="auto" w:fill="F2F2F2" w:themeFill="background1" w:themeFillShade="F2"/>
                  </w:tcPr>
                  <w:p>
                    <w:pPr>
                      <w:rPr>
                        <w:b/>
                        <w:bCs/>
                        <w:sz w:val="20"/>
                      </w:rPr>
                    </w:pPr>
                  </w:p>
                </w:tc>
                <w:tc>
                  <w:tcPr>
                    <w:tcW w:w="992" w:type="dxa"/>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851" w:type="dxa"/>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tabs>
                        <w:tab w:val="left" w:pos="860"/>
                      </w:tabs>
                      <w:rPr>
                        <w:b/>
                        <w:bCs/>
                        <w:sz w:val="20"/>
                      </w:rPr>
                    </w:pPr>
                    <w:r>
                      <w:rPr>
                        <w:b/>
                        <w:bCs/>
                        <w:sz w:val="20"/>
                      </w:rPr>
                      <w:t>10. Sveikatos priežiūros specialistų pasiūlos užtikrinimas: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24 906,182</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21 170,255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3 735,927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tcBorders>
                      <w:top w:val="single" w:sz="4" w:space="0" w:color="auto"/>
                      <w:left w:val="single" w:sz="4" w:space="0" w:color="auto"/>
                      <w:bottom w:val="single" w:sz="4" w:space="0" w:color="auto"/>
                      <w:right w:val="single" w:sz="4" w:space="0" w:color="auto"/>
                    </w:tcBorders>
                    <w:hideMark/>
                  </w:tcPr>
                  <w:p>
                    <w:pPr>
                      <w:rPr>
                        <w:iCs/>
                        <w:color w:val="000000"/>
                        <w:sz w:val="20"/>
                      </w:rPr>
                    </w:pPr>
                    <w:r>
                      <w:rPr>
                        <w:iCs/>
                        <w:color w:val="000000"/>
                        <w:sz w:val="20"/>
                      </w:rPr>
                      <w:t>10.3. Sveikatos priežiūros specialistų rengimas, pritraukimas,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rPr>
                        <w:color w:val="000000"/>
                        <w:sz w:val="20"/>
                        <w:highlight w:val="green"/>
                      </w:rPr>
                    </w:pPr>
                    <w:r>
                      <w:rPr>
                        <w:color w:val="000000"/>
                        <w:sz w:val="20"/>
                      </w:rPr>
                      <w:t>14 544,760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SAM</w:t>
                    </w:r>
                  </w:p>
                </w:tc>
              </w:tr>
              <w:tr>
                <w:trPr>
                  <w:trHeight w:val="341"/>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highlight w:val="green"/>
                      </w:rPr>
                    </w:pPr>
                  </w:p>
                  <w:p>
                    <w:pPr>
                      <w:rPr>
                        <w:color w:val="000000"/>
                        <w:sz w:val="20"/>
                        <w:highlight w:val="green"/>
                      </w:rPr>
                    </w:pPr>
                  </w:p>
                  <w:p>
                    <w:pPr>
                      <w:rPr>
                        <w:color w:val="000000"/>
                        <w:sz w:val="20"/>
                        <w:highlight w:val="green"/>
                        <w:lang w:val="en-US"/>
                      </w:rPr>
                    </w:pPr>
                    <w:r>
                      <w:rPr>
                        <w:color w:val="000000"/>
                        <w:sz w:val="20"/>
                      </w:rPr>
                      <w:t>2 566,72</w:t>
                    </w:r>
                    <w:r>
                      <w:rPr>
                        <w:color w:val="000000"/>
                        <w:sz w:val="20"/>
                        <w:lang w:val="en-US"/>
                      </w:rPr>
                      <w:t>2</w:t>
                    </w: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 xml:space="preserve">R – Asmenų, kurie po dalyvavimo veiklose įgijo  kvalifikaciją, dalis, proc.</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33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highlight w:val="green"/>
                        <w:lang w:val="en-U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33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highlight w:val="green"/>
                        <w:lang w:val="en-U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highlight w:val="green"/>
                        <w:lang w:val="en-U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98</w:t>
                    </w:r>
                  </w:p>
                  <w:p>
                    <w:pPr>
                      <w:jc w:val="center"/>
                      <w:rPr>
                        <w:color w:val="000000"/>
                        <w:sz w:val="20"/>
                      </w:rP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highlight w:val="green"/>
                        <w:lang w:val="en-U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851"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1dc265c7c11f0a3d380837a821750">
                <w:r w:rsidRPr="00532B9F">
                  <w:rPr>
                    <w:rFonts w:ascii="Times New Roman" w:eastAsia="MS Mincho" w:hAnsi="Times New Roman"/>
                    <w:sz w:val="20"/>
                    <w:i/>
                    <w:iCs/>
                    <w:color w:val="0000FF" w:themeColor="hyperlink"/>
                    <w:u w:val="single"/>
                  </w:rPr>
                  <w:t>V-629</w:t>
                </w:r>
              </w:fldSimple>
              <w:r>
                <w:rPr>
                  <w:rFonts w:ascii="Times New Roman" w:eastAsia="MS Mincho" w:hAnsi="Times New Roman"/>
                  <w:sz w:val="20"/>
                  <w:i/>
                  <w:iCs/>
                </w:rPr>
                <w:t>,
2025-07-09,
paskelbta TAR 2025-07-09, i. k. 2025-12505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(V-683)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(V-527)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(V-683)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(V-623)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(V-517)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
          <w:pPr>
            <w:pStyle w:val="PlainText"/>
            <w:rPr>
              <w:rFonts w:ascii="Times New Roman" w:eastAsia="MS Mincho" w:hAnsi="Times New Roman"/>
              <w:sz w:val="20"/>
              <w:iCs/>
            </w:rPr>
          </w:pPr>
          <w:r>
            <w:rPr>
              <w:rFonts w:ascii="Times New Roman" w:eastAsia="MS Mincho" w:hAnsi="Times New Roman"/>
              <w:sz w:val="20"/>
              <w:iCs/>
            </w:rPr>
            <w:t>34 priedas (V-605)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72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203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56.png"/>
  <Relationship Id="rId13" Type="http://schemas.openxmlformats.org/officeDocument/2006/relationships/oleObject" Target="embeddings/oleObject156.bin"/>
  <Relationship Id="rId14" Type="http://schemas.openxmlformats.org/officeDocument/2006/relationships/header" Target="header97.xml"/>
  <Relationship Id="rId15" Type="http://schemas.openxmlformats.org/officeDocument/2006/relationships/header" Target="header98.xml"/>
  <Relationship Id="rId16" Type="http://schemas.openxmlformats.org/officeDocument/2006/relationships/footer" Target="footer97.xml"/>
  <Relationship Id="rId17" Type="http://schemas.openxmlformats.org/officeDocument/2006/relationships/footer" Target="footer98.xml"/>
  <Relationship Id="rId18" Type="http://schemas.openxmlformats.org/officeDocument/2006/relationships/header" Target="header99.xml"/>
  <Relationship Id="rId19" Type="http://schemas.openxmlformats.org/officeDocument/2006/relationships/footer" Target="footer99.xml"/>
  <Relationship Id="rId2" Type="http://schemas.openxmlformats.org/officeDocument/2006/relationships/customXml" Target="../customXml/item2.xml"/>
  <Relationship Id="rId20" Type="http://schemas.openxmlformats.org/officeDocument/2006/relationships/header" Target="header166.xml"/>
  <Relationship Id="rId21" Type="http://schemas.openxmlformats.org/officeDocument/2006/relationships/header" Target="header167.xml"/>
  <Relationship Id="rId22" Type="http://schemas.openxmlformats.org/officeDocument/2006/relationships/footer" Target="footer166.xml"/>
  <Relationship Id="rId23" Type="http://schemas.openxmlformats.org/officeDocument/2006/relationships/footer" Target="footer167.xml"/>
  <Relationship Id="rId24" Type="http://schemas.openxmlformats.org/officeDocument/2006/relationships/header" Target="header168.xml"/>
  <Relationship Id="rId25" Type="http://schemas.openxmlformats.org/officeDocument/2006/relationships/footer" Target="footer168.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0584b1efba064331a80e9c9fe52aa463">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0789763510bd46f8a68943d293cb1fc6"/>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09C66D89-5CF2-42A4-9E7D-6001A4F838A9}">
  <ds:schemaRefs>
    <ds:schemaRef ds:uri="http://lrs.lt/TAIS/DocParts"/>
  </ds:schemaRefs>
</ds:datastoreItem>
</file>

<file path=customXml/itemProps6.xml><?xml version="1.0" encoding="utf-8"?>
<ds:datastoreItem xmlns:ds="http://schemas.openxmlformats.org/officeDocument/2006/customXml" ds:itemID="{C4BB8CBB-B24D-4361-8B37-D43DFF6249E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139</TotalTime>
  <Pages>37</Pages>
  <Words>7687</Words>
  <Characters>49630</Characters>
  <Application>Microsoft Office Word</Application>
  <DocSecurity>0</DocSecurity>
  <Lines>413</Lines>
  <Paragraphs>114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57203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2025-07-23T11:16:00Z</dcterms:modified>
  <revision>93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