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98f987e8963745e49b36e9f2e35e7cae"/>
        <w:lock w:val="sdtLocked"/>
        <w:richText/>
      </w:sdtPr>
      <w:sdtContent>
        <w:p>
          <w:pPr>
            <w:jc w:val="both"/>
            <w:rPr>
              <w:rFonts w:ascii="Times New Roman" w:hAnsi="Times New Roman"/>
            </w:rPr>
          </w:pPr>
          <w:r>
            <w:rPr>
              <w:rFonts w:ascii="Times New Roman" w:hAnsi="Times New Roman"/>
              <w:b/>
              <w:i/>
            </w:rPr>
            <w:t>Suvestinė redakcija nuo 2025-10-04 iki 2025-10-15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43.85pt" o:ole="" fillcolor="window">
                <v:imagedata r:id="rId24" o:title=""/>
              </v:shape>
              <o:OLEObject Type="Embed" ProgID="Word.Picture.8" ShapeID="_x0000_i1025" DrawAspect="Content" ObjectID="_0000000001" r:id="rId25"/>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c8824f9450aa4a7c86cb781f9f4d81df"/>
        <w:lock w:val="sdtLocked"/>
        <w:richText/>
      </w:sdtPr>
      <w:sdtContent>
        <w:p>
          <w:pPr>
            <w:ind w:left="6521"/>
            <w:sectPr>
              <w:headerReference w:type="even" r:id="rId26"/>
              <w:headerReference w:type="default" r:id="rId27"/>
              <w:footerReference w:type="even" r:id="rId28"/>
              <w:footerReference w:type="default" r:id="rId29"/>
              <w:headerReference w:type="first" r:id="rId30"/>
              <w:footerReference w:type="first" r:id="rId31"/>
              <w:pgSz w:w="11906" w:h="16838" w:code="9"/>
              <w:pgMar w:top="851" w:right="567" w:bottom="1134" w:left="992" w:header="567" w:footer="567" w:gutter="0"/>
              <w:pgNumType w:start="1"/>
              <w:cols w:space="1296"/>
              <w:titlePg/>
              <w:docGrid w:linePitch="360"/>
            </w:sectPr>
          </w:pPr>
        </w:p>
        <w:p>
          <w:pPr>
            <w:ind w:left="6521"/>
            <w:rPr>
              <w:sz w:val="22"/>
              <w:szCs w:val="22"/>
            </w:rPr>
          </w:pPr>
          <w:r>
            <w:rPr>
              <w:sz w:val="22"/>
              <w:szCs w:val="22"/>
            </w:rPr>
            <w:t>PATVIRTINTA</w:t>
          </w:r>
        </w:p>
        <w:p>
          <w:pPr>
            <w:ind w:left="6521"/>
            <w:rPr>
              <w:sz w:val="22"/>
              <w:szCs w:val="22"/>
            </w:rPr>
          </w:pPr>
          <w:r>
            <w:rPr>
              <w:sz w:val="22"/>
              <w:szCs w:val="22"/>
            </w:rPr>
            <w:t>Lietuvos Respublikos sveikatos apsaugos ministro 2022 m. gegužės 20 d. įsakymu</w:t>
          </w:r>
        </w:p>
        <w:p>
          <w:pPr>
            <w:ind w:left="6521"/>
            <w:rPr>
              <w:sz w:val="22"/>
              <w:szCs w:val="22"/>
            </w:rPr>
          </w:pPr>
          <w:r>
            <w:rPr>
              <w:sz w:val="22"/>
              <w:szCs w:val="22"/>
            </w:rPr>
            <w:t>Nr. V-988</w:t>
          </w:r>
        </w:p>
        <w:p>
          <w:pPr>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jc w:val="center"/>
            <w:rPr>
              <w:b/>
              <w:szCs w:val="24"/>
            </w:rPr>
          </w:pPr>
        </w:p>
        <w:p>
          <w:pPr>
            <w:jc w:val="center"/>
            <w:rPr>
              <w:b/>
              <w:sz w:val="22"/>
              <w:szCs w:val="22"/>
              <w:lang w:eastAsia="lt-LT"/>
            </w:rPr>
          </w:pPr>
          <w:sdt>
            <w:sdtPr>
              <w:alias w:val="Pavadinimas"/>
              <w:tag w:val="title_c8824f9450aa4a7c86cb781f9f4d81df"/>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jc w:val="center"/>
            <w:rPr>
              <w:b/>
              <w:sz w:val="22"/>
              <w:szCs w:val="22"/>
              <w:lang w:eastAsia="lt-LT"/>
            </w:rPr>
          </w:pPr>
        </w:p>
        <w:sdt>
          <w:sdtPr>
            <w:alias w:val="skyrius"/>
            <w:tag w:val="part_3881b5e5f52849e1b06fc8bcd64ba8f0"/>
            <w:lock w:val="sdtLocked"/>
            <w:richText/>
          </w:sdtPr>
          <w:sdtContent>
            <w:p>
              <w:pPr>
                <w:tabs>
                  <w:tab w:val="left" w:pos="1985"/>
                </w:tabs>
                <w:jc w:val="center"/>
                <w:rPr>
                  <w:b/>
                  <w:bCs/>
                  <w:sz w:val="22"/>
                  <w:szCs w:val="22"/>
                </w:rPr>
              </w:pPr>
              <w:sdt>
                <w:sdtPr>
                  <w:alias w:val="Numeris"/>
                  <w:tag w:val="nr_3881b5e5f52849e1b06fc8bcd64ba8f0"/>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3881b5e5f52849e1b06fc8bcd64ba8f0"/>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1 818 000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3 538 000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sdtContent>
        </w:sdt>
        <w:sdt>
          <w:sdtPr>
            <w:alias w:val="skyrius"/>
            <w:tag w:val="part_fdad71d7e5384eaba0b5ef81641353d1"/>
            <w:lock w:val="sdtLocked"/>
            <w:richText/>
          </w:sdtPr>
          <w:sdtContent>
            <w:p>
              <w:pPr>
                <w:ind w:left="1080" w:hanging="360"/>
                <w:jc w:val="center"/>
                <w:rPr>
                  <w:b/>
                  <w:bCs/>
                  <w:color w:val="000000"/>
                  <w:szCs w:val="24"/>
                </w:rPr>
              </w:pPr>
              <w:sdt>
                <w:sdtPr>
                  <w:alias w:val="Numeris"/>
                  <w:tag w:val="nr_fdad71d7e5384eaba0b5ef81641353d1"/>
                  <w:lock w:val="sdtLocked"/>
                  <w:richText/>
                </w:sdtPr>
                <w:sdtContent>
                  <w:r>
                    <w:rPr>
                      <w:b/>
                      <w:bCs/>
                      <w:color w:val="000000"/>
                      <w:szCs w:val="24"/>
                    </w:rPr>
                    <w:t>II</w:t>
                  </w:r>
                </w:sdtContent>
              </w:sdt>
              <w:r>
                <w:rPr>
                  <w:b/>
                  <w:bCs/>
                  <w:color w:val="000000"/>
                  <w:szCs w:val="24"/>
                </w:rPr>
                <w:t xml:space="preserve"> SKYRIUS</w:t>
              </w:r>
            </w:p>
            <w:p>
              <w:pPr>
                <w:ind w:left="1080" w:hanging="360"/>
                <w:jc w:val="center"/>
                <w:rPr>
                  <w:b/>
                  <w:bCs/>
                  <w:color w:val="000000"/>
                  <w:szCs w:val="24"/>
                </w:rPr>
              </w:pPr>
              <w:sdt>
                <w:sdtPr>
                  <w:alias w:val="Pavadinimas"/>
                  <w:tag w:val="title_fdad71d7e5384eaba0b5ef81641353d1"/>
                  <w:lock w:val="sdtLocked"/>
                  <w:richText/>
                </w:sdtPr>
                <w:sdtContent>
                  <w:r>
                    <w:rPr>
                      <w:b/>
                      <w:bCs/>
                      <w:color w:val="000000"/>
                      <w:szCs w:val="24"/>
                    </w:rPr>
                    <w:t>PLĖTROS PROGRAMOS PAŽANGOS PRIEMONĖS FINANSAVIMO ŠALTINIAI</w:t>
                  </w:r>
                </w:sdtContent>
              </w:sdt>
            </w:p>
            <w:p>
              <w:pPr>
                <w:ind w:left="851"/>
                <w:jc w:val="center"/>
                <w:rPr>
                  <w:color w:val="000000"/>
                  <w:szCs w:val="24"/>
                </w:rPr>
              </w:pPr>
            </w:p>
            <w:tbl>
              <w:tblPr>
                <w:tblW w:w="10773" w:type="dxa"/>
                <w:tblLayout w:type="fixed"/>
                <w:tblCellMar>
                  <w:left w:w="30" w:type="dxa"/>
                  <w:right w:w="30" w:type="dxa"/>
                </w:tblCellMar>
                <w:tblLook w:val="04A0" w:firstRow="1" w:lastRow="0" w:firstColumn="1" w:lastColumn="0" w:noHBand="0" w:noVBand="1"/>
              </w:tblPr>
              <w:tblGrid>
                <w:gridCol w:w="7822"/>
                <w:gridCol w:w="2951"/>
              </w:tblGrid>
              <w:tr>
                <w:trPr>
                  <w:cantSplit/>
                  <w:trHeight w:val="557"/>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hideMark/>
                  </w:tcPr>
                  <w:p>
                    <w:pPr>
                      <w:jc w:val="center"/>
                      <w:rPr>
                        <w:b/>
                        <w:sz w:val="20"/>
                      </w:rPr>
                    </w:pPr>
                    <w:r>
                      <w:rPr>
                        <w:b/>
                        <w:sz w:val="20"/>
                      </w:rPr>
                      <w:t>Finansavimo apimtis ir šaltiniai</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15" w:hanging="15"/>
                      <w:jc w:val="center"/>
                      <w:rPr>
                        <w:b/>
                        <w:sz w:val="20"/>
                      </w:rPr>
                    </w:pPr>
                    <w:r>
                      <w:rPr>
                        <w:b/>
                        <w:sz w:val="20"/>
                      </w:rPr>
                      <w:t>Lėšų poreikis (tūkst. eurų)</w:t>
                    </w:r>
                  </w:p>
                </w:tc>
              </w:tr>
              <w:tr>
                <w:trPr>
                  <w:cantSplit/>
                  <w:trHeight w:val="272"/>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jc w:val="center"/>
                      <w:rPr>
                        <w:b/>
                        <w:sz w:val="20"/>
                      </w:rPr>
                    </w:pPr>
                    <w:r>
                      <w:rPr>
                        <w:b/>
                        <w:sz w:val="20"/>
                      </w:rPr>
                      <w:t>1</w:t>
                    </w:r>
                  </w:p>
                </w:tc>
                <w:tc>
                  <w:tcPr>
                    <w:tcW w:w="2835" w:type="dxa"/>
                    <w:tcBorders>
                      <w:top w:val="single" w:sz="4" w:space="0" w:color="auto"/>
                      <w:left w:val="single" w:sz="4" w:space="0" w:color="auto"/>
                      <w:right w:val="single" w:sz="4" w:space="0" w:color="auto"/>
                    </w:tcBorders>
                    <w:shd w:val="clear" w:color="auto" w:fill="D9E2F3"/>
                  </w:tcPr>
                  <w:p>
                    <w:pPr>
                      <w:ind w:left="15" w:hanging="15"/>
                      <w:jc w:val="center"/>
                      <w:rPr>
                        <w:b/>
                        <w:sz w:val="20"/>
                      </w:rPr>
                    </w:pPr>
                    <w:r>
                      <w:rPr>
                        <w:b/>
                        <w:sz w:val="20"/>
                      </w:rPr>
                      <w:t>2</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r>
                      <w:rPr>
                        <w:b/>
                        <w:sz w:val="20"/>
                      </w:rPr>
                      <w:t>111 199,719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54 919,719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1.1.1.1.2. Valstybės biudžeto lėšos, skirtos apmokėti bendrai finansuojamų iš ES fondų lėšų projektų netinkamam finansuoti iš ES fondų lėšų pirkimo ir (arba) importo PVM</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56 280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1.2. Europos Sąjungos ir kitos tarptautinės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 xml:space="preserve">85 781,753 </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Cs/>
                        <w:sz w:val="20"/>
                      </w:rPr>
                    </w:pPr>
                    <w:r>
                      <w:rPr>
                        <w:bCs/>
                        <w:sz w:val="20"/>
                      </w:rPr>
                      <w:t>1.2.2.8.1. 2021–2027 m. ES struktūrinių fondų bendrojo finansavimo lėšos, Sostinės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1.2.2.8.1. 2021–2027 m. ES struktūrinių fondų bendrojo finansavimo lėšos, Vidurio ir vakarų Lietuvos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47 677,773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1.2.3.1.68. Antrojo Šveicarijos įnašo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5 132,947</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1.3. Europos Sąjungos ir kita tarptautinė finansinė parama</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600 231,779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Vidurio ir vakarų Lietuvos regionas (Europos socialinis fondas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88 047,443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Sostinės regionas (Europos regioninės plėtros fondas)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1.3.2.8.1. 2021–2027 m. ES struktūrinių fondų lėšos,</w:t>
                    </w:r>
                    <w:r>
                      <w:t xml:space="preserve"> </w:t>
                    </w:r>
                    <w:r>
                      <w:rPr>
                        <w:sz w:val="20"/>
                      </w:rPr>
                      <w:t>Vidurio ir vakarų Lietuvos regionas (Europos regioninės plėtros fondas)</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182 126,604</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 xml:space="preserve">1.3.3.1.57. Ekonomikos gaivinimo ir atsparumo didinimo priemonės lėšos </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268 000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1.3.3.1.68. Antrojo Šveicarijos įnašo finansinės paramos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29 086,699</w:t>
                    </w:r>
                  </w:p>
                </w:tc>
              </w:tr>
              <w:tr>
                <w:trPr>
                  <w:cantSplit/>
                  <w:trHeight w:val="228"/>
                </w:trPr>
                <w:tc>
                  <w:tcPr>
                    <w:tcW w:w="7513" w:type="dxa"/>
                    <w:tcBorders>
                      <w:top w:val="single" w:sz="4" w:space="0" w:color="auto"/>
                      <w:left w:val="single" w:sz="4" w:space="0" w:color="auto"/>
                      <w:bottom w:val="single" w:sz="4" w:space="0" w:color="auto"/>
                      <w:right w:val="single" w:sz="4" w:space="0" w:color="auto"/>
                    </w:tcBorders>
                    <w:vAlign w:val="center"/>
                  </w:tcPr>
                  <w:p>
                    <w:pPr>
                      <w:spacing w:line="276" w:lineRule="auto"/>
                      <w:ind w:left="1276" w:hanging="1276"/>
                      <w:jc w:val="both"/>
                      <w:rPr>
                        <w:b/>
                        <w:i/>
                        <w:iCs/>
                        <w:sz w:val="20"/>
                      </w:rPr>
                    </w:pPr>
                    <w:r>
                      <w:rPr>
                        <w:b/>
                        <w:sz w:val="20"/>
                      </w:rPr>
                      <w:t>1.4.</w:t>
                    </w:r>
                    <w:r>
                      <w:rPr>
                        <w:b/>
                        <w:i/>
                        <w:iCs/>
                        <w:sz w:val="20"/>
                      </w:rPr>
                      <w:t xml:space="preserve"> </w:t>
                    </w:r>
                    <w:r>
                      <w:rPr>
                        <w:b/>
                        <w:sz w:val="20"/>
                      </w:rPr>
                      <w:t>Biudžetinių įstaigų pajamų įmokos ir kitos pajamos</w:t>
                    </w:r>
                    <w:r>
                      <w:rPr>
                        <w:b/>
                        <w:i/>
                        <w:iCs/>
                        <w:sz w:val="20"/>
                      </w:rPr>
                      <w:t xml:space="preserve"> </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2. Kitos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2.1.Savivaldybių biudžetų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2.2. Privačios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2.3. Kitos viešosios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rPr>
                        <w:b/>
                        <w:sz w:val="20"/>
                      </w:rPr>
                    </w:pPr>
                    <w:r>
                      <w:rPr>
                        <w:b/>
                        <w:sz w:val="20"/>
                      </w:rPr>
                      <w:t>IŠ VISO:</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720" w:hanging="360"/>
                      <w:jc w:val="center"/>
                      <w:rPr>
                        <w:b/>
                        <w:sz w:val="20"/>
                        <w:lang w:val="en-US"/>
                      </w:rPr>
                    </w:pPr>
                    <w:r>
                      <w:rPr>
                        <w:b/>
                        <w:sz w:val="20"/>
                        <w:lang w:val="en-US"/>
                      </w:rPr>
                      <w:t>797</w:t>
                      <w:tab/>
                    </w:r>
                    <w:r>
                      <w:rPr>
                        <w:b/>
                        <w:sz w:val="20"/>
                      </w:rPr>
                      <w:t>213,251“</w:t>
                    </w:r>
                  </w:p>
                </w:tc>
              </w:tr>
            </w:tbl>
            <w:p>
              <w:pPr>
                <w:tabs>
                  <w:tab w:val="left" w:pos="1134"/>
                </w:tabs>
                <w:ind w:left="851"/>
              </w:pPr>
            </w:p>
          </w:sdtContent>
        </w:sdt>
        <w:sdt>
          <w:sdtPr>
            <w:alias w:val="skyrius"/>
            <w:tag w:val="part_cfa9e5530aa2417e93fc6691e98ebff9"/>
            <w:lock w:val="sdtLocked"/>
            <w:richText/>
          </w:sdtPr>
          <w:sdtContent>
            <w:p>
              <w:pPr>
                <w:ind w:left="-284"/>
                <w:jc w:val="center"/>
                <w:sectPr>
                  <w:headerReference w:type="even" r:id="rId32"/>
                  <w:headerReference w:type="default" r:id="rId33"/>
                  <w:footerReference w:type="even" r:id="rId34"/>
                  <w:footerReference w:type="default" r:id="rId35"/>
                  <w:headerReference w:type="first" r:id="rId36"/>
                  <w:footerReference w:type="first" r:id="rId37"/>
                  <w:pgSz w:w="11906" w:h="16838" w:code="9"/>
                  <w:pgMar w:top="1701" w:right="567" w:bottom="1134" w:left="709" w:header="1134" w:footer="1134" w:gutter="0"/>
                  <w:cols w:space="1296"/>
                  <w:titlePg/>
                  <w:docGrid w:linePitch="326"/>
                </w:sectPr>
              </w:pPr>
            </w:p>
            <w:p>
              <w:pPr>
                <w:ind w:left="-284"/>
                <w:jc w:val="center"/>
                <w:rPr>
                  <w:b/>
                  <w:bCs/>
                </w:rPr>
              </w:pPr>
              <w:sdt>
                <w:sdtPr>
                  <w:alias w:val="Numeris"/>
                  <w:tag w:val="nr_cfa9e5530aa2417e93fc6691e98ebff9"/>
                  <w:lock w:val="sdtLocked"/>
                  <w:richText/>
                </w:sdtPr>
                <w:sdtContent>
                  <w:r>
                    <w:rPr>
                      <w:b/>
                      <w:bCs/>
                    </w:rPr>
                    <w:t>III</w:t>
                  </w:r>
                </w:sdtContent>
              </w:sdt>
              <w:r>
                <w:rPr>
                  <w:b/>
                  <w:bCs/>
                </w:rPr>
                <w:t xml:space="preserve"> SKYRIUS</w:t>
              </w:r>
            </w:p>
            <w:p>
              <w:pPr>
                <w:jc w:val="center"/>
                <w:rPr>
                  <w:b/>
                  <w:bCs/>
                </w:rPr>
              </w:pPr>
              <w:sdt>
                <w:sdtPr>
                  <w:alias w:val="Pavadinimas"/>
                  <w:tag w:val="title_cfa9e5530aa2417e93fc6691e98ebff9"/>
                  <w:lock w:val="sdtLocked"/>
                  <w:richText/>
                </w:sdtPr>
                <w:sdtContent>
                  <w:r>
                    <w:rPr>
                      <w:b/>
                      <w:bCs/>
                    </w:rPr>
                    <w:t>PLĖTROS PROGRAMOS PAŽANGOS PRIEMONĖS VEIKLŲ SUVESTINĖ</w:t>
                  </w:r>
                </w:sdtContent>
              </w:sdt>
            </w:p>
            <w:p>
              <w:pPr>
                <w:jc w:val="center"/>
                <w:rPr>
                  <w:b/>
                  <w:bCs/>
                </w:rPr>
              </w:pPr>
            </w:p>
            <w:tbl>
              <w:tblPr>
                <w:tblW w:w="150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1"/>
                <w:gridCol w:w="727"/>
                <w:gridCol w:w="73"/>
                <w:gridCol w:w="1972"/>
                <w:gridCol w:w="66"/>
                <w:gridCol w:w="680"/>
                <w:gridCol w:w="35"/>
                <w:gridCol w:w="1006"/>
                <w:gridCol w:w="8"/>
                <w:gridCol w:w="32"/>
                <w:gridCol w:w="625"/>
                <w:gridCol w:w="24"/>
                <w:gridCol w:w="1216"/>
                <w:gridCol w:w="1066"/>
                <w:gridCol w:w="1923"/>
                <w:gridCol w:w="1076"/>
                <w:gridCol w:w="126"/>
                <w:gridCol w:w="992"/>
                <w:gridCol w:w="1276"/>
              </w:tblGrid>
              <w:tr>
                <w:trPr>
                  <w:trHeight w:val="1425"/>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7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21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06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1923"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7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21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06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1923"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1923"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20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03"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1923"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03"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1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03" w:type="dxa"/>
                    <w:gridSpan w:val="2"/>
                    <w:vMerge/>
                    <w:tcBorders>
                      <w:left w:val="single" w:sz="4" w:space="0" w:color="auto"/>
                      <w:bottom w:val="single" w:sz="4" w:space="0" w:color="auto"/>
                      <w:right w:val="single" w:sz="4" w:space="0" w:color="auto"/>
                    </w:tcBorders>
                  </w:tcPr>
                  <w:p>
                    <w:pPr>
                      <w:ind w:left="-57" w:right="-57"/>
                      <w:rPr>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ind w:left="-57" w:right="-57"/>
                      <w:jc w:val="center"/>
                      <w:rPr>
                        <w:sz w:val="20"/>
                      </w:rPr>
                    </w:pPr>
                  </w:p>
                </w:tc>
                <w:tc>
                  <w:tcPr>
                    <w:tcW w:w="1066" w:type="dxa"/>
                    <w:vMerge/>
                    <w:tcBorders>
                      <w:left w:val="single" w:sz="4" w:space="0" w:color="auto"/>
                      <w:bottom w:val="single" w:sz="4" w:space="0" w:color="auto"/>
                      <w:right w:val="single" w:sz="4" w:space="0" w:color="auto"/>
                    </w:tcBorders>
                  </w:tcPr>
                  <w:p>
                    <w:pPr>
                      <w:ind w:left="-57" w:right="-57"/>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03"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72"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16" w:type="dxa"/>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066"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jc w:val="center"/>
                      <w:rPr>
                        <w:color w:val="000000"/>
                        <w:sz w:val="20"/>
                      </w:rPr>
                    </w:pPr>
                  </w:p>
                </w:tc>
                <w:tc>
                  <w:tcPr>
                    <w:tcW w:w="1066" w:type="dxa"/>
                    <w:vMerge/>
                    <w:tcBorders>
                      <w:left w:val="single" w:sz="4" w:space="0" w:color="auto"/>
                      <w:bottom w:val="single" w:sz="4" w:space="0" w:color="auto"/>
                      <w:right w:val="single" w:sz="4" w:space="0" w:color="auto"/>
                    </w:tcBorders>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216" w:type="dxa"/>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066"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03" w:type="dxa"/>
                    <w:gridSpan w:val="2"/>
                    <w:vMerge/>
                    <w:tcBorders>
                      <w:left w:val="single" w:sz="4" w:space="0" w:color="auto"/>
                      <w:right w:val="single" w:sz="4" w:space="0" w:color="auto"/>
                    </w:tcBorders>
                  </w:tcPr>
                  <w:p>
                    <w:pPr>
                      <w:ind w:left="-57" w:right="-57"/>
                      <w:rPr>
                        <w:iCs/>
                        <w:sz w:val="20"/>
                      </w:rPr>
                    </w:pPr>
                  </w:p>
                </w:tc>
                <w:tc>
                  <w:tcPr>
                    <w:tcW w:w="800" w:type="dxa"/>
                    <w:gridSpan w:val="2"/>
                    <w:vMerge/>
                    <w:tcBorders>
                      <w:left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216" w:type="dxa"/>
                    <w:tcBorders>
                      <w:left w:val="single" w:sz="4" w:space="0" w:color="auto"/>
                      <w:right w:val="single" w:sz="4" w:space="0" w:color="auto"/>
                    </w:tcBorders>
                  </w:tcPr>
                  <w:p>
                    <w:pPr>
                      <w:ind w:left="-57" w:right="-57"/>
                      <w:jc w:val="center"/>
                      <w:rPr>
                        <w:sz w:val="20"/>
                      </w:rPr>
                    </w:pPr>
                    <w:r>
                      <w:rPr>
                        <w:sz w:val="20"/>
                      </w:rPr>
                      <w:t>740</w:t>
                    </w:r>
                  </w:p>
                </w:tc>
                <w:tc>
                  <w:tcPr>
                    <w:tcW w:w="1066"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1923" w:type="dxa"/>
                    <w:vMerge/>
                    <w:tcBorders>
                      <w:left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216" w:type="dxa"/>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066"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79"/>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
                        <w:bCs/>
                        <w:sz w:val="20"/>
                      </w:rPr>
                    </w:pPr>
                    <w:r>
                      <w:rPr>
                        <w:b/>
                        <w:bCs/>
                        <w:sz w:val="20"/>
                      </w:rPr>
                      <w:t>2. Pasirengimo grėsmėms stiprinimas: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308 256,403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miokardo infarkto per 30 dienų nuo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194 283,999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40 798,741</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Efektyvių organų donorų skaičius 1 mln. gyventojų</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 Sostinės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42 750,312</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7 544,173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8 340,359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(ESF+,</w:t>
                    </w:r>
                  </w:p>
                  <w:p>
                    <w:pPr>
                      <w:ind w:left="-57" w:right="-57"/>
                      <w:jc w:val="center"/>
                      <w:rPr>
                        <w:sz w:val="20"/>
                      </w:rPr>
                    </w:pPr>
                    <w:r>
                      <w:rPr>
                        <w:sz w:val="20"/>
                      </w:rPr>
                      <w:t>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R – Specialistų, kurie po dalyvavimo veiklose įgijo ar patobulino kvalifikaciją,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1 471,829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80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216" w:type="dxa"/>
                    <w:vMerge w:val="restart"/>
                    <w:tcBorders>
                      <w:top w:val="single" w:sz="4" w:space="0" w:color="auto"/>
                      <w:left w:val="single" w:sz="4" w:space="0" w:color="auto"/>
                      <w:right w:val="single" w:sz="4" w:space="0" w:color="auto"/>
                    </w:tcBorders>
                  </w:tcPr>
                  <w:p>
                    <w:pPr>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87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ind w:left="-57" w:right="-57"/>
                      <w:jc w:val="center"/>
                      <w:rPr>
                        <w:color w:val="000000"/>
                        <w:sz w:val="20"/>
                      </w:rPr>
                    </w:pPr>
                  </w:p>
                </w:tc>
                <w:tc>
                  <w:tcPr>
                    <w:tcW w:w="1066" w:type="dxa"/>
                    <w:vMerge/>
                    <w:tcBorders>
                      <w:left w:val="single" w:sz="4" w:space="0" w:color="auto"/>
                      <w:right w:val="single" w:sz="4" w:space="0" w:color="auto"/>
                    </w:tcBorders>
                    <w:vAlign w:val="center"/>
                  </w:tcPr>
                  <w:p>
                    <w:pPr>
                      <w:ind w:left="-57" w:right="-57"/>
                      <w:jc w:val="cente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1294"/>
                </w:trPr>
                <w:tc>
                  <w:tcPr>
                    <w:tcW w:w="2103"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80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rPr>
                    </w:pPr>
                    <w:r>
                      <w:rPr>
                        <w:sz w:val="20"/>
                      </w:rPr>
                      <w:t>146 153,509</w:t>
                    </w:r>
                  </w:p>
                </w:tc>
                <w:tc>
                  <w:tcPr>
                    <w:tcW w:w="1066" w:type="dxa"/>
                    <w:tcBorders>
                      <w:top w:val="single" w:sz="4" w:space="0" w:color="auto"/>
                      <w:left w:val="single" w:sz="4" w:space="0" w:color="auto"/>
                      <w:right w:val="single" w:sz="4" w:space="0" w:color="auto"/>
                    </w:tcBorders>
                  </w:tcPr>
                  <w:p>
                    <w:pPr>
                      <w:rPr>
                        <w:sz w:val="20"/>
                      </w:rPr>
                    </w:pPr>
                    <w:r>
                      <w:rPr>
                        <w:sz w:val="20"/>
                      </w:rPr>
                      <w:t>EGADP</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03"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066"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202"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066"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025"/>
                </w:trPr>
                <w:tc>
                  <w:tcPr>
                    <w:tcW w:w="2103" w:type="dxa"/>
                    <w:gridSpan w:val="2"/>
                    <w:vMerge w:val="restart"/>
                  </w:tcPr>
                  <w:p>
                    <w:pPr>
                      <w:rPr>
                        <w:sz w:val="20"/>
                      </w:rPr>
                    </w:pPr>
                    <w:r>
                      <w:rPr>
                        <w:sz w:val="20"/>
                      </w:rPr>
                      <w:t>2.4 Regionų ir savivaldybių sveikatos priežiūros įstaigų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Borders>
                      <w:left w:val="single" w:sz="4" w:space="0" w:color="auto"/>
                      <w:bottom w:val="single" w:sz="4" w:space="0" w:color="auto"/>
                      <w:right w:val="single" w:sz="4" w:space="0" w:color="auto"/>
                    </w:tcBorders>
                    <w:shd w:val="clear" w:color="auto" w:fill="auto"/>
                  </w:tcPr>
                  <w:p>
                    <w:pPr>
                      <w:rPr>
                        <w:sz w:val="20"/>
                      </w:rPr>
                    </w:pPr>
                    <w:r>
                      <w:rPr>
                        <w:color w:val="000000"/>
                        <w:sz w:val="20"/>
                      </w:rPr>
                      <w:t>5 850,490</w:t>
                    </w:r>
                  </w:p>
                </w:tc>
                <w:tc>
                  <w:tcPr>
                    <w:tcW w:w="1066" w:type="dxa"/>
                  </w:tcPr>
                  <w:p>
                    <w:pPr>
                      <w:rPr>
                        <w:sz w:val="20"/>
                      </w:rPr>
                    </w:pPr>
                    <w:r>
                      <w:rPr>
                        <w:sz w:val="20"/>
                      </w:rPr>
                      <w:t>2021–2027 m. IP (ERPF)</w:t>
                    </w:r>
                  </w:p>
                  <w:p>
                    <w:pPr>
                      <w:rPr>
                        <w:sz w:val="20"/>
                      </w:rPr>
                    </w:pPr>
                  </w:p>
                </w:tc>
                <w:tc>
                  <w:tcPr>
                    <w:tcW w:w="1923"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51 500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83"/>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tcBorders>
                      <w:left w:val="single" w:sz="4" w:space="0" w:color="auto"/>
                      <w:bottom w:val="single" w:sz="4" w:space="0" w:color="auto"/>
                      <w:right w:val="single" w:sz="4" w:space="0" w:color="auto"/>
                    </w:tcBorders>
                    <w:shd w:val="clear" w:color="auto" w:fill="auto"/>
                  </w:tcPr>
                  <w:p>
                    <w:pPr>
                      <w:rPr>
                        <w:color w:val="000000"/>
                        <w:sz w:val="20"/>
                      </w:rPr>
                    </w:pPr>
                    <w:r>
                      <w:rPr>
                        <w:color w:val="000000"/>
                        <w:sz w:val="20"/>
                      </w:rPr>
                      <w:t>5 850,490</w:t>
                    </w:r>
                  </w:p>
                </w:tc>
                <w:tc>
                  <w:tcPr>
                    <w:tcW w:w="1066" w:type="dxa"/>
                  </w:tcPr>
                  <w:p>
                    <w:pPr>
                      <w:rPr>
                        <w:sz w:val="20"/>
                      </w:rPr>
                    </w:pPr>
                    <w:r>
                      <w:rPr>
                        <w:sz w:val="20"/>
                      </w:rPr>
                      <w:t>2021–2027 m. IP (BF)</w:t>
                    </w:r>
                  </w:p>
                </w:tc>
                <w:tc>
                  <w:tcPr>
                    <w:tcW w:w="1923"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202" w:type="dxa"/>
                    <w:gridSpan w:val="2"/>
                    <w:shd w:val="clear" w:color="auto" w:fill="auto"/>
                  </w:tcPr>
                  <w:p>
                    <w:pPr>
                      <w:ind w:left="-57" w:right="-57"/>
                      <w:jc w:val="center"/>
                      <w:rPr>
                        <w:sz w:val="20"/>
                      </w:rPr>
                    </w:pPr>
                    <w:r>
                      <w:rPr>
                        <w:sz w:val="20"/>
                      </w:rPr>
                      <w:t>46 480</w:t>
                    </w:r>
                  </w:p>
                  <w:p>
                    <w:pPr>
                      <w:ind w:left="-57" w:right="-57"/>
                      <w:jc w:val="center"/>
                      <w:rPr>
                        <w:sz w:val="20"/>
                      </w:rPr>
                    </w:pPr>
                    <w:r>
                      <w:rPr>
                        <w:sz w:val="20"/>
                      </w:rPr>
                      <w:t>(2029 m.)</w:t>
                    </w: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1023"/>
                </w:trPr>
                <w:tc>
                  <w:tcPr>
                    <w:tcW w:w="2103" w:type="dxa"/>
                    <w:gridSpan w:val="2"/>
                    <w:vMerge w:val="restart"/>
                  </w:tcPr>
                  <w:p>
                    <w:pPr>
                      <w:rPr>
                        <w:sz w:val="20"/>
                      </w:rPr>
                    </w:pPr>
                    <w:r>
                      <w:rPr>
                        <w:sz w:val="20"/>
                      </w:rPr>
                      <w:t>2.5. Regionų ir savivaldybių sveikatos priežiūros įstaigų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shd w:val="clear" w:color="auto" w:fill="auto"/>
                  </w:tcPr>
                  <w:p>
                    <w:pPr>
                      <w:rPr>
                        <w:sz w:val="20"/>
                      </w:rPr>
                    </w:pPr>
                    <w:r>
                      <w:rPr>
                        <w:sz w:val="20"/>
                      </w:rPr>
                      <w:t>36 216,058</w:t>
                    </w:r>
                  </w:p>
                </w:tc>
                <w:tc>
                  <w:tcPr>
                    <w:tcW w:w="1066" w:type="dxa"/>
                  </w:tcPr>
                  <w:p>
                    <w:pPr>
                      <w:rPr>
                        <w:sz w:val="20"/>
                      </w:rPr>
                    </w:pPr>
                    <w:r>
                      <w:rPr>
                        <w:sz w:val="20"/>
                      </w:rPr>
                      <w:t>2021–2027 m. IP (ERPF)</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rPr>
                    </w:pPr>
                    <w:r>
                      <w:rPr>
                        <w:sz w:val="20"/>
                      </w:rPr>
                      <w:t>6 391,069</w:t>
                    </w:r>
                  </w:p>
                </w:tc>
                <w:tc>
                  <w:tcPr>
                    <w:tcW w:w="1066" w:type="dxa"/>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60"/>
                </w:trPr>
                <w:tc>
                  <w:tcPr>
                    <w:tcW w:w="2103" w:type="dxa"/>
                    <w:gridSpan w:val="2"/>
                    <w:vMerge w:val="restart"/>
                  </w:tcPr>
                  <w:p>
                    <w:pPr>
                      <w:rPr>
                        <w:sz w:val="20"/>
                      </w:rPr>
                    </w:pPr>
                    <w:r>
                      <w:rPr>
                        <w:sz w:val="20"/>
                      </w:rPr>
                      <w:t>2.6. Skubios telemedicinos paslaugų diegimas,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rPr>
                    </w:pPr>
                    <w:r>
                      <w:rPr>
                        <w:sz w:val="20"/>
                      </w:rPr>
                      <w:t>3 825</w:t>
                    </w:r>
                  </w:p>
                  <w:p>
                    <w:pPr>
                      <w:rPr>
                        <w:sz w:val="20"/>
                      </w:rPr>
                    </w:pPr>
                  </w:p>
                </w:tc>
                <w:tc>
                  <w:tcPr>
                    <w:tcW w:w="1066" w:type="dxa"/>
                  </w:tcPr>
                  <w:p>
                    <w:pPr>
                      <w:rPr>
                        <w:sz w:val="20"/>
                      </w:rPr>
                    </w:pPr>
                    <w:r>
                      <w:rPr>
                        <w:sz w:val="20"/>
                      </w:rPr>
                      <w:t>2021–2027 m. IP (ERPF)</w:t>
                    </w:r>
                  </w:p>
                </w:tc>
                <w:tc>
                  <w:tcPr>
                    <w:tcW w:w="1923" w:type="dxa"/>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vMerge w:val="restart"/>
                  </w:tcPr>
                  <w:p>
                    <w:pPr>
                      <w:rPr>
                        <w:sz w:val="20"/>
                      </w:rPr>
                    </w:pPr>
                    <w:r>
                      <w:rPr>
                        <w:sz w:val="20"/>
                      </w:rPr>
                      <w:t>675</w:t>
                    </w:r>
                  </w:p>
                  <w:p>
                    <w:pPr>
                      <w:rPr>
                        <w:color w:val="000000"/>
                        <w:sz w:val="20"/>
                      </w:rPr>
                    </w:pPr>
                  </w:p>
                </w:tc>
                <w:tc>
                  <w:tcPr>
                    <w:tcW w:w="1066" w:type="dxa"/>
                    <w:vMerge w:val="restart"/>
                  </w:tcPr>
                  <w:p>
                    <w:pPr>
                      <w:rPr>
                        <w:color w:val="000000"/>
                        <w:sz w:val="20"/>
                      </w:rPr>
                    </w:pPr>
                    <w:r>
                      <w:rPr>
                        <w:sz w:val="20"/>
                      </w:rPr>
                      <w:t>2021–2027 m. IP (BF)</w:t>
                    </w:r>
                  </w:p>
                </w:tc>
                <w:tc>
                  <w:tcPr>
                    <w:tcW w:w="1923" w:type="dxa"/>
                    <w:vMerge/>
                  </w:tcPr>
                  <w:p>
                    <w:pPr>
                      <w:ind w:left="-57" w:right="-57"/>
                      <w:rPr>
                        <w:color w:val="FF0000"/>
                        <w:sz w:val="20"/>
                      </w:rPr>
                    </w:pPr>
                  </w:p>
                </w:tc>
                <w:tc>
                  <w:tcPr>
                    <w:tcW w:w="1202"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970"/>
                </w:trPr>
                <w:tc>
                  <w:tcPr>
                    <w:tcW w:w="2103" w:type="dxa"/>
                    <w:gridSpan w:val="2"/>
                    <w:vMerge/>
                    <w:vAlign w:val="center"/>
                  </w:tcPr>
                  <w:p>
                    <w:pPr>
                      <w:rPr>
                        <w:color w:val="000000"/>
                        <w:sz w:val="20"/>
                      </w:rPr>
                    </w:pPr>
                  </w:p>
                </w:tc>
                <w:tc>
                  <w:tcPr>
                    <w:tcW w:w="800" w:type="dxa"/>
                    <w:gridSpan w:val="2"/>
                    <w:vMerge/>
                    <w:vAlign w:val="center"/>
                  </w:tcPr>
                  <w:p>
                    <w:pPr>
                      <w:rPr>
                        <w:color w:val="000000"/>
                        <w:sz w:val="20"/>
                      </w:rPr>
                    </w:pPr>
                  </w:p>
                </w:tc>
                <w:tc>
                  <w:tcPr>
                    <w:tcW w:w="1972" w:type="dxa"/>
                    <w:vMerge/>
                    <w:vAlign w:val="center"/>
                  </w:tcPr>
                  <w:p>
                    <w:pPr>
                      <w:rPr>
                        <w:color w:val="000000"/>
                        <w:sz w:val="20"/>
                      </w:rPr>
                    </w:pPr>
                  </w:p>
                </w:tc>
                <w:tc>
                  <w:tcPr>
                    <w:tcW w:w="781" w:type="dxa"/>
                    <w:gridSpan w:val="3"/>
                    <w:vMerge/>
                    <w:vAlign w:val="center"/>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ign w:val="center"/>
                  </w:tcPr>
                  <w:p>
                    <w:pPr>
                      <w:rPr>
                        <w:color w:val="000000"/>
                        <w:sz w:val="20"/>
                      </w:rPr>
                    </w:pPr>
                  </w:p>
                </w:tc>
                <w:tc>
                  <w:tcPr>
                    <w:tcW w:w="1066" w:type="dxa"/>
                    <w:vMerge/>
                    <w:vAlign w:val="center"/>
                  </w:tcPr>
                  <w:p>
                    <w:pPr>
                      <w:rPr>
                        <w:color w:val="000000"/>
                        <w:sz w:val="20"/>
                      </w:rPr>
                    </w:pPr>
                  </w:p>
                </w:tc>
                <w:tc>
                  <w:tcPr>
                    <w:tcW w:w="1923" w:type="dxa"/>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975"/>
                </w:trPr>
                <w:tc>
                  <w:tcPr>
                    <w:tcW w:w="2103" w:type="dxa"/>
                    <w:gridSpan w:val="2"/>
                    <w:vMerge w:val="restart"/>
                    <w:tcMar>
                      <w:left w:w="105" w:type="dxa"/>
                      <w:right w:w="105" w:type="dxa"/>
                    </w:tcMar>
                  </w:tcPr>
                  <w:p>
                    <w:pPr>
                      <w:rPr>
                        <w:color w:val="000000"/>
                        <w:sz w:val="20"/>
                      </w:rPr>
                    </w:pPr>
                    <w:r>
                      <w:rPr>
                        <w:color w:val="000000"/>
                        <w:sz w:val="20"/>
                      </w:rPr>
                      <w:t xml:space="preserve">2.7. Medicinos darbuotojų (pirminės sveikatos priežiūros) paruošimas operatyviai ir koordinuotai teikti asmens sveikatos priežiūros paslaugas sužalotiems kariams ir civiliams </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rPr>
                        <w:color w:val="000000"/>
                        <w:sz w:val="20"/>
                      </w:rPr>
                    </w:pPr>
                    <w:r>
                      <w:rPr>
                        <w:color w:val="000000"/>
                        <w:sz w:val="20"/>
                      </w:rPr>
                      <w:t>1 616,463</w:t>
                    </w:r>
                  </w:p>
                </w:tc>
                <w:tc>
                  <w:tcPr>
                    <w:tcW w:w="1066" w:type="dxa"/>
                    <w:tcMar>
                      <w:left w:w="105" w:type="dxa"/>
                      <w:right w:w="105" w:type="dxa"/>
                    </w:tcMar>
                  </w:tcPr>
                  <w:p>
                    <w:pPr>
                      <w:rPr>
                        <w:color w:val="000000"/>
                        <w:sz w:val="20"/>
                      </w:rPr>
                    </w:pPr>
                    <w:r>
                      <w:rPr>
                        <w:color w:val="000000"/>
                        <w:sz w:val="20"/>
                      </w:rPr>
                      <w:t xml:space="preserve">2021–2027 m. IP (ESF+) </w:t>
                    </w:r>
                  </w:p>
                </w:tc>
                <w:tc>
                  <w:tcPr>
                    <w:tcW w:w="1923" w:type="dxa"/>
                    <w:tcMar>
                      <w:left w:w="105" w:type="dxa"/>
                      <w:right w:w="105" w:type="dxa"/>
                    </w:tcMar>
                  </w:tcPr>
                  <w:p>
                    <w:pPr>
                      <w:ind w:left="-57" w:right="-57"/>
                      <w:rPr>
                        <w:color w:val="000000"/>
                        <w:sz w:val="20"/>
                      </w:rPr>
                    </w:pPr>
                    <w:r>
                      <w:rPr>
                        <w:color w:val="000000"/>
                        <w:sz w:val="20"/>
                      </w:rPr>
                      <w:t>P – Specialistai, dalyvavę kvalifikacijos tobulinimo ar perkvalifikavimo veiklose, asmenys</w:t>
                    </w:r>
                  </w:p>
                </w:tc>
                <w:tc>
                  <w:tcPr>
                    <w:tcW w:w="1202" w:type="dxa"/>
                    <w:gridSpan w:val="2"/>
                    <w:tcMar>
                      <w:left w:w="105" w:type="dxa"/>
                      <w:right w:w="105" w:type="dxa"/>
                    </w:tcMar>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rPr>
                        <w:color w:val="000000"/>
                        <w:sz w:val="20"/>
                      </w:rPr>
                    </w:pPr>
                    <w:r>
                      <w:rPr>
                        <w:color w:val="000000"/>
                        <w:sz w:val="20"/>
                      </w:rPr>
                      <w:t>285,259</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R – Specialistų, kurie po dalyvavimo veiklose įgijo ar patobulino kvalifikaciją, dalis proc.</w:t>
                    </w:r>
                  </w:p>
                </w:tc>
                <w:tc>
                  <w:tcPr>
                    <w:tcW w:w="1202" w:type="dxa"/>
                    <w:gridSpan w:val="2"/>
                    <w:tcMar>
                      <w:left w:w="105" w:type="dxa"/>
                      <w:right w:w="105" w:type="dxa"/>
                    </w:tcMar>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2 709,254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478,104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Pr>
                  <w:p>
                    <w:pPr/>
                    <w:r>
                      <w:rPr>
                        <w:sz w:val="20"/>
                      </w:rPr>
                      <w:t>2.10. Medicinos darbuotojų (specializuotos sveikatos priežiūros) paruošimas operatyviai ir koordinuotai teikti asmens sveikatos priežiūros paslaugas sužalotiems kariams ir civiliams</w:t>
                    </w:r>
                  </w:p>
                </w:tc>
                <w:tc>
                  <w:tcPr>
                    <w:tcW w:w="800" w:type="dxa"/>
                    <w:gridSpan w:val="2"/>
                    <w:vMerge w:val="restart"/>
                  </w:tcPr>
                  <w:p>
                    <w:pPr/>
                    <w:r>
                      <w:rPr>
                        <w:sz w:val="20"/>
                      </w:rPr>
                      <w:t>I</w:t>
                    </w:r>
                  </w:p>
                </w:tc>
                <w:tc>
                  <w:tcPr>
                    <w:tcW w:w="1972" w:type="dxa"/>
                    <w:vMerge w:val="restart"/>
                  </w:tcPr>
                  <w:p>
                    <w:pPr/>
                    <w:r>
                      <w:rPr>
                        <w:sz w:val="20"/>
                      </w:rPr>
                      <w:t>ESSC, VU ir LSMU</w:t>
                    </w:r>
                  </w:p>
                </w:tc>
                <w:tc>
                  <w:tcPr>
                    <w:tcW w:w="781" w:type="dxa"/>
                    <w:gridSpan w:val="3"/>
                    <w:vMerge w:val="restart"/>
                  </w:tcPr>
                  <w:p>
                    <w:pPr/>
                    <w:r>
                      <w:rPr>
                        <w:sz w:val="20"/>
                      </w:rPr>
                      <w:t>P</w:t>
                    </w:r>
                  </w:p>
                </w:tc>
                <w:tc>
                  <w:tcPr>
                    <w:tcW w:w="1014" w:type="dxa"/>
                    <w:gridSpan w:val="2"/>
                    <w:vMerge w:val="restart"/>
                  </w:tcPr>
                  <w:p>
                    <w:pPr/>
                    <w:r>
                      <w:rPr>
                        <w:sz w:val="20"/>
                      </w:rPr>
                      <w:t>Taip</w:t>
                    </w:r>
                  </w:p>
                </w:tc>
                <w:tc>
                  <w:tcPr>
                    <w:tcW w:w="681" w:type="dxa"/>
                    <w:gridSpan w:val="3"/>
                    <w:vMerge w:val="restart"/>
                  </w:tcPr>
                  <w:p>
                    <w:pPr/>
                    <w:r>
                      <w:rPr>
                        <w:sz w:val="20"/>
                      </w:rPr>
                      <w:t>D</w:t>
                    </w:r>
                  </w:p>
                </w:tc>
                <w:tc>
                  <w:tcPr>
                    <w:tcW w:w="1216" w:type="dxa"/>
                    <w:tcMar>
                      <w:left w:w="105" w:type="dxa"/>
                      <w:right w:w="105" w:type="dxa"/>
                    </w:tcMar>
                  </w:tcPr>
                  <w:p>
                    <w:pPr>
                      <w:jc w:val="center"/>
                      <w:rPr>
                        <w:color w:val="000000"/>
                        <w:sz w:val="20"/>
                      </w:rPr>
                    </w:pPr>
                    <w:r>
                      <w:rPr>
                        <w:sz w:val="20"/>
                      </w:rPr>
                      <w:t>6 723,896</w:t>
                    </w:r>
                  </w:p>
                </w:tc>
                <w:tc>
                  <w:tcPr>
                    <w:tcW w:w="1066" w:type="dxa"/>
                    <w:tcMar>
                      <w:left w:w="105" w:type="dxa"/>
                      <w:right w:w="105" w:type="dxa"/>
                    </w:tcMar>
                  </w:tcPr>
                  <w:p>
                    <w:pPr>
                      <w:rPr>
                        <w:color w:val="000000"/>
                        <w:sz w:val="20"/>
                      </w:rPr>
                    </w:pPr>
                    <w:r>
                      <w:rPr>
                        <w:sz w:val="20"/>
                      </w:rPr>
                      <w:t xml:space="preserve">2021–2027 m. IP (ESF+) </w:t>
                    </w:r>
                  </w:p>
                </w:tc>
                <w:tc>
                  <w:tcPr>
                    <w:tcW w:w="1923" w:type="dxa"/>
                    <w:tcMar>
                      <w:left w:w="105" w:type="dxa"/>
                      <w:right w:w="105" w:type="dxa"/>
                    </w:tcMar>
                  </w:tcPr>
                  <w:p>
                    <w:pPr>
                      <w:ind w:left="-57" w:right="-57"/>
                      <w:rPr>
                        <w:color w:val="000000"/>
                        <w:sz w:val="20"/>
                      </w:rPr>
                    </w:pPr>
                    <w:r>
                      <w:rPr>
                        <w:sz w:val="20"/>
                      </w:rPr>
                      <w:t>P – Specialistai, dalyvavę kvalifikacijos tobulinimo ar perkvalifikavimo veiklose, asmenys</w:t>
                    </w:r>
                  </w:p>
                </w:tc>
                <w:tc>
                  <w:tcPr>
                    <w:tcW w:w="1202" w:type="dxa"/>
                    <w:gridSpan w:val="2"/>
                    <w:tcMar>
                      <w:left w:w="105" w:type="dxa"/>
                      <w:right w:w="105" w:type="dxa"/>
                    </w:tcMar>
                  </w:tcPr>
                  <w:p>
                    <w:pPr>
                      <w:ind w:left="-57" w:right="-57"/>
                      <w:jc w:val="center"/>
                    </w:pPr>
                    <w:r>
                      <w:rPr>
                        <w:sz w:val="20"/>
                      </w:rPr>
                      <w:t>3 830</w:t>
                    </w:r>
                  </w:p>
                  <w:p>
                    <w:pPr>
                      <w:ind w:left="-57" w:right="-57"/>
                      <w:jc w:val="center"/>
                      <w:rPr>
                        <w:color w:val="000000"/>
                        <w:sz w:val="20"/>
                      </w:rPr>
                    </w:pPr>
                    <w:r>
                      <w:rPr>
                        <w:sz w:val="20"/>
                      </w:rPr>
                      <w:t>(2029 m.)</w:t>
                    </w:r>
                  </w:p>
                </w:tc>
                <w:tc>
                  <w:tcPr>
                    <w:tcW w:w="992" w:type="dxa"/>
                  </w:tcPr>
                  <w:p>
                    <w:pPr/>
                    <w:r>
                      <w:rPr>
                        <w:sz w:val="20"/>
                      </w:rPr>
                      <w:t>CPVA</w:t>
                    </w:r>
                  </w:p>
                </w:tc>
                <w:tc>
                  <w:tcPr>
                    <w:tcW w:w="1276" w:type="dxa"/>
                  </w:tcPr>
                  <w:p>
                    <w:pPr/>
                    <w:r>
                      <w:rPr>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sz w:val="20"/>
                      </w:rPr>
                      <w:t>1 186,570</w:t>
                    </w:r>
                  </w:p>
                </w:tc>
                <w:tc>
                  <w:tcPr>
                    <w:tcW w:w="1066" w:type="dxa"/>
                    <w:tcMar>
                      <w:left w:w="105" w:type="dxa"/>
                      <w:right w:w="105" w:type="dxa"/>
                    </w:tcMar>
                  </w:tcPr>
                  <w:p>
                    <w:pPr>
                      <w:rPr>
                        <w:color w:val="000000"/>
                        <w:sz w:val="20"/>
                      </w:rPr>
                    </w:pPr>
                    <w:r>
                      <w:rPr>
                        <w:sz w:val="20"/>
                      </w:rPr>
                      <w:t>2021–2027 m. IP (BF)</w:t>
                    </w:r>
                  </w:p>
                </w:tc>
                <w:tc>
                  <w:tcPr>
                    <w:tcW w:w="1923" w:type="dxa"/>
                    <w:tcMar>
                      <w:left w:w="105" w:type="dxa"/>
                      <w:right w:w="105" w:type="dxa"/>
                    </w:tcMar>
                  </w:tcPr>
                  <w:p>
                    <w:pPr>
                      <w:ind w:left="-57" w:right="-57"/>
                      <w:rPr>
                        <w:color w:val="000000"/>
                        <w:sz w:val="20"/>
                      </w:rPr>
                    </w:pPr>
                    <w:r>
                      <w:rPr>
                        <w:sz w:val="20"/>
                      </w:rPr>
                      <w:t>R – Specialistų, kurie po dalyvavimo veiklose įgijo ar patobulino kvalifikaciją, dalis proc.</w:t>
                    </w:r>
                  </w:p>
                </w:tc>
                <w:tc>
                  <w:tcPr>
                    <w:tcW w:w="1202" w:type="dxa"/>
                    <w:gridSpan w:val="2"/>
                    <w:tcMar>
                      <w:left w:w="105" w:type="dxa"/>
                      <w:right w:w="105" w:type="dxa"/>
                    </w:tcMar>
                  </w:tcPr>
                  <w:p>
                    <w:pPr>
                      <w:ind w:left="-57" w:right="-57"/>
                      <w:jc w:val="center"/>
                    </w:pPr>
                    <w:r>
                      <w:rPr>
                        <w:sz w:val="20"/>
                      </w:rPr>
                      <w:t>90</w:t>
                    </w:r>
                  </w:p>
                  <w:p>
                    <w:pPr>
                      <w:ind w:left="-57" w:right="-57"/>
                      <w:jc w:val="center"/>
                    </w:pPr>
                    <w:r>
                      <w:rPr>
                        <w:sz w:val="20"/>
                      </w:rPr>
                      <w:t>(2029 m.)</w:t>
                    </w:r>
                  </w:p>
                  <w:p>
                    <w:pPr>
                      <w:ind w:left="-57" w:right="-57"/>
                      <w:jc w:val="center"/>
                      <w:rPr>
                        <w:color w:val="000000"/>
                        <w:sz w:val="20"/>
                      </w:rPr>
                    </w:pPr>
                  </w:p>
                </w:tc>
                <w:tc>
                  <w:tcPr>
                    <w:tcW w:w="992" w:type="dxa"/>
                    <w:vAlign w:val="center"/>
                  </w:tcPr>
                  <w:p/>
                </w:tc>
                <w:tc>
                  <w:tcPr>
                    <w:tcW w:w="1276" w:type="dxa"/>
                    <w:vAlign w:val="center"/>
                  </w:tcPr>
                  <w:p/>
                </w:tc>
              </w:tr>
              <w:tr>
                <w:trPr>
                  <w:trHeight w:val="414"/>
                </w:trPr>
                <w:tc>
                  <w:tcPr>
                    <w:tcW w:w="2103"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800" w:type="dxa"/>
                    <w:gridSpan w:val="2"/>
                    <w:vMerge w:val="restart"/>
                    <w:shd w:val="clear" w:color="auto" w:fill="F2F2F2" w:themeFill="background1" w:themeFillShade="F2"/>
                  </w:tcPr>
                  <w:p>
                    <w:pPr>
                      <w:rPr>
                        <w:color w:val="000000"/>
                        <w:sz w:val="20"/>
                      </w:rPr>
                    </w:pPr>
                    <w:r>
                      <w:rPr>
                        <w:sz w:val="20"/>
                      </w:rPr>
                      <w:t>-</w:t>
                    </w:r>
                  </w:p>
                </w:tc>
                <w:tc>
                  <w:tcPr>
                    <w:tcW w:w="1972" w:type="dxa"/>
                    <w:vMerge w:val="restart"/>
                    <w:shd w:val="clear" w:color="auto" w:fill="F2F2F2" w:themeFill="background1" w:themeFillShade="F2"/>
                  </w:tcPr>
                  <w:p>
                    <w:pPr>
                      <w:rPr>
                        <w:color w:val="000000"/>
                        <w:sz w:val="20"/>
                      </w:rPr>
                    </w:pPr>
                    <w:r>
                      <w:rPr>
                        <w:sz w:val="20"/>
                      </w:rPr>
                      <w:t>-</w:t>
                    </w:r>
                  </w:p>
                </w:tc>
                <w:tc>
                  <w:tcPr>
                    <w:tcW w:w="781" w:type="dxa"/>
                    <w:gridSpan w:val="3"/>
                    <w:vMerge w:val="restart"/>
                    <w:shd w:val="clear" w:color="auto" w:fill="F2F2F2" w:themeFill="background1" w:themeFillShade="F2"/>
                  </w:tcPr>
                  <w:p>
                    <w:pPr>
                      <w:rPr>
                        <w:color w:val="000000"/>
                        <w:sz w:val="20"/>
                      </w:rPr>
                    </w:pPr>
                    <w:r>
                      <w:rPr>
                        <w:sz w:val="20"/>
                      </w:rPr>
                      <w:t>-</w:t>
                    </w:r>
                  </w:p>
                </w:tc>
                <w:tc>
                  <w:tcPr>
                    <w:tcW w:w="1014" w:type="dxa"/>
                    <w:gridSpan w:val="2"/>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216" w:type="dxa"/>
                    <w:shd w:val="clear" w:color="auto" w:fill="F2F2F2" w:themeFill="background1" w:themeFillShade="F2"/>
                  </w:tcPr>
                  <w:p>
                    <w:pPr>
                      <w:rPr>
                        <w:color w:val="000000"/>
                        <w:sz w:val="20"/>
                      </w:rPr>
                    </w:pPr>
                    <w:r>
                      <w:rPr>
                        <w:b/>
                        <w:bCs/>
                        <w:sz w:val="20"/>
                      </w:rPr>
                      <w:t>52 970,227</w:t>
                    </w:r>
                  </w:p>
                </w:tc>
                <w:tc>
                  <w:tcPr>
                    <w:tcW w:w="1066" w:type="dxa"/>
                    <w:shd w:val="clear" w:color="auto" w:fill="F2F2F2" w:themeFill="background1" w:themeFillShade="F2"/>
                  </w:tcPr>
                  <w:p>
                    <w:pPr>
                      <w:rPr>
                        <w:color w:val="000000"/>
                        <w:sz w:val="20"/>
                      </w:rPr>
                    </w:pPr>
                    <w:r>
                      <w:rPr>
                        <w:sz w:val="20"/>
                      </w:rPr>
                      <w:t>-</w:t>
                    </w:r>
                  </w:p>
                </w:tc>
                <w:tc>
                  <w:tcPr>
                    <w:tcW w:w="1923" w:type="dxa"/>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19 500</w:t>
                    </w:r>
                  </w:p>
                </w:tc>
                <w:tc>
                  <w:tcPr>
                    <w:tcW w:w="1066" w:type="dxa"/>
                    <w:shd w:val="clear" w:color="auto" w:fill="F2F2F2" w:themeFill="background1" w:themeFillShade="F2"/>
                  </w:tcPr>
                  <w:p>
                    <w:pPr>
                      <w:rPr>
                        <w:sz w:val="20"/>
                      </w:rPr>
                    </w:pPr>
                    <w:r>
                      <w:rPr>
                        <w:sz w:val="20"/>
                      </w:rPr>
                      <w:t>EGADP</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4 090</w:t>
                    </w:r>
                  </w:p>
                </w:tc>
                <w:tc>
                  <w:tcPr>
                    <w:tcW w:w="1066" w:type="dxa"/>
                    <w:shd w:val="clear" w:color="auto" w:fill="F2F2F2" w:themeFill="background1" w:themeFillShade="F2"/>
                  </w:tcPr>
                  <w:p>
                    <w:pPr>
                      <w:rPr>
                        <w:sz w:val="20"/>
                      </w:rPr>
                    </w:pPr>
                    <w:r>
                      <w:rPr>
                        <w:sz w:val="20"/>
                      </w:rPr>
                      <w:t>PVM iš VB</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8 823,193</w:t>
                    </w:r>
                  </w:p>
                </w:tc>
                <w:tc>
                  <w:tcPr>
                    <w:tcW w:w="1066" w:type="dxa"/>
                    <w:shd w:val="clear" w:color="auto" w:fill="F2F2F2" w:themeFill="background1" w:themeFillShade="F2"/>
                  </w:tcPr>
                  <w:p>
                    <w:pPr>
                      <w:rPr>
                        <w:sz w:val="20"/>
                      </w:rPr>
                    </w:pPr>
                    <w:r>
                      <w:rPr>
                        <w:sz w:val="20"/>
                      </w:rPr>
                      <w:t xml:space="preserve">2021–2027 m. IP (ESF+,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202"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1 557,034</w:t>
                    </w:r>
                  </w:p>
                </w:tc>
                <w:tc>
                  <w:tcPr>
                    <w:tcW w:w="1066" w:type="dxa"/>
                    <w:shd w:val="clear" w:color="auto" w:fill="F2F2F2" w:themeFill="background1" w:themeFillShade="F2"/>
                  </w:tcPr>
                  <w:p>
                    <w:pPr>
                      <w:rPr>
                        <w:sz w:val="20"/>
                      </w:rPr>
                    </w:pPr>
                    <w:r>
                      <w:rPr>
                        <w:sz w:val="20"/>
                      </w:rPr>
                      <w:t xml:space="preserve">2021–2027 m. IP (BF,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202"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19 000</w:t>
                    </w:r>
                  </w:p>
                </w:tc>
                <w:tc>
                  <w:tcPr>
                    <w:tcW w:w="1066" w:type="dxa"/>
                    <w:shd w:val="clear" w:color="auto" w:fill="F2F2F2" w:themeFill="background1" w:themeFillShade="F2"/>
                  </w:tcPr>
                  <w:p>
                    <w:pPr>
                      <w:rPr>
                        <w:sz w:val="20"/>
                      </w:rPr>
                    </w:pPr>
                    <w:r>
                      <w:rPr>
                        <w:sz w:val="20"/>
                      </w:rPr>
                      <w:t>VB</w:t>
                    </w:r>
                  </w:p>
                </w:tc>
                <w:tc>
                  <w:tcPr>
                    <w:tcW w:w="1923" w:type="dxa"/>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03" w:type="dxa"/>
                    <w:gridSpan w:val="2"/>
                    <w:vMerge w:val="restart"/>
                  </w:tcPr>
                  <w:p>
                    <w:pPr>
                      <w:rPr>
                        <w:color w:val="000000"/>
                        <w:sz w:val="20"/>
                      </w:rPr>
                    </w:pPr>
                    <w:r>
                      <w:rPr>
                        <w:sz w:val="20"/>
                      </w:rPr>
                      <w:t>3.1. Pažangios terapijos centro statyba</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VšĮ Vilniaus universiteto ligoninė Santaros klinikos</w:t>
                    </w:r>
                  </w:p>
                </w:tc>
                <w:tc>
                  <w:tcPr>
                    <w:tcW w:w="781" w:type="dxa"/>
                    <w:gridSpan w:val="3"/>
                    <w:vMerge w:val="restart"/>
                  </w:tcPr>
                  <w:p>
                    <w:pPr>
                      <w:rPr>
                        <w:color w:val="000000"/>
                        <w:sz w:val="20"/>
                      </w:rPr>
                    </w:pPr>
                    <w:r>
                      <w:rPr>
                        <w:sz w:val="20"/>
                      </w:rPr>
                      <w:t>P</w:t>
                    </w:r>
                  </w:p>
                </w:tc>
                <w:tc>
                  <w:tcPr>
                    <w:tcW w:w="1014" w:type="dxa"/>
                    <w:gridSpan w:val="2"/>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216" w:type="dxa"/>
                    <w:tcBorders>
                      <w:left w:val="single" w:sz="4" w:space="0" w:color="auto"/>
                      <w:right w:val="single" w:sz="4" w:space="0" w:color="auto"/>
                    </w:tcBorders>
                    <w:vAlign w:val="center"/>
                  </w:tcPr>
                  <w:p>
                    <w:pPr>
                      <w:rPr>
                        <w:color w:val="000000"/>
                        <w:sz w:val="20"/>
                      </w:rPr>
                    </w:pPr>
                    <w:r>
                      <w:rPr>
                        <w:color w:val="000000"/>
                        <w:sz w:val="20"/>
                      </w:rPr>
                      <w:t>13 200</w:t>
                    </w:r>
                  </w:p>
                </w:tc>
                <w:tc>
                  <w:tcPr>
                    <w:tcW w:w="1066" w:type="dxa"/>
                    <w:tcBorders>
                      <w:left w:val="single" w:sz="4" w:space="0" w:color="auto"/>
                      <w:right w:val="single" w:sz="4" w:space="0" w:color="auto"/>
                    </w:tcBorders>
                    <w:vAlign w:val="center"/>
                  </w:tcPr>
                  <w:p>
                    <w:pPr>
                      <w:rPr>
                        <w:color w:val="000000"/>
                        <w:sz w:val="20"/>
                      </w:rPr>
                    </w:pPr>
                    <w:r>
                      <w:rPr>
                        <w:color w:val="000000"/>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tcBorders>
                      <w:left w:val="single" w:sz="4" w:space="0" w:color="auto"/>
                      <w:right w:val="single" w:sz="4" w:space="0" w:color="auto"/>
                    </w:tcBorders>
                    <w:vAlign w:val="center"/>
                  </w:tcPr>
                  <w:p>
                    <w:pPr>
                      <w:rPr>
                        <w:color w:val="000000"/>
                        <w:sz w:val="20"/>
                      </w:rPr>
                    </w:pPr>
                    <w:r>
                      <w:rPr>
                        <w:color w:val="000000"/>
                        <w:sz w:val="20"/>
                      </w:rPr>
                      <w:t>2 770</w:t>
                    </w:r>
                  </w:p>
                </w:tc>
                <w:tc>
                  <w:tcPr>
                    <w:tcW w:w="1066" w:type="dxa"/>
                    <w:tcBorders>
                      <w:left w:val="single" w:sz="4" w:space="0" w:color="auto"/>
                      <w:right w:val="single" w:sz="4" w:space="0" w:color="auto"/>
                    </w:tcBorders>
                    <w:vAlign w:val="center"/>
                  </w:tcPr>
                  <w:p>
                    <w:pPr>
                      <w:rPr>
                        <w:color w:val="000000"/>
                        <w:sz w:val="20"/>
                      </w:rPr>
                    </w:pPr>
                    <w:r>
                      <w:rPr>
                        <w:color w:val="000000"/>
                        <w:sz w:val="20"/>
                      </w:rPr>
                      <w:t>PVM iš VB</w:t>
                    </w:r>
                  </w:p>
                </w:tc>
                <w:tc>
                  <w:tcPr>
                    <w:tcW w:w="1923" w:type="dxa"/>
                    <w:vMerge/>
                    <w:tcBorders>
                      <w:left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val="restart"/>
                    <w:tcBorders>
                      <w:left w:val="single" w:sz="4" w:space="0" w:color="auto"/>
                      <w:right w:val="single" w:sz="4" w:space="0" w:color="auto"/>
                    </w:tcBorders>
                    <w:vAlign w:val="center"/>
                  </w:tcPr>
                  <w:p>
                    <w:pPr>
                      <w:rPr>
                        <w:color w:val="000000"/>
                        <w:sz w:val="20"/>
                      </w:rPr>
                    </w:pPr>
                  </w:p>
                </w:tc>
                <w:tc>
                  <w:tcPr>
                    <w:tcW w:w="1066" w:type="dxa"/>
                    <w:vMerge w:val="restart"/>
                    <w:tcBorders>
                      <w:left w:val="single" w:sz="4" w:space="0" w:color="auto"/>
                      <w:right w:val="single" w:sz="4" w:space="0" w:color="auto"/>
                    </w:tcBorders>
                    <w:vAlign w:val="center"/>
                  </w:tcPr>
                  <w:p>
                    <w:pPr>
                      <w:rPr>
                        <w:color w:val="000000"/>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61"/>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520"/>
                </w:trPr>
                <w:tc>
                  <w:tcPr>
                    <w:tcW w:w="2103" w:type="dxa"/>
                    <w:gridSpan w:val="2"/>
                    <w:vMerge w:val="restart"/>
                  </w:tcPr>
                  <w:p>
                    <w:pPr>
                      <w:rPr>
                        <w:color w:val="000000"/>
                        <w:sz w:val="20"/>
                      </w:rPr>
                    </w:pPr>
                    <w:r>
                      <w:rPr>
                        <w:sz w:val="20"/>
                      </w:rPr>
                      <w:t>3.2. Genomo tyrimams atlikti reikalingos įrangos įsigijimas ir tyrimų atlikimas</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ASPĮ</w:t>
                    </w:r>
                  </w:p>
                </w:tc>
                <w:tc>
                  <w:tcPr>
                    <w:tcW w:w="781" w:type="dxa"/>
                    <w:gridSpan w:val="3"/>
                    <w:vMerge w:val="restart"/>
                  </w:tcPr>
                  <w:p>
                    <w:pPr>
                      <w:rPr>
                        <w:color w:val="000000"/>
                        <w:sz w:val="20"/>
                      </w:rPr>
                    </w:pPr>
                    <w:r>
                      <w:rPr>
                        <w:sz w:val="20"/>
                      </w:rPr>
                      <w:t>P</w:t>
                    </w:r>
                  </w:p>
                </w:tc>
                <w:tc>
                  <w:tcPr>
                    <w:tcW w:w="1014" w:type="dxa"/>
                    <w:gridSpan w:val="2"/>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216" w:type="dxa"/>
                  </w:tcPr>
                  <w:p>
                    <w:pPr>
                      <w:rPr>
                        <w:color w:val="000000"/>
                        <w:sz w:val="20"/>
                      </w:rPr>
                    </w:pPr>
                    <w:r>
                      <w:rPr>
                        <w:sz w:val="20"/>
                      </w:rPr>
                      <w:t>6 300</w:t>
                    </w:r>
                  </w:p>
                </w:tc>
                <w:tc>
                  <w:tcPr>
                    <w:tcW w:w="1066" w:type="dxa"/>
                  </w:tcPr>
                  <w:p>
                    <w:pPr>
                      <w:rPr>
                        <w:color w:val="000000"/>
                        <w:sz w:val="20"/>
                      </w:rPr>
                    </w:pPr>
                    <w:r>
                      <w:rPr>
                        <w:sz w:val="20"/>
                      </w:rPr>
                      <w:t>EGADP</w:t>
                    </w:r>
                  </w:p>
                </w:tc>
                <w:tc>
                  <w:tcPr>
                    <w:tcW w:w="1923" w:type="dxa"/>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202"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restart"/>
                  </w:tcPr>
                  <w:p>
                    <w:pPr>
                      <w:rPr>
                        <w:color w:val="000000"/>
                        <w:sz w:val="20"/>
                      </w:rPr>
                    </w:pPr>
                    <w:r>
                      <w:rPr>
                        <w:sz w:val="20"/>
                      </w:rPr>
                      <w:t>1 320</w:t>
                    </w:r>
                  </w:p>
                </w:tc>
                <w:tc>
                  <w:tcPr>
                    <w:tcW w:w="1066" w:type="dxa"/>
                    <w:vMerge w:val="restart"/>
                  </w:tcPr>
                  <w:p>
                    <w:pPr>
                      <w:rPr>
                        <w:color w:val="000000"/>
                        <w:sz w:val="20"/>
                      </w:rPr>
                    </w:pPr>
                    <w:r>
                      <w:rPr>
                        <w:iCs/>
                        <w:sz w:val="20"/>
                      </w:rPr>
                      <w:t>PVM iš VB</w:t>
                    </w:r>
                  </w:p>
                </w:tc>
                <w:tc>
                  <w:tcPr>
                    <w:tcW w:w="1923" w:type="dxa"/>
                    <w:vMerge/>
                    <w:tcBorders>
                      <w:bottom w:val="single" w:sz="4" w:space="0" w:color="auto"/>
                    </w:tcBorders>
                    <w:shd w:val="clear" w:color="auto" w:fill="auto"/>
                  </w:tcPr>
                  <w:p>
                    <w:pPr>
                      <w:ind w:left="-57" w:right="-57"/>
                      <w:rPr>
                        <w:sz w:val="20"/>
                      </w:rPr>
                    </w:pPr>
                  </w:p>
                </w:tc>
                <w:tc>
                  <w:tcPr>
                    <w:tcW w:w="1202"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202"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202"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03"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800" w:type="dxa"/>
                    <w:gridSpan w:val="2"/>
                    <w:vMerge w:val="restart"/>
                  </w:tcPr>
                  <w:p>
                    <w:pPr>
                      <w:rPr>
                        <w:sz w:val="20"/>
                      </w:rPr>
                    </w:pPr>
                    <w:r>
                      <w:rPr>
                        <w:sz w:val="20"/>
                      </w:rPr>
                      <w:t>I</w:t>
                    </w:r>
                  </w:p>
                </w:tc>
                <w:tc>
                  <w:tcPr>
                    <w:tcW w:w="1972"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rPr>
                    </w:pPr>
                    <w:r>
                      <w:rPr>
                        <w:sz w:val="20"/>
                      </w:rPr>
                      <w:t>5 525</w:t>
                    </w:r>
                  </w:p>
                  <w:p>
                    <w:pPr>
                      <w:rPr>
                        <w:sz w:val="20"/>
                      </w:rPr>
                    </w:pPr>
                  </w:p>
                  <w:p>
                    <w:pPr>
                      <w:rPr>
                        <w:sz w:val="20"/>
                      </w:rPr>
                    </w:pPr>
                  </w:p>
                </w:tc>
                <w:tc>
                  <w:tcPr>
                    <w:tcW w:w="1066" w:type="dxa"/>
                    <w:vMerge w:val="restart"/>
                  </w:tcPr>
                  <w:p>
                    <w:pPr>
                      <w:rPr>
                        <w:sz w:val="20"/>
                      </w:rPr>
                    </w:pPr>
                    <w:r>
                      <w:rPr>
                        <w:sz w:val="20"/>
                      </w:rPr>
                      <w:t>2021–2027 m. IP (ESF</w:t>
                    </w:r>
                    <w:r>
                      <w:rPr>
                        <w:sz w:val="20"/>
                        <w:lang w:val="en-US"/>
                      </w:rPr>
                      <w:t>+</w:t>
                    </w:r>
                    <w:r>
                      <w:rPr>
                        <w:sz w:val="20"/>
                      </w:rPr>
                      <w:t xml:space="preserve">) </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202"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202"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rPr>
                    </w:pPr>
                    <w:r>
                      <w:rPr>
                        <w:sz w:val="20"/>
                      </w:rPr>
                      <w:t>975</w:t>
                    </w:r>
                  </w:p>
                </w:tc>
                <w:tc>
                  <w:tcPr>
                    <w:tcW w:w="1066" w:type="dxa"/>
                    <w:vMerge w:val="restart"/>
                  </w:tcPr>
                  <w:p>
                    <w:pPr>
                      <w:rPr>
                        <w:sz w:val="20"/>
                      </w:rPr>
                    </w:pPr>
                    <w:r>
                      <w:rPr>
                        <w:sz w:val="20"/>
                      </w:rPr>
                      <w:t xml:space="preserve">2021–2027 m. IP (BF) </w:t>
                    </w:r>
                  </w:p>
                </w:tc>
                <w:tc>
                  <w:tcPr>
                    <w:tcW w:w="1923" w:type="dxa"/>
                    <w:shd w:val="clear" w:color="auto" w:fill="FFFFFF" w:themeFill="background1"/>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202"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264"/>
                </w:trPr>
                <w:tc>
                  <w:tcPr>
                    <w:tcW w:w="2103" w:type="dxa"/>
                    <w:gridSpan w:val="2"/>
                  </w:tcPr>
                  <w:p>
                    <w:pPr>
                      <w:rPr>
                        <w:iCs/>
                        <w:sz w:val="20"/>
                      </w:rPr>
                    </w:pPr>
                    <w:r>
                      <w:rPr>
                        <w:iCs/>
                        <w:sz w:val="20"/>
                      </w:rPr>
                      <w:t>3.4. Sudėtingų sveikatos priežiūros diagnostikos ir gydymo paslaugų infrastruktūros modernizavimas</w:t>
                    </w:r>
                  </w:p>
                </w:tc>
                <w:tc>
                  <w:tcPr>
                    <w:tcW w:w="800" w:type="dxa"/>
                    <w:gridSpan w:val="2"/>
                  </w:tcPr>
                  <w:p>
                    <w:pPr>
                      <w:rPr>
                        <w:color w:val="000000"/>
                        <w:sz w:val="20"/>
                      </w:rPr>
                    </w:pPr>
                    <w:r>
                      <w:rPr>
                        <w:sz w:val="20"/>
                      </w:rPr>
                      <w:t>I</w:t>
                    </w:r>
                  </w:p>
                </w:tc>
                <w:tc>
                  <w:tcPr>
                    <w:tcW w:w="1972" w:type="dxa"/>
                  </w:tcPr>
                  <w:p>
                    <w:pPr>
                      <w:rPr>
                        <w:color w:val="000000"/>
                        <w:sz w:val="20"/>
                      </w:rPr>
                    </w:pPr>
                    <w:r>
                      <w:rPr>
                        <w:sz w:val="20"/>
                      </w:rPr>
                      <w:t>ASPĮ</w:t>
                    </w:r>
                  </w:p>
                </w:tc>
                <w:tc>
                  <w:tcPr>
                    <w:tcW w:w="781" w:type="dxa"/>
                    <w:gridSpan w:val="3"/>
                  </w:tcPr>
                  <w:p>
                    <w:pPr>
                      <w:rPr>
                        <w:color w:val="000000"/>
                        <w:sz w:val="20"/>
                      </w:rPr>
                    </w:pPr>
                    <w:r>
                      <w:rPr>
                        <w:sz w:val="20"/>
                      </w:rPr>
                      <w:t>P</w:t>
                    </w:r>
                  </w:p>
                </w:tc>
                <w:tc>
                  <w:tcPr>
                    <w:tcW w:w="1014" w:type="dxa"/>
                    <w:gridSpan w:val="2"/>
                  </w:tcPr>
                  <w:p>
                    <w:pPr>
                      <w:rPr>
                        <w:color w:val="000000"/>
                        <w:sz w:val="20"/>
                      </w:rPr>
                    </w:pPr>
                    <w:r>
                      <w:rPr>
                        <w:sz w:val="20"/>
                      </w:rPr>
                      <w:t>Taip</w:t>
                    </w:r>
                  </w:p>
                </w:tc>
                <w:tc>
                  <w:tcPr>
                    <w:tcW w:w="681" w:type="dxa"/>
                    <w:gridSpan w:val="3"/>
                  </w:tcPr>
                  <w:p>
                    <w:pPr>
                      <w:rPr>
                        <w:color w:val="000000"/>
                        <w:sz w:val="20"/>
                      </w:rPr>
                    </w:pPr>
                    <w:r>
                      <w:rPr>
                        <w:sz w:val="20"/>
                      </w:rPr>
                      <w:t>D</w:t>
                    </w:r>
                  </w:p>
                </w:tc>
                <w:tc>
                  <w:tcPr>
                    <w:tcW w:w="1216" w:type="dxa"/>
                  </w:tcPr>
                  <w:p>
                    <w:pPr>
                      <w:rPr>
                        <w:sz w:val="20"/>
                      </w:rPr>
                    </w:pPr>
                    <w:r>
                      <w:rPr>
                        <w:sz w:val="20"/>
                      </w:rPr>
                      <w:t>19 000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P – Modernizuotų asmens sveikatos priežiūros įstaigų skaičius</w:t>
                    </w:r>
                  </w:p>
                </w:tc>
                <w:tc>
                  <w:tcPr>
                    <w:tcW w:w="1202"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6"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7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800" w:type="dxa"/>
                    <w:gridSpan w:val="2"/>
                    <w:tcBorders>
                      <w:top w:val="single" w:sz="4" w:space="0" w:color="auto"/>
                      <w:left w:val="single" w:sz="4" w:space="0" w:color="auto"/>
                      <w:bottom w:val="single" w:sz="4" w:space="0" w:color="auto"/>
                      <w:right w:val="single" w:sz="4" w:space="0" w:color="auto"/>
                    </w:tcBorders>
                  </w:tcPr>
                  <w:p>
                    <w:pPr>
                      <w:rPr>
                        <w:sz w:val="20"/>
                      </w:rPr>
                    </w:pPr>
                  </w:p>
                </w:tc>
                <w:tc>
                  <w:tcPr>
                    <w:tcW w:w="1972" w:type="dxa"/>
                    <w:tcBorders>
                      <w:top w:val="single" w:sz="4" w:space="0" w:color="auto"/>
                      <w:left w:val="single" w:sz="4" w:space="0" w:color="auto"/>
                      <w:bottom w:val="single" w:sz="4" w:space="0" w:color="auto"/>
                      <w:right w:val="single" w:sz="4" w:space="0" w:color="auto"/>
                    </w:tcBorders>
                  </w:tcPr>
                  <w:p>
                    <w:pPr>
                      <w:rPr>
                        <w:sz w:val="20"/>
                      </w:rPr>
                    </w:pPr>
                  </w:p>
                </w:tc>
                <w:tc>
                  <w:tcPr>
                    <w:tcW w:w="7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2"/>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bottom w:val="single" w:sz="4" w:space="0" w:color="auto"/>
                      <w:right w:val="single" w:sz="4" w:space="0" w:color="auto"/>
                    </w:tcBorders>
                    <w:vAlign w:val="center"/>
                  </w:tcPr>
                  <w:p>
                    <w:pPr>
                      <w:rPr>
                        <w:sz w:val="20"/>
                      </w:rPr>
                    </w:pPr>
                  </w:p>
                </w:tc>
                <w:tc>
                  <w:tcPr>
                    <w:tcW w:w="800" w:type="dxa"/>
                    <w:gridSpan w:val="2"/>
                    <w:vMerge/>
                    <w:tcBorders>
                      <w:left w:val="single" w:sz="4" w:space="0" w:color="auto"/>
                      <w:bottom w:val="single" w:sz="4" w:space="0" w:color="auto"/>
                      <w:right w:val="single" w:sz="4" w:space="0" w:color="auto"/>
                    </w:tcBorders>
                    <w:vAlign w:val="center"/>
                  </w:tcPr>
                  <w:p>
                    <w:pPr>
                      <w:rPr>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21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 paslaugų naudotojų skaičius per metus, naudotojai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800" w:type="dxa"/>
                    <w:gridSpan w:val="2"/>
                    <w:shd w:val="clear" w:color="auto" w:fill="F2F2F2" w:themeFill="background1" w:themeFillShade="F2"/>
                  </w:tcPr>
                  <w:p>
                    <w:pPr>
                      <w:rPr>
                        <w:sz w:val="20"/>
                      </w:rPr>
                    </w:pPr>
                    <w:r>
                      <w:rPr>
                        <w:sz w:val="20"/>
                      </w:rPr>
                      <w:t>A</w:t>
                    </w:r>
                  </w:p>
                </w:tc>
                <w:tc>
                  <w:tcPr>
                    <w:tcW w:w="1972" w:type="dxa"/>
                    <w:shd w:val="clear" w:color="auto" w:fill="F2F2F2" w:themeFill="background1" w:themeFillShade="F2"/>
                  </w:tcPr>
                  <w:p>
                    <w:pPr>
                      <w:rPr>
                        <w:sz w:val="20"/>
                      </w:rPr>
                    </w:pPr>
                    <w:r>
                      <w:rPr>
                        <w:sz w:val="20"/>
                      </w:rPr>
                      <w:t>SAM</w:t>
                    </w:r>
                  </w:p>
                </w:tc>
                <w:tc>
                  <w:tcPr>
                    <w:tcW w:w="781" w:type="dxa"/>
                    <w:gridSpan w:val="3"/>
                    <w:shd w:val="clear" w:color="auto" w:fill="F2F2F2" w:themeFill="background1" w:themeFillShade="F2"/>
                  </w:tcPr>
                  <w:p>
                    <w:pPr>
                      <w:rPr>
                        <w:sz w:val="20"/>
                      </w:rPr>
                    </w:pPr>
                    <w:r>
                      <w:rPr>
                        <w:sz w:val="20"/>
                      </w:rPr>
                      <w:t>P</w:t>
                    </w:r>
                  </w:p>
                </w:tc>
                <w:tc>
                  <w:tcPr>
                    <w:tcW w:w="1014" w:type="dxa"/>
                    <w:gridSpan w:val="2"/>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216" w:type="dxa"/>
                    <w:shd w:val="clear" w:color="auto" w:fill="F2F2F2" w:themeFill="background1" w:themeFillShade="F2"/>
                  </w:tcPr>
                  <w:p>
                    <w:pPr>
                      <w:rPr>
                        <w:b/>
                        <w:bCs/>
                        <w:sz w:val="20"/>
                      </w:rPr>
                    </w:pPr>
                    <w:r>
                      <w:rPr>
                        <w:b/>
                        <w:bCs/>
                        <w:sz w:val="20"/>
                        <w:lang w:val="en-US"/>
                      </w:rPr>
                      <w:t>169,719</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202"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iCs/>
                        <w:sz w:val="20"/>
                      </w:rPr>
                    </w:pPr>
                    <w:r>
                      <w:rPr>
                        <w:b/>
                        <w:bCs/>
                        <w:iCs/>
                        <w:sz w:val="20"/>
                      </w:rPr>
                      <w:t>6. Bazinių sveikatos priežiūros paslaugų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162 902,179</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13 303,764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rPr>
                    </w:pPr>
                    <w:r>
                      <w:rPr>
                        <w:sz w:val="20"/>
                      </w:rPr>
                      <w:t>13 303,764</w:t>
                    </w:r>
                  </w:p>
                  <w:p>
                    <w:pPr>
                      <w:jc w:val="cente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77 616,874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trike/>
                        <w:sz w:val="20"/>
                      </w:rPr>
                    </w:pPr>
                    <w:r>
                      <w:rPr>
                        <w:sz w:val="20"/>
                      </w:rPr>
                      <w:t>31 433,580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19 244, 197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Aktyviojo gydymo lovų užimtumas,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800" w:type="dxa"/>
                    <w:gridSpan w:val="2"/>
                    <w:vMerge w:val="restart"/>
                  </w:tcPr>
                  <w:p>
                    <w:pPr>
                      <w:rPr>
                        <w:sz w:val="20"/>
                      </w:rPr>
                    </w:pPr>
                    <w:r>
                      <w:rPr>
                        <w:sz w:val="20"/>
                      </w:rPr>
                      <w:t>R</w:t>
                    </w:r>
                  </w:p>
                </w:tc>
                <w:tc>
                  <w:tcPr>
                    <w:tcW w:w="1972" w:type="dxa"/>
                    <w:vMerge w:val="restart"/>
                  </w:tcPr>
                  <w:p>
                    <w:pPr>
                      <w:rPr>
                        <w:sz w:val="20"/>
                      </w:rPr>
                    </w:pPr>
                    <w:r>
                      <w:rPr>
                        <w:sz w:val="20"/>
                      </w:rPr>
                      <w:t>-</w:t>
                    </w:r>
                  </w:p>
                </w:tc>
                <w:tc>
                  <w:tcPr>
                    <w:tcW w:w="781" w:type="dxa"/>
                    <w:gridSpan w:val="3"/>
                    <w:vMerge w:val="restart"/>
                  </w:tcPr>
                  <w:p>
                    <w:pPr>
                      <w:rPr>
                        <w:sz w:val="20"/>
                      </w:rPr>
                    </w:pPr>
                    <w:r>
                      <w:rPr>
                        <w:sz w:val="20"/>
                      </w:rPr>
                      <w:t>-</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w:t>
                    </w:r>
                  </w:p>
                </w:tc>
                <w:tc>
                  <w:tcPr>
                    <w:tcW w:w="1216" w:type="dxa"/>
                    <w:vMerge w:val="restart"/>
                  </w:tcPr>
                  <w:p>
                    <w:pPr>
                      <w:rPr>
                        <w:sz w:val="20"/>
                      </w:rPr>
                    </w:pPr>
                    <w:r>
                      <w:rPr>
                        <w:sz w:val="20"/>
                      </w:rPr>
                      <w:t>-</w:t>
                    </w:r>
                  </w:p>
                </w:tc>
                <w:tc>
                  <w:tcPr>
                    <w:tcW w:w="1066" w:type="dxa"/>
                    <w:vMerge w:val="restart"/>
                  </w:tcPr>
                  <w:p>
                    <w:pPr>
                      <w:rPr>
                        <w:sz w:val="20"/>
                      </w:rPr>
                    </w:pPr>
                    <w:r>
                      <w:rPr>
                        <w:sz w:val="20"/>
                      </w:rPr>
                      <w:t>-</w:t>
                    </w:r>
                  </w:p>
                </w:tc>
                <w:tc>
                  <w:tcPr>
                    <w:tcW w:w="1923" w:type="dxa"/>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202"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Sprendimo dėl reguliavimo, investavimo ir komunikacijos veiksmų, siekiant sukurti tvarų sveikatos priežiūros įstaigų tinklą, priėmimas</w:t>
                    </w:r>
                  </w:p>
                </w:tc>
                <w:tc>
                  <w:tcPr>
                    <w:tcW w:w="1202"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Patvirtintas atnaujintas Šeimos medicinos plėtros 2016–2025 m. veiksmų planas</w:t>
                    </w:r>
                  </w:p>
                </w:tc>
                <w:tc>
                  <w:tcPr>
                    <w:tcW w:w="1202"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920"/>
                </w:trPr>
                <w:tc>
                  <w:tcPr>
                    <w:tcW w:w="2103"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5 700,000</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5 700,000</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86"/>
                </w:trPr>
                <w:tc>
                  <w:tcPr>
                    <w:tcW w:w="2103"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7 603,764</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7 603,764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20"/>
                </w:trPr>
                <w:tc>
                  <w:tcPr>
                    <w:tcW w:w="2103"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jc w:val="center"/>
                      <w:rPr>
                        <w:strike/>
                        <w:sz w:val="20"/>
                      </w:rPr>
                    </w:pPr>
                    <w:r>
                      <w:rPr>
                        <w:sz w:val="20"/>
                      </w:rPr>
                      <w:t>27 218,273</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jc w:val="center"/>
                      <w:rPr>
                        <w:sz w:val="20"/>
                      </w:rPr>
                    </w:pPr>
                    <w:r>
                      <w:rPr>
                        <w:sz w:val="20"/>
                      </w:rPr>
                      <w:t>4 803,224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120"/>
                </w:trPr>
                <w:tc>
                  <w:tcPr>
                    <w:tcW w:w="2103"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50 398,601</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8 893,871</w:t>
                    </w:r>
                  </w:p>
                </w:tc>
                <w:tc>
                  <w:tcPr>
                    <w:tcW w:w="1066" w:type="dxa"/>
                    <w:vMerge w:val="restart"/>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655"/>
                </w:trPr>
                <w:tc>
                  <w:tcPr>
                    <w:tcW w:w="12758" w:type="dxa"/>
                    <w:gridSpan w:val="18"/>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6" w:type="dxa"/>
                    <w:vMerge w:val="restart"/>
                    <w:tcBorders>
                      <w:left w:val="single" w:sz="4" w:space="0" w:color="auto"/>
                      <w:right w:val="single" w:sz="4" w:space="0" w:color="auto"/>
                    </w:tcBorders>
                  </w:tcPr>
                  <w:p>
                    <w:pPr>
                      <w:rPr>
                        <w:color w:val="000000"/>
                        <w:sz w:val="20"/>
                      </w:rPr>
                    </w:pPr>
                  </w:p>
                </w:tc>
              </w:tr>
              <w:tr>
                <w:trPr>
                  <w:trHeight w:val="2371"/>
                </w:trPr>
                <w:tc>
                  <w:tcPr>
                    <w:tcW w:w="12758" w:type="dxa"/>
                    <w:gridSpan w:val="18"/>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5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tcPr>
                  <w:p>
                    <w:pPr>
                      <w:rPr>
                        <w:sz w:val="20"/>
                      </w:rPr>
                    </w:pPr>
                    <w:r>
                      <w:rPr>
                        <w:sz w:val="20"/>
                      </w:rPr>
                      <w:t>6.9. ASPĮ išlaidų, patirtų įgyvendinant pertvarką, kompensavimas</w:t>
                    </w:r>
                  </w:p>
                </w:tc>
                <w:tc>
                  <w:tcPr>
                    <w:tcW w:w="800" w:type="dxa"/>
                    <w:gridSpan w:val="2"/>
                  </w:tcPr>
                  <w:p>
                    <w:pPr>
                      <w:rPr>
                        <w:sz w:val="20"/>
                      </w:rPr>
                    </w:pPr>
                    <w:r>
                      <w:rPr>
                        <w:sz w:val="20"/>
                      </w:rPr>
                      <w:t>I</w:t>
                    </w:r>
                  </w:p>
                </w:tc>
                <w:tc>
                  <w:tcPr>
                    <w:tcW w:w="1972" w:type="dxa"/>
                  </w:tcPr>
                  <w:p>
                    <w:pPr>
                      <w:rPr>
                        <w:sz w:val="20"/>
                      </w:rPr>
                    </w:pPr>
                    <w:r>
                      <w:rPr>
                        <w:sz w:val="20"/>
                      </w:rPr>
                      <w:t>ASPĮ</w:t>
                    </w:r>
                  </w:p>
                </w:tc>
                <w:tc>
                  <w:tcPr>
                    <w:tcW w:w="781" w:type="dxa"/>
                    <w:gridSpan w:val="3"/>
                  </w:tcPr>
                  <w:p>
                    <w:pPr>
                      <w:rPr>
                        <w:sz w:val="20"/>
                      </w:rPr>
                    </w:pPr>
                    <w:r>
                      <w:rPr>
                        <w:sz w:val="20"/>
                      </w:rPr>
                      <w:t>P</w:t>
                    </w:r>
                  </w:p>
                </w:tc>
                <w:tc>
                  <w:tcPr>
                    <w:tcW w:w="1014" w:type="dxa"/>
                    <w:gridSpan w:val="2"/>
                  </w:tcPr>
                  <w:p>
                    <w:pPr>
                      <w:rPr>
                        <w:sz w:val="20"/>
                      </w:rPr>
                    </w:pPr>
                    <w:r>
                      <w:rPr>
                        <w:sz w:val="20"/>
                      </w:rPr>
                      <w:t>Taip</w:t>
                    </w:r>
                  </w:p>
                </w:tc>
                <w:tc>
                  <w:tcPr>
                    <w:tcW w:w="681" w:type="dxa"/>
                    <w:gridSpan w:val="3"/>
                  </w:tcPr>
                  <w:p>
                    <w:pPr>
                      <w:rPr>
                        <w:sz w:val="20"/>
                      </w:rPr>
                    </w:pPr>
                    <w:r>
                      <w:rPr>
                        <w:sz w:val="20"/>
                      </w:rPr>
                      <w:t>D</w:t>
                    </w:r>
                  </w:p>
                </w:tc>
                <w:tc>
                  <w:tcPr>
                    <w:tcW w:w="1216" w:type="dxa"/>
                  </w:tcPr>
                  <w:p>
                    <w:pPr>
                      <w:rPr>
                        <w:sz w:val="20"/>
                      </w:rPr>
                    </w:pPr>
                    <w:r>
                      <w:rPr>
                        <w:sz w:val="20"/>
                        <w:lang w:val="en-US"/>
                      </w:rPr>
                      <w:t>8 000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202"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6" w:type="dxa"/>
                    <w:tcBorders>
                      <w:left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03"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shd w:val="clear" w:color="auto" w:fill="auto"/>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2 523,178</w:t>
                    </w:r>
                  </w:p>
                  <w:p>
                    <w:pPr>
                      <w:rPr>
                        <w:sz w:val="20"/>
                        <w:lang w:val="en-US"/>
                      </w:rPr>
                    </w:pPr>
                  </w:p>
                </w:tc>
                <w:tc>
                  <w:tcPr>
                    <w:tcW w:w="1066" w:type="dxa"/>
                  </w:tcPr>
                  <w:p>
                    <w:pPr>
                      <w:rPr>
                        <w:sz w:val="20"/>
                      </w:rPr>
                    </w:pPr>
                    <w:r>
                      <w:rPr>
                        <w:sz w:val="20"/>
                      </w:rPr>
                      <w:t>2021–2027 m. IP (ERPF)</w:t>
                    </w: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2 523,178</w:t>
                    </w:r>
                  </w:p>
                </w:tc>
                <w:tc>
                  <w:tcPr>
                    <w:tcW w:w="1066" w:type="dxa"/>
                  </w:tcPr>
                  <w:p>
                    <w:pPr>
                      <w:rPr>
                        <w:sz w:val="20"/>
                      </w:rPr>
                    </w:pPr>
                    <w:r>
                      <w:rPr>
                        <w:sz w:val="20"/>
                      </w:rPr>
                      <w:t>2021–2027 m. IP (BF)</w:t>
                    </w: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025"/>
                </w:trPr>
                <w:tc>
                  <w:tcPr>
                    <w:tcW w:w="2103"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800" w:type="dxa"/>
                    <w:gridSpan w:val="2"/>
                    <w:vMerge w:val="restart"/>
                  </w:tcPr>
                  <w:p>
                    <w:pPr>
                      <w:rPr>
                        <w:sz w:val="20"/>
                      </w:rPr>
                    </w:pPr>
                    <w:r>
                      <w:rPr>
                        <w:sz w:val="20"/>
                      </w:rPr>
                      <w:t>I</w:t>
                    </w:r>
                  </w:p>
                  <w:p>
                    <w:pPr>
                      <w:rPr>
                        <w:sz w:val="20"/>
                      </w:rPr>
                    </w:pPr>
                  </w:p>
                </w:tc>
                <w:tc>
                  <w:tcPr>
                    <w:tcW w:w="1972" w:type="dxa"/>
                    <w:vMerge w:val="restart"/>
                  </w:tcPr>
                  <w:p>
                    <w:pPr>
                      <w:rPr>
                        <w:sz w:val="20"/>
                      </w:rPr>
                    </w:pPr>
                    <w:r>
                      <w:rPr>
                        <w:sz w:val="20"/>
                      </w:rPr>
                      <w:t>ASPĮ</w:t>
                    </w:r>
                  </w:p>
                  <w:p>
                    <w:pPr>
                      <w:rPr>
                        <w:sz w:val="20"/>
                      </w:rPr>
                    </w:pPr>
                  </w:p>
                </w:tc>
                <w:tc>
                  <w:tcPr>
                    <w:tcW w:w="781" w:type="dxa"/>
                    <w:gridSpan w:val="3"/>
                    <w:vMerge w:val="restart"/>
                    <w:shd w:val="clear" w:color="auto" w:fill="auto"/>
                  </w:tcPr>
                  <w:p>
                    <w:pPr>
                      <w:rPr>
                        <w:sz w:val="20"/>
                      </w:rPr>
                    </w:pPr>
                    <w:r>
                      <w:rPr>
                        <w:sz w:val="20"/>
                      </w:rPr>
                      <w:t>P</w:t>
                    </w:r>
                  </w:p>
                  <w:p>
                    <w:pPr>
                      <w:rPr>
                        <w:sz w:val="20"/>
                      </w:rPr>
                    </w:pPr>
                  </w:p>
                </w:tc>
                <w:tc>
                  <w:tcPr>
                    <w:tcW w:w="1014" w:type="dxa"/>
                    <w:gridSpan w:val="2"/>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216" w:type="dxa"/>
                  </w:tcPr>
                  <w:p>
                    <w:pPr>
                      <w:rPr>
                        <w:sz w:val="20"/>
                        <w:lang w:val="en-US"/>
                      </w:rPr>
                    </w:pPr>
                    <w:r>
                      <w:rPr>
                        <w:sz w:val="20"/>
                        <w:lang w:val="en-US"/>
                      </w:rPr>
                      <w:t>12 710,597</w:t>
                    </w:r>
                  </w:p>
                </w:tc>
                <w:tc>
                  <w:tcPr>
                    <w:tcW w:w="1066" w:type="dxa"/>
                  </w:tcPr>
                  <w:p>
                    <w:pPr>
                      <w:rPr>
                        <w:sz w:val="20"/>
                      </w:rPr>
                    </w:pPr>
                    <w:r>
                      <w:rPr>
                        <w:sz w:val="20"/>
                      </w:rPr>
                      <w:t>2021–2027 m. IP (ERPF)</w:t>
                    </w:r>
                  </w:p>
                  <w:p>
                    <w:pPr>
                      <w:rPr>
                        <w:sz w:val="20"/>
                      </w:rPr>
                    </w:pP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7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2 243,047</w:t>
                    </w:r>
                  </w:p>
                  <w:p>
                    <w:pPr>
                      <w:rPr>
                        <w:sz w:val="20"/>
                      </w:rPr>
                    </w:pPr>
                  </w:p>
                </w:tc>
                <w:tc>
                  <w:tcPr>
                    <w:tcW w:w="1066" w:type="dxa"/>
                  </w:tcPr>
                  <w:p>
                    <w:pPr>
                      <w:rPr>
                        <w:sz w:val="20"/>
                      </w:rPr>
                    </w:pPr>
                    <w:r>
                      <w:rPr>
                        <w:sz w:val="20"/>
                      </w:rPr>
                      <w:t>2021–2027 m. IP (BF)</w:t>
                    </w:r>
                  </w:p>
                  <w:p>
                    <w:pPr>
                      <w:rPr>
                        <w:sz w:val="20"/>
                      </w:rPr>
                    </w:pP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103"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800" w:type="dxa"/>
                    <w:gridSpan w:val="2"/>
                  </w:tcPr>
                  <w:p>
                    <w:pPr>
                      <w:rPr>
                        <w:sz w:val="22"/>
                        <w:szCs w:val="22"/>
                      </w:rPr>
                    </w:pPr>
                    <w:r>
                      <w:rPr>
                        <w:sz w:val="20"/>
                      </w:rPr>
                      <w:t>I</w:t>
                    </w:r>
                  </w:p>
                </w:tc>
                <w:tc>
                  <w:tcPr>
                    <w:tcW w:w="1972" w:type="dxa"/>
                  </w:tcPr>
                  <w:p>
                    <w:pPr>
                      <w:rPr>
                        <w:sz w:val="22"/>
                        <w:szCs w:val="22"/>
                      </w:rPr>
                    </w:pPr>
                    <w:r>
                      <w:rPr>
                        <w:sz w:val="20"/>
                      </w:rPr>
                      <w:t>ASPĮ</w:t>
                    </w:r>
                  </w:p>
                </w:tc>
                <w:tc>
                  <w:tcPr>
                    <w:tcW w:w="781" w:type="dxa"/>
                    <w:gridSpan w:val="3"/>
                  </w:tcPr>
                  <w:p>
                    <w:pPr>
                      <w:rPr>
                        <w:sz w:val="22"/>
                        <w:szCs w:val="22"/>
                      </w:rPr>
                    </w:pPr>
                    <w:r>
                      <w:rPr>
                        <w:sz w:val="20"/>
                      </w:rPr>
                      <w:t>P</w:t>
                    </w:r>
                  </w:p>
                </w:tc>
                <w:tc>
                  <w:tcPr>
                    <w:tcW w:w="1014" w:type="dxa"/>
                    <w:gridSpan w:val="2"/>
                  </w:tcPr>
                  <w:p>
                    <w:pPr>
                      <w:rPr>
                        <w:sz w:val="22"/>
                        <w:szCs w:val="22"/>
                      </w:rPr>
                    </w:pPr>
                    <w:r>
                      <w:rPr>
                        <w:sz w:val="20"/>
                      </w:rPr>
                      <w:t>Taip</w:t>
                    </w:r>
                  </w:p>
                </w:tc>
                <w:tc>
                  <w:tcPr>
                    <w:tcW w:w="681" w:type="dxa"/>
                    <w:gridSpan w:val="3"/>
                  </w:tcPr>
                  <w:p>
                    <w:pPr>
                      <w:rPr>
                        <w:sz w:val="22"/>
                        <w:szCs w:val="22"/>
                      </w:rPr>
                    </w:pPr>
                    <w:r>
                      <w:rPr>
                        <w:sz w:val="20"/>
                      </w:rPr>
                      <w:t>D</w:t>
                    </w:r>
                  </w:p>
                </w:tc>
                <w:tc>
                  <w:tcPr>
                    <w:tcW w:w="1216" w:type="dxa"/>
                  </w:tcPr>
                  <w:p>
                    <w:pPr>
                      <w:rPr>
                        <w:sz w:val="22"/>
                        <w:szCs w:val="22"/>
                        <w:lang w:val="en-US"/>
                      </w:rPr>
                    </w:pPr>
                    <w:r>
                      <w:rPr>
                        <w:sz w:val="20"/>
                      </w:rPr>
                      <w:t>6 000</w:t>
                    </w:r>
                  </w:p>
                </w:tc>
                <w:tc>
                  <w:tcPr>
                    <w:tcW w:w="1066" w:type="dxa"/>
                  </w:tcPr>
                  <w:p>
                    <w:pPr>
                      <w:rPr>
                        <w:sz w:val="22"/>
                        <w:szCs w:val="22"/>
                      </w:rPr>
                    </w:pPr>
                    <w:r>
                      <w:rPr>
                        <w:sz w:val="20"/>
                      </w:rPr>
                      <w:t>VB</w:t>
                    </w:r>
                  </w:p>
                </w:tc>
                <w:tc>
                  <w:tcPr>
                    <w:tcW w:w="1923" w:type="dxa"/>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202"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6"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03"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LMB</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lang w:val="en-US"/>
                      </w:rPr>
                    </w:pPr>
                    <w:r>
                      <w:rPr>
                        <w:sz w:val="20"/>
                      </w:rPr>
                      <w:t>3 544,845</w:t>
                    </w:r>
                  </w:p>
                </w:tc>
                <w:tc>
                  <w:tcPr>
                    <w:tcW w:w="1066"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1923"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03" w:type="dxa"/>
                    <w:gridSpan w:val="2"/>
                    <w:vMerge/>
                    <w:tcBorders>
                      <w:left w:val="single" w:sz="4" w:space="0" w:color="auto"/>
                      <w:right w:val="single" w:sz="4" w:space="0" w:color="auto"/>
                    </w:tcBorders>
                    <w:shd w:val="clear" w:color="auto" w:fill="auto"/>
                  </w:tcPr>
                  <w:p>
                    <w:pPr>
                      <w:rPr>
                        <w:sz w:val="20"/>
                      </w:rPr>
                    </w:pPr>
                  </w:p>
                </w:tc>
                <w:tc>
                  <w:tcPr>
                    <w:tcW w:w="800" w:type="dxa"/>
                    <w:gridSpan w:val="2"/>
                    <w:vMerge/>
                    <w:tcBorders>
                      <w:left w:val="single" w:sz="4" w:space="0" w:color="auto"/>
                      <w:right w:val="single" w:sz="4" w:space="0" w:color="auto"/>
                    </w:tcBorders>
                  </w:tcPr>
                  <w:p>
                    <w:pPr>
                      <w:rPr>
                        <w:sz w:val="20"/>
                      </w:rPr>
                    </w:pPr>
                  </w:p>
                </w:tc>
                <w:tc>
                  <w:tcPr>
                    <w:tcW w:w="1972" w:type="dxa"/>
                    <w:vMerge/>
                    <w:tcBorders>
                      <w:left w:val="single" w:sz="4" w:space="0" w:color="auto"/>
                      <w:right w:val="single" w:sz="4" w:space="0" w:color="auto"/>
                    </w:tcBorders>
                  </w:tcPr>
                  <w:p>
                    <w:pPr>
                      <w:rPr>
                        <w:sz w:val="20"/>
                      </w:rPr>
                    </w:pPr>
                  </w:p>
                </w:tc>
                <w:tc>
                  <w:tcPr>
                    <w:tcW w:w="781" w:type="dxa"/>
                    <w:gridSpan w:val="3"/>
                    <w:vMerge/>
                    <w:tcBorders>
                      <w:left w:val="single" w:sz="4" w:space="0" w:color="auto"/>
                      <w:right w:val="single" w:sz="4" w:space="0" w:color="auto"/>
                    </w:tcBorders>
                  </w:tcPr>
                  <w:p>
                    <w:pPr>
                      <w:rPr>
                        <w:sz w:val="20"/>
                      </w:rPr>
                    </w:pPr>
                  </w:p>
                </w:tc>
                <w:tc>
                  <w:tcPr>
                    <w:tcW w:w="1014" w:type="dxa"/>
                    <w:gridSpan w:val="2"/>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216" w:type="dxa"/>
                    <w:tcBorders>
                      <w:top w:val="single" w:sz="4" w:space="0" w:color="auto"/>
                      <w:left w:val="single" w:sz="4" w:space="0" w:color="auto"/>
                      <w:right w:val="single" w:sz="4" w:space="0" w:color="auto"/>
                    </w:tcBorders>
                  </w:tcPr>
                  <w:p>
                    <w:pPr>
                      <w:rPr>
                        <w:sz w:val="20"/>
                        <w:lang w:val="en-US"/>
                      </w:rPr>
                    </w:pPr>
                    <w:r>
                      <w:rPr>
                        <w:sz w:val="20"/>
                      </w:rPr>
                      <w:t>625, 561</w:t>
                    </w:r>
                  </w:p>
                </w:tc>
                <w:tc>
                  <w:tcPr>
                    <w:tcW w:w="1066" w:type="dxa"/>
                    <w:tcBorders>
                      <w:left w:val="single" w:sz="4" w:space="0" w:color="auto"/>
                      <w:right w:val="single" w:sz="4" w:space="0" w:color="auto"/>
                    </w:tcBorders>
                  </w:tcPr>
                  <w:p>
                    <w:pPr>
                      <w:rPr>
                        <w:sz w:val="20"/>
                      </w:rPr>
                    </w:pPr>
                    <w:r>
                      <w:rPr>
                        <w:sz w:val="20"/>
                      </w:rPr>
                      <w:t>2021–2027 m. IP (BF)</w:t>
                    </w:r>
                  </w:p>
                </w:tc>
                <w:tc>
                  <w:tcPr>
                    <w:tcW w:w="1923" w:type="dxa"/>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202"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800" w:type="dxa"/>
                    <w:gridSpan w:val="2"/>
                    <w:shd w:val="clear" w:color="auto" w:fill="F2F2F2" w:themeFill="background1" w:themeFillShade="F2"/>
                  </w:tcPr>
                  <w:p>
                    <w:pPr>
                      <w:rPr>
                        <w:sz w:val="20"/>
                      </w:rPr>
                    </w:pPr>
                    <w:r>
                      <w:rPr>
                        <w:sz w:val="20"/>
                      </w:rPr>
                      <w:t>-</w:t>
                    </w:r>
                  </w:p>
                </w:tc>
                <w:tc>
                  <w:tcPr>
                    <w:tcW w:w="1972" w:type="dxa"/>
                    <w:shd w:val="clear" w:color="auto" w:fill="F2F2F2" w:themeFill="background1" w:themeFillShade="F2"/>
                  </w:tcPr>
                  <w:p>
                    <w:pPr>
                      <w:rPr>
                        <w:sz w:val="20"/>
                      </w:rPr>
                    </w:pPr>
                    <w:r>
                      <w:rPr>
                        <w:sz w:val="20"/>
                      </w:rPr>
                      <w:t>-</w:t>
                    </w:r>
                  </w:p>
                </w:tc>
                <w:tc>
                  <w:tcPr>
                    <w:tcW w:w="781" w:type="dxa"/>
                    <w:gridSpan w:val="3"/>
                    <w:shd w:val="clear" w:color="auto" w:fill="F2F2F2" w:themeFill="background1" w:themeFillShade="F2"/>
                  </w:tcPr>
                  <w:p>
                    <w:pPr>
                      <w:rPr>
                        <w:sz w:val="20"/>
                      </w:rPr>
                    </w:pPr>
                    <w:r>
                      <w:rPr>
                        <w:sz w:val="20"/>
                      </w:rPr>
                      <w:t>-</w:t>
                    </w:r>
                  </w:p>
                </w:tc>
                <w:tc>
                  <w:tcPr>
                    <w:tcW w:w="1014" w:type="dxa"/>
                    <w:gridSpan w:val="2"/>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216" w:type="dxa"/>
                    <w:shd w:val="clear" w:color="auto" w:fill="F2F2F2" w:themeFill="background1" w:themeFillShade="F2"/>
                  </w:tcPr>
                  <w:p>
                    <w:pPr>
                      <w:rPr>
                        <w:sz w:val="20"/>
                        <w:lang w:val="en-US"/>
                      </w:rPr>
                    </w:pPr>
                    <w:r>
                      <w:rPr>
                        <w:b/>
                        <w:bCs/>
                        <w:sz w:val="20"/>
                      </w:rPr>
                      <w:t>7 000</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w:t>
                    </w:r>
                  </w:p>
                </w:tc>
                <w:tc>
                  <w:tcPr>
                    <w:tcW w:w="1202"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tcPr>
                  <w:p>
                    <w:pPr>
                      <w:rPr>
                        <w:sz w:val="20"/>
                      </w:rPr>
                    </w:pPr>
                    <w:r>
                      <w:rPr>
                        <w:sz w:val="20"/>
                      </w:rPr>
                      <w:t>8.1. Pavėžėjimo paslaugų organizavimą ir teikimą reglamentuojančių teisės aktų parengimas</w:t>
                    </w:r>
                  </w:p>
                </w:tc>
                <w:tc>
                  <w:tcPr>
                    <w:tcW w:w="800" w:type="dxa"/>
                    <w:gridSpan w:val="2"/>
                  </w:tcPr>
                  <w:p>
                    <w:pPr>
                      <w:rPr>
                        <w:sz w:val="20"/>
                      </w:rPr>
                    </w:pPr>
                    <w:r>
                      <w:rPr>
                        <w:sz w:val="20"/>
                      </w:rPr>
                      <w:t>R</w:t>
                    </w:r>
                  </w:p>
                </w:tc>
                <w:tc>
                  <w:tcPr>
                    <w:tcW w:w="1972" w:type="dxa"/>
                  </w:tcPr>
                  <w:p>
                    <w:pPr>
                      <w:rPr>
                        <w:sz w:val="20"/>
                      </w:rPr>
                    </w:pPr>
                    <w:r>
                      <w:rPr>
                        <w:sz w:val="20"/>
                      </w:rPr>
                      <w:t>-</w:t>
                    </w:r>
                  </w:p>
                </w:tc>
                <w:tc>
                  <w:tcPr>
                    <w:tcW w:w="781" w:type="dxa"/>
                    <w:gridSpan w:val="3"/>
                  </w:tcPr>
                  <w:p>
                    <w:pPr>
                      <w:rPr>
                        <w:sz w:val="20"/>
                      </w:rPr>
                    </w:pPr>
                    <w:r>
                      <w:rPr>
                        <w:sz w:val="20"/>
                      </w:rPr>
                      <w:t>-</w:t>
                    </w:r>
                  </w:p>
                </w:tc>
                <w:tc>
                  <w:tcPr>
                    <w:tcW w:w="1014" w:type="dxa"/>
                    <w:gridSpan w:val="2"/>
                  </w:tcPr>
                  <w:p>
                    <w:pPr>
                      <w:rPr>
                        <w:sz w:val="20"/>
                      </w:rPr>
                    </w:pPr>
                    <w:r>
                      <w:rPr>
                        <w:sz w:val="20"/>
                      </w:rPr>
                      <w:t>Taip</w:t>
                    </w:r>
                  </w:p>
                </w:tc>
                <w:tc>
                  <w:tcPr>
                    <w:tcW w:w="681" w:type="dxa"/>
                    <w:gridSpan w:val="3"/>
                  </w:tcPr>
                  <w:p>
                    <w:pPr>
                      <w:rPr>
                        <w:sz w:val="20"/>
                      </w:rPr>
                    </w:pPr>
                    <w:r>
                      <w:rPr>
                        <w:sz w:val="20"/>
                      </w:rPr>
                      <w:t>-</w:t>
                    </w:r>
                  </w:p>
                </w:tc>
                <w:tc>
                  <w:tcPr>
                    <w:tcW w:w="1216" w:type="dxa"/>
                  </w:tcPr>
                  <w:p>
                    <w:pPr>
                      <w:rPr>
                        <w:sz w:val="20"/>
                        <w:lang w:val="en-US"/>
                      </w:rPr>
                    </w:pPr>
                    <w:r>
                      <w:rPr>
                        <w:sz w:val="20"/>
                        <w:lang w:val="en-US"/>
                      </w:rPr>
                      <w:t>-</w:t>
                    </w:r>
                  </w:p>
                </w:tc>
                <w:tc>
                  <w:tcPr>
                    <w:tcW w:w="1066" w:type="dxa"/>
                  </w:tcPr>
                  <w:p>
                    <w:pPr>
                      <w:rPr>
                        <w:sz w:val="20"/>
                      </w:rPr>
                    </w:pPr>
                    <w:r>
                      <w:rPr>
                        <w:sz w:val="20"/>
                      </w:rPr>
                      <w:t>-</w:t>
                    </w:r>
                  </w:p>
                </w:tc>
                <w:tc>
                  <w:tcPr>
                    <w:tcW w:w="1923" w:type="dxa"/>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202"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6"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03" w:type="dxa"/>
                    <w:gridSpan w:val="2"/>
                    <w:vMerge w:val="restart"/>
                  </w:tcPr>
                  <w:p>
                    <w:pPr>
                      <w:rPr>
                        <w:sz w:val="20"/>
                      </w:rPr>
                    </w:pPr>
                    <w:r>
                      <w:rPr>
                        <w:sz w:val="20"/>
                      </w:rPr>
                      <w:t>8.2. Bandomojo pavėžėjimo paslaugų teikimo projekto įgyvendinimas</w:t>
                    </w:r>
                  </w:p>
                </w:tc>
                <w:tc>
                  <w:tcPr>
                    <w:tcW w:w="800" w:type="dxa"/>
                    <w:gridSpan w:val="2"/>
                    <w:vMerge w:val="restart"/>
                  </w:tcPr>
                  <w:p>
                    <w:pPr>
                      <w:rPr>
                        <w:sz w:val="20"/>
                      </w:rPr>
                    </w:pPr>
                    <w:r>
                      <w:rPr>
                        <w:sz w:val="20"/>
                      </w:rPr>
                      <w:t>M</w:t>
                    </w:r>
                  </w:p>
                </w:tc>
                <w:tc>
                  <w:tcPr>
                    <w:tcW w:w="1972" w:type="dxa"/>
                    <w:vMerge w:val="restart"/>
                  </w:tcPr>
                  <w:p>
                    <w:pPr>
                      <w:rPr>
                        <w:sz w:val="20"/>
                      </w:rPr>
                    </w:pPr>
                    <w:r>
                      <w:rPr>
                        <w:sz w:val="20"/>
                      </w:rPr>
                      <w:t>V</w:t>
                    </w:r>
                    <w:r>
                      <w:rPr>
                        <w:sz w:val="18"/>
                        <w:szCs w:val="18"/>
                      </w:rPr>
                      <w:t>šĮ Kauno miesto greitosios medicinos pagalbos stotis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lang w:val="en-US"/>
                      </w:rPr>
                    </w:pPr>
                    <w:r>
                      <w:rPr>
                        <w:sz w:val="20"/>
                        <w:lang w:val="en-US"/>
                      </w:rPr>
                      <w:t>7 000</w:t>
                    </w:r>
                  </w:p>
                </w:tc>
                <w:tc>
                  <w:tcPr>
                    <w:tcW w:w="1066" w:type="dxa"/>
                    <w:vMerge w:val="restart"/>
                  </w:tcPr>
                  <w:p>
                    <w:pPr>
                      <w:rPr>
                        <w:sz w:val="20"/>
                      </w:rPr>
                    </w:pPr>
                    <w:r>
                      <w:rPr>
                        <w:sz w:val="20"/>
                      </w:rPr>
                      <w:t>VB</w:t>
                    </w:r>
                  </w:p>
                </w:tc>
                <w:tc>
                  <w:tcPr>
                    <w:tcW w:w="1923" w:type="dxa"/>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202"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202"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20"/>
                </w:trPr>
                <w:tc>
                  <w:tcPr>
                    <w:tcW w:w="2092" w:type="dxa"/>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738" w:type="dxa"/>
                    <w:gridSpan w:val="2"/>
                    <w:vMerge w:val="restart"/>
                    <w:tcMar>
                      <w:left w:w="105" w:type="dxa"/>
                      <w:right w:w="105" w:type="dxa"/>
                    </w:tcMar>
                  </w:tcPr>
                  <w:p>
                    <w:pPr>
                      <w:rPr>
                        <w:color w:val="000000"/>
                        <w:sz w:val="20"/>
                      </w:rPr>
                    </w:pPr>
                    <w:r>
                      <w:rPr>
                        <w:color w:val="000000"/>
                        <w:sz w:val="20"/>
                      </w:rPr>
                      <w:t>-</w:t>
                    </w:r>
                  </w:p>
                </w:tc>
                <w:tc>
                  <w:tcPr>
                    <w:tcW w:w="2111" w:type="dxa"/>
                    <w:gridSpan w:val="3"/>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4"/>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jc w:val="center"/>
                      <w:rPr>
                        <w:color w:val="000000"/>
                        <w:sz w:val="20"/>
                      </w:rPr>
                    </w:pPr>
                    <w:r>
                      <w:rPr>
                        <w:color w:val="000000"/>
                        <w:sz w:val="20"/>
                      </w:rPr>
                      <w:t>902,535</w:t>
                    </w:r>
                  </w:p>
                </w:tc>
                <w:tc>
                  <w:tcPr>
                    <w:tcW w:w="1066" w:type="dxa"/>
                    <w:tcMar>
                      <w:left w:w="105" w:type="dxa"/>
                      <w:right w:w="105" w:type="dxa"/>
                    </w:tcMar>
                  </w:tcPr>
                  <w:p>
                    <w:pPr>
                      <w:rPr>
                        <w:color w:val="000000"/>
                        <w:sz w:val="20"/>
                      </w:rPr>
                    </w:pPr>
                    <w:r>
                      <w:rPr>
                        <w:color w:val="000000"/>
                        <w:sz w:val="20"/>
                      </w:rPr>
                      <w:t xml:space="preserve">- </w:t>
                    </w:r>
                  </w:p>
                </w:tc>
                <w:tc>
                  <w:tcPr>
                    <w:tcW w:w="1923" w:type="dxa"/>
                    <w:vMerge w:val="restart"/>
                    <w:tcMar>
                      <w:left w:w="105" w:type="dxa"/>
                      <w:right w:w="105" w:type="dxa"/>
                    </w:tcMar>
                  </w:tcPr>
                  <w:p>
                    <w:pPr>
                      <w:ind w:left="-57" w:right="-57"/>
                      <w:rPr>
                        <w:color w:val="000000"/>
                        <w:sz w:val="20"/>
                      </w:rPr>
                    </w:pPr>
                    <w:r>
                      <w:rPr>
                        <w:color w:val="000000"/>
                        <w:sz w:val="20"/>
                      </w:rPr>
                      <w:t>-</w:t>
                    </w:r>
                  </w:p>
                </w:tc>
                <w:tc>
                  <w:tcPr>
                    <w:tcW w:w="1076" w:type="dxa"/>
                    <w:vMerge w:val="restart"/>
                    <w:tcMar>
                      <w:left w:w="105" w:type="dxa"/>
                      <w:right w:w="105" w:type="dxa"/>
                    </w:tcMar>
                  </w:tcPr>
                  <w:p>
                    <w:pPr>
                      <w:ind w:left="-57" w:right="-57"/>
                      <w:jc w:val="center"/>
                      <w:rPr>
                        <w:color w:val="000000"/>
                        <w:sz w:val="20"/>
                      </w:rPr>
                    </w:pPr>
                    <w:r>
                      <w:rPr>
                        <w:color w:val="000000"/>
                        <w:sz w:val="20"/>
                      </w:rPr>
                      <w:t>-</w:t>
                    </w:r>
                  </w:p>
                </w:tc>
                <w:tc>
                  <w:tcPr>
                    <w:tcW w:w="1118" w:type="dxa"/>
                    <w:gridSpan w:val="2"/>
                    <w:vMerge w:val="restart"/>
                    <w:tcMar>
                      <w:left w:w="105" w:type="dxa"/>
                      <w:right w:w="105" w:type="dxa"/>
                    </w:tcMar>
                  </w:tcPr>
                  <w:p>
                    <w:pPr>
                      <w:rPr>
                        <w:color w:val="000000"/>
                        <w:sz w:val="20"/>
                      </w:rPr>
                    </w:pPr>
                    <w:r>
                      <w:rPr>
                        <w:color w:val="000000"/>
                        <w:sz w:val="20"/>
                      </w:rPr>
                      <w:t>-</w:t>
                    </w:r>
                  </w:p>
                </w:tc>
                <w:tc>
                  <w:tcPr>
                    <w:tcW w:w="1276" w:type="dxa"/>
                    <w:vMerge w:val="restart"/>
                    <w:tcMar>
                      <w:left w:w="105" w:type="dxa"/>
                      <w:right w:w="105" w:type="dxa"/>
                    </w:tcMar>
                    <w:vAlign w:val="center"/>
                  </w:tcPr>
                  <w:p>
                    <w:pPr>
                      <w:ind w:firstLine="53"/>
                      <w:rPr>
                        <w:color w:val="000000"/>
                        <w:sz w:val="20"/>
                      </w:rPr>
                    </w:pPr>
                  </w:p>
                </w:tc>
              </w:tr>
              <w:tr>
                <w:trPr>
                  <w:trHeight w:val="76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(BF,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6 028,243</w:t>
                    </w:r>
                  </w:p>
                </w:tc>
                <w:tc>
                  <w:tcPr>
                    <w:tcW w:w="1066" w:type="dxa"/>
                    <w:tcMar>
                      <w:left w:w="105" w:type="dxa"/>
                      <w:right w:w="105" w:type="dxa"/>
                    </w:tcMar>
                  </w:tcPr>
                  <w:p>
                    <w:pPr>
                      <w:rPr>
                        <w:color w:val="000000"/>
                        <w:sz w:val="20"/>
                      </w:rPr>
                    </w:pPr>
                    <w:r>
                      <w:rPr>
                        <w:color w:val="000000"/>
                        <w:sz w:val="20"/>
                      </w:rPr>
                      <w:t>2021–2027 m. IP (BF,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738" w:type="dxa"/>
                    <w:gridSpan w:val="2"/>
                    <w:tcMar>
                      <w:left w:w="105" w:type="dxa"/>
                      <w:right w:w="105" w:type="dxa"/>
                    </w:tcMar>
                  </w:tcPr>
                  <w:p>
                    <w:pPr>
                      <w:rPr>
                        <w:color w:val="000000"/>
                        <w:sz w:val="20"/>
                      </w:rPr>
                    </w:pPr>
                    <w:r>
                      <w:rPr>
                        <w:color w:val="000000"/>
                        <w:sz w:val="20"/>
                      </w:rPr>
                      <w:t>R</w:t>
                    </w:r>
                  </w:p>
                </w:tc>
                <w:tc>
                  <w:tcPr>
                    <w:tcW w:w="2111" w:type="dxa"/>
                    <w:gridSpan w:val="3"/>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4"/>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rPr>
                        <w:color w:val="000000"/>
                        <w:sz w:val="20"/>
                      </w:rPr>
                    </w:pPr>
                    <w:r>
                      <w:rPr>
                        <w:color w:val="000000"/>
                        <w:sz w:val="20"/>
                        <w:lang w:val="en-US"/>
                      </w:rPr>
                      <w:t>-</w:t>
                    </w:r>
                  </w:p>
                </w:tc>
                <w:tc>
                  <w:tcPr>
                    <w:tcW w:w="1066" w:type="dxa"/>
                    <w:tcMar>
                      <w:left w:w="105" w:type="dxa"/>
                      <w:right w:w="105" w:type="dxa"/>
                    </w:tcMar>
                  </w:tcPr>
                  <w:p>
                    <w:pPr>
                      <w:rPr>
                        <w:color w:val="000000"/>
                        <w:sz w:val="20"/>
                      </w:rPr>
                    </w:pPr>
                    <w:r>
                      <w:rPr>
                        <w:color w:val="000000"/>
                        <w:sz w:val="20"/>
                      </w:rPr>
                      <w:t>-</w:t>
                    </w:r>
                  </w:p>
                </w:tc>
                <w:tc>
                  <w:tcPr>
                    <w:tcW w:w="1923" w:type="dxa"/>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76"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18" w:type="dxa"/>
                    <w:gridSpan w:val="2"/>
                    <w:tcMar>
                      <w:left w:w="105" w:type="dxa"/>
                      <w:right w:w="105" w:type="dxa"/>
                    </w:tcMar>
                  </w:tcPr>
                  <w:p>
                    <w:pPr>
                      <w:jc w:val="center"/>
                      <w:rPr>
                        <w:color w:val="000000"/>
                        <w:sz w:val="20"/>
                      </w:rPr>
                    </w:pPr>
                    <w:r>
                      <w:rPr>
                        <w:color w:val="000000"/>
                        <w:sz w:val="20"/>
                      </w:rPr>
                      <w:t>-</w:t>
                    </w:r>
                  </w:p>
                </w:tc>
                <w:tc>
                  <w:tcPr>
                    <w:tcW w:w="1276" w:type="dxa"/>
                    <w:tcMar>
                      <w:left w:w="105" w:type="dxa"/>
                      <w:right w:w="105" w:type="dxa"/>
                    </w:tcMar>
                  </w:tcPr>
                  <w:p>
                    <w:pPr>
                      <w:jc w:val="center"/>
                      <w:rPr>
                        <w:color w:val="000000"/>
                        <w:sz w:val="20"/>
                      </w:rPr>
                    </w:pPr>
                    <w:r>
                      <w:rPr>
                        <w:color w:val="000000"/>
                        <w:sz w:val="20"/>
                      </w:rPr>
                      <w:t>SAM</w:t>
                    </w:r>
                  </w:p>
                </w:tc>
              </w:tr>
              <w:tr>
                <w:trPr>
                  <w:trHeight w:val="1290"/>
                </w:trPr>
                <w:tc>
                  <w:tcPr>
                    <w:tcW w:w="2092" w:type="dxa"/>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18" w:type="dxa"/>
                    <w:gridSpan w:val="2"/>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jc w:val="center"/>
                      <w:rPr>
                        <w:color w:val="000000"/>
                        <w:sz w:val="20"/>
                      </w:rPr>
                    </w:pPr>
                    <w:r>
                      <w:rPr>
                        <w:color w:val="000000"/>
                        <w:sz w:val="20"/>
                      </w:rPr>
                      <w:t>SAM</w:t>
                    </w: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6 857,123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6 028, 243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18" w:type="dxa"/>
                    <w:gridSpan w:val="2"/>
                    <w:vMerge/>
                    <w:vAlign w:val="center"/>
                  </w:tcPr>
                  <w:p/>
                </w:tc>
                <w:tc>
                  <w:tcPr>
                    <w:tcW w:w="1276"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03"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800" w:type="dxa"/>
                    <w:gridSpan w:val="2"/>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72" w:type="dxa"/>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781"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216" w:type="dxa"/>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066"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6"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06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vAlign w:val="center"/>
                  </w:tcPr>
                  <w:p/>
                </w:tc>
                <w:tc>
                  <w:tcPr>
                    <w:tcW w:w="1066" w:type="dxa"/>
                    <w:vMerge w:val="restart"/>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800" w:type="dxa"/>
                    <w:gridSpan w:val="2"/>
                    <w:vMerge/>
                    <w:tcBorders>
                      <w:left w:val="single" w:sz="4" w:space="0" w:color="auto"/>
                      <w:right w:val="single" w:sz="4" w:space="0" w:color="auto"/>
                    </w:tcBorders>
                    <w:tcMar>
                      <w:left w:w="108" w:type="dxa"/>
                      <w:right w:w="108" w:type="dxa"/>
                    </w:tcMar>
                  </w:tcPr>
                  <w:p/>
                </w:tc>
                <w:tc>
                  <w:tcPr>
                    <w:tcW w:w="1972" w:type="dxa"/>
                    <w:vMerge/>
                    <w:tcBorders>
                      <w:left w:val="single" w:sz="4" w:space="0" w:color="auto"/>
                      <w:right w:val="single" w:sz="4" w:space="0" w:color="auto"/>
                    </w:tcBorders>
                    <w:tcMar>
                      <w:left w:w="108" w:type="dxa"/>
                      <w:right w:w="108" w:type="dxa"/>
                    </w:tcMar>
                  </w:tcPr>
                  <w:p/>
                </w:tc>
                <w:tc>
                  <w:tcPr>
                    <w:tcW w:w="781" w:type="dxa"/>
                    <w:gridSpan w:val="3"/>
                    <w:vMerge/>
                    <w:tcBorders>
                      <w:left w:val="single" w:sz="4" w:space="0" w:color="auto"/>
                      <w:right w:val="single" w:sz="4" w:space="0" w:color="auto"/>
                    </w:tcBorders>
                    <w:tcMar>
                      <w:left w:w="108" w:type="dxa"/>
                      <w:right w:w="108" w:type="dxa"/>
                    </w:tcMar>
                  </w:tcPr>
                  <w:p/>
                </w:tc>
                <w:tc>
                  <w:tcPr>
                    <w:tcW w:w="1006" w:type="dxa"/>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21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06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6"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bottom w:val="single" w:sz="4" w:space="0" w:color="auto"/>
                      <w:right w:val="single" w:sz="4" w:space="0" w:color="auto"/>
                    </w:tcBorders>
                    <w:vAlign w:val="center"/>
                  </w:tcPr>
                  <w:p/>
                </w:tc>
                <w:tc>
                  <w:tcPr>
                    <w:tcW w:w="1972" w:type="dxa"/>
                    <w:vMerge/>
                    <w:tcBorders>
                      <w:left w:val="single" w:sz="4" w:space="0" w:color="auto"/>
                      <w:bottom w:val="single" w:sz="4" w:space="0" w:color="auto"/>
                      <w:right w:val="single" w:sz="4" w:space="0" w:color="auto"/>
                    </w:tcBorders>
                    <w:vAlign w:val="center"/>
                  </w:tcPr>
                  <w:p/>
                </w:tc>
                <w:tc>
                  <w:tcPr>
                    <w:tcW w:w="781" w:type="dxa"/>
                    <w:gridSpan w:val="3"/>
                    <w:vMerge/>
                    <w:tcBorders>
                      <w:left w:val="single" w:sz="4" w:space="0" w:color="auto"/>
                      <w:bottom w:val="single" w:sz="4" w:space="0" w:color="auto"/>
                      <w:right w:val="single" w:sz="4" w:space="0" w:color="auto"/>
                    </w:tcBorders>
                    <w:vAlign w:val="center"/>
                  </w:tcPr>
                  <w:p/>
                </w:tc>
                <w:tc>
                  <w:tcPr>
                    <w:tcW w:w="1006" w:type="dxa"/>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6"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15 230,950</w:t>
                    </w:r>
                  </w:p>
                  <w:p>
                    <w:pPr>
                      <w:ind w:firstLine="62"/>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Asmenys, dalyvavę kvalifikacijos įgijimo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2 687,815</w:t>
                    </w:r>
                  </w:p>
                  <w:p>
                    <w:pPr>
                      <w:ind w:firstLine="62"/>
                    </w:pP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R – Asmenų, kurie po dalyvavimo veiklose įgijo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03"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800" w:type="dxa"/>
                    <w:gridSpan w:val="2"/>
                    <w:shd w:val="clear" w:color="auto" w:fill="auto"/>
                  </w:tcPr>
                  <w:p>
                    <w:pPr>
                      <w:rPr>
                        <w:sz w:val="20"/>
                      </w:rPr>
                    </w:pPr>
                    <w:r>
                      <w:rPr>
                        <w:sz w:val="20"/>
                      </w:rPr>
                      <w:t>R</w:t>
                    </w:r>
                  </w:p>
                </w:tc>
                <w:tc>
                  <w:tcPr>
                    <w:tcW w:w="1972" w:type="dxa"/>
                    <w:shd w:val="clear" w:color="auto" w:fill="auto"/>
                  </w:tcPr>
                  <w:p>
                    <w:pPr>
                      <w:rPr>
                        <w:sz w:val="20"/>
                      </w:rPr>
                    </w:pPr>
                    <w:r>
                      <w:rPr>
                        <w:sz w:val="20"/>
                      </w:rPr>
                      <w:t>-</w:t>
                    </w:r>
                  </w:p>
                </w:tc>
                <w:tc>
                  <w:tcPr>
                    <w:tcW w:w="781" w:type="dxa"/>
                    <w:gridSpan w:val="3"/>
                    <w:shd w:val="clear" w:color="auto" w:fill="auto"/>
                  </w:tcPr>
                  <w:p>
                    <w:pPr>
                      <w:rPr>
                        <w:sz w:val="20"/>
                      </w:rPr>
                    </w:pPr>
                    <w:r>
                      <w:rPr>
                        <w:sz w:val="20"/>
                      </w:rPr>
                      <w:t>-</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216" w:type="dxa"/>
                    <w:shd w:val="clear" w:color="auto" w:fill="auto"/>
                  </w:tcPr>
                  <w:p>
                    <w:pPr>
                      <w:rPr>
                        <w:sz w:val="20"/>
                        <w:lang w:val="en-US"/>
                      </w:rPr>
                    </w:pPr>
                    <w:r>
                      <w:rPr>
                        <w:sz w:val="20"/>
                        <w:lang w:val="en-US"/>
                      </w:rPr>
                      <w:t>-</w:t>
                    </w:r>
                  </w:p>
                </w:tc>
                <w:tc>
                  <w:tcPr>
                    <w:tcW w:w="1066" w:type="dxa"/>
                    <w:shd w:val="clear" w:color="auto" w:fill="auto"/>
                  </w:tcPr>
                  <w:p>
                    <w:pPr>
                      <w:rPr>
                        <w:sz w:val="20"/>
                      </w:rPr>
                    </w:pPr>
                    <w:r>
                      <w:rPr>
                        <w:sz w:val="20"/>
                      </w:rPr>
                      <w:t>-</w:t>
                    </w:r>
                  </w:p>
                </w:tc>
                <w:tc>
                  <w:tcPr>
                    <w:tcW w:w="1923" w:type="dxa"/>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202"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1066"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shd w:val="clear" w:color="auto" w:fill="auto"/>
                  </w:tcPr>
                  <w:p>
                    <w:pPr>
                      <w:rPr>
                        <w:sz w:val="20"/>
                      </w:rPr>
                    </w:pPr>
                    <w:r>
                      <w:rPr>
                        <w:sz w:val="20"/>
                      </w:rPr>
                      <w:t>11.3. Sveikatos priežiūros specialistų kvalifikacijos tobulinimas</w:t>
                    </w:r>
                  </w:p>
                </w:tc>
                <w:tc>
                  <w:tcPr>
                    <w:tcW w:w="800" w:type="dxa"/>
                    <w:gridSpan w:val="2"/>
                    <w:shd w:val="clear" w:color="auto" w:fill="auto"/>
                  </w:tcPr>
                  <w:p>
                    <w:pPr>
                      <w:rPr>
                        <w:sz w:val="20"/>
                      </w:rPr>
                    </w:pPr>
                    <w:r>
                      <w:rPr>
                        <w:sz w:val="20"/>
                      </w:rPr>
                      <w:t>I</w:t>
                    </w:r>
                  </w:p>
                </w:tc>
                <w:tc>
                  <w:tcPr>
                    <w:tcW w:w="1972" w:type="dxa"/>
                    <w:shd w:val="clear" w:color="auto" w:fill="auto"/>
                  </w:tcPr>
                  <w:p>
                    <w:pPr>
                      <w:rPr>
                        <w:sz w:val="20"/>
                      </w:rPr>
                    </w:pPr>
                    <w:r>
                      <w:rPr>
                        <w:sz w:val="20"/>
                      </w:rPr>
                      <w:t>SAM</w:t>
                    </w:r>
                  </w:p>
                </w:tc>
                <w:tc>
                  <w:tcPr>
                    <w:tcW w:w="781" w:type="dxa"/>
                    <w:gridSpan w:val="3"/>
                    <w:shd w:val="clear" w:color="auto" w:fill="auto"/>
                  </w:tcPr>
                  <w:p>
                    <w:pPr>
                      <w:rPr>
                        <w:sz w:val="20"/>
                      </w:rPr>
                    </w:pPr>
                    <w:r>
                      <w:rPr>
                        <w:sz w:val="20"/>
                      </w:rPr>
                      <w:t>P</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5 000</w:t>
                    </w:r>
                  </w:p>
                  <w:p>
                    <w:pPr>
                      <w:rPr>
                        <w:sz w:val="20"/>
                        <w:lang w:val="en-US"/>
                      </w:rPr>
                    </w:pPr>
                  </w:p>
                </w:tc>
                <w:tc>
                  <w:tcPr>
                    <w:tcW w:w="1066" w:type="dxa"/>
                    <w:shd w:val="clear" w:color="auto" w:fill="auto"/>
                  </w:tcPr>
                  <w:p>
                    <w:pPr>
                      <w:ind w:left="-57" w:right="-57"/>
                      <w:rPr>
                        <w:sz w:val="20"/>
                      </w:rPr>
                    </w:pPr>
                    <w:r>
                      <w:rPr>
                        <w:sz w:val="20"/>
                      </w:rPr>
                      <w:t>VB</w:t>
                    </w:r>
                  </w:p>
                </w:tc>
                <w:tc>
                  <w:tcPr>
                    <w:tcW w:w="1923" w:type="dxa"/>
                    <w:shd w:val="clear" w:color="auto" w:fill="auto"/>
                  </w:tcPr>
                  <w:p>
                    <w:pPr>
                      <w:ind w:left="-57" w:right="-57"/>
                      <w:rPr>
                        <w:sz w:val="20"/>
                      </w:rPr>
                    </w:pPr>
                    <w:r>
                      <w:rPr>
                        <w:sz w:val="20"/>
                      </w:rPr>
                      <w:t>P – Specialistai, dalyvavę kvalifikacijos tobulinimo veiklose, asmenys</w:t>
                    </w:r>
                  </w:p>
                </w:tc>
                <w:tc>
                  <w:tcPr>
                    <w:tcW w:w="1202"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03" w:type="dxa"/>
                    <w:gridSpan w:val="2"/>
                    <w:vMerge w:val="restart"/>
                    <w:shd w:val="clear" w:color="auto" w:fill="auto"/>
                  </w:tcPr>
                  <w:p>
                    <w:pPr>
                      <w:rPr>
                        <w:sz w:val="20"/>
                      </w:rPr>
                    </w:pPr>
                    <w:r>
                      <w:rPr>
                        <w:sz w:val="20"/>
                      </w:rPr>
                      <w:t>11.4. Ilgalaikės priežiūros paslaugas teikiančių specialistų parengimas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SAM</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2 100</w:t>
                    </w:r>
                  </w:p>
                  <w:p>
                    <w:pPr>
                      <w:rPr>
                        <w:sz w:val="20"/>
                        <w:lang w:val="en-US"/>
                      </w:rPr>
                    </w:pPr>
                  </w:p>
                </w:tc>
                <w:tc>
                  <w:tcPr>
                    <w:tcW w:w="1066" w:type="dxa"/>
                    <w:shd w:val="clear" w:color="auto" w:fill="auto"/>
                  </w:tcPr>
                  <w:p>
                    <w:pPr>
                      <w:ind w:left="-57" w:right="-57"/>
                      <w:rPr>
                        <w:sz w:val="20"/>
                      </w:rPr>
                    </w:pPr>
                    <w:r>
                      <w:rPr>
                        <w:sz w:val="20"/>
                      </w:rPr>
                      <w:t>EGADP</w:t>
                    </w:r>
                  </w:p>
                  <w:p>
                    <w:pPr>
                      <w:ind w:left="-57" w:right="-57"/>
                      <w:rPr>
                        <w:sz w:val="20"/>
                      </w:rPr>
                    </w:pPr>
                  </w:p>
                </w:tc>
                <w:tc>
                  <w:tcPr>
                    <w:tcW w:w="1923" w:type="dxa"/>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202"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lang w:val="en-US"/>
                      </w:rPr>
                    </w:pPr>
                    <w:r>
                      <w:rPr>
                        <w:sz w:val="20"/>
                        <w:lang w:val="en-US"/>
                      </w:rPr>
                      <w:t>440</w:t>
                    </w:r>
                  </w:p>
                </w:tc>
                <w:tc>
                  <w:tcPr>
                    <w:tcW w:w="1066" w:type="dxa"/>
                    <w:shd w:val="clear" w:color="auto" w:fill="auto"/>
                  </w:tcPr>
                  <w:p>
                    <w:pPr>
                      <w:rPr>
                        <w:sz w:val="20"/>
                      </w:rPr>
                    </w:pPr>
                    <w:r>
                      <w:rPr>
                        <w:sz w:val="20"/>
                      </w:rPr>
                      <w:t>PVM iš VB</w:t>
                    </w:r>
                  </w:p>
                </w:tc>
                <w:tc>
                  <w:tcPr>
                    <w:tcW w:w="1923" w:type="dxa"/>
                    <w:vMerge/>
                    <w:tcBorders>
                      <w:bottom w:val="single" w:sz="4" w:space="0" w:color="auto"/>
                    </w:tcBorders>
                    <w:shd w:val="clear" w:color="auto" w:fill="FFFFFF" w:themeFill="background1"/>
                  </w:tcPr>
                  <w:p>
                    <w:pPr>
                      <w:ind w:left="-57" w:right="-57"/>
                      <w:rPr>
                        <w:sz w:val="20"/>
                      </w:rPr>
                    </w:pPr>
                  </w:p>
                </w:tc>
                <w:tc>
                  <w:tcPr>
                    <w:tcW w:w="1202"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800" w:type="dxa"/>
                    <w:gridSpan w:val="2"/>
                    <w:vMerge w:val="restart"/>
                    <w:shd w:val="clear" w:color="auto" w:fill="F2F2F2" w:themeFill="background1" w:themeFillShade="F2"/>
                  </w:tcPr>
                  <w:p>
                    <w:pPr>
                      <w:rPr>
                        <w:sz w:val="20"/>
                      </w:rPr>
                    </w:pPr>
                    <w:r>
                      <w:rPr>
                        <w:sz w:val="20"/>
                      </w:rPr>
                      <w:t>M</w:t>
                    </w:r>
                  </w:p>
                </w:tc>
                <w:tc>
                  <w:tcPr>
                    <w:tcW w:w="1972" w:type="dxa"/>
                    <w:vMerge w:val="restart"/>
                    <w:shd w:val="clear" w:color="auto" w:fill="F2F2F2" w:themeFill="background1" w:themeFillShade="F2"/>
                  </w:tcPr>
                  <w:p>
                    <w:pPr>
                      <w:rPr>
                        <w:sz w:val="20"/>
                      </w:rPr>
                    </w:pPr>
                    <w:r>
                      <w:rPr>
                        <w:sz w:val="20"/>
                      </w:rPr>
                      <w:t>SAM</w:t>
                    </w:r>
                  </w:p>
                </w:tc>
                <w:tc>
                  <w:tcPr>
                    <w:tcW w:w="781" w:type="dxa"/>
                    <w:gridSpan w:val="3"/>
                    <w:vMerge w:val="restart"/>
                    <w:shd w:val="clear" w:color="auto" w:fill="F2F2F2" w:themeFill="background1" w:themeFillShade="F2"/>
                  </w:tcPr>
                  <w:p>
                    <w:pPr>
                      <w:rPr>
                        <w:sz w:val="20"/>
                      </w:rPr>
                    </w:pPr>
                    <w:r>
                      <w:rPr>
                        <w:sz w:val="20"/>
                      </w:rPr>
                      <w:t>P</w:t>
                    </w:r>
                  </w:p>
                </w:tc>
                <w:tc>
                  <w:tcPr>
                    <w:tcW w:w="1014" w:type="dxa"/>
                    <w:gridSpan w:val="2"/>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216" w:type="dxa"/>
                    <w:vMerge w:val="restart"/>
                    <w:shd w:val="clear" w:color="auto" w:fill="F2F2F2" w:themeFill="background1" w:themeFillShade="F2"/>
                  </w:tcPr>
                  <w:p>
                    <w:pPr>
                      <w:rPr>
                        <w:b/>
                        <w:bCs/>
                        <w:sz w:val="20"/>
                        <w:lang w:val="en-US"/>
                      </w:rPr>
                    </w:pPr>
                    <w:r>
                      <w:rPr>
                        <w:b/>
                        <w:bCs/>
                        <w:sz w:val="20"/>
                        <w:lang w:val="en-US"/>
                      </w:rPr>
                      <w:t>1750</w:t>
                    </w:r>
                  </w:p>
                </w:tc>
                <w:tc>
                  <w:tcPr>
                    <w:tcW w:w="1066" w:type="dxa"/>
                    <w:vMerge w:val="restart"/>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202"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vMerge/>
                    <w:shd w:val="clear" w:color="auto" w:fill="F2F2F2" w:themeFill="background1" w:themeFillShade="F2"/>
                  </w:tcPr>
                  <w:p>
                    <w:pPr>
                      <w:rPr>
                        <w:b/>
                        <w:bCs/>
                        <w:sz w:val="20"/>
                        <w:lang w:val="en-US"/>
                      </w:rPr>
                    </w:pPr>
                  </w:p>
                </w:tc>
                <w:tc>
                  <w:tcPr>
                    <w:tcW w:w="1066" w:type="dxa"/>
                    <w:vMerge/>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202"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03" w:type="dxa"/>
                    <w:gridSpan w:val="2"/>
                    <w:vMerge w:val="restart"/>
                    <w:shd w:val="clear" w:color="auto" w:fill="auto"/>
                  </w:tcPr>
                  <w:p>
                    <w:pPr>
                      <w:rPr>
                        <w:sz w:val="20"/>
                      </w:rPr>
                    </w:pPr>
                    <w:r>
                      <w:rPr>
                        <w:b/>
                        <w:bCs/>
                        <w:sz w:val="20"/>
                      </w:rPr>
                      <w:t>13. Programos „Motinos ir vaiko sveikata bei gerovė“ įgyvendinimas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Lietuvos sveikatos mokslų universiteto ligoninė Kauno klinikos</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216" w:type="dxa"/>
                    <w:tcBorders>
                      <w:bottom w:val="single" w:sz="4" w:space="0" w:color="auto"/>
                    </w:tcBorders>
                    <w:shd w:val="clear" w:color="auto" w:fill="auto"/>
                  </w:tcPr>
                  <w:p>
                    <w:pPr>
                      <w:rPr>
                        <w:b/>
                        <w:bCs/>
                        <w:sz w:val="20"/>
                      </w:rPr>
                    </w:pPr>
                    <w:r>
                      <w:rPr>
                        <w:b/>
                        <w:bCs/>
                        <w:sz w:val="20"/>
                      </w:rPr>
                      <w:t>34 219,646</w:t>
                    </w:r>
                  </w:p>
                </w:tc>
                <w:tc>
                  <w:tcPr>
                    <w:tcW w:w="1066" w:type="dxa"/>
                    <w:tcBorders>
                      <w:bottom w:val="single" w:sz="4" w:space="0" w:color="auto"/>
                    </w:tcBorders>
                    <w:shd w:val="clear" w:color="auto" w:fill="auto"/>
                  </w:tcPr>
                  <w:p>
                    <w:pPr>
                      <w:rPr>
                        <w:sz w:val="20"/>
                      </w:rPr>
                    </w:pPr>
                    <w:r>
                      <w:rPr>
                        <w:sz w:val="20"/>
                      </w:rPr>
                      <w:t>-</w:t>
                    </w:r>
                  </w:p>
                </w:tc>
                <w:tc>
                  <w:tcPr>
                    <w:tcW w:w="1923" w:type="dxa"/>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202"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6"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shd w:val="clear" w:color="auto" w:fill="auto"/>
                  </w:tcPr>
                  <w:p>
                    <w:pPr>
                      <w:rPr>
                        <w:sz w:val="20"/>
                      </w:rPr>
                    </w:pPr>
                    <w:r>
                      <w:rPr>
                        <w:sz w:val="20"/>
                      </w:rPr>
                      <w:t>29 086,699</w:t>
                    </w:r>
                  </w:p>
                </w:tc>
                <w:tc>
                  <w:tcPr>
                    <w:tcW w:w="1066" w:type="dxa"/>
                    <w:shd w:val="clear" w:color="auto" w:fill="auto"/>
                  </w:tcPr>
                  <w:p>
                    <w:pPr>
                      <w:rPr>
                        <w:sz w:val="20"/>
                      </w:rPr>
                    </w:pPr>
                    <w:r>
                      <w:rPr>
                        <w:sz w:val="20"/>
                      </w:rPr>
                      <w:t>AŠĮFP</w:t>
                    </w:r>
                  </w:p>
                </w:tc>
                <w:tc>
                  <w:tcPr>
                    <w:tcW w:w="1923" w:type="dxa"/>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202"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val="restart"/>
                    <w:shd w:val="clear" w:color="auto" w:fill="auto"/>
                  </w:tcPr>
                  <w:p>
                    <w:pPr>
                      <w:rPr>
                        <w:sz w:val="20"/>
                      </w:rPr>
                    </w:pPr>
                    <w:r>
                      <w:rPr>
                        <w:sz w:val="20"/>
                      </w:rPr>
                      <w:t>5 132,947</w:t>
                    </w:r>
                  </w:p>
                </w:tc>
                <w:tc>
                  <w:tcPr>
                    <w:tcW w:w="1066" w:type="dxa"/>
                    <w:vMerge w:val="restart"/>
                    <w:shd w:val="clear" w:color="auto" w:fill="auto"/>
                  </w:tcPr>
                  <w:p>
                    <w:pPr>
                      <w:rPr>
                        <w:sz w:val="20"/>
                      </w:rPr>
                    </w:pPr>
                    <w:r>
                      <w:rPr>
                        <w:sz w:val="20"/>
                      </w:rPr>
                      <w:t>AŠĮFP</w:t>
                    </w:r>
                  </w:p>
                  <w:p>
                    <w:pPr>
                      <w:rPr>
                        <w:sz w:val="20"/>
                      </w:rPr>
                    </w:pPr>
                    <w:r>
                      <w:rPr>
                        <w:sz w:val="20"/>
                      </w:rPr>
                      <w:t>(BF)</w:t>
                    </w:r>
                  </w:p>
                </w:tc>
                <w:tc>
                  <w:tcPr>
                    <w:tcW w:w="1923" w:type="dxa"/>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202"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202"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202"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Sukurti paslaugų teikimo metodikos ir organizacinių procesų aprašai, vnt.</w:t>
                    </w:r>
                  </w:p>
                </w:tc>
                <w:tc>
                  <w:tcPr>
                    <w:tcW w:w="1202"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202"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sdtContent>
        </w:sdt>
        <w:sdt>
          <w:sdtPr>
            <w:alias w:val="pabaiga"/>
            <w:tag w:val="part_e599fb74fc8e455d89fb5f3b277611a7"/>
            <w:lock w:val="sdtLocked"/>
            <w:richText/>
          </w:sdtPr>
          <w:sdtContent>
            <w:p>
              <w:pPr>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(V-1392)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p4</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(V-481)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(V-623)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pStyle w:val="PlainText"/>
            <w:rPr>
              <w:rFonts w:ascii="Times New Roman" w:eastAsia="MS Mincho" w:hAnsi="Times New Roman"/>
              <w:sz w:val="20"/>
              <w:iCs/>
            </w:rPr>
          </w:pPr>
          <w:r>
            <w:rPr>
              <w:rFonts w:ascii="Times New Roman" w:eastAsia="MS Mincho" w:hAnsi="Times New Roman"/>
              <w:sz w:val="20"/>
              <w:iCs/>
            </w:rPr>
            <w:t>33 priedas (V-517)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
          <w:pPr>
            <w:pStyle w:val="PlainText"/>
            <w:rPr>
              <w:rFonts w:ascii="Times New Roman" w:eastAsia="MS Mincho" w:hAnsi="Times New Roman"/>
              <w:sz w:val="20"/>
              <w:iCs/>
            </w:rPr>
          </w:pPr>
          <w:r>
            <w:rPr>
              <w:rFonts w:ascii="Times New Roman" w:eastAsia="MS Mincho" w:hAnsi="Times New Roman"/>
              <w:sz w:val="20"/>
              <w:iCs/>
            </w:rPr>
            <w:t>34 priedas (V-605)</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9</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percent="181"/>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0225"/>
    <o:shapelayout v:ext="edit">
      <o:idmap v:ext="edit" data="1"/>
    </o:shapelayout>
  </w:shapeDefaults>
  <w:decimalSymbol w:val=","/>
  <w:listSeparator w:val=";"/>
  <w14:docId w14:val="20DF8525"/>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4.xml"/>
  <Relationship Id="rId11" Type="http://schemas.openxmlformats.org/officeDocument/2006/relationships/footer" Target="footer5.xml"/>
  <Relationship Id="rId12" Type="http://schemas.openxmlformats.org/officeDocument/2006/relationships/footer" Target="footer6.xml"/>
  <Relationship Id="rId13" Type="http://schemas.openxmlformats.org/officeDocument/2006/relationships/footnotes" Target="footnotes.xm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header" Target="header3.xml"/>
  <Relationship Id="rId17" Type="http://schemas.openxmlformats.org/officeDocument/2006/relationships/header" Target="header4.xml"/>
  <Relationship Id="rId18" Type="http://schemas.openxmlformats.org/officeDocument/2006/relationships/header" Target="header5.xml"/>
  <Relationship Id="rId19" Type="http://schemas.openxmlformats.org/officeDocument/2006/relationships/header" Target="header6.xml"/>
  <Relationship Id="rId2" Type="http://schemas.openxmlformats.org/officeDocument/2006/relationships/customXml" Target="../customXml/item2.xml"/>
  <Relationship Id="rId20" Type="http://schemas.openxmlformats.org/officeDocument/2006/relationships/settings" Target="settings.xml"/>
  <Relationship Id="rId21" Type="http://schemas.openxmlformats.org/officeDocument/2006/relationships/styles" Target="styles.xml"/>
  <Relationship Id="rId22" Type="http://schemas.openxmlformats.org/officeDocument/2006/relationships/theme" Target="theme/theme1.xml"/>
  <Relationship Id="rId23" Type="http://schemas.openxmlformats.org/officeDocument/2006/relationships/webSettings" Target="webSettings.xml"/>
  <Relationship Id="rId24" Type="http://schemas.openxmlformats.org/officeDocument/2006/relationships/image" Target="media/image157.png"/>
  <Relationship Id="rId25" Type="http://schemas.openxmlformats.org/officeDocument/2006/relationships/oleObject" Target="embeddings/oleObject157.bin"/>
  <Relationship Id="rId26" Type="http://schemas.openxmlformats.org/officeDocument/2006/relationships/header" Target="header100.xml"/>
  <Relationship Id="rId27" Type="http://schemas.openxmlformats.org/officeDocument/2006/relationships/header" Target="header101.xml"/>
  <Relationship Id="rId28" Type="http://schemas.openxmlformats.org/officeDocument/2006/relationships/footer" Target="footer100.xml"/>
  <Relationship Id="rId29" Type="http://schemas.openxmlformats.org/officeDocument/2006/relationships/footer" Target="footer101.xml"/>
  <Relationship Id="rId3" Type="http://schemas.openxmlformats.org/officeDocument/2006/relationships/customXml" Target="../customXml/item3.xml"/>
  <Relationship Id="rId30" Type="http://schemas.openxmlformats.org/officeDocument/2006/relationships/header" Target="header102.xml"/>
  <Relationship Id="rId31" Type="http://schemas.openxmlformats.org/officeDocument/2006/relationships/footer" Target="footer102.xml"/>
  <Relationship Id="rId32" Type="http://schemas.openxmlformats.org/officeDocument/2006/relationships/header" Target="header169.xml"/>
  <Relationship Id="rId33" Type="http://schemas.openxmlformats.org/officeDocument/2006/relationships/header" Target="header170.xml"/>
  <Relationship Id="rId34" Type="http://schemas.openxmlformats.org/officeDocument/2006/relationships/footer" Target="footer169.xml"/>
  <Relationship Id="rId35" Type="http://schemas.openxmlformats.org/officeDocument/2006/relationships/footer" Target="footer170.xml"/>
  <Relationship Id="rId36" Type="http://schemas.openxmlformats.org/officeDocument/2006/relationships/header" Target="header171.xml"/>
  <Relationship Id="rId37" Type="http://schemas.openxmlformats.org/officeDocument/2006/relationships/footer" Target="footer171.xml"/>
  <Relationship Id="rId38" Type="http://schemas.openxmlformats.org/officeDocument/2006/relationships/customXml" Target="../customXml/item4.xml"/>
  <Relationship Id="rId4" Type="http://schemas.openxmlformats.org/officeDocument/2006/relationships/customXml" Target="../customXml/item6.xml"/>
  <Relationship Id="rId5" Type="http://schemas.openxmlformats.org/officeDocument/2006/relationships/endnotes" Target="endnotes.xml"/>
  <Relationship Id="rId6" Type="http://schemas.openxmlformats.org/officeDocument/2006/relationships/fontTable" Target="fontTable.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documentManagement/>
</p:properties>
</file>

<file path=customXml/item4.xml><?xml version="1.0" encoding="utf-8"?>
<Parts xmlns="http://lrs.lt/TAIS/DocParts">
  <Part Type="pagrindine" DocPartId="f8c1caabe0df49e198502b4b17034264" PartId="98f987e8963745e49b36e9f2e35e7cae">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c8824f9450aa4a7c86cb781f9f4d81df">
    <Part Type="skyrius" Nr="1" Title="PLĖTROS PROGRAMOS PAŽANGOS PRIEMONĖS SIEKIAMI REZULTATAI" DocPartId="b924309999714986a1f663aef95b7db6" PartId="3881b5e5f52849e1b06fc8bcd64ba8f0"/>
    <Part Type="skyrius" Nr="II" Title="PLĖTROS PROGRAMOS PAŽANGOS PRIEMONĖS FINANSAVIMO ŠALTINIAI" DocPartId="142dd9faf7a84d91b4f244595a84d08d" PartId="fdad71d7e5384eaba0b5ef81641353d1"/>
    <Part Type="skyrius" Nr="3" Title="PLĖTROS PROGRAMOS PAŽANGOS PRIEMONĖS VEIKLŲ SUVESTINĖ" DocPartId="c918111ff85046029314a093ade416dc" PartId="cfa9e5530aa2417e93fc6691e98ebff9"/>
    <Part Type="pabaiga" DocPartId="848b03eee26b4c708a50289e0035c65b" PartId="e599fb74fc8e455d89fb5f3b277611a7"/>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A3B78351-B10D-434B-A0E2-9A803E2B0234}">
  <ds:schemaRefs>
    <ds:schemaRef ds:uri="http://lrs.lt/TAIS/DocParts"/>
  </ds:schemaRefs>
</ds:datastoreItem>
</file>

<file path=customXml/itemProps6.xml><?xml version="1.0" encoding="utf-8"?>
<ds:datastoreItem xmlns:ds="http://schemas.openxmlformats.org/officeDocument/2006/customXml" ds:itemID="{321E52E9-CAC3-478D-8965-E7A7E033EF3F}">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178</TotalTime>
  <Pages>63</Pages>
  <Words>72007</Words>
  <Characters>41044</Characters>
  <Application>Microsoft Office Word</Application>
  <DocSecurity>0</DocSecurity>
  <Lines>342</Lines>
  <Paragraphs>225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112826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GRUNDAITĖ Aistė</lastModifiedBy>
  <lastPrinted>2001-05-09T09:40:00Z</lastPrinted>
  <dcterms:modified xsi:type="dcterms:W3CDTF">2025-10-08T08:08:00Z</dcterms:modified>
  <revision>97</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