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8f987e8963745e49b36e9f2e35e7cae"/>
        <w:lock w:val="sdtLocked"/>
        <w:richText/>
      </w:sdtPr>
      <w:sdtContent>
        <w:p>
          <w:pPr>
            <w:jc w:val="both"/>
            <w:rPr>
              <w:rFonts w:ascii="Times New Roman" w:hAnsi="Times New Roman"/>
            </w:rPr>
          </w:pPr>
          <w:r>
            <w:rPr>
              <w:rFonts w:ascii="Times New Roman" w:hAnsi="Times New Roman"/>
              <w:b/>
              <w:i/>
            </w:rPr>
            <w:t>Suvestinė redakcija nuo 2025-10-04 iki 2025-10-15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5pt;height:43.85pt" o:ole="" fillcolor="window">
                <v:imagedata r:id="rId24" o:title=""/>
              </v:shape>
              <o:OLEObject Type="Embed" ProgID="Word.Picture.8" ShapeID="_x0000_i1025" DrawAspect="Content" ObjectID="_0000000001" r:id="rId25"/>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c8824f9450aa4a7c86cb781f9f4d81df"/>
        <w:lock w:val="sdtLocked"/>
        <w:richText/>
      </w:sdtPr>
      <w:sdtContent>
        <w:p>
          <w:pPr>
            <w:ind w:left="6521"/>
            <w:sectPr>
              <w:headerReference w:type="even" r:id="rId26"/>
              <w:headerReference w:type="default" r:id="rId27"/>
              <w:footerReference w:type="even" r:id="rId28"/>
              <w:footerReference w:type="default" r:id="rId29"/>
              <w:headerReference w:type="first" r:id="rId30"/>
              <w:footerReference w:type="first" r:id="rId31"/>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c8824f9450aa4a7c86cb781f9f4d81df"/>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881b5e5f52849e1b06fc8bcd64ba8f0"/>
            <w:lock w:val="sdtLocked"/>
            <w:richText/>
          </w:sdtPr>
          <w:sdtContent>
            <w:p>
              <w:pPr>
                <w:tabs>
                  <w:tab w:val="left" w:pos="1985"/>
                </w:tabs>
                <w:jc w:val="center"/>
                <w:rPr>
                  <w:b/>
                  <w:bCs/>
                  <w:sz w:val="22"/>
                  <w:szCs w:val="22"/>
                </w:rPr>
              </w:pPr>
              <w:sdt>
                <w:sdtPr>
                  <w:alias w:val="Numeris"/>
                  <w:tag w:val="nr_3881b5e5f52849e1b06fc8bcd64ba8f0"/>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881b5e5f52849e1b06fc8bcd64ba8f0"/>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3 538 000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sdtContent>
        </w:sdt>
        <w:sdt>
          <w:sdtPr>
            <w:alias w:val="skyrius"/>
            <w:tag w:val="part_fdad71d7e5384eaba0b5ef81641353d1"/>
            <w:lock w:val="sdtLocked"/>
            <w:richText/>
          </w:sdtPr>
          <w:sdtContent>
            <w:p>
              <w:pPr>
                <w:ind w:left="1080" w:hanging="360"/>
                <w:jc w:val="center"/>
                <w:rPr>
                  <w:b/>
                  <w:bCs/>
                  <w:color w:val="000000"/>
                  <w:szCs w:val="24"/>
                </w:rPr>
              </w:pPr>
              <w:sdt>
                <w:sdtPr>
                  <w:alias w:val="Numeris"/>
                  <w:tag w:val="nr_fdad71d7e5384eaba0b5ef81641353d1"/>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fdad71d7e5384eaba0b5ef81641353d1"/>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sdtContent>
        </w:sdt>
        <w:sdt>
          <w:sdtPr>
            <w:alias w:val="skyrius"/>
            <w:tag w:val="part_cfa9e5530aa2417e93fc6691e98ebff9"/>
            <w:lock w:val="sdtLocked"/>
            <w:richText/>
          </w:sdtPr>
          <w:sdtContent>
            <w:p>
              <w:pPr>
                <w:ind w:left="-284"/>
                <w:jc w:val="center"/>
                <w:sectPr>
                  <w:headerReference w:type="even" r:id="rId32"/>
                  <w:headerReference w:type="default" r:id="rId33"/>
                  <w:footerReference w:type="even" r:id="rId34"/>
                  <w:footerReference w:type="default" r:id="rId35"/>
                  <w:headerReference w:type="first" r:id="rId36"/>
                  <w:footerReference w:type="first" r:id="rId37"/>
                  <w:pgSz w:w="11906" w:h="16838" w:code="9"/>
                  <w:pgMar w:top="1701" w:right="567" w:bottom="1134" w:left="709" w:header="1134" w:footer="1134" w:gutter="0"/>
                  <w:cols w:space="1296"/>
                  <w:titlePg/>
                  <w:docGrid w:linePitch="326"/>
                </w:sectPr>
              </w:pPr>
            </w:p>
            <w:p>
              <w:pPr>
                <w:ind w:left="-284"/>
                <w:jc w:val="center"/>
                <w:rPr>
                  <w:b/>
                  <w:bCs/>
                </w:rPr>
              </w:pPr>
              <w:sdt>
                <w:sdtPr>
                  <w:alias w:val="Numeris"/>
                  <w:tag w:val="nr_cfa9e5530aa2417e93fc6691e98ebff9"/>
                  <w:lock w:val="sdtLocked"/>
                  <w:richText/>
                </w:sdtPr>
                <w:sdtContent>
                  <w:r>
                    <w:rPr>
                      <w:b/>
                      <w:bCs/>
                    </w:rPr>
                    <w:t>III</w:t>
                  </w:r>
                </w:sdtContent>
              </w:sdt>
              <w:r>
                <w:rPr>
                  <w:b/>
                  <w:bCs/>
                </w:rPr>
                <w:t xml:space="preserve"> SKYRIUS</w:t>
              </w:r>
            </w:p>
            <w:p>
              <w:pPr>
                <w:jc w:val="center"/>
                <w:rPr>
                  <w:b/>
                  <w:bCs/>
                </w:rPr>
              </w:pPr>
              <w:sdt>
                <w:sdtPr>
                  <w:alias w:val="Pavadinimas"/>
                  <w:tag w:val="title_cfa9e5530aa2417e93fc6691e98ebff9"/>
                  <w:lock w:val="sdtLocked"/>
                  <w:richText/>
                </w:sdtPr>
                <w:sdtContent>
                  <w:r>
                    <w:rPr>
                      <w:b/>
                      <w:bCs/>
                    </w:rPr>
                    <w:t>PLĖTROS PROGRAMOS PAŽANGOS PRIEMONĖS VEIKLŲ SUVESTINĖ</w:t>
                  </w:r>
                </w:sdtContent>
              </w:sdt>
            </w:p>
            <w:p>
              <w:pPr>
                <w:jc w:val="center"/>
                <w:rPr>
                  <w:b/>
                  <w:bCs/>
                </w:rPr>
              </w:pPr>
            </w:p>
            <w:tbl>
              <w:tblPr>
                <w:tblW w:w="15026"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11"/>
                <w:gridCol w:w="727"/>
                <w:gridCol w:w="73"/>
                <w:gridCol w:w="1972"/>
                <w:gridCol w:w="66"/>
                <w:gridCol w:w="680"/>
                <w:gridCol w:w="35"/>
                <w:gridCol w:w="1006"/>
                <w:gridCol w:w="8"/>
                <w:gridCol w:w="32"/>
                <w:gridCol w:w="625"/>
                <w:gridCol w:w="24"/>
                <w:gridCol w:w="1216"/>
                <w:gridCol w:w="1066"/>
                <w:gridCol w:w="1923"/>
                <w:gridCol w:w="1076"/>
                <w:gridCol w:w="126"/>
                <w:gridCol w:w="992"/>
                <w:gridCol w:w="1276"/>
              </w:tblGrid>
              <w:tr>
                <w:trPr>
                  <w:trHeight w:val="1425"/>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7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1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06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1923"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03"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80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7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1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06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1923"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202"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1923"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202"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03"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1923"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03"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80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1923"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202"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03"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1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03" w:type="dxa"/>
                    <w:gridSpan w:val="2"/>
                    <w:vMerge/>
                    <w:tcBorders>
                      <w:left w:val="single" w:sz="4" w:space="0" w:color="auto"/>
                      <w:bottom w:val="single" w:sz="4" w:space="0" w:color="auto"/>
                      <w:right w:val="single" w:sz="4" w:space="0" w:color="auto"/>
                    </w:tcBorders>
                  </w:tcPr>
                  <w:p>
                    <w:pPr>
                      <w:ind w:left="-57" w:right="-57"/>
                      <w:rPr>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ind w:left="-57" w:right="-57"/>
                      <w:jc w:val="center"/>
                      <w:rPr>
                        <w:sz w:val="20"/>
                      </w:rPr>
                    </w:pPr>
                  </w:p>
                </w:tc>
                <w:tc>
                  <w:tcPr>
                    <w:tcW w:w="1066" w:type="dxa"/>
                    <w:vMerge/>
                    <w:tcBorders>
                      <w:left w:val="single" w:sz="4" w:space="0" w:color="auto"/>
                      <w:bottom w:val="single" w:sz="4" w:space="0" w:color="auto"/>
                      <w:right w:val="single" w:sz="4" w:space="0" w:color="auto"/>
                    </w:tcBorders>
                  </w:tcPr>
                  <w:p>
                    <w:pPr>
                      <w:ind w:left="-57" w:right="-57"/>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1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03"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800"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197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2"/>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21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06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03"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72"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1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066"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972"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216" w:type="dxa"/>
                    <w:vMerge/>
                    <w:tcBorders>
                      <w:left w:val="single" w:sz="4" w:space="0" w:color="auto"/>
                      <w:bottom w:val="single" w:sz="4" w:space="0" w:color="auto"/>
                      <w:right w:val="single" w:sz="4" w:space="0" w:color="auto"/>
                    </w:tcBorders>
                  </w:tcPr>
                  <w:p>
                    <w:pPr>
                      <w:jc w:val="center"/>
                      <w:rPr>
                        <w:color w:val="000000"/>
                        <w:sz w:val="20"/>
                      </w:rPr>
                    </w:pPr>
                  </w:p>
                </w:tc>
                <w:tc>
                  <w:tcPr>
                    <w:tcW w:w="1066" w:type="dxa"/>
                    <w:vMerge/>
                    <w:tcBorders>
                      <w:left w:val="single" w:sz="4" w:space="0" w:color="auto"/>
                      <w:bottom w:val="single" w:sz="4" w:space="0" w:color="auto"/>
                      <w:right w:val="single" w:sz="4" w:space="0" w:color="auto"/>
                    </w:tcBorders>
                  </w:tcPr>
                  <w:p>
                    <w:pPr>
                      <w:jc w:val="center"/>
                      <w:rPr>
                        <w:color w:val="000000"/>
                        <w:sz w:val="20"/>
                      </w:rPr>
                    </w:pPr>
                  </w:p>
                </w:tc>
                <w:tc>
                  <w:tcPr>
                    <w:tcW w:w="1923"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800"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1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066"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103" w:type="dxa"/>
                    <w:gridSpan w:val="2"/>
                    <w:vMerge/>
                    <w:tcBorders>
                      <w:left w:val="single" w:sz="4" w:space="0" w:color="auto"/>
                      <w:right w:val="single" w:sz="4" w:space="0" w:color="auto"/>
                    </w:tcBorders>
                  </w:tcPr>
                  <w:p>
                    <w:pPr>
                      <w:ind w:left="-57" w:right="-57"/>
                      <w:rPr>
                        <w:iCs/>
                        <w:sz w:val="20"/>
                      </w:rPr>
                    </w:pPr>
                  </w:p>
                </w:tc>
                <w:tc>
                  <w:tcPr>
                    <w:tcW w:w="800" w:type="dxa"/>
                    <w:gridSpan w:val="2"/>
                    <w:vMerge/>
                    <w:tcBorders>
                      <w:left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216" w:type="dxa"/>
                    <w:tcBorders>
                      <w:left w:val="single" w:sz="4" w:space="0" w:color="auto"/>
                      <w:right w:val="single" w:sz="4" w:space="0" w:color="auto"/>
                    </w:tcBorders>
                  </w:tcPr>
                  <w:p>
                    <w:pPr>
                      <w:ind w:left="-57" w:right="-57"/>
                      <w:jc w:val="center"/>
                      <w:rPr>
                        <w:sz w:val="20"/>
                      </w:rPr>
                    </w:pPr>
                    <w:r>
                      <w:rPr>
                        <w:sz w:val="20"/>
                      </w:rPr>
                      <w:t>740</w:t>
                    </w:r>
                  </w:p>
                </w:tc>
                <w:tc>
                  <w:tcPr>
                    <w:tcW w:w="1066"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1923" w:type="dxa"/>
                    <w:vMerge/>
                    <w:tcBorders>
                      <w:left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103" w:type="dxa"/>
                    <w:gridSpan w:val="2"/>
                    <w:vMerge/>
                    <w:tcBorders>
                      <w:left w:val="single" w:sz="4" w:space="0" w:color="auto"/>
                      <w:bottom w:val="single" w:sz="4" w:space="0" w:color="auto"/>
                      <w:right w:val="single" w:sz="4" w:space="0" w:color="auto"/>
                    </w:tcBorders>
                  </w:tcPr>
                  <w:p>
                    <w:pPr>
                      <w:ind w:left="-57" w:right="-57"/>
                      <w:rPr>
                        <w:iCs/>
                        <w:sz w:val="20"/>
                      </w:rPr>
                    </w:pPr>
                  </w:p>
                </w:tc>
                <w:tc>
                  <w:tcPr>
                    <w:tcW w:w="800"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1972"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2"/>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21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066"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rPr>
                        <w:color w:val="000000"/>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bottom w:val="single" w:sz="4" w:space="0" w:color="auto"/>
                      <w:right w:val="single" w:sz="4" w:space="0" w:color="auto"/>
                    </w:tcBorders>
                    <w:vAlign w:val="center"/>
                  </w:tcPr>
                  <w:p>
                    <w:pPr>
                      <w:rPr>
                        <w:color w:val="000000"/>
                        <w:sz w:val="20"/>
                      </w:rPr>
                    </w:pPr>
                  </w:p>
                </w:tc>
                <w:tc>
                  <w:tcPr>
                    <w:tcW w:w="1066" w:type="dxa"/>
                    <w:vMerge/>
                    <w:tcBorders>
                      <w:left w:val="single" w:sz="4" w:space="0" w:color="auto"/>
                      <w:bottom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79"/>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
                        <w:bCs/>
                        <w:sz w:val="20"/>
                      </w:rPr>
                    </w:pPr>
                    <w:r>
                      <w:rPr>
                        <w:b/>
                        <w:bCs/>
                        <w:sz w:val="20"/>
                      </w:rPr>
                      <w:t>2. Pasirengimo grėsmėms stiprinimas: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bCs/>
                        <w:sz w:val="20"/>
                      </w:rPr>
                    </w:pPr>
                    <w:r>
                      <w:rPr>
                        <w:bCs/>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308 256,403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miokardo infarkto per 30 dienų nuo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194 283,999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40 798,741</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Efektyvių organų donorų skaičius 1 mln. gyventojų</w:t>
                    </w:r>
                  </w:p>
                </w:tc>
                <w:tc>
                  <w:tcPr>
                    <w:tcW w:w="1202" w:type="dxa"/>
                    <w:gridSpan w:val="2"/>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 Sostinės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6 533,495</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42 750,312</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7 544,173</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bCs/>
                        <w:sz w:val="20"/>
                      </w:rPr>
                    </w:pPr>
                    <w:r>
                      <w:rPr>
                        <w:bCs/>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bCs/>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7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8 340,359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(ESF+,</w:t>
                    </w:r>
                  </w:p>
                  <w:p>
                    <w:pPr>
                      <w:ind w:left="-57" w:right="-57"/>
                      <w:jc w:val="center"/>
                      <w:rPr>
                        <w:sz w:val="20"/>
                      </w:rPr>
                    </w:pPr>
                    <w:r>
                      <w:rPr>
                        <w:sz w:val="20"/>
                      </w:rPr>
                      <w:t>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R – Specialistų, kurie po dalyvavimo veiklose įgijo ar patobulino kvalifikaciją,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EEECE1" w:themeFill="background2"/>
                    <w:hideMark/>
                  </w:tcPr>
                  <w:p>
                    <w:pPr>
                      <w:ind w:left="-57" w:right="-57"/>
                      <w:jc w:val="center"/>
                      <w:rPr>
                        <w:sz w:val="20"/>
                      </w:rPr>
                    </w:pPr>
                    <w:r>
                      <w:rPr>
                        <w:sz w:val="20"/>
                      </w:rPr>
                      <w:t>(90 proc.)</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98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bCs/>
                        <w:sz w:val="20"/>
                      </w:rPr>
                    </w:pPr>
                  </w:p>
                </w:tc>
                <w:tc>
                  <w:tcPr>
                    <w:tcW w:w="121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1 471,829</w:t>
                    </w:r>
                  </w:p>
                </w:tc>
                <w:tc>
                  <w:tcPr>
                    <w:tcW w:w="1066" w:type="dxa"/>
                    <w:tcBorders>
                      <w:top w:val="single" w:sz="4" w:space="0" w:color="auto"/>
                      <w:left w:val="single" w:sz="4" w:space="0" w:color="auto"/>
                      <w:bottom w:val="single" w:sz="4" w:space="0" w:color="auto"/>
                      <w:right w:val="single" w:sz="4" w:space="0" w:color="auto"/>
                    </w:tcBorders>
                    <w:shd w:val="clear" w:color="auto" w:fill="EEECE1" w:themeFill="background2"/>
                  </w:tcPr>
                  <w:p>
                    <w:pPr>
                      <w:ind w:left="-57" w:right="-57"/>
                      <w:jc w:val="cente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b/>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b/>
                        <w:sz w:val="16"/>
                        <w:szCs w:val="16"/>
                      </w:rPr>
                    </w:pPr>
                  </w:p>
                </w:tc>
              </w:tr>
              <w:tr>
                <w:trPr>
                  <w:trHeight w:val="2126"/>
                </w:trPr>
                <w:tc>
                  <w:tcPr>
                    <w:tcW w:w="2103"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80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72"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2"/>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1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106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ind w:left="-57" w:right="-57"/>
                      <w:jc w:val="center"/>
                      <w:rPr>
                        <w:color w:val="000000"/>
                        <w:sz w:val="20"/>
                      </w:rPr>
                    </w:pPr>
                  </w:p>
                </w:tc>
                <w:tc>
                  <w:tcPr>
                    <w:tcW w:w="1066" w:type="dxa"/>
                    <w:vMerge/>
                    <w:tcBorders>
                      <w:left w:val="single" w:sz="4" w:space="0" w:color="auto"/>
                      <w:right w:val="single" w:sz="4" w:space="0" w:color="auto"/>
                    </w:tcBorders>
                    <w:vAlign w:val="center"/>
                  </w:tcPr>
                  <w:p>
                    <w:pPr>
                      <w:ind w:left="-57" w:right="-57"/>
                      <w:jc w:val="cente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P – Nustatyti infekcinių ligų centrų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right w:val="single" w:sz="4" w:space="0" w:color="auto"/>
                    </w:tcBorders>
                    <w:vAlign w:val="center"/>
                  </w:tcPr>
                  <w:p>
                    <w:pPr>
                      <w:ind w:left="-57" w:right="-57"/>
                      <w:rPr>
                        <w:iCs/>
                        <w:sz w:val="20"/>
                      </w:rPr>
                    </w:pPr>
                  </w:p>
                </w:tc>
                <w:tc>
                  <w:tcPr>
                    <w:tcW w:w="1972" w:type="dxa"/>
                    <w:vMerge/>
                    <w:tcBorders>
                      <w:left w:val="single" w:sz="4" w:space="0" w:color="auto"/>
                      <w:right w:val="single" w:sz="4" w:space="0" w:color="auto"/>
                    </w:tcBorders>
                    <w:vAlign w:val="center"/>
                  </w:tcPr>
                  <w:p>
                    <w:pPr>
                      <w:rPr>
                        <w:color w:val="000000"/>
                        <w:sz w:val="20"/>
                      </w:rPr>
                    </w:pPr>
                  </w:p>
                </w:tc>
                <w:tc>
                  <w:tcPr>
                    <w:tcW w:w="781" w:type="dxa"/>
                    <w:gridSpan w:val="3"/>
                    <w:vMerge/>
                    <w:tcBorders>
                      <w:left w:val="single" w:sz="4" w:space="0" w:color="auto"/>
                      <w:right w:val="single" w:sz="4" w:space="0" w:color="auto"/>
                    </w:tcBorders>
                    <w:vAlign w:val="center"/>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294"/>
                </w:trPr>
                <w:tc>
                  <w:tcPr>
                    <w:tcW w:w="2103"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80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ASPĮ</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rPr>
                    </w:pPr>
                    <w:r>
                      <w:rPr>
                        <w:sz w:val="20"/>
                      </w:rPr>
                      <w:t>146 153,509</w:t>
                    </w:r>
                  </w:p>
                </w:tc>
                <w:tc>
                  <w:tcPr>
                    <w:tcW w:w="1066" w:type="dxa"/>
                    <w:tcBorders>
                      <w:top w:val="single" w:sz="4" w:space="0" w:color="auto"/>
                      <w:left w:val="single" w:sz="4" w:space="0" w:color="auto"/>
                      <w:right w:val="single" w:sz="4" w:space="0" w:color="auto"/>
                    </w:tcBorders>
                  </w:tcPr>
                  <w:p>
                    <w:pPr>
                      <w:rPr>
                        <w:sz w:val="20"/>
                      </w:rPr>
                    </w:pPr>
                    <w:r>
                      <w:rPr>
                        <w:sz w:val="20"/>
                      </w:rPr>
                      <w:t>EGADP</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03"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80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066"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202"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066"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025"/>
                </w:trPr>
                <w:tc>
                  <w:tcPr>
                    <w:tcW w:w="2103" w:type="dxa"/>
                    <w:gridSpan w:val="2"/>
                    <w:vMerge w:val="restart"/>
                  </w:tcPr>
                  <w:p>
                    <w:pPr>
                      <w:rPr>
                        <w:sz w:val="20"/>
                      </w:rPr>
                    </w:pPr>
                    <w:r>
                      <w:rPr>
                        <w:sz w:val="20"/>
                      </w:rPr>
                      <w:t>2.4 Regionų ir savivaldybių sveikatos priežiūros įstaigų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Borders>
                      <w:left w:val="single" w:sz="4" w:space="0" w:color="auto"/>
                      <w:bottom w:val="single" w:sz="4" w:space="0" w:color="auto"/>
                      <w:right w:val="single" w:sz="4" w:space="0" w:color="auto"/>
                    </w:tcBorders>
                    <w:shd w:val="clear" w:color="auto" w:fill="auto"/>
                  </w:tcPr>
                  <w:p>
                    <w:pPr>
                      <w:rPr>
                        <w:sz w:val="20"/>
                      </w:rPr>
                    </w:pPr>
                    <w:r>
                      <w:rPr>
                        <w:color w:val="000000"/>
                        <w:sz w:val="20"/>
                      </w:rPr>
                      <w:t>5 850,490</w:t>
                    </w:r>
                  </w:p>
                </w:tc>
                <w:tc>
                  <w:tcPr>
                    <w:tcW w:w="1066" w:type="dxa"/>
                  </w:tcPr>
                  <w:p>
                    <w:pPr>
                      <w:rPr>
                        <w:sz w:val="20"/>
                      </w:rPr>
                    </w:pPr>
                    <w:r>
                      <w:rPr>
                        <w:sz w:val="20"/>
                      </w:rPr>
                      <w:t>2021–2027 m. IP (ERPF)</w:t>
                    </w:r>
                  </w:p>
                  <w:p>
                    <w:pPr>
                      <w:rPr>
                        <w:sz w:val="20"/>
                      </w:rPr>
                    </w:pPr>
                  </w:p>
                </w:tc>
                <w:tc>
                  <w:tcPr>
                    <w:tcW w:w="1923"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51 500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5 850,490</w:t>
                    </w:r>
                  </w:p>
                </w:tc>
                <w:tc>
                  <w:tcPr>
                    <w:tcW w:w="1066" w:type="dxa"/>
                  </w:tcPr>
                  <w:p>
                    <w:pPr>
                      <w:rPr>
                        <w:sz w:val="20"/>
                      </w:rPr>
                    </w:pPr>
                    <w:r>
                      <w:rPr>
                        <w:sz w:val="20"/>
                      </w:rPr>
                      <w:t>2021–2027 m. IP (BF)</w:t>
                    </w:r>
                  </w:p>
                </w:tc>
                <w:tc>
                  <w:tcPr>
                    <w:tcW w:w="1923"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202" w:type="dxa"/>
                    <w:gridSpan w:val="2"/>
                    <w:shd w:val="clear" w:color="auto" w:fill="auto"/>
                  </w:tcPr>
                  <w:p>
                    <w:pPr>
                      <w:ind w:left="-57" w:right="-57"/>
                      <w:jc w:val="center"/>
                      <w:rPr>
                        <w:sz w:val="20"/>
                      </w:rPr>
                    </w:pPr>
                    <w:r>
                      <w:rPr>
                        <w:sz w:val="20"/>
                      </w:rPr>
                      <w:t>46 480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103" w:type="dxa"/>
                    <w:gridSpan w:val="2"/>
                    <w:vMerge w:val="restart"/>
                  </w:tcPr>
                  <w:p>
                    <w:pPr>
                      <w:rPr>
                        <w:sz w:val="20"/>
                      </w:rPr>
                    </w:pPr>
                    <w:r>
                      <w:rPr>
                        <w:sz w:val="20"/>
                      </w:rPr>
                      <w:t>2.5. Regionų ir savivaldybių sveikatos priežiūros įstaigų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p>
                    <w:pP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shd w:val="clear" w:color="auto" w:fill="auto"/>
                  </w:tcPr>
                  <w:p>
                    <w:pPr>
                      <w:rPr>
                        <w:sz w:val="20"/>
                      </w:rPr>
                    </w:pPr>
                    <w:r>
                      <w:rPr>
                        <w:sz w:val="20"/>
                      </w:rPr>
                      <w:t>36 216,058</w:t>
                    </w:r>
                  </w:p>
                </w:tc>
                <w:tc>
                  <w:tcPr>
                    <w:tcW w:w="1066" w:type="dxa"/>
                  </w:tcPr>
                  <w:p>
                    <w:pPr>
                      <w:rPr>
                        <w:sz w:val="20"/>
                      </w:rPr>
                    </w:pPr>
                    <w:r>
                      <w:rPr>
                        <w:sz w:val="20"/>
                      </w:rPr>
                      <w:t>2021–2027 m. IP (ERPF)</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shd w:val="clear" w:color="auto" w:fill="auto"/>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rPr>
                    </w:pPr>
                    <w:r>
                      <w:rPr>
                        <w:sz w:val="20"/>
                      </w:rPr>
                      <w:t>6 391,069</w:t>
                    </w:r>
                  </w:p>
                </w:tc>
                <w:tc>
                  <w:tcPr>
                    <w:tcW w:w="1066" w:type="dxa"/>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103" w:type="dxa"/>
                    <w:gridSpan w:val="2"/>
                    <w:vMerge w:val="restart"/>
                  </w:tcPr>
                  <w:p>
                    <w:pPr>
                      <w:rPr>
                        <w:sz w:val="20"/>
                      </w:rPr>
                    </w:pPr>
                    <w:r>
                      <w:rPr>
                        <w:sz w:val="20"/>
                      </w:rPr>
                      <w:t>2.6. Skubios telemedicinos paslaugų diegimas,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rPr>
                    </w:pPr>
                    <w:r>
                      <w:rPr>
                        <w:sz w:val="20"/>
                      </w:rPr>
                      <w:t>3 825</w:t>
                    </w:r>
                  </w:p>
                  <w:p>
                    <w:pPr>
                      <w:rPr>
                        <w:sz w:val="20"/>
                      </w:rPr>
                    </w:pPr>
                  </w:p>
                </w:tc>
                <w:tc>
                  <w:tcPr>
                    <w:tcW w:w="1066" w:type="dxa"/>
                  </w:tcPr>
                  <w:p>
                    <w:pPr>
                      <w:rPr>
                        <w:sz w:val="20"/>
                      </w:rPr>
                    </w:pPr>
                    <w:r>
                      <w:rPr>
                        <w:sz w:val="20"/>
                      </w:rPr>
                      <w:t>2021–2027 m. IP (ERPF)</w:t>
                    </w:r>
                  </w:p>
                </w:tc>
                <w:tc>
                  <w:tcPr>
                    <w:tcW w:w="1923"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Pr>
                  <w:p>
                    <w:pPr>
                      <w:rPr>
                        <w:color w:val="000000"/>
                        <w:sz w:val="20"/>
                      </w:rPr>
                    </w:pPr>
                  </w:p>
                </w:tc>
                <w:tc>
                  <w:tcPr>
                    <w:tcW w:w="681" w:type="dxa"/>
                    <w:gridSpan w:val="3"/>
                    <w:vMerge/>
                  </w:tcPr>
                  <w:p>
                    <w:pPr>
                      <w:rPr>
                        <w:color w:val="000000"/>
                        <w:sz w:val="20"/>
                      </w:rPr>
                    </w:pPr>
                  </w:p>
                </w:tc>
                <w:tc>
                  <w:tcPr>
                    <w:tcW w:w="1216" w:type="dxa"/>
                    <w:vMerge w:val="restart"/>
                  </w:tcPr>
                  <w:p>
                    <w:pPr>
                      <w:rPr>
                        <w:sz w:val="20"/>
                      </w:rPr>
                    </w:pPr>
                    <w:r>
                      <w:rPr>
                        <w:sz w:val="20"/>
                      </w:rPr>
                      <w:t>675</w:t>
                    </w:r>
                  </w:p>
                  <w:p>
                    <w:pPr>
                      <w:rPr>
                        <w:color w:val="000000"/>
                        <w:sz w:val="20"/>
                      </w:rPr>
                    </w:pPr>
                  </w:p>
                </w:tc>
                <w:tc>
                  <w:tcPr>
                    <w:tcW w:w="1066" w:type="dxa"/>
                    <w:vMerge w:val="restart"/>
                  </w:tcPr>
                  <w:p>
                    <w:pPr>
                      <w:rPr>
                        <w:color w:val="000000"/>
                        <w:sz w:val="20"/>
                      </w:rPr>
                    </w:pPr>
                    <w:r>
                      <w:rPr>
                        <w:sz w:val="20"/>
                      </w:rPr>
                      <w:t>2021–2027 m. IP (BF)</w:t>
                    </w:r>
                  </w:p>
                </w:tc>
                <w:tc>
                  <w:tcPr>
                    <w:tcW w:w="1923" w:type="dxa"/>
                    <w:vMerge/>
                  </w:tcPr>
                  <w:p>
                    <w:pPr>
                      <w:ind w:left="-57" w:right="-57"/>
                      <w:rPr>
                        <w:color w:val="FF0000"/>
                        <w:sz w:val="20"/>
                      </w:rPr>
                    </w:pPr>
                  </w:p>
                </w:tc>
                <w:tc>
                  <w:tcPr>
                    <w:tcW w:w="1202" w:type="dxa"/>
                    <w:gridSpan w:val="2"/>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103" w:type="dxa"/>
                    <w:gridSpan w:val="2"/>
                    <w:vMerge/>
                    <w:vAlign w:val="center"/>
                  </w:tcPr>
                  <w:p>
                    <w:pPr>
                      <w:rPr>
                        <w:color w:val="000000"/>
                        <w:sz w:val="20"/>
                      </w:rPr>
                    </w:pPr>
                  </w:p>
                </w:tc>
                <w:tc>
                  <w:tcPr>
                    <w:tcW w:w="800" w:type="dxa"/>
                    <w:gridSpan w:val="2"/>
                    <w:vMerge/>
                    <w:vAlign w:val="center"/>
                  </w:tcPr>
                  <w:p>
                    <w:pPr>
                      <w:rPr>
                        <w:color w:val="000000"/>
                        <w:sz w:val="20"/>
                      </w:rPr>
                    </w:pPr>
                  </w:p>
                </w:tc>
                <w:tc>
                  <w:tcPr>
                    <w:tcW w:w="1972" w:type="dxa"/>
                    <w:vMerge/>
                    <w:vAlign w:val="center"/>
                  </w:tcPr>
                  <w:p>
                    <w:pPr>
                      <w:rPr>
                        <w:color w:val="000000"/>
                        <w:sz w:val="20"/>
                      </w:rPr>
                    </w:pPr>
                  </w:p>
                </w:tc>
                <w:tc>
                  <w:tcPr>
                    <w:tcW w:w="781" w:type="dxa"/>
                    <w:gridSpan w:val="3"/>
                    <w:vMerge/>
                    <w:vAlign w:val="center"/>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ign w:val="center"/>
                  </w:tcPr>
                  <w:p>
                    <w:pPr>
                      <w:rPr>
                        <w:color w:val="000000"/>
                        <w:sz w:val="20"/>
                      </w:rPr>
                    </w:pPr>
                  </w:p>
                </w:tc>
                <w:tc>
                  <w:tcPr>
                    <w:tcW w:w="1066" w:type="dxa"/>
                    <w:vMerge/>
                    <w:vAlign w:val="center"/>
                  </w:tcPr>
                  <w:p>
                    <w:pPr>
                      <w:rPr>
                        <w:color w:val="000000"/>
                        <w:sz w:val="20"/>
                      </w:rPr>
                    </w:pPr>
                  </w:p>
                </w:tc>
                <w:tc>
                  <w:tcPr>
                    <w:tcW w:w="1923"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202" w:type="dxa"/>
                    <w:gridSpan w:val="2"/>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975"/>
                </w:trPr>
                <w:tc>
                  <w:tcPr>
                    <w:tcW w:w="2103" w:type="dxa"/>
                    <w:gridSpan w:val="2"/>
                    <w:vMerge w:val="restart"/>
                    <w:tcMar>
                      <w:left w:w="105" w:type="dxa"/>
                      <w:right w:w="105" w:type="dxa"/>
                    </w:tcMar>
                  </w:tcPr>
                  <w:p>
                    <w:pPr>
                      <w:rPr>
                        <w:color w:val="000000"/>
                        <w:sz w:val="20"/>
                      </w:rPr>
                    </w:pPr>
                    <w:r>
                      <w:rPr>
                        <w:color w:val="000000"/>
                        <w:sz w:val="20"/>
                      </w:rPr>
                      <w:t xml:space="preserve">2.7. Medicinos darbuotojų (pirminės sveikatos priežiūros) paruošimas operatyviai ir koordinuotai teikti asmens sveikatos priežiūros paslaugas sužalotiems kariams ir civiliams </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rPr>
                        <w:color w:val="000000"/>
                        <w:sz w:val="20"/>
                      </w:rPr>
                    </w:pPr>
                    <w:r>
                      <w:rPr>
                        <w:color w:val="000000"/>
                        <w:sz w:val="20"/>
                      </w:rPr>
                      <w:t>1 616,463</w:t>
                    </w:r>
                  </w:p>
                </w:tc>
                <w:tc>
                  <w:tcPr>
                    <w:tcW w:w="1066" w:type="dxa"/>
                    <w:tcMar>
                      <w:left w:w="105" w:type="dxa"/>
                      <w:right w:w="105" w:type="dxa"/>
                    </w:tcMar>
                  </w:tcPr>
                  <w:p>
                    <w:pPr>
                      <w:rPr>
                        <w:color w:val="000000"/>
                        <w:sz w:val="20"/>
                      </w:rPr>
                    </w:pPr>
                    <w:r>
                      <w:rPr>
                        <w:color w:val="000000"/>
                        <w:sz w:val="20"/>
                      </w:rPr>
                      <w:t xml:space="preserve">2021–2027 m. IP (ESF+) </w:t>
                    </w:r>
                  </w:p>
                </w:tc>
                <w:tc>
                  <w:tcPr>
                    <w:tcW w:w="1923" w:type="dxa"/>
                    <w:tcMar>
                      <w:left w:w="105" w:type="dxa"/>
                      <w:right w:w="105" w:type="dxa"/>
                    </w:tcMar>
                  </w:tcPr>
                  <w:p>
                    <w:pPr>
                      <w:ind w:left="-57" w:right="-57"/>
                      <w:rPr>
                        <w:color w:val="000000"/>
                        <w:sz w:val="20"/>
                      </w:rPr>
                    </w:pPr>
                    <w:r>
                      <w:rPr>
                        <w:color w:val="000000"/>
                        <w:sz w:val="20"/>
                      </w:rPr>
                      <w:t>P – Specialistai, dalyvavę kvalifikacijos tobulinimo ar perkvalifikavimo veiklose, asmenys</w:t>
                    </w:r>
                  </w:p>
                </w:tc>
                <w:tc>
                  <w:tcPr>
                    <w:tcW w:w="1202" w:type="dxa"/>
                    <w:gridSpan w:val="2"/>
                    <w:tcMar>
                      <w:left w:w="105" w:type="dxa"/>
                      <w:right w:w="105" w:type="dxa"/>
                    </w:tcMar>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rPr>
                        <w:color w:val="000000"/>
                        <w:sz w:val="20"/>
                      </w:rPr>
                    </w:pPr>
                    <w:r>
                      <w:rPr>
                        <w:color w:val="000000"/>
                        <w:sz w:val="20"/>
                      </w:rPr>
                      <w:t>285,259</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R – Specialistų, kurie po dalyvavimo veiklose įgijo ar patobulino kvalifikaciją, dalis proc.</w:t>
                    </w:r>
                  </w:p>
                </w:tc>
                <w:tc>
                  <w:tcPr>
                    <w:tcW w:w="1202" w:type="dxa"/>
                    <w:gridSpan w:val="2"/>
                    <w:tcMar>
                      <w:left w:w="105" w:type="dxa"/>
                      <w:right w:w="105" w:type="dxa"/>
                    </w:tcMar>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683,005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800" w:type="dxa"/>
                    <w:gridSpan w:val="2"/>
                    <w:vMerge w:val="restart"/>
                    <w:tcMar>
                      <w:left w:w="105" w:type="dxa"/>
                      <w:right w:w="105" w:type="dxa"/>
                    </w:tcMar>
                  </w:tcPr>
                  <w:p>
                    <w:pPr>
                      <w:rPr>
                        <w:color w:val="000000"/>
                        <w:sz w:val="20"/>
                      </w:rPr>
                    </w:pPr>
                    <w:r>
                      <w:rPr>
                        <w:color w:val="000000"/>
                        <w:sz w:val="20"/>
                      </w:rPr>
                      <w:t>I</w:t>
                    </w:r>
                  </w:p>
                </w:tc>
                <w:tc>
                  <w:tcPr>
                    <w:tcW w:w="1972" w:type="dxa"/>
                    <w:vMerge w:val="restart"/>
                    <w:tcMar>
                      <w:left w:w="105" w:type="dxa"/>
                      <w:right w:w="105" w:type="dxa"/>
                    </w:tcMar>
                  </w:tcPr>
                  <w:p>
                    <w:pPr>
                      <w:rPr>
                        <w:color w:val="000000"/>
                        <w:sz w:val="20"/>
                      </w:rPr>
                    </w:pPr>
                    <w:r>
                      <w:rPr>
                        <w:color w:val="000000"/>
                        <w:sz w:val="20"/>
                      </w:rPr>
                      <w:t>VĮ Registrų centras</w:t>
                    </w:r>
                  </w:p>
                </w:tc>
                <w:tc>
                  <w:tcPr>
                    <w:tcW w:w="781" w:type="dxa"/>
                    <w:gridSpan w:val="3"/>
                    <w:vMerge w:val="restart"/>
                    <w:tcMar>
                      <w:left w:w="105" w:type="dxa"/>
                      <w:right w:w="105" w:type="dxa"/>
                    </w:tcMar>
                  </w:tcPr>
                  <w:p>
                    <w:pPr>
                      <w:rPr>
                        <w:color w:val="000000"/>
                        <w:sz w:val="20"/>
                      </w:rPr>
                    </w:pPr>
                    <w:r>
                      <w:rPr>
                        <w:color w:val="000000"/>
                        <w:sz w:val="20"/>
                      </w:rPr>
                      <w:t>P</w:t>
                    </w:r>
                  </w:p>
                </w:tc>
                <w:tc>
                  <w:tcPr>
                    <w:tcW w:w="1014" w:type="dxa"/>
                    <w:gridSpan w:val="2"/>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216" w:type="dxa"/>
                    <w:tcMar>
                      <w:left w:w="105" w:type="dxa"/>
                      <w:right w:w="105" w:type="dxa"/>
                    </w:tcMar>
                  </w:tcPr>
                  <w:p>
                    <w:pPr>
                      <w:jc w:val="center"/>
                      <w:rPr>
                        <w:color w:val="000000"/>
                        <w:sz w:val="20"/>
                      </w:rPr>
                    </w:pPr>
                    <w:r>
                      <w:rPr>
                        <w:color w:val="000000"/>
                        <w:sz w:val="20"/>
                      </w:rPr>
                      <w:t xml:space="preserve">2 709,254 </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rPr>
                        <w:color w:val="000000"/>
                        <w:sz w:val="20"/>
                      </w:rPr>
                    </w:pPr>
                    <w:r>
                      <w:rPr>
                        <w:color w:val="000000"/>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color w:val="000000"/>
                        <w:sz w:val="20"/>
                      </w:rPr>
                      <w:t xml:space="preserve">478,104 </w:t>
                    </w:r>
                  </w:p>
                </w:tc>
                <w:tc>
                  <w:tcPr>
                    <w:tcW w:w="1066" w:type="dxa"/>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202"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6" w:type="dxa"/>
                    <w:vMerge/>
                    <w:vAlign w:val="center"/>
                  </w:tcPr>
                  <w:p/>
                </w:tc>
              </w:tr>
              <w:tr>
                <w:trPr>
                  <w:trHeight w:val="975"/>
                </w:trPr>
                <w:tc>
                  <w:tcPr>
                    <w:tcW w:w="2103" w:type="dxa"/>
                    <w:gridSpan w:val="2"/>
                    <w:vMerge w:val="restart"/>
                  </w:tcPr>
                  <w:p>
                    <w:pPr/>
                    <w:r>
                      <w:rPr>
                        <w:sz w:val="20"/>
                      </w:rPr>
                      <w:t>2.10. Medicinos darbuotojų (specializuotos sveikatos priežiūros) paruošimas operatyviai ir koordinuotai teikti asmens sveikatos priežiūros paslaugas sužalotiems kariams ir civiliams</w:t>
                    </w:r>
                  </w:p>
                </w:tc>
                <w:tc>
                  <w:tcPr>
                    <w:tcW w:w="800" w:type="dxa"/>
                    <w:gridSpan w:val="2"/>
                    <w:vMerge w:val="restart"/>
                  </w:tcPr>
                  <w:p>
                    <w:pPr/>
                    <w:r>
                      <w:rPr>
                        <w:sz w:val="20"/>
                      </w:rPr>
                      <w:t>I</w:t>
                    </w:r>
                  </w:p>
                </w:tc>
                <w:tc>
                  <w:tcPr>
                    <w:tcW w:w="1972" w:type="dxa"/>
                    <w:vMerge w:val="restart"/>
                  </w:tcPr>
                  <w:p>
                    <w:pPr/>
                    <w:r>
                      <w:rPr>
                        <w:sz w:val="20"/>
                      </w:rPr>
                      <w:t>ESSC, VU ir LSMU</w:t>
                    </w:r>
                  </w:p>
                </w:tc>
                <w:tc>
                  <w:tcPr>
                    <w:tcW w:w="781" w:type="dxa"/>
                    <w:gridSpan w:val="3"/>
                    <w:vMerge w:val="restart"/>
                  </w:tcPr>
                  <w:p>
                    <w:pPr/>
                    <w:r>
                      <w:rPr>
                        <w:sz w:val="20"/>
                      </w:rPr>
                      <w:t>P</w:t>
                    </w:r>
                  </w:p>
                </w:tc>
                <w:tc>
                  <w:tcPr>
                    <w:tcW w:w="1014" w:type="dxa"/>
                    <w:gridSpan w:val="2"/>
                    <w:vMerge w:val="restart"/>
                  </w:tcPr>
                  <w:p>
                    <w:pPr/>
                    <w:r>
                      <w:rPr>
                        <w:sz w:val="20"/>
                      </w:rPr>
                      <w:t>Taip</w:t>
                    </w:r>
                  </w:p>
                </w:tc>
                <w:tc>
                  <w:tcPr>
                    <w:tcW w:w="681" w:type="dxa"/>
                    <w:gridSpan w:val="3"/>
                    <w:vMerge w:val="restart"/>
                  </w:tcPr>
                  <w:p>
                    <w:pPr/>
                    <w:r>
                      <w:rPr>
                        <w:sz w:val="20"/>
                      </w:rPr>
                      <w:t>D</w:t>
                    </w:r>
                  </w:p>
                </w:tc>
                <w:tc>
                  <w:tcPr>
                    <w:tcW w:w="1216" w:type="dxa"/>
                    <w:tcMar>
                      <w:left w:w="105" w:type="dxa"/>
                      <w:right w:w="105" w:type="dxa"/>
                    </w:tcMar>
                  </w:tcPr>
                  <w:p>
                    <w:pPr>
                      <w:jc w:val="center"/>
                      <w:rPr>
                        <w:color w:val="000000"/>
                        <w:sz w:val="20"/>
                      </w:rPr>
                    </w:pPr>
                    <w:r>
                      <w:rPr>
                        <w:sz w:val="20"/>
                      </w:rPr>
                      <w:t>6 723,896</w:t>
                    </w:r>
                  </w:p>
                </w:tc>
                <w:tc>
                  <w:tcPr>
                    <w:tcW w:w="1066" w:type="dxa"/>
                    <w:tcMar>
                      <w:left w:w="105" w:type="dxa"/>
                      <w:right w:w="105" w:type="dxa"/>
                    </w:tcMar>
                  </w:tcPr>
                  <w:p>
                    <w:pPr>
                      <w:rPr>
                        <w:color w:val="000000"/>
                        <w:sz w:val="20"/>
                      </w:rPr>
                    </w:pPr>
                    <w:r>
                      <w:rPr>
                        <w:sz w:val="20"/>
                      </w:rPr>
                      <w:t xml:space="preserve">2021–2027 m. IP (ESF+) </w:t>
                    </w:r>
                  </w:p>
                </w:tc>
                <w:tc>
                  <w:tcPr>
                    <w:tcW w:w="1923" w:type="dxa"/>
                    <w:tcMar>
                      <w:left w:w="105" w:type="dxa"/>
                      <w:right w:w="105" w:type="dxa"/>
                    </w:tcMar>
                  </w:tcPr>
                  <w:p>
                    <w:pPr>
                      <w:ind w:left="-57" w:right="-57"/>
                      <w:rPr>
                        <w:color w:val="000000"/>
                        <w:sz w:val="20"/>
                      </w:rPr>
                    </w:pPr>
                    <w:r>
                      <w:rPr>
                        <w:sz w:val="20"/>
                      </w:rPr>
                      <w:t>P – Specialistai, dalyvavę kvalifikacijos tobulinimo ar perkvalifikavimo veiklose, asmenys</w:t>
                    </w:r>
                  </w:p>
                </w:tc>
                <w:tc>
                  <w:tcPr>
                    <w:tcW w:w="1202" w:type="dxa"/>
                    <w:gridSpan w:val="2"/>
                    <w:tcMar>
                      <w:left w:w="105" w:type="dxa"/>
                      <w:right w:w="105" w:type="dxa"/>
                    </w:tcMar>
                  </w:tcPr>
                  <w:p>
                    <w:pPr>
                      <w:ind w:left="-57" w:right="-57"/>
                      <w:jc w:val="center"/>
                    </w:pPr>
                    <w:r>
                      <w:rPr>
                        <w:sz w:val="20"/>
                      </w:rPr>
                      <w:t>3 830</w:t>
                    </w:r>
                  </w:p>
                  <w:p>
                    <w:pPr>
                      <w:ind w:left="-57" w:right="-57"/>
                      <w:jc w:val="center"/>
                      <w:rPr>
                        <w:color w:val="000000"/>
                        <w:sz w:val="20"/>
                      </w:rPr>
                    </w:pPr>
                    <w:r>
                      <w:rPr>
                        <w:sz w:val="20"/>
                      </w:rPr>
                      <w:t>(2029 m.)</w:t>
                    </w:r>
                  </w:p>
                </w:tc>
                <w:tc>
                  <w:tcPr>
                    <w:tcW w:w="992" w:type="dxa"/>
                  </w:tcPr>
                  <w:p>
                    <w:pPr/>
                    <w:r>
                      <w:rPr>
                        <w:sz w:val="20"/>
                      </w:rPr>
                      <w:t>CPVA</w:t>
                    </w:r>
                  </w:p>
                </w:tc>
                <w:tc>
                  <w:tcPr>
                    <w:tcW w:w="1276" w:type="dxa"/>
                  </w:tcPr>
                  <w:p>
                    <w:pPr/>
                    <w:r>
                      <w:rPr>
                        <w:sz w:val="20"/>
                      </w:rPr>
                      <w:t>SAM</w:t>
                    </w:r>
                  </w:p>
                </w:tc>
              </w:tr>
              <w:tr>
                <w:trPr>
                  <w:trHeight w:val="975"/>
                </w:trPr>
                <w:tc>
                  <w:tcPr>
                    <w:tcW w:w="2103" w:type="dxa"/>
                    <w:gridSpan w:val="2"/>
                    <w:vMerge/>
                    <w:vAlign w:val="center"/>
                  </w:tcPr>
                  <w:p/>
                </w:tc>
                <w:tc>
                  <w:tcPr>
                    <w:tcW w:w="800" w:type="dxa"/>
                    <w:gridSpan w:val="2"/>
                    <w:vMerge/>
                    <w:vAlign w:val="center"/>
                  </w:tcPr>
                  <w:p/>
                </w:tc>
                <w:tc>
                  <w:tcPr>
                    <w:tcW w:w="1972" w:type="dxa"/>
                    <w:vMerge/>
                    <w:vAlign w:val="center"/>
                  </w:tcPr>
                  <w:p/>
                </w:tc>
                <w:tc>
                  <w:tcPr>
                    <w:tcW w:w="781" w:type="dxa"/>
                    <w:gridSpan w:val="3"/>
                    <w:vMerge/>
                    <w:vAlign w:val="center"/>
                  </w:tcPr>
                  <w:p/>
                </w:tc>
                <w:tc>
                  <w:tcPr>
                    <w:tcW w:w="1014" w:type="dxa"/>
                    <w:gridSpan w:val="2"/>
                    <w:vMerge/>
                    <w:vAlign w:val="center"/>
                  </w:tcPr>
                  <w:p/>
                </w:tc>
                <w:tc>
                  <w:tcPr>
                    <w:tcW w:w="681" w:type="dxa"/>
                    <w:gridSpan w:val="3"/>
                    <w:vMerge/>
                    <w:vAlign w:val="center"/>
                  </w:tcPr>
                  <w:p/>
                </w:tc>
                <w:tc>
                  <w:tcPr>
                    <w:tcW w:w="1216" w:type="dxa"/>
                    <w:tcMar>
                      <w:left w:w="105" w:type="dxa"/>
                      <w:right w:w="105" w:type="dxa"/>
                    </w:tcMar>
                  </w:tcPr>
                  <w:p>
                    <w:pPr>
                      <w:jc w:val="center"/>
                      <w:rPr>
                        <w:color w:val="000000"/>
                        <w:sz w:val="20"/>
                      </w:rPr>
                    </w:pPr>
                    <w:r>
                      <w:rPr>
                        <w:sz w:val="20"/>
                      </w:rPr>
                      <w:t>1 186,570</w:t>
                    </w:r>
                  </w:p>
                </w:tc>
                <w:tc>
                  <w:tcPr>
                    <w:tcW w:w="1066" w:type="dxa"/>
                    <w:tcMar>
                      <w:left w:w="105" w:type="dxa"/>
                      <w:right w:w="105" w:type="dxa"/>
                    </w:tcMar>
                  </w:tcPr>
                  <w:p>
                    <w:pPr>
                      <w:rPr>
                        <w:color w:val="000000"/>
                        <w:sz w:val="20"/>
                      </w:rPr>
                    </w:pPr>
                    <w:r>
                      <w:rPr>
                        <w:sz w:val="20"/>
                      </w:rPr>
                      <w:t>2021–2027 m. IP (BF)</w:t>
                    </w:r>
                  </w:p>
                </w:tc>
                <w:tc>
                  <w:tcPr>
                    <w:tcW w:w="1923" w:type="dxa"/>
                    <w:tcMar>
                      <w:left w:w="105" w:type="dxa"/>
                      <w:right w:w="105" w:type="dxa"/>
                    </w:tcMar>
                  </w:tcPr>
                  <w:p>
                    <w:pPr>
                      <w:ind w:left="-57" w:right="-57"/>
                      <w:rPr>
                        <w:color w:val="000000"/>
                        <w:sz w:val="20"/>
                      </w:rPr>
                    </w:pPr>
                    <w:r>
                      <w:rPr>
                        <w:sz w:val="20"/>
                      </w:rPr>
                      <w:t>R – Specialistų, kurie po dalyvavimo veiklose įgijo ar patobulino kvalifikaciją, dalis proc.</w:t>
                    </w:r>
                  </w:p>
                </w:tc>
                <w:tc>
                  <w:tcPr>
                    <w:tcW w:w="1202" w:type="dxa"/>
                    <w:gridSpan w:val="2"/>
                    <w:tcMar>
                      <w:left w:w="105" w:type="dxa"/>
                      <w:right w:w="105" w:type="dxa"/>
                    </w:tcMar>
                  </w:tcPr>
                  <w:p>
                    <w:pPr>
                      <w:ind w:left="-57" w:right="-57"/>
                      <w:jc w:val="center"/>
                    </w:pPr>
                    <w:r>
                      <w:rPr>
                        <w:sz w:val="20"/>
                      </w:rPr>
                      <w:t>90</w:t>
                    </w:r>
                  </w:p>
                  <w:p>
                    <w:pPr>
                      <w:ind w:left="-57" w:right="-57"/>
                      <w:jc w:val="center"/>
                    </w:pPr>
                    <w:r>
                      <w:rPr>
                        <w:sz w:val="20"/>
                      </w:rPr>
                      <w:t>(2029 m.)</w:t>
                    </w:r>
                  </w:p>
                  <w:p>
                    <w:pPr>
                      <w:ind w:left="-57" w:right="-57"/>
                      <w:jc w:val="center"/>
                      <w:rPr>
                        <w:color w:val="000000"/>
                        <w:sz w:val="20"/>
                      </w:rPr>
                    </w:pPr>
                  </w:p>
                </w:tc>
                <w:tc>
                  <w:tcPr>
                    <w:tcW w:w="992" w:type="dxa"/>
                    <w:vAlign w:val="center"/>
                  </w:tcPr>
                  <w:p/>
                </w:tc>
                <w:tc>
                  <w:tcPr>
                    <w:tcW w:w="1276" w:type="dxa"/>
                    <w:vAlign w:val="center"/>
                  </w:tcPr>
                  <w:p/>
                </w:tc>
              </w:tr>
              <w:tr>
                <w:trPr>
                  <w:trHeight w:val="414"/>
                </w:trPr>
                <w:tc>
                  <w:tcPr>
                    <w:tcW w:w="2103"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800" w:type="dxa"/>
                    <w:gridSpan w:val="2"/>
                    <w:vMerge w:val="restart"/>
                    <w:shd w:val="clear" w:color="auto" w:fill="F2F2F2" w:themeFill="background1" w:themeFillShade="F2"/>
                  </w:tcPr>
                  <w:p>
                    <w:pPr>
                      <w:rPr>
                        <w:color w:val="000000"/>
                        <w:sz w:val="20"/>
                      </w:rPr>
                    </w:pPr>
                    <w:r>
                      <w:rPr>
                        <w:sz w:val="20"/>
                      </w:rPr>
                      <w:t>-</w:t>
                    </w:r>
                  </w:p>
                </w:tc>
                <w:tc>
                  <w:tcPr>
                    <w:tcW w:w="1972" w:type="dxa"/>
                    <w:vMerge w:val="restart"/>
                    <w:shd w:val="clear" w:color="auto" w:fill="F2F2F2" w:themeFill="background1" w:themeFillShade="F2"/>
                  </w:tcPr>
                  <w:p>
                    <w:pPr>
                      <w:rPr>
                        <w:color w:val="000000"/>
                        <w:sz w:val="20"/>
                      </w:rPr>
                    </w:pPr>
                    <w:r>
                      <w:rPr>
                        <w:sz w:val="20"/>
                      </w:rPr>
                      <w:t>-</w:t>
                    </w:r>
                  </w:p>
                </w:tc>
                <w:tc>
                  <w:tcPr>
                    <w:tcW w:w="781" w:type="dxa"/>
                    <w:gridSpan w:val="3"/>
                    <w:vMerge w:val="restart"/>
                    <w:shd w:val="clear" w:color="auto" w:fill="F2F2F2" w:themeFill="background1" w:themeFillShade="F2"/>
                  </w:tcPr>
                  <w:p>
                    <w:pPr>
                      <w:rPr>
                        <w:color w:val="000000"/>
                        <w:sz w:val="20"/>
                      </w:rPr>
                    </w:pPr>
                    <w:r>
                      <w:rPr>
                        <w:sz w:val="20"/>
                      </w:rPr>
                      <w:t>-</w:t>
                    </w:r>
                  </w:p>
                </w:tc>
                <w:tc>
                  <w:tcPr>
                    <w:tcW w:w="1014" w:type="dxa"/>
                    <w:gridSpan w:val="2"/>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216" w:type="dxa"/>
                    <w:shd w:val="clear" w:color="auto" w:fill="F2F2F2" w:themeFill="background1" w:themeFillShade="F2"/>
                  </w:tcPr>
                  <w:p>
                    <w:pPr>
                      <w:rPr>
                        <w:color w:val="000000"/>
                        <w:sz w:val="20"/>
                      </w:rPr>
                    </w:pPr>
                    <w:r>
                      <w:rPr>
                        <w:b/>
                        <w:bCs/>
                        <w:sz w:val="20"/>
                      </w:rPr>
                      <w:t>52 970,227</w:t>
                    </w:r>
                  </w:p>
                </w:tc>
                <w:tc>
                  <w:tcPr>
                    <w:tcW w:w="1066" w:type="dxa"/>
                    <w:shd w:val="clear" w:color="auto" w:fill="F2F2F2" w:themeFill="background1" w:themeFillShade="F2"/>
                  </w:tcPr>
                  <w:p>
                    <w:pPr>
                      <w:rPr>
                        <w:color w:val="000000"/>
                        <w:sz w:val="20"/>
                      </w:rPr>
                    </w:pPr>
                    <w:r>
                      <w:rPr>
                        <w:sz w:val="20"/>
                      </w:rPr>
                      <w:t>-</w:t>
                    </w:r>
                  </w:p>
                </w:tc>
                <w:tc>
                  <w:tcPr>
                    <w:tcW w:w="1923"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19 500</w:t>
                    </w:r>
                  </w:p>
                </w:tc>
                <w:tc>
                  <w:tcPr>
                    <w:tcW w:w="1066" w:type="dxa"/>
                    <w:shd w:val="clear" w:color="auto" w:fill="F2F2F2" w:themeFill="background1" w:themeFillShade="F2"/>
                  </w:tcPr>
                  <w:p>
                    <w:pPr>
                      <w:rPr>
                        <w:sz w:val="20"/>
                      </w:rPr>
                    </w:pPr>
                    <w:r>
                      <w:rPr>
                        <w:sz w:val="20"/>
                      </w:rPr>
                      <w:t>EGADP</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4 090</w:t>
                    </w:r>
                  </w:p>
                </w:tc>
                <w:tc>
                  <w:tcPr>
                    <w:tcW w:w="1066" w:type="dxa"/>
                    <w:shd w:val="clear" w:color="auto" w:fill="F2F2F2" w:themeFill="background1" w:themeFillShade="F2"/>
                  </w:tcPr>
                  <w:p>
                    <w:pPr>
                      <w:rPr>
                        <w:sz w:val="20"/>
                      </w:rPr>
                    </w:pPr>
                    <w:r>
                      <w:rPr>
                        <w:sz w:val="20"/>
                      </w:rPr>
                      <w:t>PVM iš VB</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8 823,193</w:t>
                    </w:r>
                  </w:p>
                </w:tc>
                <w:tc>
                  <w:tcPr>
                    <w:tcW w:w="1066" w:type="dxa"/>
                    <w:shd w:val="clear" w:color="auto" w:fill="F2F2F2" w:themeFill="background1" w:themeFillShade="F2"/>
                  </w:tcPr>
                  <w:p>
                    <w:pPr>
                      <w:rPr>
                        <w:sz w:val="20"/>
                      </w:rPr>
                    </w:pPr>
                    <w:r>
                      <w:rPr>
                        <w:sz w:val="20"/>
                      </w:rPr>
                      <w:t xml:space="preserve">2021–2027 m. IP (ESF+,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202"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1 557,034</w:t>
                    </w:r>
                  </w:p>
                </w:tc>
                <w:tc>
                  <w:tcPr>
                    <w:tcW w:w="1066" w:type="dxa"/>
                    <w:shd w:val="clear" w:color="auto" w:fill="F2F2F2" w:themeFill="background1" w:themeFillShade="F2"/>
                  </w:tcPr>
                  <w:p>
                    <w:pPr>
                      <w:rPr>
                        <w:sz w:val="20"/>
                      </w:rPr>
                    </w:pPr>
                    <w:r>
                      <w:rPr>
                        <w:sz w:val="20"/>
                      </w:rPr>
                      <w:t xml:space="preserve">2021–2027 m. IP (BF, VVL regionas) </w:t>
                    </w:r>
                  </w:p>
                </w:tc>
                <w:tc>
                  <w:tcPr>
                    <w:tcW w:w="1923"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202"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shd w:val="clear" w:color="auto" w:fill="F2F2F2" w:themeFill="background1" w:themeFillShade="F2"/>
                  </w:tcPr>
                  <w:p>
                    <w:pPr>
                      <w:rPr>
                        <w:sz w:val="20"/>
                      </w:rPr>
                    </w:pPr>
                    <w:r>
                      <w:rPr>
                        <w:sz w:val="20"/>
                      </w:rPr>
                      <w:t>19 000</w:t>
                    </w:r>
                  </w:p>
                </w:tc>
                <w:tc>
                  <w:tcPr>
                    <w:tcW w:w="1066" w:type="dxa"/>
                    <w:shd w:val="clear" w:color="auto" w:fill="F2F2F2" w:themeFill="background1" w:themeFillShade="F2"/>
                  </w:tcPr>
                  <w:p>
                    <w:pPr>
                      <w:rPr>
                        <w:sz w:val="20"/>
                      </w:rPr>
                    </w:pPr>
                    <w:r>
                      <w:rPr>
                        <w:sz w:val="20"/>
                      </w:rPr>
                      <w:t>VB</w:t>
                    </w:r>
                  </w:p>
                </w:tc>
                <w:tc>
                  <w:tcPr>
                    <w:tcW w:w="1923"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202"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03" w:type="dxa"/>
                    <w:gridSpan w:val="2"/>
                    <w:vMerge w:val="restart"/>
                  </w:tcPr>
                  <w:p>
                    <w:pPr>
                      <w:rPr>
                        <w:color w:val="000000"/>
                        <w:sz w:val="20"/>
                      </w:rPr>
                    </w:pPr>
                    <w:r>
                      <w:rPr>
                        <w:sz w:val="20"/>
                      </w:rPr>
                      <w:t>3.1. Pažangios terapijos centro statyba</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VšĮ Vilniaus universiteto ligoninė Santaros klinikos</w:t>
                    </w:r>
                  </w:p>
                </w:tc>
                <w:tc>
                  <w:tcPr>
                    <w:tcW w:w="781" w:type="dxa"/>
                    <w:gridSpan w:val="3"/>
                    <w:vMerge w:val="restart"/>
                  </w:tcPr>
                  <w:p>
                    <w:pPr>
                      <w:rPr>
                        <w:color w:val="000000"/>
                        <w:sz w:val="20"/>
                      </w:rPr>
                    </w:pPr>
                    <w:r>
                      <w:rPr>
                        <w:sz w:val="20"/>
                      </w:rPr>
                      <w:t>P</w:t>
                    </w:r>
                  </w:p>
                </w:tc>
                <w:tc>
                  <w:tcPr>
                    <w:tcW w:w="1014" w:type="dxa"/>
                    <w:gridSpan w:val="2"/>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216" w:type="dxa"/>
                    <w:tcBorders>
                      <w:left w:val="single" w:sz="4" w:space="0" w:color="auto"/>
                      <w:right w:val="single" w:sz="4" w:space="0" w:color="auto"/>
                    </w:tcBorders>
                    <w:vAlign w:val="center"/>
                  </w:tcPr>
                  <w:p>
                    <w:pPr>
                      <w:rPr>
                        <w:color w:val="000000"/>
                        <w:sz w:val="20"/>
                      </w:rPr>
                    </w:pPr>
                    <w:r>
                      <w:rPr>
                        <w:color w:val="000000"/>
                        <w:sz w:val="20"/>
                      </w:rPr>
                      <w:t>13 200</w:t>
                    </w:r>
                  </w:p>
                </w:tc>
                <w:tc>
                  <w:tcPr>
                    <w:tcW w:w="1066" w:type="dxa"/>
                    <w:tcBorders>
                      <w:left w:val="single" w:sz="4" w:space="0" w:color="auto"/>
                      <w:right w:val="single" w:sz="4" w:space="0" w:color="auto"/>
                    </w:tcBorders>
                    <w:vAlign w:val="center"/>
                  </w:tcPr>
                  <w:p>
                    <w:pPr>
                      <w:rPr>
                        <w:color w:val="000000"/>
                        <w:sz w:val="20"/>
                      </w:rPr>
                    </w:pPr>
                    <w:r>
                      <w:rPr>
                        <w:color w:val="000000"/>
                        <w:sz w:val="20"/>
                      </w:rPr>
                      <w:t>EGADP</w:t>
                    </w:r>
                  </w:p>
                </w:tc>
                <w:tc>
                  <w:tcPr>
                    <w:tcW w:w="1923"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1202" w:type="dxa"/>
                    <w:gridSpan w:val="2"/>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tcBorders>
                      <w:left w:val="single" w:sz="4" w:space="0" w:color="auto"/>
                      <w:right w:val="single" w:sz="4" w:space="0" w:color="auto"/>
                    </w:tcBorders>
                    <w:vAlign w:val="center"/>
                  </w:tcPr>
                  <w:p>
                    <w:pPr>
                      <w:rPr>
                        <w:color w:val="000000"/>
                        <w:sz w:val="20"/>
                      </w:rPr>
                    </w:pPr>
                    <w:r>
                      <w:rPr>
                        <w:color w:val="000000"/>
                        <w:sz w:val="20"/>
                      </w:rPr>
                      <w:t>2 770</w:t>
                    </w:r>
                  </w:p>
                </w:tc>
                <w:tc>
                  <w:tcPr>
                    <w:tcW w:w="1066" w:type="dxa"/>
                    <w:tcBorders>
                      <w:left w:val="single" w:sz="4" w:space="0" w:color="auto"/>
                      <w:right w:val="single" w:sz="4" w:space="0" w:color="auto"/>
                    </w:tcBorders>
                    <w:vAlign w:val="center"/>
                  </w:tcPr>
                  <w:p>
                    <w:pPr>
                      <w:rPr>
                        <w:color w:val="000000"/>
                        <w:sz w:val="20"/>
                      </w:rPr>
                    </w:pPr>
                    <w:r>
                      <w:rPr>
                        <w:color w:val="000000"/>
                        <w:sz w:val="20"/>
                      </w:rPr>
                      <w:t>PVM iš VB</w:t>
                    </w:r>
                  </w:p>
                </w:tc>
                <w:tc>
                  <w:tcPr>
                    <w:tcW w:w="1923" w:type="dxa"/>
                    <w:vMerge/>
                    <w:tcBorders>
                      <w:left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val="restart"/>
                    <w:tcBorders>
                      <w:left w:val="single" w:sz="4" w:space="0" w:color="auto"/>
                      <w:right w:val="single" w:sz="4" w:space="0" w:color="auto"/>
                    </w:tcBorders>
                    <w:vAlign w:val="center"/>
                  </w:tcPr>
                  <w:p>
                    <w:pPr>
                      <w:rPr>
                        <w:color w:val="000000"/>
                        <w:sz w:val="20"/>
                      </w:rPr>
                    </w:pPr>
                  </w:p>
                </w:tc>
                <w:tc>
                  <w:tcPr>
                    <w:tcW w:w="1066" w:type="dxa"/>
                    <w:vMerge w:val="restart"/>
                    <w:tcBorders>
                      <w:left w:val="single" w:sz="4" w:space="0" w:color="auto"/>
                      <w:right w:val="single" w:sz="4" w:space="0" w:color="auto"/>
                    </w:tcBorders>
                    <w:vAlign w:val="center"/>
                  </w:tcPr>
                  <w:p>
                    <w:pPr>
                      <w:rPr>
                        <w:color w:val="000000"/>
                        <w:sz w:val="20"/>
                      </w:rPr>
                    </w:pPr>
                  </w:p>
                </w:tc>
                <w:tc>
                  <w:tcPr>
                    <w:tcW w:w="1923"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1202" w:type="dxa"/>
                    <w:gridSpan w:val="2"/>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216" w:type="dxa"/>
                    <w:vMerge/>
                    <w:tcBorders>
                      <w:left w:val="single" w:sz="4" w:space="0" w:color="auto"/>
                      <w:right w:val="single" w:sz="4" w:space="0" w:color="auto"/>
                    </w:tcBorders>
                    <w:vAlign w:val="center"/>
                  </w:tcPr>
                  <w:p>
                    <w:pPr>
                      <w:rPr>
                        <w:color w:val="000000"/>
                        <w:sz w:val="20"/>
                      </w:rPr>
                    </w:pPr>
                  </w:p>
                </w:tc>
                <w:tc>
                  <w:tcPr>
                    <w:tcW w:w="1066" w:type="dxa"/>
                    <w:vMerge/>
                    <w:tcBorders>
                      <w:left w:val="single" w:sz="4" w:space="0" w:color="auto"/>
                      <w:right w:val="single" w:sz="4" w:space="0" w:color="auto"/>
                    </w:tcBorders>
                    <w:vAlign w:val="center"/>
                  </w:tcPr>
                  <w:p>
                    <w:pPr>
                      <w:rPr>
                        <w:color w:val="000000"/>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103" w:type="dxa"/>
                    <w:gridSpan w:val="2"/>
                    <w:vMerge w:val="restart"/>
                  </w:tcPr>
                  <w:p>
                    <w:pPr>
                      <w:rPr>
                        <w:color w:val="000000"/>
                        <w:sz w:val="20"/>
                      </w:rPr>
                    </w:pPr>
                    <w:r>
                      <w:rPr>
                        <w:sz w:val="20"/>
                      </w:rPr>
                      <w:t>3.2. Genomo tyrimams atlikti reikalingos įrangos įsigijimas ir tyrimų atlikimas</w:t>
                    </w:r>
                  </w:p>
                </w:tc>
                <w:tc>
                  <w:tcPr>
                    <w:tcW w:w="800" w:type="dxa"/>
                    <w:gridSpan w:val="2"/>
                    <w:vMerge w:val="restart"/>
                  </w:tcPr>
                  <w:p>
                    <w:pPr>
                      <w:rPr>
                        <w:color w:val="000000"/>
                        <w:sz w:val="20"/>
                      </w:rPr>
                    </w:pPr>
                    <w:r>
                      <w:rPr>
                        <w:sz w:val="20"/>
                      </w:rPr>
                      <w:t>I</w:t>
                    </w:r>
                  </w:p>
                </w:tc>
                <w:tc>
                  <w:tcPr>
                    <w:tcW w:w="1972" w:type="dxa"/>
                    <w:vMerge w:val="restart"/>
                  </w:tcPr>
                  <w:p>
                    <w:pPr>
                      <w:rPr>
                        <w:color w:val="000000"/>
                        <w:sz w:val="20"/>
                      </w:rPr>
                    </w:pPr>
                    <w:r>
                      <w:rPr>
                        <w:sz w:val="20"/>
                      </w:rPr>
                      <w:t>ASPĮ</w:t>
                    </w:r>
                  </w:p>
                </w:tc>
                <w:tc>
                  <w:tcPr>
                    <w:tcW w:w="781" w:type="dxa"/>
                    <w:gridSpan w:val="3"/>
                    <w:vMerge w:val="restart"/>
                  </w:tcPr>
                  <w:p>
                    <w:pPr>
                      <w:rPr>
                        <w:color w:val="000000"/>
                        <w:sz w:val="20"/>
                      </w:rPr>
                    </w:pPr>
                    <w:r>
                      <w:rPr>
                        <w:sz w:val="20"/>
                      </w:rPr>
                      <w:t>P</w:t>
                    </w:r>
                  </w:p>
                </w:tc>
                <w:tc>
                  <w:tcPr>
                    <w:tcW w:w="1014" w:type="dxa"/>
                    <w:gridSpan w:val="2"/>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216" w:type="dxa"/>
                  </w:tcPr>
                  <w:p>
                    <w:pPr>
                      <w:rPr>
                        <w:color w:val="000000"/>
                        <w:sz w:val="20"/>
                      </w:rPr>
                    </w:pPr>
                    <w:r>
                      <w:rPr>
                        <w:sz w:val="20"/>
                      </w:rPr>
                      <w:t>6 300</w:t>
                    </w:r>
                  </w:p>
                </w:tc>
                <w:tc>
                  <w:tcPr>
                    <w:tcW w:w="1066" w:type="dxa"/>
                  </w:tcPr>
                  <w:p>
                    <w:pPr>
                      <w:rPr>
                        <w:color w:val="000000"/>
                        <w:sz w:val="20"/>
                      </w:rPr>
                    </w:pPr>
                    <w:r>
                      <w:rPr>
                        <w:sz w:val="20"/>
                      </w:rPr>
                      <w:t>EGADP</w:t>
                    </w:r>
                  </w:p>
                </w:tc>
                <w:tc>
                  <w:tcPr>
                    <w:tcW w:w="1923"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202" w:type="dxa"/>
                    <w:gridSpan w:val="2"/>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03" w:type="dxa"/>
                    <w:gridSpan w:val="2"/>
                    <w:vMerge/>
                  </w:tcPr>
                  <w:p>
                    <w:pPr>
                      <w:rPr>
                        <w:color w:val="000000"/>
                        <w:sz w:val="20"/>
                      </w:rPr>
                    </w:pPr>
                  </w:p>
                </w:tc>
                <w:tc>
                  <w:tcPr>
                    <w:tcW w:w="800" w:type="dxa"/>
                    <w:gridSpan w:val="2"/>
                    <w:vMerge/>
                  </w:tcPr>
                  <w:p>
                    <w:pPr>
                      <w:rPr>
                        <w:color w:val="000000"/>
                        <w:sz w:val="20"/>
                      </w:rPr>
                    </w:pPr>
                  </w:p>
                </w:tc>
                <w:tc>
                  <w:tcPr>
                    <w:tcW w:w="1972" w:type="dxa"/>
                    <w:vMerge/>
                  </w:tcPr>
                  <w:p>
                    <w:pPr>
                      <w:rPr>
                        <w:color w:val="000000"/>
                        <w:sz w:val="20"/>
                      </w:rPr>
                    </w:pPr>
                  </w:p>
                </w:tc>
                <w:tc>
                  <w:tcPr>
                    <w:tcW w:w="781" w:type="dxa"/>
                    <w:gridSpan w:val="3"/>
                    <w:vMerge/>
                  </w:tcPr>
                  <w:p>
                    <w:pPr>
                      <w:rPr>
                        <w:color w:val="000000"/>
                        <w:sz w:val="20"/>
                      </w:rPr>
                    </w:pPr>
                  </w:p>
                </w:tc>
                <w:tc>
                  <w:tcPr>
                    <w:tcW w:w="1014" w:type="dxa"/>
                    <w:gridSpan w:val="2"/>
                    <w:vMerge/>
                    <w:vAlign w:val="center"/>
                  </w:tcPr>
                  <w:p>
                    <w:pPr>
                      <w:rPr>
                        <w:color w:val="000000"/>
                        <w:sz w:val="20"/>
                      </w:rPr>
                    </w:pPr>
                  </w:p>
                </w:tc>
                <w:tc>
                  <w:tcPr>
                    <w:tcW w:w="681" w:type="dxa"/>
                    <w:gridSpan w:val="3"/>
                    <w:vMerge/>
                    <w:vAlign w:val="center"/>
                  </w:tcPr>
                  <w:p>
                    <w:pPr>
                      <w:rPr>
                        <w:color w:val="000000"/>
                        <w:sz w:val="20"/>
                      </w:rPr>
                    </w:pPr>
                  </w:p>
                </w:tc>
                <w:tc>
                  <w:tcPr>
                    <w:tcW w:w="1216" w:type="dxa"/>
                    <w:vMerge w:val="restart"/>
                  </w:tcPr>
                  <w:p>
                    <w:pPr>
                      <w:rPr>
                        <w:color w:val="000000"/>
                        <w:sz w:val="20"/>
                      </w:rPr>
                    </w:pPr>
                    <w:r>
                      <w:rPr>
                        <w:sz w:val="20"/>
                      </w:rPr>
                      <w:t>1 320</w:t>
                    </w:r>
                  </w:p>
                </w:tc>
                <w:tc>
                  <w:tcPr>
                    <w:tcW w:w="1066" w:type="dxa"/>
                    <w:vMerge w:val="restart"/>
                  </w:tcPr>
                  <w:p>
                    <w:pPr>
                      <w:rPr>
                        <w:color w:val="000000"/>
                        <w:sz w:val="20"/>
                      </w:rPr>
                    </w:pPr>
                    <w:r>
                      <w:rPr>
                        <w:iCs/>
                        <w:sz w:val="20"/>
                      </w:rPr>
                      <w:t>PVM iš VB</w:t>
                    </w:r>
                  </w:p>
                </w:tc>
                <w:tc>
                  <w:tcPr>
                    <w:tcW w:w="1923" w:type="dxa"/>
                    <w:vMerge/>
                    <w:tcBorders>
                      <w:bottom w:val="single" w:sz="4" w:space="0" w:color="auto"/>
                    </w:tcBorders>
                    <w:shd w:val="clear" w:color="auto" w:fill="auto"/>
                  </w:tcPr>
                  <w:p>
                    <w:pPr>
                      <w:ind w:left="-57" w:right="-57"/>
                      <w:rPr>
                        <w:sz w:val="20"/>
                      </w:rPr>
                    </w:pPr>
                  </w:p>
                </w:tc>
                <w:tc>
                  <w:tcPr>
                    <w:tcW w:w="1202" w:type="dxa"/>
                    <w:gridSpan w:val="2"/>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1202" w:type="dxa"/>
                    <w:gridSpan w:val="2"/>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103" w:type="dxa"/>
                    <w:gridSpan w:val="2"/>
                    <w:vMerge/>
                    <w:shd w:val="clear" w:color="auto" w:fill="auto"/>
                  </w:tcPr>
                  <w:p>
                    <w:pPr>
                      <w:rPr>
                        <w:iCs/>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1202" w:type="dxa"/>
                    <w:gridSpan w:val="2"/>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103"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800" w:type="dxa"/>
                    <w:gridSpan w:val="2"/>
                    <w:vMerge w:val="restart"/>
                  </w:tcPr>
                  <w:p>
                    <w:pPr>
                      <w:rPr>
                        <w:sz w:val="20"/>
                      </w:rPr>
                    </w:pPr>
                    <w:r>
                      <w:rPr>
                        <w:sz w:val="20"/>
                      </w:rPr>
                      <w:t>I</w:t>
                    </w:r>
                  </w:p>
                </w:tc>
                <w:tc>
                  <w:tcPr>
                    <w:tcW w:w="1972"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rPr>
                    </w:pPr>
                    <w:r>
                      <w:rPr>
                        <w:sz w:val="20"/>
                      </w:rPr>
                      <w:t>5 525</w:t>
                    </w:r>
                  </w:p>
                  <w:p>
                    <w:pPr>
                      <w:rPr>
                        <w:sz w:val="20"/>
                      </w:rPr>
                    </w:pPr>
                  </w:p>
                  <w:p>
                    <w:pPr>
                      <w:rPr>
                        <w:sz w:val="20"/>
                      </w:rPr>
                    </w:pPr>
                  </w:p>
                </w:tc>
                <w:tc>
                  <w:tcPr>
                    <w:tcW w:w="1066" w:type="dxa"/>
                    <w:vMerge w:val="restart"/>
                  </w:tcPr>
                  <w:p>
                    <w:pPr>
                      <w:rPr>
                        <w:sz w:val="20"/>
                      </w:rPr>
                    </w:pPr>
                    <w:r>
                      <w:rPr>
                        <w:sz w:val="20"/>
                      </w:rPr>
                      <w:t>2021–2027 m. IP (ESF</w:t>
                    </w:r>
                    <w:r>
                      <w:rPr>
                        <w:sz w:val="20"/>
                        <w:lang w:val="en-US"/>
                      </w:rPr>
                      <w:t>+</w:t>
                    </w:r>
                    <w:r>
                      <w:rPr>
                        <w:sz w:val="20"/>
                      </w:rPr>
                      <w:t xml:space="preserve">) </w:t>
                    </w: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202" w:type="dxa"/>
                    <w:gridSpan w:val="2"/>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1202" w:type="dxa"/>
                    <w:gridSpan w:val="2"/>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rPr>
                    </w:pPr>
                    <w:r>
                      <w:rPr>
                        <w:sz w:val="20"/>
                      </w:rPr>
                      <w:t>975</w:t>
                    </w:r>
                  </w:p>
                </w:tc>
                <w:tc>
                  <w:tcPr>
                    <w:tcW w:w="1066" w:type="dxa"/>
                    <w:vMerge w:val="restart"/>
                  </w:tcPr>
                  <w:p>
                    <w:pPr>
                      <w:rPr>
                        <w:sz w:val="20"/>
                      </w:rPr>
                    </w:pPr>
                    <w:r>
                      <w:rPr>
                        <w:sz w:val="20"/>
                      </w:rPr>
                      <w:t xml:space="preserve">2021–2027 m. IP (BF) </w:t>
                    </w:r>
                  </w:p>
                </w:tc>
                <w:tc>
                  <w:tcPr>
                    <w:tcW w:w="1923" w:type="dxa"/>
                    <w:shd w:val="clear" w:color="auto" w:fill="FFFFFF" w:themeFill="background1"/>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103" w:type="dxa"/>
                    <w:gridSpan w:val="2"/>
                    <w:vMerge/>
                  </w:tcPr>
                  <w:p>
                    <w:pPr>
                      <w:rPr>
                        <w:iCs/>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202"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103" w:type="dxa"/>
                    <w:gridSpan w:val="2"/>
                  </w:tcPr>
                  <w:p>
                    <w:pPr>
                      <w:rPr>
                        <w:iCs/>
                        <w:sz w:val="20"/>
                      </w:rPr>
                    </w:pPr>
                    <w:r>
                      <w:rPr>
                        <w:iCs/>
                        <w:sz w:val="20"/>
                      </w:rPr>
                      <w:t>3.4. Sudėtingų sveikatos priežiūros diagnostikos ir gydymo paslaugų infrastruktūros modernizavimas</w:t>
                    </w:r>
                  </w:p>
                </w:tc>
                <w:tc>
                  <w:tcPr>
                    <w:tcW w:w="800" w:type="dxa"/>
                    <w:gridSpan w:val="2"/>
                  </w:tcPr>
                  <w:p>
                    <w:pPr>
                      <w:rPr>
                        <w:color w:val="000000"/>
                        <w:sz w:val="20"/>
                      </w:rPr>
                    </w:pPr>
                    <w:r>
                      <w:rPr>
                        <w:sz w:val="20"/>
                      </w:rPr>
                      <w:t>I</w:t>
                    </w:r>
                  </w:p>
                </w:tc>
                <w:tc>
                  <w:tcPr>
                    <w:tcW w:w="1972" w:type="dxa"/>
                  </w:tcPr>
                  <w:p>
                    <w:pPr>
                      <w:rPr>
                        <w:color w:val="000000"/>
                        <w:sz w:val="20"/>
                      </w:rPr>
                    </w:pPr>
                    <w:r>
                      <w:rPr>
                        <w:sz w:val="20"/>
                      </w:rPr>
                      <w:t>ASPĮ</w:t>
                    </w:r>
                  </w:p>
                </w:tc>
                <w:tc>
                  <w:tcPr>
                    <w:tcW w:w="781" w:type="dxa"/>
                    <w:gridSpan w:val="3"/>
                  </w:tcPr>
                  <w:p>
                    <w:pPr>
                      <w:rPr>
                        <w:color w:val="000000"/>
                        <w:sz w:val="20"/>
                      </w:rPr>
                    </w:pPr>
                    <w:r>
                      <w:rPr>
                        <w:sz w:val="20"/>
                      </w:rPr>
                      <w:t>P</w:t>
                    </w:r>
                  </w:p>
                </w:tc>
                <w:tc>
                  <w:tcPr>
                    <w:tcW w:w="1014" w:type="dxa"/>
                    <w:gridSpan w:val="2"/>
                  </w:tcPr>
                  <w:p>
                    <w:pPr>
                      <w:rPr>
                        <w:color w:val="000000"/>
                        <w:sz w:val="20"/>
                      </w:rPr>
                    </w:pPr>
                    <w:r>
                      <w:rPr>
                        <w:sz w:val="20"/>
                      </w:rPr>
                      <w:t>Taip</w:t>
                    </w:r>
                  </w:p>
                </w:tc>
                <w:tc>
                  <w:tcPr>
                    <w:tcW w:w="681" w:type="dxa"/>
                    <w:gridSpan w:val="3"/>
                  </w:tcPr>
                  <w:p>
                    <w:pPr>
                      <w:rPr>
                        <w:color w:val="000000"/>
                        <w:sz w:val="20"/>
                      </w:rPr>
                    </w:pPr>
                    <w:r>
                      <w:rPr>
                        <w:sz w:val="20"/>
                      </w:rPr>
                      <w:t>D</w:t>
                    </w:r>
                  </w:p>
                </w:tc>
                <w:tc>
                  <w:tcPr>
                    <w:tcW w:w="1216" w:type="dxa"/>
                  </w:tcPr>
                  <w:p>
                    <w:pPr>
                      <w:rPr>
                        <w:sz w:val="20"/>
                      </w:rPr>
                    </w:pPr>
                    <w:r>
                      <w:rPr>
                        <w:sz w:val="20"/>
                      </w:rPr>
                      <w:t>19 000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P – Modernizuotų asmens sveikatos priežiūros įstaigų skaičius</w:t>
                    </w:r>
                  </w:p>
                </w:tc>
                <w:tc>
                  <w:tcPr>
                    <w:tcW w:w="1202" w:type="dxa"/>
                    <w:gridSpan w:val="2"/>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800"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97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1014" w:type="dxa"/>
                    <w:gridSpan w:val="2"/>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103"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800" w:type="dxa"/>
                    <w:gridSpan w:val="2"/>
                    <w:tcBorders>
                      <w:top w:val="single" w:sz="4" w:space="0" w:color="auto"/>
                      <w:left w:val="single" w:sz="4" w:space="0" w:color="auto"/>
                      <w:bottom w:val="single" w:sz="4" w:space="0" w:color="auto"/>
                      <w:right w:val="single" w:sz="4" w:space="0" w:color="auto"/>
                    </w:tcBorders>
                  </w:tcPr>
                  <w:p>
                    <w:pPr>
                      <w:rPr>
                        <w:sz w:val="20"/>
                      </w:rPr>
                    </w:pPr>
                  </w:p>
                </w:tc>
                <w:tc>
                  <w:tcPr>
                    <w:tcW w:w="1972" w:type="dxa"/>
                    <w:tcBorders>
                      <w:top w:val="single" w:sz="4" w:space="0" w:color="auto"/>
                      <w:left w:val="single" w:sz="4" w:space="0" w:color="auto"/>
                      <w:bottom w:val="single" w:sz="4" w:space="0" w:color="auto"/>
                      <w:right w:val="single" w:sz="4" w:space="0" w:color="auto"/>
                    </w:tcBorders>
                  </w:tcPr>
                  <w:p>
                    <w:pPr>
                      <w:rPr>
                        <w:sz w:val="20"/>
                      </w:rPr>
                    </w:pPr>
                  </w:p>
                </w:tc>
                <w:tc>
                  <w:tcPr>
                    <w:tcW w:w="7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2"/>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1923"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800"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hideMark/>
                  </w:tcPr>
                  <w:p>
                    <w:pPr>
                      <w:rPr>
                        <w:sz w:val="20"/>
                      </w:rPr>
                    </w:pPr>
                  </w:p>
                </w:tc>
                <w:tc>
                  <w:tcPr>
                    <w:tcW w:w="800" w:type="dxa"/>
                    <w:gridSpan w:val="2"/>
                    <w:vMerge/>
                    <w:tcBorders>
                      <w:left w:val="single" w:sz="4" w:space="0" w:color="auto"/>
                      <w:right w:val="single" w:sz="4" w:space="0" w:color="auto"/>
                    </w:tcBorders>
                    <w:vAlign w:val="center"/>
                    <w:hideMark/>
                  </w:tcPr>
                  <w:p>
                    <w:pPr>
                      <w:rPr>
                        <w:sz w:val="20"/>
                      </w:rPr>
                    </w:pPr>
                  </w:p>
                </w:tc>
                <w:tc>
                  <w:tcPr>
                    <w:tcW w:w="1972" w:type="dxa"/>
                    <w:vMerge/>
                    <w:tcBorders>
                      <w:left w:val="single" w:sz="4" w:space="0" w:color="auto"/>
                      <w:right w:val="single" w:sz="4" w:space="0" w:color="auto"/>
                    </w:tcBorders>
                    <w:vAlign w:val="center"/>
                    <w:hideMark/>
                  </w:tcPr>
                  <w:p>
                    <w:pPr>
                      <w:rPr>
                        <w:sz w:val="20"/>
                      </w:rPr>
                    </w:pPr>
                  </w:p>
                </w:tc>
                <w:tc>
                  <w:tcPr>
                    <w:tcW w:w="781" w:type="dxa"/>
                    <w:gridSpan w:val="3"/>
                    <w:vMerge/>
                    <w:tcBorders>
                      <w:left w:val="single" w:sz="4" w:space="0" w:color="auto"/>
                      <w:right w:val="single" w:sz="4" w:space="0" w:color="auto"/>
                    </w:tcBorders>
                    <w:vAlign w:val="center"/>
                    <w:hideMark/>
                  </w:tcPr>
                  <w:p>
                    <w:pPr>
                      <w:rPr>
                        <w:sz w:val="20"/>
                      </w:rPr>
                    </w:pPr>
                  </w:p>
                </w:tc>
                <w:tc>
                  <w:tcPr>
                    <w:tcW w:w="1014" w:type="dxa"/>
                    <w:gridSpan w:val="2"/>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vAlign w:val="center"/>
                  </w:tcPr>
                  <w:p>
                    <w:pPr>
                      <w:rPr>
                        <w:sz w:val="20"/>
                      </w:rPr>
                    </w:pPr>
                  </w:p>
                </w:tc>
                <w:tc>
                  <w:tcPr>
                    <w:tcW w:w="800" w:type="dxa"/>
                    <w:gridSpan w:val="2"/>
                    <w:vMerge/>
                    <w:tcBorders>
                      <w:left w:val="single" w:sz="4" w:space="0" w:color="auto"/>
                      <w:right w:val="single" w:sz="4" w:space="0" w:color="auto"/>
                    </w:tcBorders>
                    <w:vAlign w:val="center"/>
                  </w:tcPr>
                  <w:p>
                    <w:pPr>
                      <w:rPr>
                        <w:sz w:val="20"/>
                      </w:rPr>
                    </w:pPr>
                  </w:p>
                </w:tc>
                <w:tc>
                  <w:tcPr>
                    <w:tcW w:w="1972" w:type="dxa"/>
                    <w:vMerge/>
                    <w:tcBorders>
                      <w:left w:val="single" w:sz="4" w:space="0" w:color="auto"/>
                      <w:right w:val="single" w:sz="4" w:space="0" w:color="auto"/>
                    </w:tcBorders>
                    <w:vAlign w:val="center"/>
                  </w:tcPr>
                  <w:p>
                    <w:pPr>
                      <w:rPr>
                        <w:sz w:val="20"/>
                      </w:rPr>
                    </w:pPr>
                  </w:p>
                </w:tc>
                <w:tc>
                  <w:tcPr>
                    <w:tcW w:w="781" w:type="dxa"/>
                    <w:gridSpan w:val="3"/>
                    <w:vMerge/>
                    <w:tcBorders>
                      <w:left w:val="single" w:sz="4" w:space="0" w:color="auto"/>
                      <w:right w:val="single" w:sz="4" w:space="0" w:color="auto"/>
                    </w:tcBorders>
                    <w:vAlign w:val="center"/>
                  </w:tcPr>
                  <w:p>
                    <w:pPr>
                      <w:rPr>
                        <w:sz w:val="20"/>
                      </w:rPr>
                    </w:pPr>
                  </w:p>
                </w:tc>
                <w:tc>
                  <w:tcPr>
                    <w:tcW w:w="1014" w:type="dxa"/>
                    <w:gridSpan w:val="2"/>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bottom w:val="single" w:sz="4" w:space="0" w:color="auto"/>
                      <w:right w:val="single" w:sz="4" w:space="0" w:color="auto"/>
                    </w:tcBorders>
                    <w:vAlign w:val="center"/>
                  </w:tcPr>
                  <w:p>
                    <w:pPr>
                      <w:rPr>
                        <w:sz w:val="20"/>
                      </w:rPr>
                    </w:pPr>
                  </w:p>
                </w:tc>
                <w:tc>
                  <w:tcPr>
                    <w:tcW w:w="800" w:type="dxa"/>
                    <w:gridSpan w:val="2"/>
                    <w:vMerge/>
                    <w:tcBorders>
                      <w:left w:val="single" w:sz="4" w:space="0" w:color="auto"/>
                      <w:bottom w:val="single" w:sz="4" w:space="0" w:color="auto"/>
                      <w:right w:val="single" w:sz="4" w:space="0" w:color="auto"/>
                    </w:tcBorders>
                    <w:vAlign w:val="center"/>
                  </w:tcPr>
                  <w:p>
                    <w:pPr>
                      <w:rPr>
                        <w:sz w:val="20"/>
                      </w:rPr>
                    </w:pPr>
                  </w:p>
                </w:tc>
                <w:tc>
                  <w:tcPr>
                    <w:tcW w:w="1972" w:type="dxa"/>
                    <w:vMerge/>
                    <w:tcBorders>
                      <w:left w:val="single" w:sz="4" w:space="0" w:color="auto"/>
                      <w:bottom w:val="single" w:sz="4" w:space="0" w:color="auto"/>
                      <w:right w:val="single" w:sz="4" w:space="0" w:color="auto"/>
                    </w:tcBorders>
                    <w:vAlign w:val="center"/>
                  </w:tcPr>
                  <w:p>
                    <w:pPr>
                      <w:rPr>
                        <w:sz w:val="20"/>
                      </w:rPr>
                    </w:pPr>
                  </w:p>
                </w:tc>
                <w:tc>
                  <w:tcPr>
                    <w:tcW w:w="781"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2"/>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21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202"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3 753,473</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 paslaugų naudotojų skaičius per metus, naudotojai per metus</w:t>
                    </w:r>
                  </w:p>
                </w:tc>
                <w:tc>
                  <w:tcPr>
                    <w:tcW w:w="1202"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jc w:val="center"/>
                      <w:rPr>
                        <w:sz w:val="20"/>
                      </w:rPr>
                    </w:pPr>
                    <w:r>
                      <w:rPr>
                        <w:sz w:val="20"/>
                      </w:rPr>
                      <w:t>14 888,775</w:t>
                    </w:r>
                  </w:p>
                </w:tc>
                <w:tc>
                  <w:tcPr>
                    <w:tcW w:w="1066" w:type="dxa"/>
                    <w:tcBorders>
                      <w:top w:val="single" w:sz="4" w:space="0" w:color="auto"/>
                      <w:left w:val="single" w:sz="4" w:space="0" w:color="auto"/>
                      <w:right w:val="single" w:sz="4" w:space="0" w:color="auto"/>
                    </w:tcBorders>
                  </w:tcPr>
                  <w:p>
                    <w:pPr>
                      <w:rPr>
                        <w:sz w:val="20"/>
                      </w:rPr>
                    </w:pPr>
                    <w:r>
                      <w:rPr>
                        <w:sz w:val="20"/>
                      </w:rPr>
                      <w:t>2021–2027 m. IP (ERPF)</w:t>
                    </w:r>
                  </w:p>
                </w:tc>
                <w:tc>
                  <w:tcPr>
                    <w:tcW w:w="1923" w:type="dxa"/>
                  </w:tcPr>
                  <w:p>
                    <w:pPr>
                      <w:ind w:left="-57" w:right="-57"/>
                      <w:rPr>
                        <w:sz w:val="20"/>
                      </w:rPr>
                    </w:pPr>
                    <w:r>
                      <w:rPr>
                        <w:sz w:val="20"/>
                      </w:rPr>
                      <w:t>P – Naujos arba modernizuotos sveikatos priežiūros infrastruktūros talpumas, asmenys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Borders>
                      <w:top w:val="single" w:sz="4" w:space="0" w:color="auto"/>
                      <w:left w:val="single" w:sz="4" w:space="0" w:color="auto"/>
                      <w:right w:val="single" w:sz="4" w:space="0" w:color="auto"/>
                    </w:tcBorders>
                  </w:tcPr>
                  <w:p>
                    <w:pPr>
                      <w:jc w:val="center"/>
                      <w:rPr>
                        <w:sz w:val="20"/>
                      </w:rPr>
                    </w:pPr>
                    <w:r>
                      <w:rPr>
                        <w:sz w:val="20"/>
                      </w:rPr>
                      <w:t>2 627,431</w:t>
                    </w:r>
                  </w:p>
                </w:tc>
                <w:tc>
                  <w:tcPr>
                    <w:tcW w:w="1066" w:type="dxa"/>
                    <w:tcBorders>
                      <w:top w:val="single" w:sz="4" w:space="0" w:color="auto"/>
                      <w:left w:val="single" w:sz="4" w:space="0" w:color="auto"/>
                      <w:right w:val="single" w:sz="4" w:space="0" w:color="auto"/>
                    </w:tcBorders>
                  </w:tcPr>
                  <w:p>
                    <w:pPr>
                      <w:rPr>
                        <w:sz w:val="20"/>
                      </w:rPr>
                    </w:pPr>
                    <w:r>
                      <w:rPr>
                        <w:sz w:val="20"/>
                      </w:rPr>
                      <w:t>2021–2027 m. IP (BF)</w:t>
                    </w:r>
                  </w:p>
                </w:tc>
                <w:tc>
                  <w:tcPr>
                    <w:tcW w:w="1923" w:type="dxa"/>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202"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800" w:type="dxa"/>
                    <w:gridSpan w:val="2"/>
                    <w:shd w:val="clear" w:color="auto" w:fill="F2F2F2" w:themeFill="background1" w:themeFillShade="F2"/>
                  </w:tcPr>
                  <w:p>
                    <w:pPr>
                      <w:rPr>
                        <w:sz w:val="20"/>
                      </w:rPr>
                    </w:pPr>
                    <w:r>
                      <w:rPr>
                        <w:sz w:val="20"/>
                      </w:rPr>
                      <w:t>A</w:t>
                    </w:r>
                  </w:p>
                </w:tc>
                <w:tc>
                  <w:tcPr>
                    <w:tcW w:w="1972" w:type="dxa"/>
                    <w:shd w:val="clear" w:color="auto" w:fill="F2F2F2" w:themeFill="background1" w:themeFillShade="F2"/>
                  </w:tcPr>
                  <w:p>
                    <w:pPr>
                      <w:rPr>
                        <w:sz w:val="20"/>
                      </w:rPr>
                    </w:pPr>
                    <w:r>
                      <w:rPr>
                        <w:sz w:val="20"/>
                      </w:rPr>
                      <w:t>SAM</w:t>
                    </w:r>
                  </w:p>
                </w:tc>
                <w:tc>
                  <w:tcPr>
                    <w:tcW w:w="781" w:type="dxa"/>
                    <w:gridSpan w:val="3"/>
                    <w:shd w:val="clear" w:color="auto" w:fill="F2F2F2" w:themeFill="background1" w:themeFillShade="F2"/>
                  </w:tcPr>
                  <w:p>
                    <w:pPr>
                      <w:rPr>
                        <w:sz w:val="20"/>
                      </w:rPr>
                    </w:pPr>
                    <w:r>
                      <w:rPr>
                        <w:sz w:val="20"/>
                      </w:rPr>
                      <w:t>P</w:t>
                    </w:r>
                  </w:p>
                </w:tc>
                <w:tc>
                  <w:tcPr>
                    <w:tcW w:w="1014" w:type="dxa"/>
                    <w:gridSpan w:val="2"/>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216" w:type="dxa"/>
                    <w:shd w:val="clear" w:color="auto" w:fill="F2F2F2" w:themeFill="background1" w:themeFillShade="F2"/>
                  </w:tcPr>
                  <w:p>
                    <w:pPr>
                      <w:rPr>
                        <w:b/>
                        <w:bCs/>
                        <w:sz w:val="20"/>
                      </w:rPr>
                    </w:pPr>
                    <w:r>
                      <w:rPr>
                        <w:b/>
                        <w:bCs/>
                        <w:sz w:val="20"/>
                        <w:lang w:val="en-US"/>
                      </w:rPr>
                      <w:t>169,719</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202"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iCs/>
                        <w:sz w:val="20"/>
                      </w:rPr>
                    </w:pPr>
                    <w:r>
                      <w:rPr>
                        <w:b/>
                        <w:bCs/>
                        <w:iCs/>
                        <w:sz w:val="20"/>
                      </w:rPr>
                      <w:t>6. Bazinių sveikatos priežiūros paslaugų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162 902,179</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13 303,764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z w:val="20"/>
                      </w:rPr>
                    </w:pPr>
                    <w:r>
                      <w:rPr>
                        <w:sz w:val="20"/>
                      </w:rPr>
                      <w:t>13 303,764</w:t>
                    </w:r>
                  </w:p>
                  <w:p>
                    <w:pPr>
                      <w:jc w:val="cente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77 616,874</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trike/>
                        <w:sz w:val="20"/>
                      </w:rPr>
                    </w:pPr>
                    <w:r>
                      <w:rPr>
                        <w:sz w:val="20"/>
                      </w:rPr>
                      <w:t>31 433,580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19 244, 197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i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sz w:val="20"/>
                      </w:rPr>
                    </w:pPr>
                    <w:r>
                      <w:rPr>
                        <w:sz w:val="20"/>
                      </w:rPr>
                      <w:t xml:space="preserve">R </w:t>
                    </w:r>
                    <w:r>
                      <w:rPr>
                        <w:szCs w:val="24"/>
                      </w:rPr>
                      <w:t>–</w:t>
                    </w:r>
                    <w:r>
                      <w:rPr>
                        <w:sz w:val="20"/>
                      </w:rPr>
                      <w:t xml:space="preserve"> Aktyviojo gydymo lovų užimtumas, proc.</w:t>
                    </w: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82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00" w:type="dxa"/>
                    <w:gridSpan w:val="2"/>
                    <w:vMerge w:val="restart"/>
                  </w:tcPr>
                  <w:p>
                    <w:pPr>
                      <w:rPr>
                        <w:sz w:val="20"/>
                      </w:rPr>
                    </w:pPr>
                    <w:r>
                      <w:rPr>
                        <w:sz w:val="20"/>
                      </w:rPr>
                      <w:t>R</w:t>
                    </w:r>
                  </w:p>
                </w:tc>
                <w:tc>
                  <w:tcPr>
                    <w:tcW w:w="1972" w:type="dxa"/>
                    <w:vMerge w:val="restart"/>
                  </w:tcPr>
                  <w:p>
                    <w:pPr>
                      <w:rPr>
                        <w:sz w:val="20"/>
                      </w:rPr>
                    </w:pPr>
                    <w:r>
                      <w:rPr>
                        <w:sz w:val="20"/>
                      </w:rPr>
                      <w:t>-</w:t>
                    </w:r>
                  </w:p>
                </w:tc>
                <w:tc>
                  <w:tcPr>
                    <w:tcW w:w="781" w:type="dxa"/>
                    <w:gridSpan w:val="3"/>
                    <w:vMerge w:val="restart"/>
                  </w:tcPr>
                  <w:p>
                    <w:pPr>
                      <w:rPr>
                        <w:sz w:val="20"/>
                      </w:rPr>
                    </w:pPr>
                    <w:r>
                      <w:rPr>
                        <w:sz w:val="20"/>
                      </w:rPr>
                      <w:t>-</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w:t>
                    </w:r>
                  </w:p>
                </w:tc>
                <w:tc>
                  <w:tcPr>
                    <w:tcW w:w="1216" w:type="dxa"/>
                    <w:vMerge w:val="restart"/>
                  </w:tcPr>
                  <w:p>
                    <w:pPr>
                      <w:rPr>
                        <w:sz w:val="20"/>
                      </w:rPr>
                    </w:pPr>
                    <w:r>
                      <w:rPr>
                        <w:sz w:val="20"/>
                      </w:rPr>
                      <w:t>-</w:t>
                    </w:r>
                  </w:p>
                </w:tc>
                <w:tc>
                  <w:tcPr>
                    <w:tcW w:w="1066" w:type="dxa"/>
                    <w:vMerge w:val="restart"/>
                  </w:tcPr>
                  <w:p>
                    <w:pPr>
                      <w:rPr>
                        <w:sz w:val="20"/>
                      </w:rPr>
                    </w:pPr>
                    <w:r>
                      <w:rPr>
                        <w:sz w:val="20"/>
                      </w:rPr>
                      <w:t>-</w:t>
                    </w:r>
                  </w:p>
                </w:tc>
                <w:tc>
                  <w:tcPr>
                    <w:tcW w:w="1923"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202"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1202"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tcPr>
                  <w:p>
                    <w:pPr>
                      <w:ind w:left="-57" w:right="-57"/>
                      <w:jc w:val="both"/>
                      <w:rPr>
                        <w:sz w:val="20"/>
                      </w:rPr>
                    </w:pPr>
                    <w:r>
                      <w:rPr>
                        <w:sz w:val="20"/>
                      </w:rPr>
                      <w:t>P – Patvirtintas atnaujintas Šeimos medicinos plėtros 2016–2025 m. veiksmų planas</w:t>
                    </w:r>
                  </w:p>
                </w:tc>
                <w:tc>
                  <w:tcPr>
                    <w:tcW w:w="1202"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103"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5 700,000</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5 700,000</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103"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7 603,764</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7 603,764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103"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jc w:val="center"/>
                      <w:rPr>
                        <w:strike/>
                        <w:sz w:val="20"/>
                      </w:rPr>
                    </w:pPr>
                    <w:r>
                      <w:rPr>
                        <w:sz w:val="20"/>
                      </w:rPr>
                      <w:t>27 218,273</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jc w:val="center"/>
                      <w:rPr>
                        <w:sz w:val="20"/>
                      </w:rPr>
                    </w:pPr>
                    <w:r>
                      <w:rPr>
                        <w:sz w:val="20"/>
                      </w:rPr>
                      <w:t>4 803,224</w:t>
                    </w:r>
                  </w:p>
                </w:tc>
                <w:tc>
                  <w:tcPr>
                    <w:tcW w:w="1066" w:type="dxa"/>
                    <w:vMerge w:val="restart"/>
                  </w:tcPr>
                  <w:p>
                    <w:pPr>
                      <w:rPr>
                        <w:sz w:val="20"/>
                      </w:rPr>
                    </w:pPr>
                    <w:r>
                      <w:rPr>
                        <w:sz w:val="20"/>
                      </w:rPr>
                      <w:t>2021–2027 m. IP (BF)</w:t>
                    </w:r>
                  </w:p>
                </w:tc>
                <w:tc>
                  <w:tcPr>
                    <w:tcW w:w="1923" w:type="dxa"/>
                  </w:tcPr>
                  <w:p>
                    <w:pPr>
                      <w:ind w:left="-57" w:right="-57"/>
                      <w:rPr>
                        <w:sz w:val="20"/>
                      </w:rPr>
                    </w:pPr>
                    <w:r>
                      <w:rPr>
                        <w:sz w:val="20"/>
                      </w:rPr>
                      <w:t>R – Naujos arba modernizuotos sveikatos priežiūros infrastruktūros naudotojų skaičius per metus</w:t>
                    </w:r>
                  </w:p>
                </w:tc>
                <w:tc>
                  <w:tcPr>
                    <w:tcW w:w="1202"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rPr>
                    </w:pPr>
                  </w:p>
                </w:tc>
                <w:tc>
                  <w:tcPr>
                    <w:tcW w:w="1066" w:type="dxa"/>
                    <w:vMerge/>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103"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Savivaldybių administracijos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50 398,601</w:t>
                    </w:r>
                  </w:p>
                </w:tc>
                <w:tc>
                  <w:tcPr>
                    <w:tcW w:w="1066" w:type="dxa"/>
                  </w:tcPr>
                  <w:p>
                    <w:pPr>
                      <w:rPr>
                        <w:sz w:val="20"/>
                      </w:rPr>
                    </w:pPr>
                    <w:r>
                      <w:rPr>
                        <w:sz w:val="20"/>
                      </w:rPr>
                      <w:t>2021–2027 m. IP (ERPF)</w:t>
                    </w:r>
                  </w:p>
                </w:tc>
                <w:tc>
                  <w:tcPr>
                    <w:tcW w:w="1923"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202"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val="restart"/>
                  </w:tcPr>
                  <w:p>
                    <w:pPr>
                      <w:rPr>
                        <w:sz w:val="20"/>
                        <w:lang w:val="en-US"/>
                      </w:rPr>
                    </w:pPr>
                    <w:r>
                      <w:rPr>
                        <w:sz w:val="20"/>
                        <w:lang w:val="en-US"/>
                      </w:rPr>
                      <w:t>8 893,871</w:t>
                    </w:r>
                  </w:p>
                </w:tc>
                <w:tc>
                  <w:tcPr>
                    <w:tcW w:w="1066" w:type="dxa"/>
                    <w:vMerge w:val="restart"/>
                  </w:tcPr>
                  <w:p>
                    <w:pPr>
                      <w:rPr>
                        <w:sz w:val="20"/>
                      </w:rPr>
                    </w:pPr>
                    <w:r>
                      <w:rPr>
                        <w:sz w:val="20"/>
                      </w:rPr>
                      <w:t>2021–2027 m. IP (BF)</w:t>
                    </w:r>
                  </w:p>
                </w:tc>
                <w:tc>
                  <w:tcPr>
                    <w:tcW w:w="1923"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202" w:type="dxa"/>
                    <w:gridSpan w:val="2"/>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Borders>
                      <w:bottom w:val="single" w:sz="4" w:space="0" w:color="auto"/>
                    </w:tcBorders>
                  </w:tcPr>
                  <w:p>
                    <w:pPr>
                      <w:rPr>
                        <w:sz w:val="20"/>
                        <w:lang w:val="en-US"/>
                      </w:rPr>
                    </w:pPr>
                  </w:p>
                </w:tc>
                <w:tc>
                  <w:tcPr>
                    <w:tcW w:w="1066" w:type="dxa"/>
                    <w:vMerge/>
                    <w:tcBorders>
                      <w:bottom w:val="single" w:sz="4" w:space="0" w:color="auto"/>
                    </w:tcBorders>
                  </w:tcPr>
                  <w:p>
                    <w:pPr>
                      <w:rPr>
                        <w:sz w:val="20"/>
                      </w:rPr>
                    </w:pPr>
                  </w:p>
                </w:tc>
                <w:tc>
                  <w:tcPr>
                    <w:tcW w:w="1923"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202" w:type="dxa"/>
                    <w:gridSpan w:val="2"/>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655"/>
                </w:trPr>
                <w:tc>
                  <w:tcPr>
                    <w:tcW w:w="12758" w:type="dxa"/>
                    <w:gridSpan w:val="18"/>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6" w:type="dxa"/>
                    <w:vMerge w:val="restart"/>
                    <w:tcBorders>
                      <w:left w:val="single" w:sz="4" w:space="0" w:color="auto"/>
                      <w:right w:val="single" w:sz="4" w:space="0" w:color="auto"/>
                    </w:tcBorders>
                  </w:tcPr>
                  <w:p>
                    <w:pPr>
                      <w:rPr>
                        <w:color w:val="000000"/>
                        <w:sz w:val="20"/>
                      </w:rPr>
                    </w:pPr>
                  </w:p>
                </w:tc>
              </w:tr>
              <w:tr>
                <w:trPr>
                  <w:trHeight w:val="2371"/>
                </w:trPr>
                <w:tc>
                  <w:tcPr>
                    <w:tcW w:w="12758" w:type="dxa"/>
                    <w:gridSpan w:val="18"/>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57"/>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tcPr>
                  <w:p>
                    <w:pPr>
                      <w:rPr>
                        <w:sz w:val="20"/>
                      </w:rPr>
                    </w:pPr>
                    <w:r>
                      <w:rPr>
                        <w:sz w:val="20"/>
                      </w:rPr>
                      <w:t>6.9. ASPĮ išlaidų, patirtų įgyvendinant pertvarką, kompensavimas</w:t>
                    </w:r>
                  </w:p>
                </w:tc>
                <w:tc>
                  <w:tcPr>
                    <w:tcW w:w="800" w:type="dxa"/>
                    <w:gridSpan w:val="2"/>
                  </w:tcPr>
                  <w:p>
                    <w:pPr>
                      <w:rPr>
                        <w:sz w:val="20"/>
                      </w:rPr>
                    </w:pPr>
                    <w:r>
                      <w:rPr>
                        <w:sz w:val="20"/>
                      </w:rPr>
                      <w:t>I</w:t>
                    </w:r>
                  </w:p>
                </w:tc>
                <w:tc>
                  <w:tcPr>
                    <w:tcW w:w="1972" w:type="dxa"/>
                  </w:tcPr>
                  <w:p>
                    <w:pPr>
                      <w:rPr>
                        <w:sz w:val="20"/>
                      </w:rPr>
                    </w:pPr>
                    <w:r>
                      <w:rPr>
                        <w:sz w:val="20"/>
                      </w:rPr>
                      <w:t>ASPĮ</w:t>
                    </w:r>
                  </w:p>
                </w:tc>
                <w:tc>
                  <w:tcPr>
                    <w:tcW w:w="781" w:type="dxa"/>
                    <w:gridSpan w:val="3"/>
                  </w:tcPr>
                  <w:p>
                    <w:pPr>
                      <w:rPr>
                        <w:sz w:val="20"/>
                      </w:rPr>
                    </w:pPr>
                    <w:r>
                      <w:rPr>
                        <w:sz w:val="20"/>
                      </w:rPr>
                      <w:t>P</w:t>
                    </w:r>
                  </w:p>
                </w:tc>
                <w:tc>
                  <w:tcPr>
                    <w:tcW w:w="1014" w:type="dxa"/>
                    <w:gridSpan w:val="2"/>
                  </w:tcPr>
                  <w:p>
                    <w:pPr>
                      <w:rPr>
                        <w:sz w:val="20"/>
                      </w:rPr>
                    </w:pPr>
                    <w:r>
                      <w:rPr>
                        <w:sz w:val="20"/>
                      </w:rPr>
                      <w:t>Taip</w:t>
                    </w:r>
                  </w:p>
                </w:tc>
                <w:tc>
                  <w:tcPr>
                    <w:tcW w:w="681" w:type="dxa"/>
                    <w:gridSpan w:val="3"/>
                  </w:tcPr>
                  <w:p>
                    <w:pPr>
                      <w:rPr>
                        <w:sz w:val="20"/>
                      </w:rPr>
                    </w:pPr>
                    <w:r>
                      <w:rPr>
                        <w:sz w:val="20"/>
                      </w:rPr>
                      <w:t>D</w:t>
                    </w:r>
                  </w:p>
                </w:tc>
                <w:tc>
                  <w:tcPr>
                    <w:tcW w:w="1216" w:type="dxa"/>
                  </w:tcPr>
                  <w:p>
                    <w:pPr>
                      <w:rPr>
                        <w:sz w:val="20"/>
                      </w:rPr>
                    </w:pPr>
                    <w:r>
                      <w:rPr>
                        <w:sz w:val="20"/>
                        <w:lang w:val="en-US"/>
                      </w:rPr>
                      <w:t>8 000</w:t>
                    </w:r>
                  </w:p>
                </w:tc>
                <w:tc>
                  <w:tcPr>
                    <w:tcW w:w="1066" w:type="dxa"/>
                  </w:tcPr>
                  <w:p>
                    <w:pPr>
                      <w:rPr>
                        <w:sz w:val="20"/>
                      </w:rPr>
                    </w:pPr>
                    <w:r>
                      <w:rPr>
                        <w:sz w:val="20"/>
                      </w:rPr>
                      <w:t>VB</w:t>
                    </w:r>
                  </w:p>
                </w:tc>
                <w:tc>
                  <w:tcPr>
                    <w:tcW w:w="1923"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202" w:type="dxa"/>
                    <w:gridSpan w:val="2"/>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192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202"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03"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800" w:type="dxa"/>
                    <w:gridSpan w:val="2"/>
                    <w:vMerge w:val="restart"/>
                  </w:tcPr>
                  <w:p>
                    <w:pPr>
                      <w:rPr>
                        <w:sz w:val="20"/>
                      </w:rPr>
                    </w:pPr>
                    <w:r>
                      <w:rPr>
                        <w:sz w:val="20"/>
                      </w:rPr>
                      <w:t>I</w:t>
                    </w:r>
                  </w:p>
                </w:tc>
                <w:tc>
                  <w:tcPr>
                    <w:tcW w:w="1972" w:type="dxa"/>
                    <w:vMerge w:val="restart"/>
                  </w:tcPr>
                  <w:p>
                    <w:pPr>
                      <w:rPr>
                        <w:sz w:val="20"/>
                      </w:rPr>
                    </w:pPr>
                    <w:r>
                      <w:rPr>
                        <w:sz w:val="20"/>
                      </w:rPr>
                      <w:t>ASPĮ</w:t>
                    </w:r>
                  </w:p>
                </w:tc>
                <w:tc>
                  <w:tcPr>
                    <w:tcW w:w="781" w:type="dxa"/>
                    <w:gridSpan w:val="3"/>
                    <w:vMerge w:val="restart"/>
                    <w:shd w:val="clear" w:color="auto" w:fill="auto"/>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tcPr>
                  <w:p>
                    <w:pPr>
                      <w:rPr>
                        <w:sz w:val="20"/>
                        <w:lang w:val="en-US"/>
                      </w:rPr>
                    </w:pPr>
                    <w:r>
                      <w:rPr>
                        <w:sz w:val="20"/>
                        <w:lang w:val="en-US"/>
                      </w:rPr>
                      <w:t>2 523,178</w:t>
                    </w:r>
                  </w:p>
                  <w:p>
                    <w:pPr>
                      <w:rPr>
                        <w:sz w:val="20"/>
                        <w:lang w:val="en-US"/>
                      </w:rPr>
                    </w:pPr>
                  </w:p>
                </w:tc>
                <w:tc>
                  <w:tcPr>
                    <w:tcW w:w="1066" w:type="dxa"/>
                  </w:tcPr>
                  <w:p>
                    <w:pPr>
                      <w:rPr>
                        <w:sz w:val="20"/>
                      </w:rPr>
                    </w:pPr>
                    <w:r>
                      <w:rPr>
                        <w:sz w:val="20"/>
                      </w:rPr>
                      <w:t>2021–2027 m. IP (ERPF)</w:t>
                    </w: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2 523,178</w:t>
                    </w:r>
                  </w:p>
                </w:tc>
                <w:tc>
                  <w:tcPr>
                    <w:tcW w:w="1066" w:type="dxa"/>
                  </w:tcPr>
                  <w:p>
                    <w:pPr>
                      <w:rPr>
                        <w:sz w:val="20"/>
                      </w:rPr>
                    </w:pPr>
                    <w:r>
                      <w:rPr>
                        <w:sz w:val="20"/>
                      </w:rPr>
                      <w:t>2021–2027 m. IP (BF)</w:t>
                    </w: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103"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800" w:type="dxa"/>
                    <w:gridSpan w:val="2"/>
                    <w:vMerge w:val="restart"/>
                  </w:tcPr>
                  <w:p>
                    <w:pPr>
                      <w:rPr>
                        <w:sz w:val="20"/>
                      </w:rPr>
                    </w:pPr>
                    <w:r>
                      <w:rPr>
                        <w:sz w:val="20"/>
                      </w:rPr>
                      <w:t>I</w:t>
                    </w:r>
                  </w:p>
                  <w:p>
                    <w:pPr>
                      <w:rPr>
                        <w:sz w:val="20"/>
                      </w:rPr>
                    </w:pPr>
                  </w:p>
                </w:tc>
                <w:tc>
                  <w:tcPr>
                    <w:tcW w:w="1972" w:type="dxa"/>
                    <w:vMerge w:val="restart"/>
                  </w:tcPr>
                  <w:p>
                    <w:pPr>
                      <w:rPr>
                        <w:sz w:val="20"/>
                      </w:rPr>
                    </w:pPr>
                    <w:r>
                      <w:rPr>
                        <w:sz w:val="20"/>
                      </w:rPr>
                      <w:t>ASPĮ</w:t>
                    </w:r>
                  </w:p>
                  <w:p>
                    <w:pPr>
                      <w:rPr>
                        <w:sz w:val="20"/>
                      </w:rPr>
                    </w:pPr>
                  </w:p>
                </w:tc>
                <w:tc>
                  <w:tcPr>
                    <w:tcW w:w="781" w:type="dxa"/>
                    <w:gridSpan w:val="3"/>
                    <w:vMerge w:val="restart"/>
                    <w:shd w:val="clear" w:color="auto" w:fill="auto"/>
                  </w:tcPr>
                  <w:p>
                    <w:pPr>
                      <w:rPr>
                        <w:sz w:val="20"/>
                      </w:rPr>
                    </w:pPr>
                    <w:r>
                      <w:rPr>
                        <w:sz w:val="20"/>
                      </w:rPr>
                      <w:t>P</w:t>
                    </w:r>
                  </w:p>
                  <w:p>
                    <w:pPr>
                      <w:rPr>
                        <w:sz w:val="20"/>
                      </w:rPr>
                    </w:pPr>
                  </w:p>
                </w:tc>
                <w:tc>
                  <w:tcPr>
                    <w:tcW w:w="1014" w:type="dxa"/>
                    <w:gridSpan w:val="2"/>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216" w:type="dxa"/>
                  </w:tcPr>
                  <w:p>
                    <w:pPr>
                      <w:rPr>
                        <w:sz w:val="20"/>
                        <w:lang w:val="en-US"/>
                      </w:rPr>
                    </w:pPr>
                    <w:r>
                      <w:rPr>
                        <w:sz w:val="20"/>
                        <w:lang w:val="en-US"/>
                      </w:rPr>
                      <w:t>12 710,597</w:t>
                    </w:r>
                  </w:p>
                </w:tc>
                <w:tc>
                  <w:tcPr>
                    <w:tcW w:w="1066" w:type="dxa"/>
                  </w:tcPr>
                  <w:p>
                    <w:pPr>
                      <w:rPr>
                        <w:sz w:val="20"/>
                      </w:rPr>
                    </w:pPr>
                    <w:r>
                      <w:rPr>
                        <w:sz w:val="20"/>
                      </w:rPr>
                      <w:t>2021–2027 m. IP (ERPF)</w:t>
                    </w:r>
                  </w:p>
                  <w:p>
                    <w:pPr>
                      <w:rPr>
                        <w:sz w:val="20"/>
                      </w:rPr>
                    </w:pPr>
                  </w:p>
                </w:tc>
                <w:tc>
                  <w:tcPr>
                    <w:tcW w:w="1923"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202"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shd w:val="clear" w:color="auto" w:fill="auto"/>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tcPr>
                  <w:p>
                    <w:pPr>
                      <w:rPr>
                        <w:sz w:val="20"/>
                        <w:lang w:val="en-US"/>
                      </w:rPr>
                    </w:pPr>
                    <w:r>
                      <w:rPr>
                        <w:sz w:val="20"/>
                        <w:lang w:val="en-US"/>
                      </w:rPr>
                      <w:t>2 243,047</w:t>
                    </w:r>
                  </w:p>
                  <w:p>
                    <w:pPr>
                      <w:rPr>
                        <w:sz w:val="20"/>
                      </w:rPr>
                    </w:pPr>
                  </w:p>
                </w:tc>
                <w:tc>
                  <w:tcPr>
                    <w:tcW w:w="1066" w:type="dxa"/>
                  </w:tcPr>
                  <w:p>
                    <w:pPr>
                      <w:rPr>
                        <w:sz w:val="20"/>
                      </w:rPr>
                    </w:pPr>
                    <w:r>
                      <w:rPr>
                        <w:sz w:val="20"/>
                      </w:rPr>
                      <w:t>2021–2027 m. IP (BF)</w:t>
                    </w:r>
                  </w:p>
                  <w:p>
                    <w:pPr>
                      <w:rPr>
                        <w:sz w:val="20"/>
                      </w:rPr>
                    </w:pPr>
                  </w:p>
                </w:tc>
                <w:tc>
                  <w:tcPr>
                    <w:tcW w:w="1923"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202"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103"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00" w:type="dxa"/>
                    <w:gridSpan w:val="2"/>
                  </w:tcPr>
                  <w:p>
                    <w:pPr>
                      <w:rPr>
                        <w:sz w:val="22"/>
                        <w:szCs w:val="22"/>
                      </w:rPr>
                    </w:pPr>
                    <w:r>
                      <w:rPr>
                        <w:sz w:val="20"/>
                      </w:rPr>
                      <w:t>I</w:t>
                    </w:r>
                  </w:p>
                </w:tc>
                <w:tc>
                  <w:tcPr>
                    <w:tcW w:w="1972" w:type="dxa"/>
                  </w:tcPr>
                  <w:p>
                    <w:pPr>
                      <w:rPr>
                        <w:sz w:val="22"/>
                        <w:szCs w:val="22"/>
                      </w:rPr>
                    </w:pPr>
                    <w:r>
                      <w:rPr>
                        <w:sz w:val="20"/>
                      </w:rPr>
                      <w:t>ASPĮ</w:t>
                    </w:r>
                  </w:p>
                </w:tc>
                <w:tc>
                  <w:tcPr>
                    <w:tcW w:w="781" w:type="dxa"/>
                    <w:gridSpan w:val="3"/>
                  </w:tcPr>
                  <w:p>
                    <w:pPr>
                      <w:rPr>
                        <w:sz w:val="22"/>
                        <w:szCs w:val="22"/>
                      </w:rPr>
                    </w:pPr>
                    <w:r>
                      <w:rPr>
                        <w:sz w:val="20"/>
                      </w:rPr>
                      <w:t>P</w:t>
                    </w:r>
                  </w:p>
                </w:tc>
                <w:tc>
                  <w:tcPr>
                    <w:tcW w:w="1014" w:type="dxa"/>
                    <w:gridSpan w:val="2"/>
                  </w:tcPr>
                  <w:p>
                    <w:pPr>
                      <w:rPr>
                        <w:sz w:val="22"/>
                        <w:szCs w:val="22"/>
                      </w:rPr>
                    </w:pPr>
                    <w:r>
                      <w:rPr>
                        <w:sz w:val="20"/>
                      </w:rPr>
                      <w:t>Taip</w:t>
                    </w:r>
                  </w:p>
                </w:tc>
                <w:tc>
                  <w:tcPr>
                    <w:tcW w:w="681" w:type="dxa"/>
                    <w:gridSpan w:val="3"/>
                  </w:tcPr>
                  <w:p>
                    <w:pPr>
                      <w:rPr>
                        <w:sz w:val="22"/>
                        <w:szCs w:val="22"/>
                      </w:rPr>
                    </w:pPr>
                    <w:r>
                      <w:rPr>
                        <w:sz w:val="20"/>
                      </w:rPr>
                      <w:t>D</w:t>
                    </w:r>
                  </w:p>
                </w:tc>
                <w:tc>
                  <w:tcPr>
                    <w:tcW w:w="1216" w:type="dxa"/>
                  </w:tcPr>
                  <w:p>
                    <w:pPr>
                      <w:rPr>
                        <w:sz w:val="22"/>
                        <w:szCs w:val="22"/>
                        <w:lang w:val="en-US"/>
                      </w:rPr>
                    </w:pPr>
                    <w:r>
                      <w:rPr>
                        <w:sz w:val="20"/>
                      </w:rPr>
                      <w:t>6 000</w:t>
                    </w:r>
                  </w:p>
                </w:tc>
                <w:tc>
                  <w:tcPr>
                    <w:tcW w:w="1066" w:type="dxa"/>
                  </w:tcPr>
                  <w:p>
                    <w:pPr>
                      <w:rPr>
                        <w:sz w:val="22"/>
                        <w:szCs w:val="22"/>
                      </w:rPr>
                    </w:pPr>
                    <w:r>
                      <w:rPr>
                        <w:sz w:val="20"/>
                      </w:rPr>
                      <w:t>VB</w:t>
                    </w:r>
                  </w:p>
                </w:tc>
                <w:tc>
                  <w:tcPr>
                    <w:tcW w:w="1923"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202"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066"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202"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03" w:type="dxa"/>
                    <w:gridSpan w:val="2"/>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800" w:type="dxa"/>
                    <w:gridSpan w:val="2"/>
                    <w:vMerge w:val="restart"/>
                    <w:tcBorders>
                      <w:top w:val="single" w:sz="4" w:space="0" w:color="auto"/>
                      <w:left w:val="single" w:sz="4" w:space="0" w:color="auto"/>
                      <w:right w:val="single" w:sz="4" w:space="0" w:color="auto"/>
                    </w:tcBorders>
                  </w:tcPr>
                  <w:p>
                    <w:pPr>
                      <w:rPr>
                        <w:sz w:val="20"/>
                      </w:rPr>
                    </w:pPr>
                    <w:r>
                      <w:rPr>
                        <w:sz w:val="20"/>
                      </w:rPr>
                      <w:t>I</w:t>
                    </w:r>
                  </w:p>
                </w:tc>
                <w:tc>
                  <w:tcPr>
                    <w:tcW w:w="1972" w:type="dxa"/>
                    <w:vMerge w:val="restart"/>
                    <w:tcBorders>
                      <w:top w:val="single" w:sz="4" w:space="0" w:color="auto"/>
                      <w:left w:val="single" w:sz="4" w:space="0" w:color="auto"/>
                      <w:right w:val="single" w:sz="4" w:space="0" w:color="auto"/>
                    </w:tcBorders>
                  </w:tcPr>
                  <w:p>
                    <w:pPr>
                      <w:rPr>
                        <w:sz w:val="20"/>
                      </w:rPr>
                    </w:pPr>
                    <w:r>
                      <w:rPr>
                        <w:sz w:val="20"/>
                      </w:rPr>
                      <w:t>LMB</w:t>
                    </w:r>
                  </w:p>
                </w:tc>
                <w:tc>
                  <w:tcPr>
                    <w:tcW w:w="781"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2"/>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216" w:type="dxa"/>
                    <w:tcBorders>
                      <w:top w:val="single" w:sz="4" w:space="0" w:color="auto"/>
                      <w:left w:val="single" w:sz="4" w:space="0" w:color="auto"/>
                      <w:right w:val="single" w:sz="4" w:space="0" w:color="auto"/>
                    </w:tcBorders>
                  </w:tcPr>
                  <w:p>
                    <w:pPr>
                      <w:rPr>
                        <w:sz w:val="20"/>
                        <w:lang w:val="en-US"/>
                      </w:rPr>
                    </w:pPr>
                    <w:r>
                      <w:rPr>
                        <w:sz w:val="20"/>
                      </w:rPr>
                      <w:t>3 544,845</w:t>
                    </w:r>
                  </w:p>
                </w:tc>
                <w:tc>
                  <w:tcPr>
                    <w:tcW w:w="1066"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1923"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202" w:type="dxa"/>
                    <w:gridSpan w:val="2"/>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03" w:type="dxa"/>
                    <w:gridSpan w:val="2"/>
                    <w:vMerge/>
                    <w:tcBorders>
                      <w:left w:val="single" w:sz="4" w:space="0" w:color="auto"/>
                      <w:right w:val="single" w:sz="4" w:space="0" w:color="auto"/>
                    </w:tcBorders>
                    <w:shd w:val="clear" w:color="auto" w:fill="auto"/>
                  </w:tcPr>
                  <w:p>
                    <w:pPr>
                      <w:rPr>
                        <w:sz w:val="20"/>
                      </w:rPr>
                    </w:pPr>
                  </w:p>
                </w:tc>
                <w:tc>
                  <w:tcPr>
                    <w:tcW w:w="800" w:type="dxa"/>
                    <w:gridSpan w:val="2"/>
                    <w:vMerge/>
                    <w:tcBorders>
                      <w:left w:val="single" w:sz="4" w:space="0" w:color="auto"/>
                      <w:right w:val="single" w:sz="4" w:space="0" w:color="auto"/>
                    </w:tcBorders>
                  </w:tcPr>
                  <w:p>
                    <w:pPr>
                      <w:rPr>
                        <w:sz w:val="20"/>
                      </w:rPr>
                    </w:pPr>
                  </w:p>
                </w:tc>
                <w:tc>
                  <w:tcPr>
                    <w:tcW w:w="1972" w:type="dxa"/>
                    <w:vMerge/>
                    <w:tcBorders>
                      <w:left w:val="single" w:sz="4" w:space="0" w:color="auto"/>
                      <w:right w:val="single" w:sz="4" w:space="0" w:color="auto"/>
                    </w:tcBorders>
                  </w:tcPr>
                  <w:p>
                    <w:pPr>
                      <w:rPr>
                        <w:sz w:val="20"/>
                      </w:rPr>
                    </w:pPr>
                  </w:p>
                </w:tc>
                <w:tc>
                  <w:tcPr>
                    <w:tcW w:w="781" w:type="dxa"/>
                    <w:gridSpan w:val="3"/>
                    <w:vMerge/>
                    <w:tcBorders>
                      <w:left w:val="single" w:sz="4" w:space="0" w:color="auto"/>
                      <w:right w:val="single" w:sz="4" w:space="0" w:color="auto"/>
                    </w:tcBorders>
                  </w:tcPr>
                  <w:p>
                    <w:pPr>
                      <w:rPr>
                        <w:sz w:val="20"/>
                      </w:rPr>
                    </w:pPr>
                  </w:p>
                </w:tc>
                <w:tc>
                  <w:tcPr>
                    <w:tcW w:w="1014" w:type="dxa"/>
                    <w:gridSpan w:val="2"/>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216" w:type="dxa"/>
                    <w:tcBorders>
                      <w:top w:val="single" w:sz="4" w:space="0" w:color="auto"/>
                      <w:left w:val="single" w:sz="4" w:space="0" w:color="auto"/>
                      <w:right w:val="single" w:sz="4" w:space="0" w:color="auto"/>
                    </w:tcBorders>
                  </w:tcPr>
                  <w:p>
                    <w:pPr>
                      <w:rPr>
                        <w:sz w:val="20"/>
                        <w:lang w:val="en-US"/>
                      </w:rPr>
                    </w:pPr>
                    <w:r>
                      <w:rPr>
                        <w:sz w:val="20"/>
                      </w:rPr>
                      <w:t>625, 561</w:t>
                    </w:r>
                  </w:p>
                </w:tc>
                <w:tc>
                  <w:tcPr>
                    <w:tcW w:w="1066" w:type="dxa"/>
                    <w:tcBorders>
                      <w:left w:val="single" w:sz="4" w:space="0" w:color="auto"/>
                      <w:right w:val="single" w:sz="4" w:space="0" w:color="auto"/>
                    </w:tcBorders>
                  </w:tcPr>
                  <w:p>
                    <w:pPr>
                      <w:rPr>
                        <w:sz w:val="20"/>
                      </w:rPr>
                    </w:pPr>
                    <w:r>
                      <w:rPr>
                        <w:sz w:val="20"/>
                      </w:rPr>
                      <w:t>2021–2027 m. IP (BF)</w:t>
                    </w:r>
                  </w:p>
                </w:tc>
                <w:tc>
                  <w:tcPr>
                    <w:tcW w:w="1923" w:type="dxa"/>
                    <w:tcBorders>
                      <w:left w:val="single" w:sz="4" w:space="0" w:color="auto"/>
                      <w:right w:val="single" w:sz="4" w:space="0" w:color="auto"/>
                    </w:tcBorders>
                    <w:shd w:val="clear" w:color="auto" w:fill="auto"/>
                  </w:tcPr>
                  <w:p>
                    <w:pPr>
                      <w:ind w:left="-57" w:right="-57"/>
                      <w:rPr>
                        <w:color w:val="000000"/>
                        <w:sz w:val="20"/>
                      </w:rPr>
                    </w:pPr>
                    <w:r>
                      <w:rPr>
                        <w:sz w:val="20"/>
                      </w:rPr>
                      <w:t>R – Pacientų pasitenkinimas gautomis paslaugomis, proc.</w:t>
                    </w:r>
                  </w:p>
                </w:tc>
                <w:tc>
                  <w:tcPr>
                    <w:tcW w:w="1202" w:type="dxa"/>
                    <w:gridSpan w:val="2"/>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800"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1972" w:type="dxa"/>
                    <w:vMerge/>
                    <w:tcBorders>
                      <w:left w:val="single" w:sz="4" w:space="0" w:color="auto"/>
                      <w:right w:val="single" w:sz="4" w:space="0" w:color="auto"/>
                    </w:tcBorders>
                    <w:shd w:val="clear" w:color="auto" w:fill="F2F2F2" w:themeFill="background1" w:themeFillShade="F2"/>
                  </w:tcPr>
                  <w:p>
                    <w:pPr>
                      <w:rPr>
                        <w:sz w:val="20"/>
                      </w:rPr>
                    </w:pPr>
                  </w:p>
                </w:tc>
                <w:tc>
                  <w:tcPr>
                    <w:tcW w:w="7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2"/>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216" w:type="dxa"/>
                    <w:tcBorders>
                      <w:left w:val="single" w:sz="4" w:space="0" w:color="auto"/>
                    </w:tcBorders>
                    <w:shd w:val="clear" w:color="auto" w:fill="F2F2F2" w:themeFill="background1" w:themeFillShade="F2"/>
                  </w:tcPr>
                  <w:p>
                    <w:pPr>
                      <w:rPr>
                        <w:b/>
                        <w:bCs/>
                        <w:sz w:val="20"/>
                      </w:rPr>
                    </w:pPr>
                  </w:p>
                </w:tc>
                <w:tc>
                  <w:tcPr>
                    <w:tcW w:w="1066" w:type="dxa"/>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202"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800" w:type="dxa"/>
                    <w:gridSpan w:val="2"/>
                    <w:shd w:val="clear" w:color="auto" w:fill="F2F2F2" w:themeFill="background1" w:themeFillShade="F2"/>
                  </w:tcPr>
                  <w:p>
                    <w:pPr>
                      <w:rPr>
                        <w:sz w:val="20"/>
                      </w:rPr>
                    </w:pPr>
                    <w:r>
                      <w:rPr>
                        <w:sz w:val="20"/>
                      </w:rPr>
                      <w:t>-</w:t>
                    </w:r>
                  </w:p>
                </w:tc>
                <w:tc>
                  <w:tcPr>
                    <w:tcW w:w="1972" w:type="dxa"/>
                    <w:shd w:val="clear" w:color="auto" w:fill="F2F2F2" w:themeFill="background1" w:themeFillShade="F2"/>
                  </w:tcPr>
                  <w:p>
                    <w:pPr>
                      <w:rPr>
                        <w:sz w:val="20"/>
                      </w:rPr>
                    </w:pPr>
                    <w:r>
                      <w:rPr>
                        <w:sz w:val="20"/>
                      </w:rPr>
                      <w:t>-</w:t>
                    </w:r>
                  </w:p>
                </w:tc>
                <w:tc>
                  <w:tcPr>
                    <w:tcW w:w="781" w:type="dxa"/>
                    <w:gridSpan w:val="3"/>
                    <w:shd w:val="clear" w:color="auto" w:fill="F2F2F2" w:themeFill="background1" w:themeFillShade="F2"/>
                  </w:tcPr>
                  <w:p>
                    <w:pPr>
                      <w:rPr>
                        <w:sz w:val="20"/>
                      </w:rPr>
                    </w:pPr>
                    <w:r>
                      <w:rPr>
                        <w:sz w:val="20"/>
                      </w:rPr>
                      <w:t>-</w:t>
                    </w:r>
                  </w:p>
                </w:tc>
                <w:tc>
                  <w:tcPr>
                    <w:tcW w:w="1014" w:type="dxa"/>
                    <w:gridSpan w:val="2"/>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216" w:type="dxa"/>
                    <w:shd w:val="clear" w:color="auto" w:fill="F2F2F2" w:themeFill="background1" w:themeFillShade="F2"/>
                  </w:tcPr>
                  <w:p>
                    <w:pPr>
                      <w:rPr>
                        <w:sz w:val="20"/>
                        <w:lang w:val="en-US"/>
                      </w:rPr>
                    </w:pPr>
                    <w:r>
                      <w:rPr>
                        <w:b/>
                        <w:bCs/>
                        <w:sz w:val="20"/>
                      </w:rPr>
                      <w:t>7 000</w:t>
                    </w:r>
                  </w:p>
                </w:tc>
                <w:tc>
                  <w:tcPr>
                    <w:tcW w:w="1066" w:type="dxa"/>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w:t>
                    </w:r>
                  </w:p>
                </w:tc>
                <w:tc>
                  <w:tcPr>
                    <w:tcW w:w="1202"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03" w:type="dxa"/>
                    <w:gridSpan w:val="2"/>
                  </w:tcPr>
                  <w:p>
                    <w:pPr>
                      <w:rPr>
                        <w:sz w:val="20"/>
                      </w:rPr>
                    </w:pPr>
                    <w:r>
                      <w:rPr>
                        <w:sz w:val="20"/>
                      </w:rPr>
                      <w:t>8.1. Pavėžėjimo paslaugų organizavimą ir teikimą reglamentuojančių teisės aktų parengimas</w:t>
                    </w:r>
                  </w:p>
                </w:tc>
                <w:tc>
                  <w:tcPr>
                    <w:tcW w:w="800" w:type="dxa"/>
                    <w:gridSpan w:val="2"/>
                  </w:tcPr>
                  <w:p>
                    <w:pPr>
                      <w:rPr>
                        <w:sz w:val="20"/>
                      </w:rPr>
                    </w:pPr>
                    <w:r>
                      <w:rPr>
                        <w:sz w:val="20"/>
                      </w:rPr>
                      <w:t>R</w:t>
                    </w:r>
                  </w:p>
                </w:tc>
                <w:tc>
                  <w:tcPr>
                    <w:tcW w:w="1972" w:type="dxa"/>
                  </w:tcPr>
                  <w:p>
                    <w:pPr>
                      <w:rPr>
                        <w:sz w:val="20"/>
                      </w:rPr>
                    </w:pPr>
                    <w:r>
                      <w:rPr>
                        <w:sz w:val="20"/>
                      </w:rPr>
                      <w:t>-</w:t>
                    </w:r>
                  </w:p>
                </w:tc>
                <w:tc>
                  <w:tcPr>
                    <w:tcW w:w="781" w:type="dxa"/>
                    <w:gridSpan w:val="3"/>
                  </w:tcPr>
                  <w:p>
                    <w:pPr>
                      <w:rPr>
                        <w:sz w:val="20"/>
                      </w:rPr>
                    </w:pPr>
                    <w:r>
                      <w:rPr>
                        <w:sz w:val="20"/>
                      </w:rPr>
                      <w:t>-</w:t>
                    </w:r>
                  </w:p>
                </w:tc>
                <w:tc>
                  <w:tcPr>
                    <w:tcW w:w="1014" w:type="dxa"/>
                    <w:gridSpan w:val="2"/>
                  </w:tcPr>
                  <w:p>
                    <w:pPr>
                      <w:rPr>
                        <w:sz w:val="20"/>
                      </w:rPr>
                    </w:pPr>
                    <w:r>
                      <w:rPr>
                        <w:sz w:val="20"/>
                      </w:rPr>
                      <w:t>Taip</w:t>
                    </w:r>
                  </w:p>
                </w:tc>
                <w:tc>
                  <w:tcPr>
                    <w:tcW w:w="681" w:type="dxa"/>
                    <w:gridSpan w:val="3"/>
                  </w:tcPr>
                  <w:p>
                    <w:pPr>
                      <w:rPr>
                        <w:sz w:val="20"/>
                      </w:rPr>
                    </w:pPr>
                    <w:r>
                      <w:rPr>
                        <w:sz w:val="20"/>
                      </w:rPr>
                      <w:t>-</w:t>
                    </w:r>
                  </w:p>
                </w:tc>
                <w:tc>
                  <w:tcPr>
                    <w:tcW w:w="1216" w:type="dxa"/>
                  </w:tcPr>
                  <w:p>
                    <w:pPr>
                      <w:rPr>
                        <w:sz w:val="20"/>
                        <w:lang w:val="en-US"/>
                      </w:rPr>
                    </w:pPr>
                    <w:r>
                      <w:rPr>
                        <w:sz w:val="20"/>
                        <w:lang w:val="en-US"/>
                      </w:rPr>
                      <w:t>-</w:t>
                    </w:r>
                  </w:p>
                </w:tc>
                <w:tc>
                  <w:tcPr>
                    <w:tcW w:w="1066" w:type="dxa"/>
                  </w:tcPr>
                  <w:p>
                    <w:pPr>
                      <w:rPr>
                        <w:sz w:val="20"/>
                      </w:rPr>
                    </w:pPr>
                    <w:r>
                      <w:rPr>
                        <w:sz w:val="20"/>
                      </w:rPr>
                      <w:t>-</w:t>
                    </w:r>
                  </w:p>
                </w:tc>
                <w:tc>
                  <w:tcPr>
                    <w:tcW w:w="1923"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202"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03" w:type="dxa"/>
                    <w:gridSpan w:val="2"/>
                    <w:vMerge w:val="restart"/>
                  </w:tcPr>
                  <w:p>
                    <w:pPr>
                      <w:rPr>
                        <w:sz w:val="20"/>
                      </w:rPr>
                    </w:pPr>
                    <w:r>
                      <w:rPr>
                        <w:sz w:val="20"/>
                      </w:rPr>
                      <w:t>8.2. Bandomojo pavėžėjimo paslaugų teikimo projekto įgyvendinimas</w:t>
                    </w:r>
                  </w:p>
                </w:tc>
                <w:tc>
                  <w:tcPr>
                    <w:tcW w:w="800" w:type="dxa"/>
                    <w:gridSpan w:val="2"/>
                    <w:vMerge w:val="restart"/>
                  </w:tcPr>
                  <w:p>
                    <w:pPr>
                      <w:rPr>
                        <w:sz w:val="20"/>
                      </w:rPr>
                    </w:pPr>
                    <w:r>
                      <w:rPr>
                        <w:sz w:val="20"/>
                      </w:rPr>
                      <w:t>M</w:t>
                    </w:r>
                  </w:p>
                </w:tc>
                <w:tc>
                  <w:tcPr>
                    <w:tcW w:w="1972" w:type="dxa"/>
                    <w:vMerge w:val="restart"/>
                  </w:tcPr>
                  <w:p>
                    <w:pPr>
                      <w:rPr>
                        <w:sz w:val="20"/>
                      </w:rPr>
                    </w:pPr>
                    <w:r>
                      <w:rPr>
                        <w:sz w:val="20"/>
                      </w:rPr>
                      <w:t>V</w:t>
                    </w:r>
                    <w:r>
                      <w:rPr>
                        <w:sz w:val="18"/>
                        <w:szCs w:val="18"/>
                      </w:rPr>
                      <w:t>šĮ Kauno miesto greitosios medicinos pagalbos stotis</w:t>
                    </w:r>
                  </w:p>
                </w:tc>
                <w:tc>
                  <w:tcPr>
                    <w:tcW w:w="781" w:type="dxa"/>
                    <w:gridSpan w:val="3"/>
                    <w:vMerge w:val="restart"/>
                  </w:tcPr>
                  <w:p>
                    <w:pPr>
                      <w:rPr>
                        <w:sz w:val="20"/>
                      </w:rPr>
                    </w:pPr>
                    <w:r>
                      <w:rPr>
                        <w:sz w:val="20"/>
                      </w:rPr>
                      <w:t>P</w:t>
                    </w:r>
                  </w:p>
                </w:tc>
                <w:tc>
                  <w:tcPr>
                    <w:tcW w:w="1014" w:type="dxa"/>
                    <w:gridSpan w:val="2"/>
                    <w:vMerge w:val="restart"/>
                  </w:tcPr>
                  <w:p>
                    <w:pPr>
                      <w:rPr>
                        <w:sz w:val="20"/>
                      </w:rPr>
                    </w:pPr>
                    <w:r>
                      <w:rPr>
                        <w:sz w:val="20"/>
                      </w:rPr>
                      <w:t>Taip</w:t>
                    </w:r>
                  </w:p>
                </w:tc>
                <w:tc>
                  <w:tcPr>
                    <w:tcW w:w="681" w:type="dxa"/>
                    <w:gridSpan w:val="3"/>
                    <w:vMerge w:val="restart"/>
                  </w:tcPr>
                  <w:p>
                    <w:pPr>
                      <w:rPr>
                        <w:sz w:val="20"/>
                      </w:rPr>
                    </w:pPr>
                    <w:r>
                      <w:rPr>
                        <w:sz w:val="20"/>
                      </w:rPr>
                      <w:t>D</w:t>
                    </w:r>
                  </w:p>
                </w:tc>
                <w:tc>
                  <w:tcPr>
                    <w:tcW w:w="1216" w:type="dxa"/>
                    <w:vMerge w:val="restart"/>
                  </w:tcPr>
                  <w:p>
                    <w:pPr>
                      <w:rPr>
                        <w:sz w:val="20"/>
                        <w:lang w:val="en-US"/>
                      </w:rPr>
                    </w:pPr>
                    <w:r>
                      <w:rPr>
                        <w:sz w:val="20"/>
                        <w:lang w:val="en-US"/>
                      </w:rPr>
                      <w:t>7 000</w:t>
                    </w:r>
                  </w:p>
                </w:tc>
                <w:tc>
                  <w:tcPr>
                    <w:tcW w:w="1066" w:type="dxa"/>
                    <w:vMerge w:val="restart"/>
                  </w:tcPr>
                  <w:p>
                    <w:pPr>
                      <w:rPr>
                        <w:sz w:val="20"/>
                      </w:rPr>
                    </w:pPr>
                    <w:r>
                      <w:rPr>
                        <w:sz w:val="20"/>
                      </w:rPr>
                      <w:t>VB</w:t>
                    </w:r>
                  </w:p>
                </w:tc>
                <w:tc>
                  <w:tcPr>
                    <w:tcW w:w="1923"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202"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vMerge/>
                  </w:tcPr>
                  <w:p>
                    <w:pPr>
                      <w:rPr>
                        <w:sz w:val="20"/>
                        <w:lang w:val="en-US"/>
                      </w:rPr>
                    </w:pPr>
                  </w:p>
                </w:tc>
                <w:tc>
                  <w:tcPr>
                    <w:tcW w:w="1066" w:type="dxa"/>
                    <w:vMerge/>
                  </w:tcPr>
                  <w:p>
                    <w:pPr>
                      <w:rPr>
                        <w:sz w:val="20"/>
                      </w:rPr>
                    </w:pPr>
                  </w:p>
                </w:tc>
                <w:tc>
                  <w:tcPr>
                    <w:tcW w:w="1923"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202"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20"/>
                </w:trPr>
                <w:tc>
                  <w:tcPr>
                    <w:tcW w:w="2092" w:type="dxa"/>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738" w:type="dxa"/>
                    <w:gridSpan w:val="2"/>
                    <w:vMerge w:val="restart"/>
                    <w:tcMar>
                      <w:left w:w="105" w:type="dxa"/>
                      <w:right w:w="105" w:type="dxa"/>
                    </w:tcMar>
                  </w:tcPr>
                  <w:p>
                    <w:pPr>
                      <w:rPr>
                        <w:color w:val="000000"/>
                        <w:sz w:val="20"/>
                      </w:rPr>
                    </w:pPr>
                    <w:r>
                      <w:rPr>
                        <w:color w:val="000000"/>
                        <w:sz w:val="20"/>
                      </w:rPr>
                      <w:t>-</w:t>
                    </w:r>
                  </w:p>
                </w:tc>
                <w:tc>
                  <w:tcPr>
                    <w:tcW w:w="2111" w:type="dxa"/>
                    <w:gridSpan w:val="3"/>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4"/>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jc w:val="center"/>
                      <w:rPr>
                        <w:color w:val="000000"/>
                        <w:sz w:val="20"/>
                      </w:rPr>
                    </w:pPr>
                    <w:r>
                      <w:rPr>
                        <w:color w:val="000000"/>
                        <w:sz w:val="20"/>
                      </w:rPr>
                      <w:t>902,535</w:t>
                    </w:r>
                  </w:p>
                </w:tc>
                <w:tc>
                  <w:tcPr>
                    <w:tcW w:w="1066" w:type="dxa"/>
                    <w:tcMar>
                      <w:left w:w="105" w:type="dxa"/>
                      <w:right w:w="105" w:type="dxa"/>
                    </w:tcMar>
                  </w:tcPr>
                  <w:p>
                    <w:pPr>
                      <w:rPr>
                        <w:color w:val="000000"/>
                        <w:sz w:val="20"/>
                      </w:rPr>
                    </w:pPr>
                    <w:r>
                      <w:rPr>
                        <w:color w:val="000000"/>
                        <w:sz w:val="20"/>
                      </w:rPr>
                      <w:t xml:space="preserve">- </w:t>
                    </w:r>
                  </w:p>
                </w:tc>
                <w:tc>
                  <w:tcPr>
                    <w:tcW w:w="1923" w:type="dxa"/>
                    <w:vMerge w:val="restart"/>
                    <w:tcMar>
                      <w:left w:w="105" w:type="dxa"/>
                      <w:right w:w="105" w:type="dxa"/>
                    </w:tcMar>
                  </w:tcPr>
                  <w:p>
                    <w:pPr>
                      <w:ind w:left="-57" w:right="-57"/>
                      <w:rPr>
                        <w:color w:val="000000"/>
                        <w:sz w:val="20"/>
                      </w:rPr>
                    </w:pPr>
                    <w:r>
                      <w:rPr>
                        <w:color w:val="000000"/>
                        <w:sz w:val="20"/>
                      </w:rPr>
                      <w:t>-</w:t>
                    </w:r>
                  </w:p>
                </w:tc>
                <w:tc>
                  <w:tcPr>
                    <w:tcW w:w="1076" w:type="dxa"/>
                    <w:vMerge w:val="restart"/>
                    <w:tcMar>
                      <w:left w:w="105" w:type="dxa"/>
                      <w:right w:w="105" w:type="dxa"/>
                    </w:tcMar>
                  </w:tcPr>
                  <w:p>
                    <w:pPr>
                      <w:ind w:left="-57" w:right="-57"/>
                      <w:jc w:val="center"/>
                      <w:rPr>
                        <w:color w:val="000000"/>
                        <w:sz w:val="20"/>
                      </w:rPr>
                    </w:pPr>
                    <w:r>
                      <w:rPr>
                        <w:color w:val="000000"/>
                        <w:sz w:val="20"/>
                      </w:rPr>
                      <w:t>-</w:t>
                    </w:r>
                  </w:p>
                </w:tc>
                <w:tc>
                  <w:tcPr>
                    <w:tcW w:w="1118" w:type="dxa"/>
                    <w:gridSpan w:val="2"/>
                    <w:vMerge w:val="restart"/>
                    <w:tcMar>
                      <w:left w:w="105" w:type="dxa"/>
                      <w:right w:w="105" w:type="dxa"/>
                    </w:tcMar>
                  </w:tcPr>
                  <w:p>
                    <w:pPr>
                      <w:rPr>
                        <w:color w:val="000000"/>
                        <w:sz w:val="20"/>
                      </w:rPr>
                    </w:pPr>
                    <w:r>
                      <w:rPr>
                        <w:color w:val="000000"/>
                        <w:sz w:val="20"/>
                      </w:rPr>
                      <w:t>-</w:t>
                    </w:r>
                  </w:p>
                </w:tc>
                <w:tc>
                  <w:tcPr>
                    <w:tcW w:w="1276" w:type="dxa"/>
                    <w:vMerge w:val="restart"/>
                    <w:tcMar>
                      <w:left w:w="105" w:type="dxa"/>
                      <w:right w:w="105" w:type="dxa"/>
                    </w:tcMar>
                    <w:vAlign w:val="center"/>
                  </w:tcPr>
                  <w:p>
                    <w:pPr>
                      <w:ind w:firstLine="53"/>
                      <w:rPr>
                        <w:color w:val="000000"/>
                        <w:sz w:val="20"/>
                      </w:rPr>
                    </w:pPr>
                  </w:p>
                </w:tc>
              </w:tr>
              <w:tr>
                <w:trPr>
                  <w:trHeight w:val="76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(BF, Sostinės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tcMar>
                      <w:left w:w="105" w:type="dxa"/>
                      <w:right w:w="105" w:type="dxa"/>
                    </w:tcMar>
                  </w:tcPr>
                  <w:p>
                    <w:pPr>
                      <w:jc w:val="center"/>
                      <w:rPr>
                        <w:color w:val="000000"/>
                        <w:sz w:val="20"/>
                      </w:rPr>
                    </w:pPr>
                    <w:r>
                      <w:rPr>
                        <w:color w:val="000000"/>
                        <w:sz w:val="20"/>
                      </w:rPr>
                      <w:t>6 028,243</w:t>
                    </w:r>
                  </w:p>
                </w:tc>
                <w:tc>
                  <w:tcPr>
                    <w:tcW w:w="1066" w:type="dxa"/>
                    <w:tcMar>
                      <w:left w:w="105" w:type="dxa"/>
                      <w:right w:w="105" w:type="dxa"/>
                    </w:tcMar>
                  </w:tcPr>
                  <w:p>
                    <w:pPr>
                      <w:rPr>
                        <w:color w:val="000000"/>
                        <w:sz w:val="20"/>
                      </w:rPr>
                    </w:pPr>
                    <w:r>
                      <w:rPr>
                        <w:color w:val="000000"/>
                        <w:sz w:val="20"/>
                      </w:rPr>
                      <w:t>2021–2027 m. IP (BF, VVL regionas)</w:t>
                    </w:r>
                  </w:p>
                </w:tc>
                <w:tc>
                  <w:tcPr>
                    <w:tcW w:w="1923" w:type="dxa"/>
                    <w:vMerge/>
                    <w:vAlign w:val="center"/>
                  </w:tcPr>
                  <w:p/>
                </w:tc>
                <w:tc>
                  <w:tcPr>
                    <w:tcW w:w="1076" w:type="dxa"/>
                    <w:vMerge/>
                    <w:vAlign w:val="center"/>
                  </w:tcPr>
                  <w:p/>
                </w:tc>
                <w:tc>
                  <w:tcPr>
                    <w:tcW w:w="1118" w:type="dxa"/>
                    <w:gridSpan w:val="2"/>
                    <w:vMerge/>
                    <w:vAlign w:val="center"/>
                  </w:tcPr>
                  <w:p/>
                </w:tc>
                <w:tc>
                  <w:tcPr>
                    <w:tcW w:w="1276" w:type="dxa"/>
                    <w:vMerge/>
                    <w:vAlign w:val="center"/>
                  </w:tcPr>
                  <w:p/>
                </w:tc>
              </w:tr>
              <w:tr>
                <w:trPr>
                  <w:trHeight w:val="420"/>
                </w:trPr>
                <w:tc>
                  <w:tcPr>
                    <w:tcW w:w="2092" w:type="dxa"/>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738" w:type="dxa"/>
                    <w:gridSpan w:val="2"/>
                    <w:tcMar>
                      <w:left w:w="105" w:type="dxa"/>
                      <w:right w:w="105" w:type="dxa"/>
                    </w:tcMar>
                  </w:tcPr>
                  <w:p>
                    <w:pPr>
                      <w:rPr>
                        <w:color w:val="000000"/>
                        <w:sz w:val="20"/>
                      </w:rPr>
                    </w:pPr>
                    <w:r>
                      <w:rPr>
                        <w:color w:val="000000"/>
                        <w:sz w:val="20"/>
                      </w:rPr>
                      <w:t>R</w:t>
                    </w:r>
                  </w:p>
                </w:tc>
                <w:tc>
                  <w:tcPr>
                    <w:tcW w:w="2111" w:type="dxa"/>
                    <w:gridSpan w:val="3"/>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4"/>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240" w:type="dxa"/>
                    <w:gridSpan w:val="2"/>
                    <w:tcMar>
                      <w:left w:w="105" w:type="dxa"/>
                      <w:right w:w="105" w:type="dxa"/>
                    </w:tcMar>
                  </w:tcPr>
                  <w:p>
                    <w:pPr>
                      <w:rPr>
                        <w:color w:val="000000"/>
                        <w:sz w:val="20"/>
                      </w:rPr>
                    </w:pPr>
                    <w:r>
                      <w:rPr>
                        <w:color w:val="000000"/>
                        <w:sz w:val="20"/>
                        <w:lang w:val="en-US"/>
                      </w:rPr>
                      <w:t>-</w:t>
                    </w:r>
                  </w:p>
                </w:tc>
                <w:tc>
                  <w:tcPr>
                    <w:tcW w:w="1066" w:type="dxa"/>
                    <w:tcMar>
                      <w:left w:w="105" w:type="dxa"/>
                      <w:right w:w="105" w:type="dxa"/>
                    </w:tcMar>
                  </w:tcPr>
                  <w:p>
                    <w:pPr>
                      <w:rPr>
                        <w:color w:val="000000"/>
                        <w:sz w:val="20"/>
                      </w:rPr>
                    </w:pPr>
                    <w:r>
                      <w:rPr>
                        <w:color w:val="000000"/>
                        <w:sz w:val="20"/>
                      </w:rPr>
                      <w:t>-</w:t>
                    </w:r>
                  </w:p>
                </w:tc>
                <w:tc>
                  <w:tcPr>
                    <w:tcW w:w="1923" w:type="dxa"/>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76"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18" w:type="dxa"/>
                    <w:gridSpan w:val="2"/>
                    <w:tcMar>
                      <w:left w:w="105" w:type="dxa"/>
                      <w:right w:w="105" w:type="dxa"/>
                    </w:tcMar>
                  </w:tcPr>
                  <w:p>
                    <w:pPr>
                      <w:jc w:val="center"/>
                      <w:rPr>
                        <w:color w:val="000000"/>
                        <w:sz w:val="20"/>
                      </w:rPr>
                    </w:pPr>
                    <w:r>
                      <w:rPr>
                        <w:color w:val="000000"/>
                        <w:sz w:val="20"/>
                      </w:rPr>
                      <w:t>-</w:t>
                    </w:r>
                  </w:p>
                </w:tc>
                <w:tc>
                  <w:tcPr>
                    <w:tcW w:w="1276" w:type="dxa"/>
                    <w:tcMar>
                      <w:left w:w="105" w:type="dxa"/>
                      <w:right w:w="105" w:type="dxa"/>
                    </w:tcMar>
                  </w:tcPr>
                  <w:p>
                    <w:pPr>
                      <w:jc w:val="center"/>
                      <w:rPr>
                        <w:color w:val="000000"/>
                        <w:sz w:val="20"/>
                      </w:rPr>
                    </w:pPr>
                    <w:r>
                      <w:rPr>
                        <w:color w:val="000000"/>
                        <w:sz w:val="20"/>
                      </w:rPr>
                      <w:t>SAM</w:t>
                    </w:r>
                  </w:p>
                </w:tc>
              </w:tr>
              <w:tr>
                <w:trPr>
                  <w:trHeight w:val="1290"/>
                </w:trPr>
                <w:tc>
                  <w:tcPr>
                    <w:tcW w:w="2092" w:type="dxa"/>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6 857,123</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18" w:type="dxa"/>
                    <w:gridSpan w:val="2"/>
                    <w:vMerge w:val="restart"/>
                    <w:tcMar>
                      <w:left w:w="105" w:type="dxa"/>
                      <w:right w:w="105" w:type="dxa"/>
                    </w:tcMar>
                  </w:tcPr>
                  <w:p>
                    <w:pPr>
                      <w:rPr>
                        <w:color w:val="000000"/>
                        <w:sz w:val="20"/>
                      </w:rPr>
                    </w:pPr>
                    <w:r>
                      <w:rPr>
                        <w:color w:val="000000"/>
                        <w:sz w:val="20"/>
                      </w:rPr>
                      <w:t>CPVA</w:t>
                    </w:r>
                  </w:p>
                </w:tc>
                <w:tc>
                  <w:tcPr>
                    <w:tcW w:w="1276" w:type="dxa"/>
                    <w:vMerge w:val="restart"/>
                    <w:tcMar>
                      <w:left w:w="105" w:type="dxa"/>
                      <w:right w:w="105" w:type="dxa"/>
                    </w:tcMar>
                  </w:tcPr>
                  <w:p>
                    <w:pPr>
                      <w:jc w:val="center"/>
                      <w:rPr>
                        <w:color w:val="000000"/>
                        <w:sz w:val="20"/>
                      </w:rPr>
                    </w:pPr>
                    <w:r>
                      <w:rPr>
                        <w:color w:val="000000"/>
                        <w:sz w:val="20"/>
                      </w:rPr>
                      <w:t>SAM</w:t>
                    </w: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6 857,123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93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738" w:type="dxa"/>
                    <w:gridSpan w:val="2"/>
                    <w:vMerge w:val="restart"/>
                    <w:tcMar>
                      <w:left w:w="105" w:type="dxa"/>
                      <w:right w:w="105" w:type="dxa"/>
                    </w:tcMar>
                  </w:tcPr>
                  <w:p>
                    <w:pPr>
                      <w:rPr>
                        <w:color w:val="000000"/>
                        <w:sz w:val="20"/>
                      </w:rPr>
                    </w:pPr>
                    <w:r>
                      <w:rPr>
                        <w:color w:val="000000"/>
                        <w:sz w:val="20"/>
                      </w:rPr>
                      <w:t>I</w:t>
                    </w:r>
                  </w:p>
                </w:tc>
                <w:tc>
                  <w:tcPr>
                    <w:tcW w:w="2111" w:type="dxa"/>
                    <w:gridSpan w:val="3"/>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4"/>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240" w:type="dxa"/>
                    <w:gridSpan w:val="2"/>
                    <w:tcMar>
                      <w:left w:w="105" w:type="dxa"/>
                      <w:right w:w="105" w:type="dxa"/>
                    </w:tcMar>
                  </w:tcPr>
                  <w:p>
                    <w:pPr>
                      <w:jc w:val="center"/>
                      <w:rPr>
                        <w:color w:val="000000"/>
                        <w:sz w:val="20"/>
                      </w:rPr>
                    </w:pPr>
                    <w:r>
                      <w:rPr>
                        <w:color w:val="000000"/>
                        <w:sz w:val="20"/>
                      </w:rPr>
                      <w:t>34 160,046</w:t>
                    </w:r>
                  </w:p>
                </w:tc>
                <w:tc>
                  <w:tcPr>
                    <w:tcW w:w="1066" w:type="dxa"/>
                    <w:tcMar>
                      <w:left w:w="105" w:type="dxa"/>
                      <w:right w:w="105" w:type="dxa"/>
                    </w:tcMar>
                  </w:tcPr>
                  <w:p>
                    <w:pPr>
                      <w:rPr>
                        <w:color w:val="000000"/>
                        <w:sz w:val="20"/>
                      </w:rPr>
                    </w:pPr>
                    <w:r>
                      <w:rPr>
                        <w:color w:val="000000"/>
                        <w:sz w:val="20"/>
                      </w:rPr>
                      <w:t>2021–2027 m. IP (ERPF)</w:t>
                    </w:r>
                  </w:p>
                </w:tc>
                <w:tc>
                  <w:tcPr>
                    <w:tcW w:w="1923" w:type="dxa"/>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76"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645"/>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restart"/>
                    <w:tcMar>
                      <w:left w:w="105" w:type="dxa"/>
                      <w:right w:w="105" w:type="dxa"/>
                    </w:tcMar>
                  </w:tcPr>
                  <w:p>
                    <w:pPr>
                      <w:jc w:val="center"/>
                      <w:rPr>
                        <w:color w:val="000000"/>
                        <w:sz w:val="20"/>
                      </w:rPr>
                    </w:pPr>
                    <w:r>
                      <w:rPr>
                        <w:color w:val="000000"/>
                        <w:sz w:val="20"/>
                      </w:rPr>
                      <w:t>6 028, 243</w:t>
                    </w:r>
                  </w:p>
                </w:tc>
                <w:tc>
                  <w:tcPr>
                    <w:tcW w:w="1066" w:type="dxa"/>
                    <w:vMerge w:val="restart"/>
                    <w:tcMar>
                      <w:left w:w="105" w:type="dxa"/>
                      <w:right w:w="105" w:type="dxa"/>
                    </w:tcMar>
                  </w:tcPr>
                  <w:p>
                    <w:pPr>
                      <w:rPr>
                        <w:color w:val="000000"/>
                        <w:sz w:val="20"/>
                      </w:rPr>
                    </w:pPr>
                    <w:r>
                      <w:rPr>
                        <w:color w:val="000000"/>
                        <w:sz w:val="20"/>
                      </w:rPr>
                      <w:t>2021–2027 m. IP (BF)</w:t>
                    </w:r>
                  </w:p>
                </w:tc>
                <w:tc>
                  <w:tcPr>
                    <w:tcW w:w="1923" w:type="dxa"/>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76"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18" w:type="dxa"/>
                    <w:gridSpan w:val="2"/>
                    <w:vMerge/>
                    <w:vAlign w:val="center"/>
                  </w:tcPr>
                  <w:p/>
                </w:tc>
                <w:tc>
                  <w:tcPr>
                    <w:tcW w:w="1276" w:type="dxa"/>
                    <w:vMerge/>
                    <w:vAlign w:val="center"/>
                  </w:tcPr>
                  <w:p/>
                </w:tc>
              </w:tr>
              <w:tr>
                <w:trPr>
                  <w:trHeight w:val="420"/>
                </w:trPr>
                <w:tc>
                  <w:tcPr>
                    <w:tcW w:w="2092" w:type="dxa"/>
                    <w:vMerge/>
                    <w:vAlign w:val="center"/>
                  </w:tcPr>
                  <w:p/>
                </w:tc>
                <w:tc>
                  <w:tcPr>
                    <w:tcW w:w="738" w:type="dxa"/>
                    <w:gridSpan w:val="2"/>
                    <w:vMerge/>
                    <w:vAlign w:val="center"/>
                  </w:tcPr>
                  <w:p/>
                </w:tc>
                <w:tc>
                  <w:tcPr>
                    <w:tcW w:w="2111" w:type="dxa"/>
                    <w:gridSpan w:val="3"/>
                    <w:vMerge/>
                    <w:vAlign w:val="center"/>
                  </w:tcPr>
                  <w:p/>
                </w:tc>
                <w:tc>
                  <w:tcPr>
                    <w:tcW w:w="680" w:type="dxa"/>
                    <w:vMerge/>
                    <w:vAlign w:val="center"/>
                  </w:tcPr>
                  <w:p/>
                </w:tc>
                <w:tc>
                  <w:tcPr>
                    <w:tcW w:w="1081" w:type="dxa"/>
                    <w:gridSpan w:val="4"/>
                    <w:vMerge/>
                    <w:vAlign w:val="center"/>
                  </w:tcPr>
                  <w:p/>
                </w:tc>
                <w:tc>
                  <w:tcPr>
                    <w:tcW w:w="625" w:type="dxa"/>
                    <w:vMerge/>
                    <w:vAlign w:val="center"/>
                  </w:tcPr>
                  <w:p/>
                </w:tc>
                <w:tc>
                  <w:tcPr>
                    <w:tcW w:w="1240" w:type="dxa"/>
                    <w:gridSpan w:val="2"/>
                    <w:vMerge/>
                    <w:vAlign w:val="center"/>
                  </w:tcPr>
                  <w:p/>
                </w:tc>
                <w:tc>
                  <w:tcPr>
                    <w:tcW w:w="1066" w:type="dxa"/>
                    <w:vMerge/>
                    <w:vAlign w:val="center"/>
                  </w:tcPr>
                  <w:p/>
                </w:tc>
                <w:tc>
                  <w:tcPr>
                    <w:tcW w:w="1923" w:type="dxa"/>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76"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18" w:type="dxa"/>
                    <w:gridSpan w:val="2"/>
                    <w:vMerge/>
                    <w:vAlign w:val="center"/>
                  </w:tcPr>
                  <w:p/>
                </w:tc>
                <w:tc>
                  <w:tcPr>
                    <w:tcW w:w="1276"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24 906,182</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21 170,255</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3 735,927</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10.1. Sveikatos žmogiškųjų išteklių valdymo efektyvumo didinimas,</w:t>
                    </w:r>
                    <w:r>
                      <w:rPr>
                        <w:szCs w:val="24"/>
                      </w:rPr>
                      <w:t xml:space="preserve"> </w:t>
                    </w:r>
                    <w:r>
                      <w:rPr>
                        <w:sz w:val="20"/>
                      </w:rPr>
                      <w:t>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M</w:t>
                    </w:r>
                  </w:p>
                  <w:p>
                    <w:pPr>
                      <w:ind w:firstLine="53"/>
                    </w:pP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SAM</w:t>
                    </w:r>
                  </w:p>
                  <w:p>
                    <w:pPr>
                      <w:ind w:firstLine="53"/>
                    </w:pP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p>
                    <w:pPr>
                      <w:ind w:firstLine="53"/>
                    </w:pP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275,385</w:t>
                    </w:r>
                  </w:p>
                  <w:p>
                    <w:pPr>
                      <w:ind w:firstLine="53"/>
                    </w:pPr>
                  </w:p>
                  <w:p>
                    <w:pPr>
                      <w:ind w:firstLine="53"/>
                    </w:pPr>
                  </w:p>
                  <w:p>
                    <w:pPr>
                      <w:ind w:firstLine="53"/>
                    </w:pPr>
                  </w:p>
                  <w:p>
                    <w:pPr>
                      <w:ind w:firstLine="53"/>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2021–2027 m. IP (ESF+)</w:t>
                    </w:r>
                  </w:p>
                  <w:p>
                    <w:pPr>
                      <w:ind w:firstLine="53"/>
                    </w:pPr>
                  </w:p>
                </w:tc>
                <w:tc>
                  <w:tcPr>
                    <w:tcW w:w="1923"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202"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48,597</w:t>
                    </w: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 xml:space="preserve">2021–2027 m.  IP (BF)</w:t>
                    </w:r>
                  </w:p>
                  <w:p>
                    <w:pPr>
                      <w:ind w:firstLine="53"/>
                    </w:pPr>
                  </w:p>
                </w:tc>
                <w:tc>
                  <w:tcPr>
                    <w:tcW w:w="1923" w:type="dxa"/>
                    <w:vMerge/>
                    <w:tcBorders>
                      <w:top w:val="single" w:sz="4" w:space="0" w:color="auto"/>
                      <w:left w:val="single" w:sz="4" w:space="0" w:color="auto"/>
                      <w:bottom w:val="single" w:sz="4" w:space="0" w:color="auto"/>
                      <w:right w:val="single" w:sz="4" w:space="0" w:color="auto"/>
                    </w:tcBorders>
                    <w:vAlign w:val="center"/>
                  </w:tcPr>
                  <w:p/>
                </w:tc>
                <w:tc>
                  <w:tcPr>
                    <w:tcW w:w="1202"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03"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800" w:type="dxa"/>
                    <w:gridSpan w:val="2"/>
                    <w:vMerge w:val="restart"/>
                    <w:tcBorders>
                      <w:top w:val="single" w:sz="4" w:space="0" w:color="auto"/>
                      <w:left w:val="single" w:sz="4" w:space="0" w:color="auto"/>
                      <w:right w:val="single" w:sz="4" w:space="0" w:color="auto"/>
                    </w:tcBorders>
                  </w:tcPr>
                  <w:p>
                    <w:pPr/>
                    <w:r>
                      <w:rPr>
                        <w:sz w:val="20"/>
                      </w:rPr>
                      <w:t>I</w:t>
                    </w:r>
                  </w:p>
                  <w:p>
                    <w:pPr>
                      <w:ind w:firstLine="53"/>
                      <w:rPr>
                        <w:sz w:val="20"/>
                      </w:rPr>
                    </w:pPr>
                  </w:p>
                </w:tc>
                <w:tc>
                  <w:tcPr>
                    <w:tcW w:w="1972" w:type="dxa"/>
                    <w:vMerge w:val="restart"/>
                    <w:tcBorders>
                      <w:top w:val="single" w:sz="4" w:space="0" w:color="auto"/>
                      <w:left w:val="single" w:sz="4" w:space="0" w:color="auto"/>
                      <w:right w:val="single" w:sz="4" w:space="0" w:color="auto"/>
                    </w:tcBorders>
                  </w:tcPr>
                  <w:p>
                    <w:pPr/>
                    <w:r>
                      <w:rPr>
                        <w:sz w:val="20"/>
                      </w:rPr>
                      <w:t>SAM</w:t>
                    </w:r>
                  </w:p>
                  <w:p>
                    <w:pPr>
                      <w:ind w:firstLine="53"/>
                      <w:rPr>
                        <w:sz w:val="20"/>
                      </w:rPr>
                    </w:pPr>
                  </w:p>
                </w:tc>
                <w:tc>
                  <w:tcPr>
                    <w:tcW w:w="781" w:type="dxa"/>
                    <w:gridSpan w:val="3"/>
                    <w:vMerge w:val="restart"/>
                    <w:tcBorders>
                      <w:top w:val="single" w:sz="4" w:space="0" w:color="auto"/>
                      <w:left w:val="single" w:sz="4" w:space="0" w:color="auto"/>
                      <w:right w:val="single" w:sz="4" w:space="0" w:color="auto"/>
                    </w:tcBorders>
                  </w:tcPr>
                  <w:p>
                    <w:pPr/>
                    <w:r>
                      <w:rPr>
                        <w:sz w:val="20"/>
                      </w:rPr>
                      <w:t>P</w:t>
                    </w:r>
                  </w:p>
                  <w:p>
                    <w:pPr>
                      <w:ind w:firstLine="53"/>
                      <w:rPr>
                        <w:sz w:val="20"/>
                      </w:rPr>
                    </w:pPr>
                  </w:p>
                </w:tc>
                <w:tc>
                  <w:tcPr>
                    <w:tcW w:w="1006" w:type="dxa"/>
                    <w:vMerge w:val="restart"/>
                    <w:tcBorders>
                      <w:top w:val="single" w:sz="4" w:space="0" w:color="auto"/>
                      <w:left w:val="single" w:sz="4" w:space="0" w:color="auto"/>
                      <w:right w:val="single" w:sz="4" w:space="0" w:color="auto"/>
                    </w:tcBorders>
                  </w:tcPr>
                  <w:p>
                    <w:pPr/>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pPr/>
                    <w:r>
                      <w:rPr>
                        <w:sz w:val="20"/>
                      </w:rPr>
                      <w:t>D</w:t>
                    </w:r>
                  </w:p>
                  <w:p>
                    <w:pPr>
                      <w:ind w:firstLine="53"/>
                      <w:rPr>
                        <w:sz w:val="20"/>
                      </w:rPr>
                    </w:pPr>
                  </w:p>
                </w:tc>
                <w:tc>
                  <w:tcPr>
                    <w:tcW w:w="1216" w:type="dxa"/>
                    <w:tcBorders>
                      <w:top w:val="single" w:sz="4" w:space="0" w:color="auto"/>
                      <w:left w:val="single" w:sz="4" w:space="0" w:color="auto"/>
                      <w:bottom w:val="single" w:sz="4" w:space="0" w:color="auto"/>
                      <w:right w:val="single" w:sz="4" w:space="0" w:color="auto"/>
                    </w:tcBorders>
                  </w:tcPr>
                  <w:p>
                    <w:pPr/>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066" w:type="dxa"/>
                    <w:tcBorders>
                      <w:top w:val="single" w:sz="4" w:space="0" w:color="auto"/>
                      <w:left w:val="single" w:sz="4" w:space="0" w:color="auto"/>
                      <w:bottom w:val="single" w:sz="4" w:space="0" w:color="auto"/>
                      <w:right w:val="single" w:sz="4" w:space="0" w:color="auto"/>
                    </w:tcBorders>
                  </w:tcPr>
                  <w:p>
                    <w:pPr/>
                    <w:r>
                      <w:rPr>
                        <w:sz w:val="20"/>
                      </w:rPr>
                      <w:t xml:space="preserve">2021–2027 m. IP (ESF+) </w:t>
                    </w:r>
                  </w:p>
                  <w:p>
                    <w:pPr>
                      <w:ind w:firstLine="53"/>
                      <w:rPr>
                        <w:sz w:val="20"/>
                      </w:rPr>
                    </w:pPr>
                  </w:p>
                  <w:p>
                    <w:pPr>
                      <w:rPr>
                        <w:sz w:val="20"/>
                      </w:rPr>
                    </w:pPr>
                  </w:p>
                  <w:p>
                    <w:pPr>
                      <w:rPr>
                        <w:sz w:val="20"/>
                      </w:rPr>
                    </w:pP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pPr/>
                    <w:r>
                      <w:rPr>
                        <w:sz w:val="20"/>
                      </w:rPr>
                      <w:t>CPVA</w:t>
                    </w:r>
                  </w:p>
                  <w:p>
                    <w:pPr>
                      <w:ind w:firstLine="53"/>
                    </w:pPr>
                  </w:p>
                  <w:p>
                    <w:pPr>
                      <w:ind w:firstLine="53"/>
                    </w:pPr>
                  </w:p>
                  <w:p>
                    <w:pPr>
                      <w:ind w:firstLine="53"/>
                    </w:pPr>
                  </w:p>
                </w:tc>
                <w:tc>
                  <w:tcPr>
                    <w:tcW w:w="1276"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06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right w:val="single" w:sz="4" w:space="0" w:color="auto"/>
                    </w:tcBorders>
                    <w:vAlign w:val="center"/>
                  </w:tcPr>
                  <w:p/>
                </w:tc>
                <w:tc>
                  <w:tcPr>
                    <w:tcW w:w="1972" w:type="dxa"/>
                    <w:vMerge/>
                    <w:tcBorders>
                      <w:left w:val="single" w:sz="4" w:space="0" w:color="auto"/>
                      <w:right w:val="single" w:sz="4" w:space="0" w:color="auto"/>
                    </w:tcBorders>
                    <w:vAlign w:val="center"/>
                  </w:tcPr>
                  <w:p/>
                </w:tc>
                <w:tc>
                  <w:tcPr>
                    <w:tcW w:w="781" w:type="dxa"/>
                    <w:gridSpan w:val="3"/>
                    <w:vMerge/>
                    <w:tcBorders>
                      <w:left w:val="single" w:sz="4" w:space="0" w:color="auto"/>
                      <w:right w:val="single" w:sz="4" w:space="0" w:color="auto"/>
                    </w:tcBorders>
                    <w:vAlign w:val="center"/>
                  </w:tcPr>
                  <w:p/>
                </w:tc>
                <w:tc>
                  <w:tcPr>
                    <w:tcW w:w="1006" w:type="dxa"/>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vAlign w:val="center"/>
                  </w:tcPr>
                  <w:p/>
                </w:tc>
                <w:tc>
                  <w:tcPr>
                    <w:tcW w:w="1066" w:type="dxa"/>
                    <w:vMerge w:val="restart"/>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6"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800" w:type="dxa"/>
                    <w:gridSpan w:val="2"/>
                    <w:vMerge/>
                    <w:tcBorders>
                      <w:left w:val="single" w:sz="4" w:space="0" w:color="auto"/>
                      <w:right w:val="single" w:sz="4" w:space="0" w:color="auto"/>
                    </w:tcBorders>
                    <w:tcMar>
                      <w:left w:w="108" w:type="dxa"/>
                      <w:right w:w="108" w:type="dxa"/>
                    </w:tcMar>
                  </w:tcPr>
                  <w:p/>
                </w:tc>
                <w:tc>
                  <w:tcPr>
                    <w:tcW w:w="1972" w:type="dxa"/>
                    <w:vMerge/>
                    <w:tcBorders>
                      <w:left w:val="single" w:sz="4" w:space="0" w:color="auto"/>
                      <w:right w:val="single" w:sz="4" w:space="0" w:color="auto"/>
                    </w:tcBorders>
                    <w:tcMar>
                      <w:left w:w="108" w:type="dxa"/>
                      <w:right w:w="108" w:type="dxa"/>
                    </w:tcMar>
                  </w:tcPr>
                  <w:p/>
                </w:tc>
                <w:tc>
                  <w:tcPr>
                    <w:tcW w:w="781" w:type="dxa"/>
                    <w:gridSpan w:val="3"/>
                    <w:vMerge/>
                    <w:tcBorders>
                      <w:left w:val="single" w:sz="4" w:space="0" w:color="auto"/>
                      <w:right w:val="single" w:sz="4" w:space="0" w:color="auto"/>
                    </w:tcBorders>
                    <w:tcMar>
                      <w:left w:w="108" w:type="dxa"/>
                      <w:right w:w="108" w:type="dxa"/>
                    </w:tcMar>
                  </w:tcPr>
                  <w:p/>
                </w:tc>
                <w:tc>
                  <w:tcPr>
                    <w:tcW w:w="1006" w:type="dxa"/>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21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066"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6"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left w:val="single" w:sz="4" w:space="0" w:color="auto"/>
                      <w:bottom w:val="single" w:sz="4" w:space="0" w:color="auto"/>
                      <w:right w:val="single" w:sz="4" w:space="0" w:color="auto"/>
                    </w:tcBorders>
                    <w:vAlign w:val="center"/>
                  </w:tcPr>
                  <w:p/>
                </w:tc>
                <w:tc>
                  <w:tcPr>
                    <w:tcW w:w="1972" w:type="dxa"/>
                    <w:vMerge/>
                    <w:tcBorders>
                      <w:left w:val="single" w:sz="4" w:space="0" w:color="auto"/>
                      <w:bottom w:val="single" w:sz="4" w:space="0" w:color="auto"/>
                      <w:right w:val="single" w:sz="4" w:space="0" w:color="auto"/>
                    </w:tcBorders>
                    <w:vAlign w:val="center"/>
                  </w:tcPr>
                  <w:p/>
                </w:tc>
                <w:tc>
                  <w:tcPr>
                    <w:tcW w:w="781" w:type="dxa"/>
                    <w:gridSpan w:val="3"/>
                    <w:vMerge/>
                    <w:tcBorders>
                      <w:left w:val="single" w:sz="4" w:space="0" w:color="auto"/>
                      <w:bottom w:val="single" w:sz="4" w:space="0" w:color="auto"/>
                      <w:right w:val="single" w:sz="4" w:space="0" w:color="auto"/>
                    </w:tcBorders>
                    <w:vAlign w:val="center"/>
                  </w:tcPr>
                  <w:p/>
                </w:tc>
                <w:tc>
                  <w:tcPr>
                    <w:tcW w:w="1006" w:type="dxa"/>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6"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10.3.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Savivaldybių administracijos</w:t>
                    </w:r>
                    <w:r>
                      <w:rPr>
                        <w:strike/>
                        <w:color w:val="000000"/>
                        <w:sz w:val="20"/>
                      </w:rPr>
                      <w:t xml:space="preserve"> </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15 230,950</w:t>
                    </w:r>
                  </w:p>
                  <w:p>
                    <w:pPr>
                      <w:ind w:firstLine="62"/>
                    </w:pP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Asmenys, dalyvavę kvalifikacijos įgijimo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240</w:t>
                    </w:r>
                  </w:p>
                  <w:p>
                    <w:pPr>
                      <w:jc w:val="center"/>
                    </w:pPr>
                    <w:r>
                      <w:rPr>
                        <w:color w:val="000000"/>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2 687,815</w:t>
                    </w:r>
                  </w:p>
                  <w:p>
                    <w:pPr>
                      <w:ind w:firstLine="62"/>
                    </w:pPr>
                  </w:p>
                </w:tc>
                <w:tc>
                  <w:tcPr>
                    <w:tcW w:w="106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R – Asmenų, kurie po dalyvavimo veiklose įgijo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Specialistai, dalyvavę kvalifikacijos tobulinimo ar perkvalifikavimo veiklose, asmenys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10</w:t>
                    </w:r>
                  </w:p>
                  <w:p>
                    <w:pPr>
                      <w:jc w:val="center"/>
                    </w:pPr>
                    <w:r>
                      <w:rPr>
                        <w:color w:val="000000"/>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 – Sveikatos priežiūros įstaigos, įgyvendinusios sveikatos priežiūros specialistų įgalinimo, pritraukimo ir išlaikymo projektus, skaičius</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98</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vMerge/>
                    <w:tcBorders>
                      <w:top w:val="single" w:sz="4" w:space="0" w:color="auto"/>
                      <w:left w:val="single" w:sz="4" w:space="0" w:color="auto"/>
                      <w:bottom w:val="single" w:sz="4" w:space="0" w:color="auto"/>
                      <w:right w:val="single" w:sz="4" w:space="0" w:color="auto"/>
                    </w:tcBorders>
                    <w:vAlign w:val="center"/>
                  </w:tcPr>
                  <w:p/>
                </w:tc>
                <w:tc>
                  <w:tcPr>
                    <w:tcW w:w="1066" w:type="dxa"/>
                    <w:vMerge/>
                    <w:tcBorders>
                      <w:top w:val="single" w:sz="4" w:space="0" w:color="auto"/>
                      <w:left w:val="single" w:sz="4" w:space="0" w:color="auto"/>
                      <w:bottom w:val="single" w:sz="4" w:space="0" w:color="auto"/>
                      <w:right w:val="single" w:sz="4" w:space="0" w:color="auto"/>
                    </w:tcBorders>
                    <w:vAlign w:val="center"/>
                  </w:tc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Sveikatos priežiūros specialistų, kurie po dalyvavimo veiklose mažiausiai 2 metus dirbo sveikatos priežiūros įstaigose,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80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03"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10.4. Sveikatos priežiūros specialistų rengimas, pritraukimas,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I</w:t>
                    </w:r>
                  </w:p>
                </w:tc>
                <w:tc>
                  <w:tcPr>
                    <w:tcW w:w="197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 VASPVT</w:t>
                    </w:r>
                  </w:p>
                </w:tc>
                <w:tc>
                  <w:tcPr>
                    <w:tcW w:w="781"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w:t>
                    </w:r>
                  </w:p>
                </w:tc>
                <w:tc>
                  <w:tcPr>
                    <w:tcW w:w="100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D</w:t>
                    </w: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2 550,00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Specialistai, dalyvavę kvalifikacijos tobulinimo ar perkvalifikavimo veiklose, asmenys </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CPVA</w:t>
                    </w:r>
                  </w:p>
                </w:tc>
                <w:tc>
                  <w:tcPr>
                    <w:tcW w:w="1276"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03" w:type="dxa"/>
                    <w:gridSpan w:val="2"/>
                    <w:vMerge/>
                    <w:tcBorders>
                      <w:top w:val="single" w:sz="4" w:space="0" w:color="auto"/>
                      <w:left w:val="single" w:sz="4" w:space="0" w:color="auto"/>
                      <w:bottom w:val="single" w:sz="4" w:space="0" w:color="auto"/>
                      <w:right w:val="single" w:sz="4" w:space="0" w:color="auto"/>
                    </w:tcBorders>
                    <w:vAlign w:val="center"/>
                  </w:tcPr>
                  <w:p/>
                </w:tc>
                <w:tc>
                  <w:tcPr>
                    <w:tcW w:w="800" w:type="dxa"/>
                    <w:gridSpan w:val="2"/>
                    <w:vMerge/>
                    <w:tcBorders>
                      <w:top w:val="single" w:sz="4" w:space="0" w:color="auto"/>
                      <w:left w:val="single" w:sz="4" w:space="0" w:color="auto"/>
                      <w:bottom w:val="single" w:sz="4" w:space="0" w:color="auto"/>
                      <w:right w:val="single" w:sz="4" w:space="0" w:color="auto"/>
                    </w:tcBorders>
                    <w:vAlign w:val="center"/>
                  </w:tcPr>
                  <w:p/>
                </w:tc>
                <w:tc>
                  <w:tcPr>
                    <w:tcW w:w="1972" w:type="dxa"/>
                    <w:vMerge/>
                    <w:tcBorders>
                      <w:top w:val="single" w:sz="4" w:space="0" w:color="auto"/>
                      <w:left w:val="single" w:sz="4" w:space="0" w:color="auto"/>
                      <w:bottom w:val="single" w:sz="4" w:space="0" w:color="auto"/>
                      <w:right w:val="single" w:sz="4" w:space="0" w:color="auto"/>
                    </w:tcBorders>
                    <w:vAlign w:val="center"/>
                  </w:tcPr>
                  <w:p/>
                </w:tc>
                <w:tc>
                  <w:tcPr>
                    <w:tcW w:w="781"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216"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450,00</w:t>
                    </w:r>
                  </w:p>
                </w:tc>
                <w:tc>
                  <w:tcPr>
                    <w:tcW w:w="1066"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1923"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6" w:type="dxa"/>
                    <w:vMerge/>
                    <w:tcBorders>
                      <w:top w:val="single" w:sz="4" w:space="0" w:color="auto"/>
                      <w:left w:val="single" w:sz="4" w:space="0" w:color="auto"/>
                      <w:bottom w:val="single" w:sz="4" w:space="0" w:color="auto"/>
                      <w:right w:val="single" w:sz="4" w:space="0" w:color="auto"/>
                    </w:tcBorders>
                    <w:vAlign w:val="center"/>
                  </w:tcPr>
                  <w:p/>
                </w:tc>
              </w:tr>
              <w:tr>
                <w:trPr>
                  <w:trHeight w:val="414"/>
                </w:trPr>
                <w:tc>
                  <w:tcPr>
                    <w:tcW w:w="2103"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80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7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7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23"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202"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06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03" w:type="dxa"/>
                    <w:gridSpan w:val="2"/>
                    <w:shd w:val="clear" w:color="auto" w:fill="auto"/>
                  </w:tcPr>
                  <w:p>
                    <w:pPr>
                      <w:rPr>
                        <w:sz w:val="20"/>
                      </w:rPr>
                    </w:pPr>
                    <w:r>
                      <w:rPr>
                        <w:sz w:val="20"/>
                      </w:rPr>
                      <w:t xml:space="preserve">11.1. Sveikatos priežiūros  specialistų kvalifikaciją ir darbo sąlygas tobulinančių teisės aktų rengimas</w:t>
                    </w:r>
                  </w:p>
                </w:tc>
                <w:tc>
                  <w:tcPr>
                    <w:tcW w:w="800" w:type="dxa"/>
                    <w:gridSpan w:val="2"/>
                    <w:shd w:val="clear" w:color="auto" w:fill="auto"/>
                  </w:tcPr>
                  <w:p>
                    <w:pPr>
                      <w:rPr>
                        <w:sz w:val="20"/>
                      </w:rPr>
                    </w:pPr>
                    <w:r>
                      <w:rPr>
                        <w:sz w:val="20"/>
                      </w:rPr>
                      <w:t>R</w:t>
                    </w:r>
                  </w:p>
                </w:tc>
                <w:tc>
                  <w:tcPr>
                    <w:tcW w:w="1972" w:type="dxa"/>
                    <w:shd w:val="clear" w:color="auto" w:fill="auto"/>
                  </w:tcPr>
                  <w:p>
                    <w:pPr>
                      <w:rPr>
                        <w:sz w:val="20"/>
                      </w:rPr>
                    </w:pPr>
                    <w:r>
                      <w:rPr>
                        <w:sz w:val="20"/>
                      </w:rPr>
                      <w:t>-</w:t>
                    </w:r>
                  </w:p>
                </w:tc>
                <w:tc>
                  <w:tcPr>
                    <w:tcW w:w="781" w:type="dxa"/>
                    <w:gridSpan w:val="3"/>
                    <w:shd w:val="clear" w:color="auto" w:fill="auto"/>
                  </w:tcPr>
                  <w:p>
                    <w:pPr>
                      <w:rPr>
                        <w:sz w:val="20"/>
                      </w:rPr>
                    </w:pPr>
                    <w:r>
                      <w:rPr>
                        <w:sz w:val="20"/>
                      </w:rPr>
                      <w:t>-</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w:t>
                    </w:r>
                  </w:p>
                </w:tc>
                <w:tc>
                  <w:tcPr>
                    <w:tcW w:w="1216" w:type="dxa"/>
                    <w:shd w:val="clear" w:color="auto" w:fill="auto"/>
                  </w:tcPr>
                  <w:p>
                    <w:pPr>
                      <w:rPr>
                        <w:sz w:val="20"/>
                        <w:lang w:val="en-US"/>
                      </w:rPr>
                    </w:pPr>
                    <w:r>
                      <w:rPr>
                        <w:sz w:val="20"/>
                        <w:lang w:val="en-US"/>
                      </w:rPr>
                      <w:t>-</w:t>
                    </w:r>
                  </w:p>
                </w:tc>
                <w:tc>
                  <w:tcPr>
                    <w:tcW w:w="1066" w:type="dxa"/>
                    <w:shd w:val="clear" w:color="auto" w:fill="auto"/>
                  </w:tcPr>
                  <w:p>
                    <w:pPr>
                      <w:rPr>
                        <w:sz w:val="20"/>
                      </w:rPr>
                    </w:pPr>
                    <w:r>
                      <w:rPr>
                        <w:sz w:val="20"/>
                      </w:rPr>
                      <w:t>-</w:t>
                    </w:r>
                  </w:p>
                </w:tc>
                <w:tc>
                  <w:tcPr>
                    <w:tcW w:w="1923"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1202" w:type="dxa"/>
                    <w:gridSpan w:val="2"/>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103"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11.2. Sveikatos priežiūros  specialistų kvalifikacijos tobulinimas, Vidurio ir vakarų Lietuvos regionas</w:t>
                    </w:r>
                  </w:p>
                </w:tc>
                <w:tc>
                  <w:tcPr>
                    <w:tcW w:w="80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7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SAM</w:t>
                    </w:r>
                  </w:p>
                </w:tc>
                <w:tc>
                  <w:tcPr>
                    <w:tcW w:w="7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216" w:type="dxa"/>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8 627,961</w:t>
                    </w:r>
                  </w:p>
                </w:tc>
                <w:tc>
                  <w:tcPr>
                    <w:tcW w:w="1066"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1923" w:type="dxa"/>
                    <w:vMerge w:val="restart"/>
                    <w:tcBorders>
                      <w:top w:val="single" w:sz="4" w:space="0" w:color="auto"/>
                      <w:left w:val="single" w:sz="4" w:space="0" w:color="auto"/>
                      <w:bottom w:val="single" w:sz="4" w:space="0" w:color="auto"/>
                      <w:right w:val="single" w:sz="4" w:space="0" w:color="auto"/>
                    </w:tcBorders>
                    <w:hideMark/>
                  </w:tcPr>
                  <w:p>
                    <w:pPr>
                      <w:ind w:right="-57"/>
                      <w:rPr>
                        <w:sz w:val="20"/>
                      </w:rPr>
                    </w:pPr>
                    <w:r>
                      <w:rPr>
                        <w:sz w:val="20"/>
                      </w:rPr>
                      <w:t>P – Specialistai, dalyvavę kvalifikacijos tobulinimo ar perkvalifikavimo veiklose, asmenys</w:t>
                    </w:r>
                  </w:p>
                </w:tc>
                <w:tc>
                  <w:tcPr>
                    <w:tcW w:w="1202"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22 130</w:t>
                    </w:r>
                  </w:p>
                  <w:p>
                    <w:pPr>
                      <w:ind w:left="-57" w:right="-57"/>
                      <w:jc w:val="center"/>
                      <w:rPr>
                        <w:strike/>
                        <w:sz w:val="20"/>
                      </w:rPr>
                    </w:pPr>
                  </w:p>
                  <w:p>
                    <w:pPr>
                      <w:ind w:left="-57" w:right="-57"/>
                      <w:jc w:val="center"/>
                      <w:rPr>
                        <w:sz w:val="20"/>
                      </w:rPr>
                    </w:pPr>
                    <w:r>
                      <w:rPr>
                        <w:sz w:val="20"/>
                      </w:rPr>
                      <w:t>(2029 m.)</w:t>
                    </w:r>
                  </w:p>
                  <w:p>
                    <w:pP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1 522,581</w:t>
                    </w:r>
                  </w:p>
                </w:tc>
                <w:tc>
                  <w:tcPr>
                    <w:tcW w:w="1066"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2021–2027 m. IP (BF)</w:t>
                    </w:r>
                  </w:p>
                  <w:p>
                    <w:pPr>
                      <w:rPr>
                        <w:sz w:val="20"/>
                      </w:rPr>
                    </w:pPr>
                  </w:p>
                </w:tc>
                <w:tc>
                  <w:tcPr>
                    <w:tcW w:w="1923"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02"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03"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0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7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7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16" w:type="dxa"/>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23"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w:t>
                    </w:r>
                    <w:r>
                      <w:rPr>
                        <w:sz w:val="20"/>
                        <w:lang w:eastAsia="lt-LT"/>
                      </w:rPr>
                      <w:t xml:space="preserve"> Specialistų, kurie po dalyvavimo veiklose įgijo ar patobulino kvalifikaciją, dalis proc.</w:t>
                    </w:r>
                  </w:p>
                </w:tc>
                <w:tc>
                  <w:tcPr>
                    <w:tcW w:w="1202"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03" w:type="dxa"/>
                    <w:gridSpan w:val="2"/>
                    <w:shd w:val="clear" w:color="auto" w:fill="auto"/>
                  </w:tcPr>
                  <w:p>
                    <w:pPr>
                      <w:rPr>
                        <w:sz w:val="20"/>
                      </w:rPr>
                    </w:pPr>
                    <w:r>
                      <w:rPr>
                        <w:sz w:val="20"/>
                      </w:rPr>
                      <w:t>11.3. Sveikatos priežiūros specialistų kvalifikacijos tobulinimas</w:t>
                    </w:r>
                  </w:p>
                </w:tc>
                <w:tc>
                  <w:tcPr>
                    <w:tcW w:w="800" w:type="dxa"/>
                    <w:gridSpan w:val="2"/>
                    <w:shd w:val="clear" w:color="auto" w:fill="auto"/>
                  </w:tcPr>
                  <w:p>
                    <w:pPr>
                      <w:rPr>
                        <w:sz w:val="20"/>
                      </w:rPr>
                    </w:pPr>
                    <w:r>
                      <w:rPr>
                        <w:sz w:val="20"/>
                      </w:rPr>
                      <w:t>I</w:t>
                    </w:r>
                  </w:p>
                </w:tc>
                <w:tc>
                  <w:tcPr>
                    <w:tcW w:w="1972" w:type="dxa"/>
                    <w:shd w:val="clear" w:color="auto" w:fill="auto"/>
                  </w:tcPr>
                  <w:p>
                    <w:pPr>
                      <w:rPr>
                        <w:sz w:val="20"/>
                      </w:rPr>
                    </w:pPr>
                    <w:r>
                      <w:rPr>
                        <w:sz w:val="20"/>
                      </w:rPr>
                      <w:t>SAM</w:t>
                    </w:r>
                  </w:p>
                </w:tc>
                <w:tc>
                  <w:tcPr>
                    <w:tcW w:w="781" w:type="dxa"/>
                    <w:gridSpan w:val="3"/>
                    <w:shd w:val="clear" w:color="auto" w:fill="auto"/>
                  </w:tcPr>
                  <w:p>
                    <w:pPr>
                      <w:rPr>
                        <w:sz w:val="20"/>
                      </w:rPr>
                    </w:pPr>
                    <w:r>
                      <w:rPr>
                        <w:sz w:val="20"/>
                      </w:rPr>
                      <w:t>P</w:t>
                    </w:r>
                  </w:p>
                </w:tc>
                <w:tc>
                  <w:tcPr>
                    <w:tcW w:w="1014" w:type="dxa"/>
                    <w:gridSpan w:val="2"/>
                    <w:shd w:val="clear" w:color="auto" w:fill="auto"/>
                  </w:tcPr>
                  <w:p>
                    <w:pPr>
                      <w:rPr>
                        <w:sz w:val="20"/>
                      </w:rPr>
                    </w:pPr>
                    <w:r>
                      <w:rPr>
                        <w:sz w:val="20"/>
                      </w:rPr>
                      <w:t>Taip</w:t>
                    </w:r>
                  </w:p>
                </w:tc>
                <w:tc>
                  <w:tcPr>
                    <w:tcW w:w="681" w:type="dxa"/>
                    <w:gridSpan w:val="3"/>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5 000</w:t>
                    </w:r>
                  </w:p>
                  <w:p>
                    <w:pPr>
                      <w:rPr>
                        <w:sz w:val="20"/>
                        <w:lang w:val="en-US"/>
                      </w:rPr>
                    </w:pPr>
                  </w:p>
                </w:tc>
                <w:tc>
                  <w:tcPr>
                    <w:tcW w:w="1066" w:type="dxa"/>
                    <w:shd w:val="clear" w:color="auto" w:fill="auto"/>
                  </w:tcPr>
                  <w:p>
                    <w:pPr>
                      <w:ind w:left="-57" w:right="-57"/>
                      <w:rPr>
                        <w:sz w:val="20"/>
                      </w:rPr>
                    </w:pPr>
                    <w:r>
                      <w:rPr>
                        <w:sz w:val="20"/>
                      </w:rPr>
                      <w:t>VB</w:t>
                    </w:r>
                  </w:p>
                </w:tc>
                <w:tc>
                  <w:tcPr>
                    <w:tcW w:w="1923" w:type="dxa"/>
                    <w:shd w:val="clear" w:color="auto" w:fill="auto"/>
                  </w:tcPr>
                  <w:p>
                    <w:pPr>
                      <w:ind w:left="-57" w:right="-57"/>
                      <w:rPr>
                        <w:sz w:val="20"/>
                      </w:rPr>
                    </w:pPr>
                    <w:r>
                      <w:rPr>
                        <w:sz w:val="20"/>
                      </w:rPr>
                      <w:t>P – Specialistai, dalyvavę kvalifikacijos tobulinimo veiklose, asmenys</w:t>
                    </w:r>
                  </w:p>
                </w:tc>
                <w:tc>
                  <w:tcPr>
                    <w:tcW w:w="1202" w:type="dxa"/>
                    <w:gridSpan w:val="2"/>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103" w:type="dxa"/>
                    <w:gridSpan w:val="2"/>
                    <w:vMerge w:val="restart"/>
                    <w:shd w:val="clear" w:color="auto" w:fill="auto"/>
                  </w:tcPr>
                  <w:p>
                    <w:pPr>
                      <w:rPr>
                        <w:sz w:val="20"/>
                      </w:rPr>
                    </w:pPr>
                    <w:r>
                      <w:rPr>
                        <w:sz w:val="20"/>
                      </w:rPr>
                      <w:t>11.4. Ilgalaikės priežiūros paslaugas teikiančių specialistų parengimas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SAM</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Taip</w:t>
                    </w:r>
                  </w:p>
                </w:tc>
                <w:tc>
                  <w:tcPr>
                    <w:tcW w:w="681" w:type="dxa"/>
                    <w:gridSpan w:val="3"/>
                    <w:vMerge w:val="restart"/>
                    <w:shd w:val="clear" w:color="auto" w:fill="auto"/>
                  </w:tcPr>
                  <w:p>
                    <w:pPr>
                      <w:rPr>
                        <w:sz w:val="20"/>
                      </w:rPr>
                    </w:pPr>
                    <w:r>
                      <w:rPr>
                        <w:sz w:val="20"/>
                      </w:rPr>
                      <w:t>D</w:t>
                    </w:r>
                  </w:p>
                </w:tc>
                <w:tc>
                  <w:tcPr>
                    <w:tcW w:w="1216" w:type="dxa"/>
                    <w:shd w:val="clear" w:color="auto" w:fill="auto"/>
                  </w:tcPr>
                  <w:p>
                    <w:pPr>
                      <w:rPr>
                        <w:sz w:val="20"/>
                        <w:lang w:val="en-US"/>
                      </w:rPr>
                    </w:pPr>
                    <w:r>
                      <w:rPr>
                        <w:sz w:val="20"/>
                        <w:lang w:val="en-US"/>
                      </w:rPr>
                      <w:t>2 100</w:t>
                    </w:r>
                  </w:p>
                  <w:p>
                    <w:pPr>
                      <w:rPr>
                        <w:sz w:val="20"/>
                        <w:lang w:val="en-US"/>
                      </w:rPr>
                    </w:pPr>
                  </w:p>
                </w:tc>
                <w:tc>
                  <w:tcPr>
                    <w:tcW w:w="1066" w:type="dxa"/>
                    <w:shd w:val="clear" w:color="auto" w:fill="auto"/>
                  </w:tcPr>
                  <w:p>
                    <w:pPr>
                      <w:ind w:left="-57" w:right="-57"/>
                      <w:rPr>
                        <w:sz w:val="20"/>
                      </w:rPr>
                    </w:pPr>
                    <w:r>
                      <w:rPr>
                        <w:sz w:val="20"/>
                      </w:rPr>
                      <w:t>EGADP</w:t>
                    </w:r>
                  </w:p>
                  <w:p>
                    <w:pPr>
                      <w:ind w:left="-57" w:right="-57"/>
                      <w:rPr>
                        <w:sz w:val="20"/>
                      </w:rPr>
                    </w:pPr>
                  </w:p>
                </w:tc>
                <w:tc>
                  <w:tcPr>
                    <w:tcW w:w="1923"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202" w:type="dxa"/>
                    <w:gridSpan w:val="2"/>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03" w:type="dxa"/>
                    <w:gridSpan w:val="2"/>
                    <w:vMerge/>
                  </w:tcPr>
                  <w:p>
                    <w:pPr>
                      <w:rPr>
                        <w:sz w:val="20"/>
                      </w:rPr>
                    </w:pPr>
                  </w:p>
                </w:tc>
                <w:tc>
                  <w:tcPr>
                    <w:tcW w:w="800" w:type="dxa"/>
                    <w:gridSpan w:val="2"/>
                    <w:vMerge/>
                  </w:tcPr>
                  <w:p>
                    <w:pPr>
                      <w:rPr>
                        <w:sz w:val="20"/>
                      </w:rPr>
                    </w:pPr>
                  </w:p>
                </w:tc>
                <w:tc>
                  <w:tcPr>
                    <w:tcW w:w="1972" w:type="dxa"/>
                    <w:vMerge/>
                  </w:tcPr>
                  <w:p>
                    <w:pPr>
                      <w:rPr>
                        <w:sz w:val="20"/>
                      </w:rPr>
                    </w:pPr>
                  </w:p>
                </w:tc>
                <w:tc>
                  <w:tcPr>
                    <w:tcW w:w="781" w:type="dxa"/>
                    <w:gridSpan w:val="3"/>
                    <w:vMerge/>
                  </w:tcPr>
                  <w:p>
                    <w:pPr>
                      <w:rPr>
                        <w:sz w:val="20"/>
                      </w:rPr>
                    </w:pPr>
                  </w:p>
                </w:tc>
                <w:tc>
                  <w:tcPr>
                    <w:tcW w:w="1014" w:type="dxa"/>
                    <w:gridSpan w:val="2"/>
                    <w:vMerge/>
                  </w:tcPr>
                  <w:p>
                    <w:pPr>
                      <w:rPr>
                        <w:sz w:val="20"/>
                      </w:rPr>
                    </w:pPr>
                  </w:p>
                </w:tc>
                <w:tc>
                  <w:tcPr>
                    <w:tcW w:w="681" w:type="dxa"/>
                    <w:gridSpan w:val="3"/>
                    <w:vMerge/>
                  </w:tcPr>
                  <w:p>
                    <w:pPr>
                      <w:rPr>
                        <w:sz w:val="20"/>
                      </w:rPr>
                    </w:pPr>
                  </w:p>
                </w:tc>
                <w:tc>
                  <w:tcPr>
                    <w:tcW w:w="1216" w:type="dxa"/>
                    <w:shd w:val="clear" w:color="auto" w:fill="auto"/>
                  </w:tcPr>
                  <w:p>
                    <w:pPr>
                      <w:rPr>
                        <w:sz w:val="20"/>
                        <w:lang w:val="en-US"/>
                      </w:rPr>
                    </w:pPr>
                    <w:r>
                      <w:rPr>
                        <w:sz w:val="20"/>
                        <w:lang w:val="en-US"/>
                      </w:rPr>
                      <w:t>440</w:t>
                    </w:r>
                  </w:p>
                </w:tc>
                <w:tc>
                  <w:tcPr>
                    <w:tcW w:w="1066" w:type="dxa"/>
                    <w:shd w:val="clear" w:color="auto" w:fill="auto"/>
                  </w:tcPr>
                  <w:p>
                    <w:pPr>
                      <w:rPr>
                        <w:sz w:val="20"/>
                      </w:rPr>
                    </w:pPr>
                    <w:r>
                      <w:rPr>
                        <w:sz w:val="20"/>
                      </w:rPr>
                      <w:t>PVM iš VB</w:t>
                    </w:r>
                  </w:p>
                </w:tc>
                <w:tc>
                  <w:tcPr>
                    <w:tcW w:w="1923" w:type="dxa"/>
                    <w:vMerge/>
                    <w:tcBorders>
                      <w:bottom w:val="single" w:sz="4" w:space="0" w:color="auto"/>
                    </w:tcBorders>
                    <w:shd w:val="clear" w:color="auto" w:fill="FFFFFF" w:themeFill="background1"/>
                  </w:tcPr>
                  <w:p>
                    <w:pPr>
                      <w:ind w:left="-57" w:right="-57"/>
                      <w:rPr>
                        <w:sz w:val="20"/>
                      </w:rPr>
                    </w:pPr>
                  </w:p>
                </w:tc>
                <w:tc>
                  <w:tcPr>
                    <w:tcW w:w="1202"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103"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800" w:type="dxa"/>
                    <w:gridSpan w:val="2"/>
                    <w:vMerge w:val="restart"/>
                    <w:shd w:val="clear" w:color="auto" w:fill="F2F2F2" w:themeFill="background1" w:themeFillShade="F2"/>
                  </w:tcPr>
                  <w:p>
                    <w:pPr>
                      <w:rPr>
                        <w:sz w:val="20"/>
                      </w:rPr>
                    </w:pPr>
                    <w:r>
                      <w:rPr>
                        <w:sz w:val="20"/>
                      </w:rPr>
                      <w:t>M</w:t>
                    </w:r>
                  </w:p>
                </w:tc>
                <w:tc>
                  <w:tcPr>
                    <w:tcW w:w="1972" w:type="dxa"/>
                    <w:vMerge w:val="restart"/>
                    <w:shd w:val="clear" w:color="auto" w:fill="F2F2F2" w:themeFill="background1" w:themeFillShade="F2"/>
                  </w:tcPr>
                  <w:p>
                    <w:pPr>
                      <w:rPr>
                        <w:sz w:val="20"/>
                      </w:rPr>
                    </w:pPr>
                    <w:r>
                      <w:rPr>
                        <w:sz w:val="20"/>
                      </w:rPr>
                      <w:t>SAM</w:t>
                    </w:r>
                  </w:p>
                </w:tc>
                <w:tc>
                  <w:tcPr>
                    <w:tcW w:w="781" w:type="dxa"/>
                    <w:gridSpan w:val="3"/>
                    <w:vMerge w:val="restart"/>
                    <w:shd w:val="clear" w:color="auto" w:fill="F2F2F2" w:themeFill="background1" w:themeFillShade="F2"/>
                  </w:tcPr>
                  <w:p>
                    <w:pPr>
                      <w:rPr>
                        <w:sz w:val="20"/>
                      </w:rPr>
                    </w:pPr>
                    <w:r>
                      <w:rPr>
                        <w:sz w:val="20"/>
                      </w:rPr>
                      <w:t>P</w:t>
                    </w:r>
                  </w:p>
                </w:tc>
                <w:tc>
                  <w:tcPr>
                    <w:tcW w:w="1014" w:type="dxa"/>
                    <w:gridSpan w:val="2"/>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216" w:type="dxa"/>
                    <w:vMerge w:val="restart"/>
                    <w:shd w:val="clear" w:color="auto" w:fill="F2F2F2" w:themeFill="background1" w:themeFillShade="F2"/>
                  </w:tcPr>
                  <w:p>
                    <w:pPr>
                      <w:rPr>
                        <w:b/>
                        <w:bCs/>
                        <w:sz w:val="20"/>
                        <w:lang w:val="en-US"/>
                      </w:rPr>
                    </w:pPr>
                    <w:r>
                      <w:rPr>
                        <w:b/>
                        <w:bCs/>
                        <w:sz w:val="20"/>
                        <w:lang w:val="en-US"/>
                      </w:rPr>
                      <w:t>1750</w:t>
                    </w:r>
                  </w:p>
                </w:tc>
                <w:tc>
                  <w:tcPr>
                    <w:tcW w:w="1066" w:type="dxa"/>
                    <w:vMerge w:val="restart"/>
                    <w:shd w:val="clear" w:color="auto" w:fill="F2F2F2" w:themeFill="background1" w:themeFillShade="F2"/>
                  </w:tcPr>
                  <w:p>
                    <w:pPr>
                      <w:rPr>
                        <w:sz w:val="20"/>
                      </w:rPr>
                    </w:pPr>
                    <w:r>
                      <w:rPr>
                        <w:sz w:val="20"/>
                      </w:rPr>
                      <w:t>VB</w:t>
                    </w:r>
                  </w:p>
                </w:tc>
                <w:tc>
                  <w:tcPr>
                    <w:tcW w:w="1923"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202"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03" w:type="dxa"/>
                    <w:gridSpan w:val="2"/>
                    <w:vMerge/>
                    <w:shd w:val="clear" w:color="auto" w:fill="F2F2F2" w:themeFill="background1" w:themeFillShade="F2"/>
                  </w:tcPr>
                  <w:p>
                    <w:pPr>
                      <w:rPr>
                        <w:b/>
                        <w:bCs/>
                        <w:sz w:val="20"/>
                      </w:rPr>
                    </w:pPr>
                  </w:p>
                </w:tc>
                <w:tc>
                  <w:tcPr>
                    <w:tcW w:w="800" w:type="dxa"/>
                    <w:gridSpan w:val="2"/>
                    <w:vMerge/>
                    <w:shd w:val="clear" w:color="auto" w:fill="F2F2F2" w:themeFill="background1" w:themeFillShade="F2"/>
                  </w:tcPr>
                  <w:p>
                    <w:pPr>
                      <w:rPr>
                        <w:sz w:val="20"/>
                      </w:rPr>
                    </w:pPr>
                  </w:p>
                </w:tc>
                <w:tc>
                  <w:tcPr>
                    <w:tcW w:w="1972" w:type="dxa"/>
                    <w:vMerge/>
                    <w:shd w:val="clear" w:color="auto" w:fill="F2F2F2" w:themeFill="background1" w:themeFillShade="F2"/>
                  </w:tcPr>
                  <w:p>
                    <w:pPr>
                      <w:rPr>
                        <w:sz w:val="20"/>
                      </w:rPr>
                    </w:pPr>
                  </w:p>
                </w:tc>
                <w:tc>
                  <w:tcPr>
                    <w:tcW w:w="781" w:type="dxa"/>
                    <w:gridSpan w:val="3"/>
                    <w:vMerge/>
                    <w:shd w:val="clear" w:color="auto" w:fill="F2F2F2" w:themeFill="background1" w:themeFillShade="F2"/>
                  </w:tcPr>
                  <w:p>
                    <w:pPr>
                      <w:rPr>
                        <w:sz w:val="20"/>
                      </w:rPr>
                    </w:pPr>
                  </w:p>
                </w:tc>
                <w:tc>
                  <w:tcPr>
                    <w:tcW w:w="1014" w:type="dxa"/>
                    <w:gridSpan w:val="2"/>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216" w:type="dxa"/>
                    <w:vMerge/>
                    <w:shd w:val="clear" w:color="auto" w:fill="F2F2F2" w:themeFill="background1" w:themeFillShade="F2"/>
                  </w:tcPr>
                  <w:p>
                    <w:pPr>
                      <w:rPr>
                        <w:b/>
                        <w:bCs/>
                        <w:sz w:val="20"/>
                        <w:lang w:val="en-US"/>
                      </w:rPr>
                    </w:pPr>
                  </w:p>
                </w:tc>
                <w:tc>
                  <w:tcPr>
                    <w:tcW w:w="1066" w:type="dxa"/>
                    <w:vMerge/>
                    <w:shd w:val="clear" w:color="auto" w:fill="F2F2F2" w:themeFill="background1" w:themeFillShade="F2"/>
                  </w:tcPr>
                  <w:p>
                    <w:pPr>
                      <w:rPr>
                        <w:sz w:val="20"/>
                      </w:rPr>
                    </w:pPr>
                  </w:p>
                </w:tc>
                <w:tc>
                  <w:tcPr>
                    <w:tcW w:w="1923"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202"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03" w:type="dxa"/>
                    <w:gridSpan w:val="2"/>
                    <w:vMerge w:val="restart"/>
                    <w:shd w:val="clear" w:color="auto" w:fill="auto"/>
                  </w:tcPr>
                  <w:p>
                    <w:pPr>
                      <w:rPr>
                        <w:sz w:val="20"/>
                      </w:rPr>
                    </w:pPr>
                    <w:r>
                      <w:rPr>
                        <w:b/>
                        <w:bCs/>
                        <w:sz w:val="20"/>
                      </w:rPr>
                      <w:t>13. Programos „Motinos ir vaiko sveikata bei gerovė“ įgyvendinimas</w:t>
                    </w:r>
                  </w:p>
                </w:tc>
                <w:tc>
                  <w:tcPr>
                    <w:tcW w:w="800" w:type="dxa"/>
                    <w:gridSpan w:val="2"/>
                    <w:vMerge w:val="restart"/>
                    <w:shd w:val="clear" w:color="auto" w:fill="auto"/>
                  </w:tcPr>
                  <w:p>
                    <w:pPr>
                      <w:rPr>
                        <w:sz w:val="20"/>
                      </w:rPr>
                    </w:pPr>
                    <w:r>
                      <w:rPr>
                        <w:sz w:val="20"/>
                      </w:rPr>
                      <w:t>I</w:t>
                    </w:r>
                  </w:p>
                </w:tc>
                <w:tc>
                  <w:tcPr>
                    <w:tcW w:w="1972" w:type="dxa"/>
                    <w:vMerge w:val="restart"/>
                    <w:shd w:val="clear" w:color="auto" w:fill="auto"/>
                  </w:tcPr>
                  <w:p>
                    <w:pPr>
                      <w:rPr>
                        <w:sz w:val="20"/>
                      </w:rPr>
                    </w:pPr>
                    <w:r>
                      <w:rPr>
                        <w:sz w:val="20"/>
                      </w:rPr>
                      <w:t>Lietuvos sveikatos mokslų universiteto ligoninė Kauno klinikos</w:t>
                    </w:r>
                  </w:p>
                </w:tc>
                <w:tc>
                  <w:tcPr>
                    <w:tcW w:w="781" w:type="dxa"/>
                    <w:gridSpan w:val="3"/>
                    <w:vMerge w:val="restart"/>
                    <w:shd w:val="clear" w:color="auto" w:fill="auto"/>
                  </w:tcPr>
                  <w:p>
                    <w:pPr>
                      <w:rPr>
                        <w:sz w:val="20"/>
                      </w:rPr>
                    </w:pPr>
                    <w:r>
                      <w:rPr>
                        <w:sz w:val="20"/>
                      </w:rPr>
                      <w:t>P</w:t>
                    </w:r>
                  </w:p>
                </w:tc>
                <w:tc>
                  <w:tcPr>
                    <w:tcW w:w="1014" w:type="dxa"/>
                    <w:gridSpan w:val="2"/>
                    <w:vMerge w:val="restart"/>
                    <w:shd w:val="clear" w:color="auto" w:fill="auto"/>
                  </w:tcPr>
                  <w:p>
                    <w:pPr>
                      <w:rPr>
                        <w:sz w:val="20"/>
                      </w:rPr>
                    </w:pPr>
                    <w:r>
                      <w:rPr>
                        <w:sz w:val="20"/>
                      </w:rPr>
                      <w:t>Ne</w:t>
                    </w:r>
                  </w:p>
                </w:tc>
                <w:tc>
                  <w:tcPr>
                    <w:tcW w:w="681" w:type="dxa"/>
                    <w:gridSpan w:val="3"/>
                    <w:vMerge w:val="restart"/>
                    <w:shd w:val="clear" w:color="auto" w:fill="auto"/>
                  </w:tcPr>
                  <w:p>
                    <w:pPr>
                      <w:jc w:val="center"/>
                      <w:rPr>
                        <w:sz w:val="20"/>
                      </w:rPr>
                    </w:pPr>
                    <w:r>
                      <w:rPr>
                        <w:sz w:val="20"/>
                      </w:rPr>
                      <w:t>D</w:t>
                    </w:r>
                  </w:p>
                </w:tc>
                <w:tc>
                  <w:tcPr>
                    <w:tcW w:w="1216" w:type="dxa"/>
                    <w:tcBorders>
                      <w:bottom w:val="single" w:sz="4" w:space="0" w:color="auto"/>
                    </w:tcBorders>
                    <w:shd w:val="clear" w:color="auto" w:fill="auto"/>
                  </w:tcPr>
                  <w:p>
                    <w:pPr>
                      <w:rPr>
                        <w:b/>
                        <w:bCs/>
                        <w:sz w:val="20"/>
                      </w:rPr>
                    </w:pPr>
                    <w:r>
                      <w:rPr>
                        <w:b/>
                        <w:bCs/>
                        <w:sz w:val="20"/>
                      </w:rPr>
                      <w:t>34 219,646</w:t>
                    </w:r>
                  </w:p>
                </w:tc>
                <w:tc>
                  <w:tcPr>
                    <w:tcW w:w="1066" w:type="dxa"/>
                    <w:tcBorders>
                      <w:bottom w:val="single" w:sz="4" w:space="0" w:color="auto"/>
                    </w:tcBorders>
                    <w:shd w:val="clear" w:color="auto" w:fill="auto"/>
                  </w:tcPr>
                  <w:p>
                    <w:pPr>
                      <w:rPr>
                        <w:sz w:val="20"/>
                      </w:rPr>
                    </w:pPr>
                    <w:r>
                      <w:rPr>
                        <w:sz w:val="20"/>
                      </w:rPr>
                      <w:t>-</w:t>
                    </w:r>
                  </w:p>
                </w:tc>
                <w:tc>
                  <w:tcPr>
                    <w:tcW w:w="1923"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202" w:type="dxa"/>
                    <w:gridSpan w:val="2"/>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shd w:val="clear" w:color="auto" w:fill="auto"/>
                  </w:tcPr>
                  <w:p>
                    <w:pPr>
                      <w:rPr>
                        <w:sz w:val="20"/>
                      </w:rPr>
                    </w:pPr>
                    <w:r>
                      <w:rPr>
                        <w:sz w:val="20"/>
                      </w:rPr>
                      <w:t>29 086,699</w:t>
                    </w:r>
                  </w:p>
                </w:tc>
                <w:tc>
                  <w:tcPr>
                    <w:tcW w:w="1066" w:type="dxa"/>
                    <w:shd w:val="clear" w:color="auto" w:fill="auto"/>
                  </w:tcPr>
                  <w:p>
                    <w:pPr>
                      <w:rPr>
                        <w:sz w:val="20"/>
                      </w:rPr>
                    </w:pPr>
                    <w:r>
                      <w:rPr>
                        <w:sz w:val="20"/>
                      </w:rPr>
                      <w:t>AŠĮFP</w:t>
                    </w:r>
                  </w:p>
                </w:tc>
                <w:tc>
                  <w:tcPr>
                    <w:tcW w:w="1923"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202" w:type="dxa"/>
                    <w:gridSpan w:val="2"/>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val="restart"/>
                    <w:shd w:val="clear" w:color="auto" w:fill="auto"/>
                  </w:tcPr>
                  <w:p>
                    <w:pPr>
                      <w:rPr>
                        <w:sz w:val="20"/>
                      </w:rPr>
                    </w:pPr>
                    <w:r>
                      <w:rPr>
                        <w:sz w:val="20"/>
                      </w:rPr>
                      <w:t>5 132,947</w:t>
                    </w:r>
                  </w:p>
                </w:tc>
                <w:tc>
                  <w:tcPr>
                    <w:tcW w:w="1066" w:type="dxa"/>
                    <w:vMerge w:val="restart"/>
                    <w:shd w:val="clear" w:color="auto" w:fill="auto"/>
                  </w:tcPr>
                  <w:p>
                    <w:pPr>
                      <w:rPr>
                        <w:sz w:val="20"/>
                      </w:rPr>
                    </w:pPr>
                    <w:r>
                      <w:rPr>
                        <w:sz w:val="20"/>
                      </w:rPr>
                      <w:t>AŠĮFP</w:t>
                    </w:r>
                  </w:p>
                  <w:p>
                    <w:pPr>
                      <w:rPr>
                        <w:sz w:val="20"/>
                      </w:rPr>
                    </w:pPr>
                    <w:r>
                      <w:rPr>
                        <w:sz w:val="20"/>
                      </w:rPr>
                      <w:t>(BF)</w:t>
                    </w:r>
                  </w:p>
                </w:tc>
                <w:tc>
                  <w:tcPr>
                    <w:tcW w:w="1923"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202" w:type="dxa"/>
                    <w:gridSpan w:val="2"/>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202" w:type="dxa"/>
                    <w:gridSpan w:val="2"/>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202" w:type="dxa"/>
                    <w:gridSpan w:val="2"/>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Sukurti paslaugų teikimo metodikos ir organizacinių procesų aprašai, vnt.</w:t>
                    </w:r>
                  </w:p>
                </w:tc>
                <w:tc>
                  <w:tcPr>
                    <w:tcW w:w="1202" w:type="dxa"/>
                    <w:gridSpan w:val="2"/>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1202" w:type="dxa"/>
                    <w:gridSpan w:val="2"/>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103" w:type="dxa"/>
                    <w:gridSpan w:val="2"/>
                    <w:vMerge/>
                    <w:shd w:val="clear" w:color="auto" w:fill="auto"/>
                  </w:tcPr>
                  <w:p>
                    <w:pPr>
                      <w:rPr>
                        <w:sz w:val="20"/>
                      </w:rPr>
                    </w:pPr>
                  </w:p>
                </w:tc>
                <w:tc>
                  <w:tcPr>
                    <w:tcW w:w="800" w:type="dxa"/>
                    <w:gridSpan w:val="2"/>
                    <w:vMerge/>
                    <w:shd w:val="clear" w:color="auto" w:fill="auto"/>
                  </w:tcPr>
                  <w:p>
                    <w:pPr>
                      <w:rPr>
                        <w:sz w:val="20"/>
                      </w:rPr>
                    </w:pPr>
                  </w:p>
                </w:tc>
                <w:tc>
                  <w:tcPr>
                    <w:tcW w:w="1972" w:type="dxa"/>
                    <w:vMerge/>
                    <w:shd w:val="clear" w:color="auto" w:fill="auto"/>
                  </w:tcPr>
                  <w:p>
                    <w:pPr>
                      <w:rPr>
                        <w:sz w:val="20"/>
                      </w:rPr>
                    </w:pPr>
                  </w:p>
                </w:tc>
                <w:tc>
                  <w:tcPr>
                    <w:tcW w:w="781" w:type="dxa"/>
                    <w:gridSpan w:val="3"/>
                    <w:vMerge/>
                    <w:shd w:val="clear" w:color="auto" w:fill="auto"/>
                  </w:tcPr>
                  <w:p>
                    <w:pPr>
                      <w:rPr>
                        <w:sz w:val="20"/>
                      </w:rPr>
                    </w:pPr>
                  </w:p>
                </w:tc>
                <w:tc>
                  <w:tcPr>
                    <w:tcW w:w="1014" w:type="dxa"/>
                    <w:gridSpan w:val="2"/>
                    <w:vMerge/>
                    <w:shd w:val="clear" w:color="auto" w:fill="auto"/>
                  </w:tcPr>
                  <w:p>
                    <w:pPr>
                      <w:rPr>
                        <w:sz w:val="20"/>
                      </w:rPr>
                    </w:pPr>
                  </w:p>
                </w:tc>
                <w:tc>
                  <w:tcPr>
                    <w:tcW w:w="681" w:type="dxa"/>
                    <w:gridSpan w:val="3"/>
                    <w:vMerge/>
                    <w:shd w:val="clear" w:color="auto" w:fill="auto"/>
                  </w:tcPr>
                  <w:p>
                    <w:pPr>
                      <w:jc w:val="center"/>
                      <w:rPr>
                        <w:sz w:val="20"/>
                      </w:rPr>
                    </w:pPr>
                  </w:p>
                </w:tc>
                <w:tc>
                  <w:tcPr>
                    <w:tcW w:w="1216" w:type="dxa"/>
                    <w:vMerge/>
                    <w:shd w:val="clear" w:color="auto" w:fill="auto"/>
                  </w:tcPr>
                  <w:p>
                    <w:pPr>
                      <w:rPr>
                        <w:sz w:val="20"/>
                      </w:rPr>
                    </w:pPr>
                  </w:p>
                </w:tc>
                <w:tc>
                  <w:tcPr>
                    <w:tcW w:w="1066" w:type="dxa"/>
                    <w:vMerge/>
                    <w:shd w:val="clear" w:color="auto" w:fill="auto"/>
                  </w:tcPr>
                  <w:p>
                    <w:pPr>
                      <w:rPr>
                        <w:sz w:val="20"/>
                      </w:rPr>
                    </w:pPr>
                  </w:p>
                </w:tc>
                <w:tc>
                  <w:tcPr>
                    <w:tcW w:w="1923"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202" w:type="dxa"/>
                    <w:gridSpan w:val="2"/>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sdtContent>
        </w:sdt>
        <w:sdt>
          <w:sdtPr>
            <w:alias w:val="pabaiga"/>
            <w:tag w:val="part_e599fb74fc8e455d89fb5f3b277611a7"/>
            <w:lock w:val="sdtLocked"/>
            <w:richText/>
          </w:sdtPr>
          <w:sdtContent>
            <w:p>
              <w:pPr>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(V-683)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(V-481)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(V-623)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
          <w:pPr>
            <w:pStyle w:val="PlainText"/>
            <w:rPr>
              <w:rFonts w:ascii="Times New Roman" w:eastAsia="MS Mincho" w:hAnsi="Times New Roman"/>
              <w:sz w:val="20"/>
              <w:iCs/>
            </w:rPr>
          </w:pPr>
          <w:r>
            <w:rPr>
              <w:rFonts w:ascii="Times New Roman" w:eastAsia="MS Mincho" w:hAnsi="Times New Roman"/>
              <w:sz w:val="20"/>
              <w:iCs/>
            </w:rPr>
            <w:t>33 priedas (V-517)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
          <w:pPr>
            <w:pStyle w:val="PlainText"/>
            <w:rPr>
              <w:rFonts w:ascii="Times New Roman" w:eastAsia="MS Mincho" w:hAnsi="Times New Roman"/>
              <w:sz w:val="20"/>
              <w:iCs/>
            </w:rPr>
          </w:pPr>
          <w:r>
            <w:rPr>
              <w:rFonts w:ascii="Times New Roman" w:eastAsia="MS Mincho" w:hAnsi="Times New Roman"/>
              <w:sz w:val="20"/>
              <w:iCs/>
            </w:rPr>
            <w:t>34 priedas (V-605)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81"/>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80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0225"/>
    <o:shapelayout v:ext="edit">
      <o:idmap v:ext="edit" data="1"/>
    </o:shapelayout>
  </w:shapeDefaults>
  <w:decimalSymbol w:val=","/>
  <w:listSeparator w:val=";"/>
  <w14:docId w14:val="20DF8525"/>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4.xml"/>
  <Relationship Id="rId11" Type="http://schemas.openxmlformats.org/officeDocument/2006/relationships/footer" Target="footer5.xml"/>
  <Relationship Id="rId12" Type="http://schemas.openxmlformats.org/officeDocument/2006/relationships/footer" Target="footer6.xml"/>
  <Relationship Id="rId13" Type="http://schemas.openxmlformats.org/officeDocument/2006/relationships/footnotes" Target="foot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57.png"/>
  <Relationship Id="rId25" Type="http://schemas.openxmlformats.org/officeDocument/2006/relationships/oleObject" Target="embeddings/oleObject157.bin"/>
  <Relationship Id="rId26" Type="http://schemas.openxmlformats.org/officeDocument/2006/relationships/header" Target="header100.xml"/>
  <Relationship Id="rId27" Type="http://schemas.openxmlformats.org/officeDocument/2006/relationships/header" Target="header101.xml"/>
  <Relationship Id="rId28" Type="http://schemas.openxmlformats.org/officeDocument/2006/relationships/footer" Target="footer100.xml"/>
  <Relationship Id="rId29" Type="http://schemas.openxmlformats.org/officeDocument/2006/relationships/footer" Target="footer101.xml"/>
  <Relationship Id="rId3" Type="http://schemas.openxmlformats.org/officeDocument/2006/relationships/customXml" Target="../customXml/item3.xml"/>
  <Relationship Id="rId30" Type="http://schemas.openxmlformats.org/officeDocument/2006/relationships/header" Target="header102.xml"/>
  <Relationship Id="rId31" Type="http://schemas.openxmlformats.org/officeDocument/2006/relationships/footer" Target="footer102.xml"/>
  <Relationship Id="rId32" Type="http://schemas.openxmlformats.org/officeDocument/2006/relationships/header" Target="header169.xml"/>
  <Relationship Id="rId33" Type="http://schemas.openxmlformats.org/officeDocument/2006/relationships/header" Target="header170.xml"/>
  <Relationship Id="rId34" Type="http://schemas.openxmlformats.org/officeDocument/2006/relationships/footer" Target="footer169.xml"/>
  <Relationship Id="rId35" Type="http://schemas.openxmlformats.org/officeDocument/2006/relationships/footer" Target="footer170.xml"/>
  <Relationship Id="rId36" Type="http://schemas.openxmlformats.org/officeDocument/2006/relationships/header" Target="header171.xml"/>
  <Relationship Id="rId37" Type="http://schemas.openxmlformats.org/officeDocument/2006/relationships/footer" Target="footer171.xml"/>
  <Relationship Id="rId38" Type="http://schemas.openxmlformats.org/officeDocument/2006/relationships/customXml" Target="../customXml/item4.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98f987e8963745e49b36e9f2e35e7cae">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c8824f9450aa4a7c86cb781f9f4d81df">
    <Part Type="skyrius" Nr="1" Title="PLĖTROS PROGRAMOS PAŽANGOS PRIEMONĖS SIEKIAMI REZULTATAI" DocPartId="b924309999714986a1f663aef95b7db6" PartId="3881b5e5f52849e1b06fc8bcd64ba8f0"/>
    <Part Type="skyrius" Nr="II" Title="PLĖTROS PROGRAMOS PAŽANGOS PRIEMONĖS FINANSAVIMO ŠALTINIAI" DocPartId="142dd9faf7a84d91b4f244595a84d08d" PartId="fdad71d7e5384eaba0b5ef81641353d1"/>
    <Part Type="skyrius" Nr="3" Title="PLĖTROS PROGRAMOS PAŽANGOS PRIEMONĖS VEIKLŲ SUVESTINĖ" DocPartId="c918111ff85046029314a093ade416dc" PartId="cfa9e5530aa2417e93fc6691e98ebff9"/>
    <Part Type="pabaiga" DocPartId="848b03eee26b4c708a50289e0035c65b" PartId="e599fb74fc8e455d89fb5f3b277611a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A3B78351-B10D-434B-A0E2-9A803E2B0234}">
  <ds:schemaRefs>
    <ds:schemaRef ds:uri="http://lrs.lt/TAIS/DocParts"/>
  </ds:schemaRefs>
</ds:datastoreItem>
</file>

<file path=customXml/itemProps6.xml><?xml version="1.0" encoding="utf-8"?>
<ds:datastoreItem xmlns:ds="http://schemas.openxmlformats.org/officeDocument/2006/customXml" ds:itemID="{321E52E9-CAC3-478D-8965-E7A7E033EF3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178</TotalTime>
  <Pages>63</Pages>
  <Words>72007</Words>
  <Characters>41044</Characters>
  <Application>Microsoft Office Word</Application>
  <DocSecurity>0</DocSecurity>
  <Lines>342</Lines>
  <Paragraphs>225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112826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GRUNDAITĖ Aistė</lastModifiedBy>
  <lastPrinted>2001-05-09T09:40:00Z</lastPrinted>
  <dcterms:modified xsi:type="dcterms:W3CDTF">2025-10-08T08:08:00Z</dcterms:modified>
  <revision>97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