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21e4280c069441cb42efebfc2da1b06"/>
        <w:lock w:val="sdtLocked"/>
        <w:richText/>
      </w:sdtPr>
      <w:sdtContent>
        <w:p>
          <w:pPr>
            <w:jc w:val="both"/>
            <w:rPr>
              <w:rFonts w:ascii="Times New Roman" w:hAnsi="Times New Roman"/>
            </w:rPr>
          </w:pPr>
          <w:r>
            <w:rPr>
              <w:rFonts w:ascii="Times New Roman" w:hAnsi="Times New Roman"/>
              <w:b/>
              <w:i/>
            </w:rPr>
            <w:t>Suvestinė redakcija nuo 2025-02-25 iki 2025-02-25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85pt" o:ole="" fillcolor="window">
                <v:imagedata r:id="rId12" o:title=""/>
              </v:shape>
              <o:OLEObject Type="Embed" ProgID="Word.Picture.8" ShapeID="_x0000_i1025" DrawAspect="Content" ObjectID="_0000000001" r:id="rId13"/>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b30ab63848c54765864e9b4d7813cc3a"/>
        <w:lock w:val="sdtLocked"/>
        <w:richText/>
      </w:sdtPr>
      <w:sdtContent>
        <w:p>
          <w:pPr>
            <w:ind w:left="6521"/>
            <w:sectPr>
              <w:headerReference w:type="even" r:id="rId14"/>
              <w:headerReference w:type="default" r:id="rId15"/>
              <w:footerReference w:type="even" r:id="rId16"/>
              <w:footerReference w:type="default" r:id="rId17"/>
              <w:headerReference w:type="first" r:id="rId18"/>
              <w:footerReference w:type="first" r:id="rId19"/>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b30ab63848c54765864e9b4d7813cc3a"/>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cd88d542e3c4ac994befb62ec5e09b1"/>
            <w:lock w:val="sdtLocked"/>
            <w:richText/>
          </w:sdtPr>
          <w:sdtContent>
            <w:p>
              <w:pPr>
                <w:tabs>
                  <w:tab w:val="left" w:pos="1985"/>
                </w:tabs>
                <w:jc w:val="center"/>
                <w:rPr>
                  <w:b/>
                  <w:bCs/>
                  <w:sz w:val="22"/>
                  <w:szCs w:val="22"/>
                </w:rPr>
              </w:pPr>
              <w:sdt>
                <w:sdtPr>
                  <w:alias w:val="Numeris"/>
                  <w:tag w:val="nr_3cd88d542e3c4ac994befb62ec5e09b1"/>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cd88d542e3c4ac994befb62ec5e09b1"/>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sz w:val="20"/>
                      </w:rPr>
                    </w:pPr>
                    <w:r>
                      <w:rPr>
                        <w:bCs/>
                        <w:sz w:val="20"/>
                      </w:rPr>
                      <w:t>AŠĮFP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1106cf607dad4a3e9b69a66cb720f4d0"/>
            <w:lock w:val="sdtLocked"/>
            <w:richText/>
          </w:sdtPr>
          <w:sdtContent>
            <w:p>
              <w:pPr>
                <w:ind w:left="1080" w:hanging="360"/>
                <w:jc w:val="center"/>
                <w:rPr>
                  <w:b/>
                  <w:bCs/>
                  <w:color w:val="000000"/>
                  <w:szCs w:val="24"/>
                </w:rPr>
              </w:pPr>
              <w:sdt>
                <w:sdtPr>
                  <w:alias w:val="Numeris"/>
                  <w:tag w:val="nr_1106cf607dad4a3e9b69a66cb720f4d0"/>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1106cf607dad4a3e9b69a66cb720f4d0"/>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78d77d0602a7446d90371bf3d2888e40"/>
            <w:lock w:val="sdtLocked"/>
            <w:richText/>
          </w:sdtPr>
          <w:sdtContent>
            <w:p>
              <w:pPr>
                <w:ind w:left="-284"/>
                <w:jc w:val="center"/>
                <w:sectPr>
                  <w:headerReference w:type="even" r:id="rId20"/>
                  <w:headerReference w:type="default" r:id="rId21"/>
                  <w:footerReference w:type="even" r:id="rId22"/>
                  <w:footerReference w:type="default" r:id="rId23"/>
                  <w:headerReference w:type="first" r:id="rId24"/>
                  <w:footerReference w:type="first" r:id="rId25"/>
                  <w:pgSz w:w="11906" w:h="16838" w:code="9"/>
                  <w:pgMar w:top="1701" w:right="567" w:bottom="1134" w:left="709" w:header="1134" w:footer="1134" w:gutter="0"/>
                  <w:cols w:space="1296"/>
                  <w:titlePg/>
                  <w:docGrid w:linePitch="326"/>
                </w:sectPr>
              </w:pPr>
            </w:p>
            <w:p>
              <w:pPr>
                <w:ind w:left="-284"/>
                <w:jc w:val="center"/>
                <w:rPr>
                  <w:b/>
                  <w:bCs/>
                </w:rPr>
              </w:pPr>
              <w:sdt>
                <w:sdtPr>
                  <w:alias w:val="Numeris"/>
                  <w:tag w:val="nr_78d77d0602a7446d90371bf3d2888e40"/>
                  <w:lock w:val="sdtLocked"/>
                  <w:richText/>
                </w:sdtPr>
                <w:sdtContent>
                  <w:r>
                    <w:rPr>
                      <w:b/>
                      <w:bCs/>
                    </w:rPr>
                    <w:t>III</w:t>
                  </w:r>
                </w:sdtContent>
              </w:sdt>
              <w:r>
                <w:rPr>
                  <w:b/>
                  <w:bCs/>
                </w:rPr>
                <w:t xml:space="preserve"> SKYRIUS</w:t>
              </w:r>
            </w:p>
            <w:p>
              <w:pPr>
                <w:jc w:val="center"/>
                <w:rPr>
                  <w:b/>
                  <w:bCs/>
                </w:rPr>
              </w:pPr>
              <w:sdt>
                <w:sdtPr>
                  <w:alias w:val="Pavadinimas"/>
                  <w:tag w:val="title_78d77d0602a7446d90371bf3d2888e40"/>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5 525</w:t>
                    </w:r>
                  </w:p>
                  <w:p>
                    <w:pPr>
                      <w:rPr>
                        <w:sz w:val="20"/>
                      </w:rPr>
                    </w:pP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975</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tcPr>
                  <w:p>
                    <w:pPr>
                      <w:rPr>
                        <w:iCs/>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34 310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33 630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7 174</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left w:val="single" w:sz="4" w:space="0" w:color="auto"/>
                      <w:right w:val="single" w:sz="4" w:space="0" w:color="auto"/>
                    </w:tcBorders>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lang w:val="en-US"/>
                      </w:rPr>
                    </w:pPr>
                    <w:r>
                      <w:rPr>
                        <w:sz w:val="20"/>
                        <w:lang w:val="en-US"/>
                      </w:rPr>
                      <w:t>1 266</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920"/>
                </w:trPr>
                <w:tc>
                  <w:tcPr>
                    <w:tcW w:w="2410" w:type="dxa"/>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LMB</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3 366</w:t>
                    </w:r>
                  </w:p>
                  <w:p>
                    <w:pPr>
                      <w:rPr>
                        <w:sz w:val="20"/>
                        <w:lang w:val="en-US"/>
                      </w:rPr>
                    </w:pPr>
                  </w:p>
                </w:tc>
                <w:tc>
                  <w:tcPr>
                    <w:tcW w:w="992"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tcBorders>
                      <w:top w:val="single" w:sz="4" w:space="0" w:color="auto"/>
                      <w:left w:val="single" w:sz="4" w:space="0" w:color="auto"/>
                      <w:right w:val="single" w:sz="4" w:space="0" w:color="auto"/>
                    </w:tcBorders>
                  </w:tcPr>
                  <w:p>
                    <w:pPr>
                      <w:rPr>
                        <w:sz w:val="20"/>
                      </w:rPr>
                    </w:pPr>
                    <w:r>
                      <w:rPr>
                        <w:sz w:val="20"/>
                      </w:rPr>
                      <w:t>CPVA</w:t>
                    </w:r>
                  </w:p>
                </w:tc>
                <w:tc>
                  <w:tcPr>
                    <w:tcW w:w="1276" w:type="dxa"/>
                    <w:tcBorders>
                      <w:top w:val="single" w:sz="4" w:space="0" w:color="auto"/>
                      <w:left w:val="single" w:sz="4" w:space="0" w:color="auto"/>
                      <w:right w:val="single" w:sz="4" w:space="0" w:color="auto"/>
                    </w:tcBorders>
                    <w:vAlign w:val="center"/>
                  </w:tcPr>
                  <w:p>
                    <w:pPr>
                      <w:rPr>
                        <w:color w:val="000000"/>
                        <w:sz w:val="20"/>
                      </w:rPr>
                    </w:pPr>
                  </w:p>
                </w:tc>
              </w:tr>
              <w:tr>
                <w:trPr>
                  <w:trHeight w:val="920"/>
                </w:trPr>
                <w:tc>
                  <w:tcPr>
                    <w:tcW w:w="2410" w:type="dxa"/>
                    <w:vMerge/>
                    <w:tcBorders>
                      <w:left w:val="single" w:sz="4" w:space="0" w:color="auto"/>
                      <w:right w:val="single" w:sz="4" w:space="0" w:color="auto"/>
                    </w:tcBorders>
                    <w:shd w:val="clear" w:color="auto" w:fill="auto"/>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594</w:t>
                    </w:r>
                  </w:p>
                </w:tc>
                <w:tc>
                  <w:tcPr>
                    <w:tcW w:w="992" w:type="dxa"/>
                    <w:tcBorders>
                      <w:left w:val="single" w:sz="4" w:space="0" w:color="auto"/>
                      <w:right w:val="single" w:sz="4" w:space="0" w:color="auto"/>
                    </w:tcBorders>
                  </w:tcPr>
                  <w:p>
                    <w:pPr>
                      <w:rPr>
                        <w:sz w:val="20"/>
                      </w:rPr>
                    </w:pPr>
                    <w:r>
                      <w:rPr>
                        <w:sz w:val="20"/>
                      </w:rPr>
                      <w:t>2021–2027 m. IP (BF)</w:t>
                    </w:r>
                  </w:p>
                </w:tc>
                <w:tc>
                  <w:tcPr>
                    <w:tcW w:w="2551" w:type="dxa"/>
                    <w:tcBorders>
                      <w:left w:val="single" w:sz="4" w:space="0" w:color="auto"/>
                      <w:right w:val="single" w:sz="4" w:space="0" w:color="auto"/>
                    </w:tcBorders>
                    <w:shd w:val="clear" w:color="auto" w:fill="auto"/>
                  </w:tcPr>
                  <w:p>
                    <w:pPr>
                      <w:ind w:left="-57" w:right="-57"/>
                      <w:rPr>
                        <w:color w:val="000000"/>
                        <w:sz w:val="20"/>
                      </w:rPr>
                    </w:pPr>
                    <w:r>
                      <w:rPr>
                        <w:color w:val="000000"/>
                        <w:sz w:val="20"/>
                      </w:rPr>
                      <w:t>R – Pacientų pasitenkinimas gautomis paslaugomis,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left w:val="single" w:sz="4" w:space="0" w:color="auto"/>
                      <w:right w:val="single" w:sz="4" w:space="0" w:color="auto"/>
                    </w:tcBorders>
                  </w:tcPr>
                  <w:p>
                    <w:pPr>
                      <w:rPr>
                        <w:sz w:val="20"/>
                      </w:rPr>
                    </w:pPr>
                  </w:p>
                </w:tc>
                <w:tc>
                  <w:tcPr>
                    <w:tcW w:w="1276" w:type="dxa"/>
                    <w:tcBorders>
                      <w:left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iCs/>
                        <w:color w:val="000000"/>
                        <w:sz w:val="20"/>
                      </w:rPr>
                    </w:pPr>
                    <w:r>
                      <w:rPr>
                        <w:iCs/>
                        <w:color w:val="000000"/>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trike/>
                        <w:color w:val="000000"/>
                        <w:sz w:val="20"/>
                      </w:rPr>
                    </w:pPr>
                    <w:r>
                      <w:rPr>
                        <w:color w:val="000000"/>
                        <w:sz w:val="20"/>
                      </w:rPr>
                      <w:t>Savivaldybių administracijos</w:t>
                    </w:r>
                    <w:r>
                      <w:rPr>
                        <w:strike/>
                        <w:color w:val="000000"/>
                        <w:sz w:val="20"/>
                      </w:rPr>
                      <w:t xml:space="preserve"> </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19 543,151</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Asmenys, dalyvavę kvalifikacijos įgijimo veiklose, asmenys </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240</w:t>
                    </w:r>
                  </w:p>
                  <w:p>
                    <w:pPr>
                      <w:jc w:val="center"/>
                      <w:rPr>
                        <w:color w:val="000000"/>
                        <w:sz w:val="20"/>
                      </w:rPr>
                    </w:pPr>
                    <w:r>
                      <w:rPr>
                        <w:color w:val="000000"/>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3 448,791</w:t>
                    </w:r>
                  </w:p>
                  <w:p>
                    <w:pPr>
                      <w:rPr>
                        <w:color w:val="000000"/>
                        <w:sz w:val="20"/>
                        <w:lang w:val="en-US"/>
                      </w:rPr>
                    </w:pPr>
                  </w:p>
                </w:tc>
                <w:tc>
                  <w:tcPr>
                    <w:tcW w:w="992"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 xml:space="preserve">R – Asmenų, kurie po dalyvavimo veiklose įgijo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p>
                    <w:pPr>
                      <w:jc w:val="center"/>
                      <w:rPr>
                        <w:color w:val="000000"/>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10</w:t>
                    </w:r>
                  </w:p>
                  <w:p>
                    <w:pPr>
                      <w:jc w:val="center"/>
                      <w:rPr>
                        <w:color w:val="000000"/>
                        <w:sz w:val="20"/>
                      </w:rPr>
                    </w:pPr>
                    <w:r>
                      <w:rPr>
                        <w:color w:val="000000"/>
                        <w:sz w:val="20"/>
                      </w:rPr>
                      <w:t>(2029 m.)</w:t>
                    </w:r>
                  </w:p>
                  <w:p>
                    <w:pPr>
                      <w:jc w:val="center"/>
                      <w:rPr>
                        <w:color w:val="00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lang w:val="en-US"/>
                      </w:rPr>
                    </w:pPr>
                    <w:r>
                      <w:rPr>
                        <w:color w:val="000000"/>
                        <w:sz w:val="20"/>
                      </w:rPr>
                      <w:t>98</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Sveikatos priežiūros specialistų, kurie po dalyvavimo veiklose mažiausiai 2 metus dirbo sveikatos priežiūros įstaigose, dalis, proc.</w:t>
                      <w:tab/>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824"/>
                </w:trPr>
                <w:tc>
                  <w:tcPr>
                    <w:tcW w:w="2410" w:type="dxa"/>
                    <w:vMerge w:val="restart"/>
                    <w:tcBorders>
                      <w:top w:val="single" w:sz="4" w:space="0" w:color="auto"/>
                      <w:left w:val="single" w:sz="4" w:space="0" w:color="auto"/>
                      <w:right w:val="single" w:sz="4" w:space="0" w:color="auto"/>
                    </w:tcBorders>
                  </w:tcPr>
                  <w:p>
                    <w:pPr>
                      <w:rPr>
                        <w:iCs/>
                        <w:color w:val="000000"/>
                        <w:sz w:val="20"/>
                      </w:rPr>
                    </w:pPr>
                    <w:r>
                      <w:rPr>
                        <w:iCs/>
                        <w:color w:val="000000"/>
                        <w:sz w:val="20"/>
                      </w:rPr>
                      <w:t>10.4. Sveikatos priežiūros specialistų rengimas, pritraukimas, Vidurio ir vakarų Lietuvos regionas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 VASPVT</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4 277,540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Specialistai, dalyvavę kvalifikacijos tobulinimo ar perkvalifikavimo veiklose, asmenys </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500</w:t>
                    </w:r>
                  </w:p>
                  <w:p>
                    <w:pPr>
                      <w:jc w:val="center"/>
                      <w:rPr>
                        <w:color w:val="000000"/>
                        <w:sz w:val="20"/>
                      </w:rPr>
                    </w:pPr>
                    <w:r>
                      <w:rPr>
                        <w:color w:val="000000"/>
                        <w:sz w:val="20"/>
                      </w:rPr>
                      <w:t>(2029 m.)</w:t>
                    </w:r>
                  </w:p>
                  <w:p>
                    <w:pPr>
                      <w:jc w:val="center"/>
                      <w:rPr>
                        <w:color w:val="000000"/>
                        <w:sz w:val="20"/>
                      </w:rPr>
                    </w:pP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32"/>
                </w:trPr>
                <w:tc>
                  <w:tcPr>
                    <w:tcW w:w="2410" w:type="dxa"/>
                    <w:vMerge/>
                    <w:tcBorders>
                      <w:left w:val="single" w:sz="4" w:space="0" w:color="auto"/>
                      <w:right w:val="single" w:sz="4" w:space="0" w:color="auto"/>
                    </w:tcBorders>
                  </w:tcPr>
                  <w:p>
                    <w:pPr>
                      <w:rPr>
                        <w:iCs/>
                        <w:color w:val="000000"/>
                        <w:sz w:val="20"/>
                      </w:rPr>
                    </w:pPr>
                  </w:p>
                </w:tc>
                <w:tc>
                  <w:tcPr>
                    <w:tcW w:w="709" w:type="dxa"/>
                    <w:vMerge/>
                    <w:tcBorders>
                      <w:left w:val="single" w:sz="4" w:space="0" w:color="auto"/>
                      <w:right w:val="single" w:sz="4" w:space="0" w:color="auto"/>
                    </w:tcBorders>
                  </w:tcPr>
                  <w:p>
                    <w:pPr>
                      <w:rPr>
                        <w:color w:val="000000"/>
                        <w:sz w:val="20"/>
                      </w:rPr>
                    </w:pPr>
                  </w:p>
                </w:tc>
                <w:tc>
                  <w:tcPr>
                    <w:tcW w:w="1559"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992"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754,860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tcBorders>
                      <w:left w:val="single" w:sz="4" w:space="0" w:color="auto"/>
                      <w:right w:val="single" w:sz="4" w:space="0" w:color="auto"/>
                    </w:tcBorders>
                  </w:tcPr>
                  <w:p>
                    <w:pPr>
                      <w:rPr>
                        <w:color w:val="000000"/>
                        <w:szCs w:val="24"/>
                      </w:rPr>
                    </w:pPr>
                  </w:p>
                </w:tc>
                <w:tc>
                  <w:tcPr>
                    <w:tcW w:w="1276" w:type="dxa"/>
                    <w:vMerge/>
                    <w:tcBorders>
                      <w:left w:val="single" w:sz="4" w:space="0" w:color="auto"/>
                      <w:right w:val="single" w:sz="4" w:space="0" w:color="auto"/>
                    </w:tcBorders>
                  </w:tcPr>
                  <w:p>
                    <w:pPr>
                      <w:rPr>
                        <w:color w:val="000000"/>
                        <w:szCs w:val="24"/>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410" w:type="dxa"/>
                    <w:vMerge w:val="restart"/>
                    <w:shd w:val="clear" w:color="auto" w:fill="auto"/>
                  </w:tcPr>
                  <w:p>
                    <w:pPr>
                      <w:rPr>
                        <w:sz w:val="20"/>
                      </w:rPr>
                    </w:pPr>
                    <w:r>
                      <w:rPr>
                        <w:b/>
                        <w:bCs/>
                        <w:sz w:val="20"/>
                      </w:rPr>
                      <w:t>13. Programos „Motinos ir vaiko sveikata bei gerovė“ įgyvendinimas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Lietuvos sveikatos mokslų universiteto ligoninė Kauno klinikos</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Ne</w:t>
                    </w:r>
                  </w:p>
                </w:tc>
                <w:tc>
                  <w:tcPr>
                    <w:tcW w:w="709" w:type="dxa"/>
                    <w:vMerge w:val="restart"/>
                    <w:shd w:val="clear" w:color="auto" w:fill="auto"/>
                  </w:tcPr>
                  <w:p>
                    <w:pPr>
                      <w:jc w:val="center"/>
                      <w:rPr>
                        <w:sz w:val="20"/>
                      </w:rPr>
                    </w:pPr>
                    <w:r>
                      <w:rPr>
                        <w:sz w:val="20"/>
                      </w:rPr>
                      <w:t>D</w:t>
                    </w:r>
                  </w:p>
                </w:tc>
                <w:tc>
                  <w:tcPr>
                    <w:tcW w:w="1276" w:type="dxa"/>
                    <w:tcBorders>
                      <w:bottom w:val="single" w:sz="4" w:space="0" w:color="auto"/>
                    </w:tcBorders>
                    <w:shd w:val="clear" w:color="auto" w:fill="auto"/>
                  </w:tcPr>
                  <w:p>
                    <w:pPr>
                      <w:rPr>
                        <w:b/>
                        <w:bCs/>
                        <w:sz w:val="20"/>
                      </w:rPr>
                    </w:pPr>
                    <w:r>
                      <w:rPr>
                        <w:b/>
                        <w:bCs/>
                        <w:sz w:val="20"/>
                      </w:rPr>
                      <w:t>34 219,646</w:t>
                    </w:r>
                  </w:p>
                </w:tc>
                <w:tc>
                  <w:tcPr>
                    <w:tcW w:w="992" w:type="dxa"/>
                    <w:tcBorders>
                      <w:bottom w:val="single" w:sz="4" w:space="0" w:color="auto"/>
                    </w:tcBorders>
                    <w:shd w:val="clear" w:color="auto" w:fill="auto"/>
                  </w:tcPr>
                  <w:p>
                    <w:pPr>
                      <w:rPr>
                        <w:sz w:val="20"/>
                      </w:rPr>
                    </w:pPr>
                    <w:r>
                      <w:rPr>
                        <w:sz w:val="20"/>
                      </w:rPr>
                      <w:t>-</w:t>
                    </w:r>
                  </w:p>
                </w:tc>
                <w:tc>
                  <w:tcPr>
                    <w:tcW w:w="2551"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shd w:val="clear" w:color="auto" w:fill="auto"/>
                  </w:tcPr>
                  <w:p>
                    <w:pPr>
                      <w:rPr>
                        <w:sz w:val="20"/>
                      </w:rPr>
                    </w:pPr>
                    <w:r>
                      <w:rPr>
                        <w:sz w:val="20"/>
                      </w:rPr>
                      <w:t>29 086,699</w:t>
                    </w:r>
                  </w:p>
                </w:tc>
                <w:tc>
                  <w:tcPr>
                    <w:tcW w:w="992" w:type="dxa"/>
                    <w:shd w:val="clear" w:color="auto" w:fill="auto"/>
                  </w:tcPr>
                  <w:p>
                    <w:pPr>
                      <w:rPr>
                        <w:sz w:val="20"/>
                      </w:rPr>
                    </w:pPr>
                    <w:r>
                      <w:rPr>
                        <w:sz w:val="20"/>
                      </w:rPr>
                      <w:t>AŠĮFP</w:t>
                    </w:r>
                  </w:p>
                </w:tc>
                <w:tc>
                  <w:tcPr>
                    <w:tcW w:w="2551"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851" w:type="dxa"/>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val="restart"/>
                    <w:shd w:val="clear" w:color="auto" w:fill="auto"/>
                  </w:tcPr>
                  <w:p>
                    <w:pPr>
                      <w:rPr>
                        <w:sz w:val="20"/>
                      </w:rPr>
                    </w:pPr>
                    <w:r>
                      <w:rPr>
                        <w:sz w:val="20"/>
                      </w:rPr>
                      <w:t>5 132,947</w:t>
                    </w:r>
                  </w:p>
                </w:tc>
                <w:tc>
                  <w:tcPr>
                    <w:tcW w:w="992" w:type="dxa"/>
                    <w:vMerge w:val="restart"/>
                    <w:shd w:val="clear" w:color="auto" w:fill="auto"/>
                  </w:tcPr>
                  <w:p>
                    <w:pPr>
                      <w:rPr>
                        <w:sz w:val="20"/>
                      </w:rPr>
                    </w:pPr>
                    <w:r>
                      <w:rPr>
                        <w:sz w:val="20"/>
                      </w:rPr>
                      <w:t>AŠĮFP</w:t>
                    </w:r>
                  </w:p>
                  <w:p>
                    <w:pPr>
                      <w:rPr>
                        <w:sz w:val="20"/>
                      </w:rPr>
                    </w:pPr>
                    <w:r>
                      <w:rPr>
                        <w:sz w:val="20"/>
                      </w:rPr>
                      <w:t>(BF)</w:t>
                    </w:r>
                  </w:p>
                </w:tc>
                <w:tc>
                  <w:tcPr>
                    <w:tcW w:w="2551"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851" w:type="dxa"/>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851" w:type="dxa"/>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851" w:type="dxa"/>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Sukurti paslaugų teikimo metodikos ir organizacinių procesų aprašai, vnt.</w:t>
                    </w:r>
                  </w:p>
                </w:tc>
                <w:tc>
                  <w:tcPr>
                    <w:tcW w:w="851" w:type="dxa"/>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851" w:type="dxa"/>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e74d06f3d11efa9a4c2046a78b308">
                <w:r w:rsidRPr="00532B9F">
                  <w:rPr>
                    <w:rFonts w:ascii="Times New Roman" w:eastAsia="MS Mincho" w:hAnsi="Times New Roman"/>
                    <w:sz w:val="20"/>
                    <w:i/>
                    <w:iCs/>
                    <w:color w:val="0000FF" w:themeColor="hyperlink"/>
                    <w:u w:val="single"/>
                  </w:rPr>
                  <w:t>V-888</w:t>
                </w:r>
              </w:fldSimple>
              <w:r>
                <w:rPr>
                  <w:rFonts w:ascii="Times New Roman" w:eastAsia="MS Mincho" w:hAnsi="Times New Roman"/>
                  <w:sz w:val="20"/>
                  <w:i/>
                  <w:iCs/>
                </w:rPr>
                <w:t>,
2024-09-10,
paskelbta TAR 2024-09-10, i. k. 2024-15910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(V-1131)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(V-1392)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(V-678)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(V-1226)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(V-1081)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(V-572)</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(V-132)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Priedas Nr. 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4"/>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392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9265"/>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86.png"/>
  <Relationship Id="rId13" Type="http://schemas.openxmlformats.org/officeDocument/2006/relationships/oleObject" Target="embeddings/oleObject86.bin"/>
  <Relationship Id="rId14" Type="http://schemas.openxmlformats.org/officeDocument/2006/relationships/header" Target="header31.xml"/>
  <Relationship Id="rId15" Type="http://schemas.openxmlformats.org/officeDocument/2006/relationships/header" Target="header32.xml"/>
  <Relationship Id="rId16" Type="http://schemas.openxmlformats.org/officeDocument/2006/relationships/footer" Target="footer31.xml"/>
  <Relationship Id="rId17" Type="http://schemas.openxmlformats.org/officeDocument/2006/relationships/footer" Target="footer32.xml"/>
  <Relationship Id="rId18" Type="http://schemas.openxmlformats.org/officeDocument/2006/relationships/header" Target="header33.xml"/>
  <Relationship Id="rId19" Type="http://schemas.openxmlformats.org/officeDocument/2006/relationships/footer" Target="footer33.xml"/>
  <Relationship Id="rId2" Type="http://schemas.openxmlformats.org/officeDocument/2006/relationships/customXml" Target="../customXml/item2.xml"/>
  <Relationship Id="rId20" Type="http://schemas.openxmlformats.org/officeDocument/2006/relationships/header" Target="header67.xml"/>
  <Relationship Id="rId21" Type="http://schemas.openxmlformats.org/officeDocument/2006/relationships/header" Target="header68.xml"/>
  <Relationship Id="rId22" Type="http://schemas.openxmlformats.org/officeDocument/2006/relationships/footer" Target="footer67.xml"/>
  <Relationship Id="rId23" Type="http://schemas.openxmlformats.org/officeDocument/2006/relationships/footer" Target="footer68.xml"/>
  <Relationship Id="rId24" Type="http://schemas.openxmlformats.org/officeDocument/2006/relationships/header" Target="header69.xml"/>
  <Relationship Id="rId25" Type="http://schemas.openxmlformats.org/officeDocument/2006/relationships/footer" Target="footer69.xml"/>
  <Relationship Id="rId26"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521e4280c069441cb42efebfc2da1b06">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b30ab63848c54765864e9b4d7813cc3a">
    <Part Type="skyrius" Nr="1" Title="PLĖTROS PROGRAMOS PAŽANGOS PRIEMONĖS SIEKIAMI REZULTATAI" DocPartId="e80e9b157a5a4ed1972c3b4a13590405" PartId="3cd88d542e3c4ac994befb62ec5e09b1"/>
    <Part Type="skyrius" Nr="II" Title="PLĖTROS PROGRAMOS PAŽANGOS PRIEMONĖS FINANSAVIMO ŠALTINIAI" DocPartId="fdb43120fd5945b0b28f372d3638606d" PartId="1106cf607dad4a3e9b69a66cb720f4d0"/>
    <Part Type="skyrius" Nr="3" Title="PLĖTROS PROGRAMOS PAŽANGOS PRIEMONĖS VEIKLŲ SUVESTINĖ" DocPartId="1bddb33c08254707be163cb39811516b" PartId="78d77d0602a7446d90371bf3d2888e40"/>
    <Part Type="pabaiga" DocPartId="0439090d9a81489fa451252c8b318e94" PartId="409a53616be741a5b39ea703920f091a"/>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11F291C7-EB93-4EAE-B2B3-6A4179827F71}">
  <ds:schemaRefs>
    <ds:schemaRef ds:uri="http://lrs.lt/TAIS/DocParts"/>
  </ds:schemaRefs>
</ds:datastoreItem>
</file>

<file path=customXml/itemProps6.xml><?xml version="1.0" encoding="utf-8"?>
<ds:datastoreItem xmlns:ds="http://schemas.openxmlformats.org/officeDocument/2006/customXml" ds:itemID="{87A10304-8341-47DC-9F8A-DB9E82C6F18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89</TotalTime>
  <Pages>36</Pages>
  <Words>7433</Words>
  <Characters>47944</Characters>
  <Application>Microsoft Office Word</Application>
  <DocSecurity>0</DocSecurity>
  <Lines>399</Lines>
  <Paragraphs>110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55267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2025-02-28T06:22:00Z</dcterms:modified>
  <revision>74</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