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a4207d17fad483eb35c394dffca11b5"/>
        <w:lock w:val="sdtLocked"/>
        <w:richText/>
      </w:sdtPr>
      <w:sdtContent>
        <w:p>
          <w:pPr>
            <w:jc w:val="both"/>
            <w:rPr>
              <w:rFonts w:ascii="Times New Roman" w:hAnsi="Times New Roman"/>
            </w:rPr>
          </w:pPr>
          <w:r>
            <w:rPr>
              <w:rFonts w:ascii="Times New Roman" w:hAnsi="Times New Roman"/>
              <w:b/>
              <w:i/>
            </w:rPr>
            <w:t>Suvestinė redakcija nuo 2018-10-05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2016-12-27, i. k. 2016-29580</w:t>
          </w:r>
        </w:p>
        <w:p>
          <w:pPr>
            <w:jc w:val="both"/>
            <w:rPr>
              <w:rFonts w:ascii="Times New Roman" w:hAnsi="Times New Roman"/>
              <w:sz w:val="20"/>
            </w:rPr>
          </w:pPr>
        </w:p>
        <w:p>
          <w:pPr>
            <w:jc w:val="center"/>
          </w:pPr>
          <w:r>
            <w:rPr>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jc w:val="center"/>
            <w:rPr>
              <w:b/>
              <w:szCs w:val="24"/>
              <w:lang w:eastAsia="ar-SA"/>
            </w:rPr>
          </w:pPr>
        </w:p>
        <w:p>
          <w:pPr>
            <w:keepNext/>
            <w:suppressAutoHyphens/>
            <w:jc w:val="center"/>
            <w:outlineLvl w:val="1"/>
            <w:rPr>
              <w:b/>
              <w:szCs w:val="24"/>
              <w:lang w:eastAsia="ar-SA"/>
            </w:rPr>
          </w:pPr>
          <w:r>
            <w:rPr>
              <w:b/>
              <w:szCs w:val="24"/>
              <w:lang w:eastAsia="ar-SA"/>
            </w:rPr>
            <w:t>PRIEŠGAISRINĖS APSAUGOS IR GELBĖJIMO DEPARTAMENTO</w:t>
          </w:r>
        </w:p>
        <w:p>
          <w:pPr>
            <w:suppressAutoHyphens/>
            <w:jc w:val="center"/>
            <w:rPr>
              <w:b/>
              <w:szCs w:val="24"/>
              <w:lang w:eastAsia="ar-SA"/>
            </w:rPr>
          </w:pPr>
          <w:r>
            <w:rPr>
              <w:b/>
              <w:szCs w:val="24"/>
              <w:lang w:eastAsia="ar-SA"/>
            </w:rPr>
            <w:t xml:space="preserve">PRIE VIDAUS REIKALŲ MINISTERIJOS </w:t>
          </w:r>
        </w:p>
        <w:p>
          <w:pPr>
            <w:suppressAutoHyphens/>
            <w:jc w:val="center"/>
            <w:textAlignment w:val="center"/>
            <w:rPr>
              <w:b/>
              <w:szCs w:val="24"/>
            </w:rPr>
          </w:pPr>
          <w:r>
            <w:rPr>
              <w:b/>
              <w:szCs w:val="24"/>
            </w:rPr>
            <w:t>DIREKTORIUS</w:t>
          </w:r>
        </w:p>
        <w:p>
          <w:pPr>
            <w:suppressAutoHyphens/>
            <w:jc w:val="center"/>
            <w:textAlignment w:val="center"/>
            <w:rPr>
              <w:color w:val="000000"/>
              <w:szCs w:val="24"/>
            </w:rPr>
          </w:pPr>
        </w:p>
        <w:p>
          <w:pPr>
            <w:suppressAutoHyphens/>
            <w:jc w:val="center"/>
            <w:textAlignment w:val="center"/>
            <w:rPr>
              <w:b/>
              <w:color w:val="000000"/>
              <w:szCs w:val="24"/>
            </w:rPr>
          </w:pPr>
          <w:r>
            <w:rPr>
              <w:b/>
              <w:color w:val="000000"/>
              <w:szCs w:val="24"/>
            </w:rPr>
            <w:t>ĮSAKYMAS</w:t>
          </w:r>
        </w:p>
        <w:p>
          <w:pPr>
            <w:keepLines/>
            <w:suppressAutoHyphens/>
            <w:jc w:val="center"/>
            <w:textAlignment w:val="center"/>
            <w:rPr>
              <w:b/>
              <w:bCs/>
              <w:caps/>
              <w:color w:val="000000"/>
              <w:szCs w:val="24"/>
            </w:rPr>
          </w:pPr>
          <w:r>
            <w:rPr>
              <w:b/>
              <w:bCs/>
              <w:caps/>
              <w:color w:val="000000"/>
              <w:szCs w:val="24"/>
            </w:rPr>
            <w:t>DĖL KRITERIJŲ, PAGAL KURIUOS PRIEŠGAISRINĘ SAUGĄ ir civilinę saugą REGLAMENTUOJANČIŲ TEISĖS AKTŲ PAŽEIDIMAI LAIKOMI MAŽAI PAVOJINGAIS, NUSTATYMO</w:t>
          </w:r>
        </w:p>
        <w:p>
          <w:pPr>
            <w:keepLines/>
            <w:suppressAutoHyphens/>
            <w:jc w:val="center"/>
            <w:textAlignment w:val="center"/>
            <w:rPr>
              <w:b/>
              <w:bCs/>
              <w:caps/>
              <w:color w:val="000000"/>
              <w:szCs w:val="24"/>
            </w:rPr>
          </w:pPr>
        </w:p>
        <w:p>
          <w:pPr>
            <w:keepLines/>
            <w:suppressAutoHyphens/>
            <w:jc w:val="center"/>
            <w:textAlignment w:val="center"/>
            <w:rPr>
              <w:color w:val="000000"/>
              <w:szCs w:val="24"/>
            </w:rPr>
          </w:pPr>
          <w:r>
            <w:rPr>
              <w:color w:val="000000"/>
              <w:szCs w:val="24"/>
            </w:rPr>
            <w:t>2016 m. gruodžio 27 d. Nr. 1-445</w:t>
          </w:r>
        </w:p>
        <w:p>
          <w:pPr>
            <w:keepLines/>
            <w:suppressAutoHyphens/>
            <w:jc w:val="center"/>
            <w:textAlignment w:val="center"/>
            <w:rPr>
              <w:color w:val="000000"/>
              <w:szCs w:val="24"/>
            </w:rPr>
          </w:pPr>
          <w:r>
            <w:rPr>
              <w:color w:val="000000"/>
              <w:szCs w:val="24"/>
            </w:rPr>
            <w:t>Vilnius</w:t>
          </w:r>
        </w:p>
        <w:p>
          <w:pPr>
            <w:keepLines/>
            <w:suppressAutoHyphens/>
            <w:jc w:val="center"/>
            <w:textAlignment w:val="center"/>
            <w:rPr>
              <w:color w:val="000000"/>
              <w:szCs w:val="24"/>
            </w:rPr>
          </w:pPr>
        </w:p>
        <w:p>
          <w:pPr>
            <w:keepLines/>
            <w:suppressAutoHyphens/>
            <w:jc w:val="center"/>
            <w:textAlignment w:val="center"/>
            <w:rPr>
              <w:color w:val="000000"/>
              <w:szCs w:val="24"/>
            </w:rPr>
          </w:pPr>
        </w:p>
        <w:sdt>
          <w:sdtPr>
            <w:alias w:val="preambule"/>
            <w:tag w:val="part_3426e8703e50435c8a782ccd04d44a48"/>
            <w:lock w:val="sdtLocked"/>
            <w:richText/>
          </w:sdtPr>
          <w:sdtContent>
            <w:p>
              <w:pPr>
                <w:ind w:firstLine="567"/>
                <w:jc w:val="both"/>
                <w:rPr>
                  <w:rFonts w:eastAsia="Calibri"/>
                  <w:szCs w:val="24"/>
                </w:rPr>
              </w:pPr>
              <w:r>
                <w:rPr>
                  <w:rFonts w:eastAsia="Calibri"/>
                  <w:szCs w:val="24"/>
                </w:rPr>
                <w:t>Vadovaudamasis Lietuvos Respublikos administracinių nusižengimų kodekso 12 straipsnio 2 dalimi:</w:t>
              </w:r>
            </w:p>
          </w:sdtContent>
        </w:sdt>
        <w:sdt>
          <w:sdtPr>
            <w:alias w:val="1 p."/>
            <w:tag w:val="part_ce9fa921e1ad45968c8333d746d5b576"/>
            <w:lock w:val="sdtLocked"/>
            <w:richText/>
          </w:sdtPr>
          <w:sdtContent>
            <w:p>
              <w:pPr>
                <w:suppressAutoHyphens/>
                <w:overflowPunct w:val="0"/>
                <w:spacing w:line="276" w:lineRule="auto"/>
                <w:ind w:firstLine="567"/>
                <w:jc w:val="both"/>
                <w:textAlignment w:val="baseline"/>
              </w:pPr>
              <w:sdt>
                <w:sdtPr>
                  <w:alias w:val="Numeris"/>
                  <w:tag w:val="nr_ce9fa921e1ad45968c8333d746d5b576"/>
                  <w:lock w:val="sdtLocked"/>
                  <w:richText/>
                </w:sdtPr>
                <w:sdtContent>
                  <w:r>
                    <w:t>1</w:t>
                  </w:r>
                </w:sdtContent>
              </w:sdt>
              <w:r>
                <w:t xml:space="preserve">. </w:t>
              </w:r>
              <w:r>
                <w:rPr>
                  <w:szCs w:val="24"/>
                </w:rPr>
                <w:t>N u s t a t a u kriterijus, kuriais vadovaujantis Lietuvos Respublikos administracinių nusižengimų kodekso (toliau – ANK) 12 straipsnio 1 dalyje nurodyti administraciniai nusižengimai, dėl kurių Priešgaisrinės apsaugos ir gelbėjimo departamento prie Vidaus reikalų ministerijos, valstybinės priešgaisrinės gelbėjimo tarnybos apskričių priešgaisrinių gelbėjimo valdybų ir valstybinės priešgaisrinės priežiūros pareigūnai (toliau – pareigūnai) turi teisę pradėti administracinio nusižengimo teiseną, laikomi mažai pavojingais:</w:t>
              </w:r>
            </w:p>
            <w:sdt>
              <w:sdtPr>
                <w:alias w:val="1.1 pp."/>
                <w:tag w:val="part_7a881c2251b84ee1ba6ea2e48253edec"/>
                <w:lock w:val="sdtLocked"/>
                <w:richText/>
              </w:sdtPr>
              <w:sdtContent>
                <w:p>
                  <w:pPr>
                    <w:suppressAutoHyphens/>
                    <w:overflowPunct w:val="0"/>
                    <w:spacing w:line="276" w:lineRule="auto"/>
                    <w:ind w:firstLine="567"/>
                    <w:jc w:val="both"/>
                    <w:textAlignment w:val="baseline"/>
                  </w:pPr>
                  <w:sdt>
                    <w:sdtPr>
                      <w:alias w:val="Numeris"/>
                      <w:tag w:val="nr_7a881c2251b84ee1ba6ea2e48253edec"/>
                      <w:lock w:val="sdtLocked"/>
                      <w:richText/>
                    </w:sdtPr>
                    <w:sdtContent>
                      <w:r>
                        <w:rPr>
                          <w:color w:val="000000"/>
                          <w:szCs w:val="24"/>
                        </w:rPr>
                        <w:t>1.1</w:t>
                      </w:r>
                    </w:sdtContent>
                  </w:sdt>
                  <w:r>
                    <w:rPr>
                      <w:color w:val="000000"/>
                      <w:szCs w:val="24"/>
                    </w:rPr>
                    <w:t xml:space="preserve">. </w:t>
                  </w:r>
                  <w:r>
                    <w:rPr>
                      <w:szCs w:val="24"/>
                    </w:rPr>
                    <w:t xml:space="preserve">kriterijus, taikomas visiems ANK 12 straipsnio 1 dalyje nurodytiems administraciniams nusižengimams, dėl kurių pareigūnai turi teisę pradėti administracinio nusižengimo teiseną ‒ </w:t>
                  </w:r>
                </w:p>
                <w:p>
                  <w:pPr>
                    <w:suppressAutoHyphens/>
                    <w:overflowPunct w:val="0"/>
                    <w:ind w:firstLine="567"/>
                    <w:jc w:val="both"/>
                    <w:textAlignment w:val="baseline"/>
                  </w:pPr>
                  <w:r>
                    <w:rPr>
                      <w:szCs w:val="24"/>
                    </w:rPr>
                    <w:t>dėl padaryto priešgaisrinę ar civilinę saugą reglamentuojančio teisės akto reikalavimo pažeidimo asmeniui per vienerius metus nė karto nebuvo skirta administracinė nuobauda ir pareikšta žodinė pastaba;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83b2c0c7d911e8bf37fd1541d65f38">
                    <w:r w:rsidRPr="00532B9F">
                      <w:rPr>
                        <w:rFonts w:ascii="Times New Roman" w:eastAsia="MS Mincho" w:hAnsi="Times New Roman"/>
                        <w:sz w:val="20"/>
                        <w:i/>
                        <w:iCs/>
                        <w:color w:val="0000FF" w:themeColor="hyperlink"/>
                        <w:u w:val="single"/>
                      </w:rPr>
                      <w:t>1-358</w:t>
                    </w:r>
                  </w:fldSimple>
                  <w:r>
                    <w:rPr>
                      <w:rFonts w:ascii="Times New Roman" w:eastAsia="MS Mincho" w:hAnsi="Times New Roman"/>
                      <w:sz w:val="20"/>
                      <w:i/>
                      <w:iCs/>
                    </w:rPr>
                    <w:t>,
2018-10-04,
paskelbta TAR 2018-10-04, i. k. 2018-15817            </w:t>
                  </w:r>
                </w:p>
                <w:p/>
              </w:sdtContent>
            </w:sdt>
            <w:sdt>
              <w:sdtPr>
                <w:alias w:val="1.2 pp."/>
                <w:tag w:val="part_244a7fbd157a40109a0c4bbd273494ee"/>
                <w:lock w:val="sdtLocked"/>
                <w:richText/>
              </w:sdtPr>
              <w:sdtContent>
                <w:p>
                  <w:pPr>
                    <w:suppressAutoHyphens/>
                    <w:overflowPunct w:val="0"/>
                    <w:spacing w:line="276" w:lineRule="auto"/>
                    <w:ind w:firstLine="567"/>
                    <w:jc w:val="both"/>
                    <w:textAlignment w:val="baseline"/>
                  </w:pPr>
                  <w:sdt>
                    <w:sdtPr>
                      <w:alias w:val="Numeris"/>
                      <w:tag w:val="nr_244a7fbd157a40109a0c4bbd273494ee"/>
                      <w:lock w:val="sdtLocked"/>
                      <w:richText/>
                    </w:sdtPr>
                    <w:sdtContent>
                      <w:r>
                        <w:t>1.2</w:t>
                      </w:r>
                    </w:sdtContent>
                  </w:sdt>
                  <w:r>
                    <w:t xml:space="preserve">. </w:t>
                  </w:r>
                  <w:r>
                    <w:rPr>
                      <w:szCs w:val="24"/>
                    </w:rPr>
                    <w:t>kriterijai, taikomi atskiriems ANK 12 straipsnio 1 dalyje nurodytiems administraciniams nusižengimams, dėl kurių pareigūnai turi teisę pradėti administracinio nusižengimo teiseną:</w:t>
                  </w:r>
                </w:p>
                <w:sdt>
                  <w:sdtPr>
                    <w:alias w:val="1.2.1 pp."/>
                    <w:tag w:val="part_9b42b3f6ba06421ea12331774781795e"/>
                    <w:lock w:val="sdtLocked"/>
                    <w:richText/>
                  </w:sdtPr>
                  <w:sdtContent>
                    <w:p>
                      <w:pPr>
                        <w:suppressAutoHyphens/>
                        <w:ind w:firstLine="567"/>
                        <w:jc w:val="both"/>
                        <w:textAlignment w:val="center"/>
                      </w:pPr>
                      <w:sdt>
                        <w:sdtPr>
                          <w:alias w:val="Numeris"/>
                          <w:tag w:val="nr_9b42b3f6ba06421ea12331774781795e"/>
                          <w:lock w:val="sdtLocked"/>
                          <w:richText/>
                        </w:sdtPr>
                        <w:sdtContent>
                          <w:r>
                            <w:rPr>
                              <w:color w:val="000000"/>
                              <w:szCs w:val="24"/>
                            </w:rPr>
                            <w:t>1.2.1</w:t>
                          </w:r>
                        </w:sdtContent>
                      </w:sdt>
                      <w:r>
                        <w:rPr>
                          <w:color w:val="000000"/>
                          <w:szCs w:val="24"/>
                        </w:rPr>
                        <w:t>. kai yra padarytas ANK 279 straipsnio 1 dalyje nurodytas priešgaisrinės miškų apsaugos reikalavimų pažeidimas, kuris kilus gaisrui neapsunkintų gaisro gesinimo darbų;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83b2c0c7d911e8bf37fd1541d65f38">
                        <w:r w:rsidRPr="00532B9F">
                          <w:rPr>
                            <w:rFonts w:ascii="Times New Roman" w:eastAsia="MS Mincho" w:hAnsi="Times New Roman"/>
                            <w:sz w:val="20"/>
                            <w:i/>
                            <w:iCs/>
                            <w:color w:val="0000FF" w:themeColor="hyperlink"/>
                            <w:u w:val="single"/>
                          </w:rPr>
                          <w:t>1-358</w:t>
                        </w:r>
                      </w:fldSimple>
                      <w:r>
                        <w:rPr>
                          <w:rFonts w:ascii="Times New Roman" w:eastAsia="MS Mincho" w:hAnsi="Times New Roman"/>
                          <w:sz w:val="20"/>
                          <w:i/>
                          <w:iCs/>
                        </w:rPr>
                        <w:t>,
2018-10-04,
paskelbta TAR 2018-10-04, i. k. 2018-15817            </w:t>
                      </w:r>
                    </w:p>
                    <w:p/>
                  </w:sdtContent>
                </w:sdt>
                <w:sdt>
                  <w:sdtPr>
                    <w:alias w:val="1.2.2 pp."/>
                    <w:tag w:val="part_bf400e0ef0554364a1cc3f8413dcfa64"/>
                    <w:lock w:val="sdtLocked"/>
                    <w:richText/>
                  </w:sdtPr>
                  <w:sdtContent>
                    <w:p>
                      <w:pPr>
                        <w:tabs>
                          <w:tab w:val="left" w:pos="1140"/>
                        </w:tabs>
                        <w:suppressAutoHyphens/>
                        <w:overflowPunct w:val="0"/>
                        <w:spacing w:line="276" w:lineRule="auto"/>
                        <w:ind w:firstLine="567"/>
                        <w:jc w:val="both"/>
                        <w:textAlignment w:val="baseline"/>
                      </w:pPr>
                      <w:sdt>
                        <w:sdtPr>
                          <w:alias w:val="Numeris"/>
                          <w:tag w:val="nr_bf400e0ef0554364a1cc3f8413dcfa64"/>
                          <w:lock w:val="sdtLocked"/>
                          <w:richText/>
                        </w:sdtPr>
                        <w:sdtContent>
                          <w:r>
                            <w:t>1.2.2</w:t>
                          </w:r>
                        </w:sdtContent>
                      </w:sdt>
                      <w:r>
                        <w:t>.</w:t>
                        <w:tab/>
                      </w:r>
                      <w:r>
                        <w:rPr>
                          <w:szCs w:val="24"/>
                        </w:rPr>
                        <w:t>kai padarytas ANK 525 straipsnio 1 dalyje nurodytas administracinis nusižengimas:</w:t>
                      </w:r>
                    </w:p>
                    <w:sdt>
                      <w:sdtPr>
                        <w:alias w:val="1.2.2.1 pp."/>
                        <w:tag w:val="part_8f23619d7d6c4b7b9b411f321f4ef2f6"/>
                        <w:lock w:val="sdtLocked"/>
                        <w:richText/>
                      </w:sdtPr>
                      <w:sdtContent>
                        <w:p>
                          <w:pPr>
                            <w:suppressAutoHyphens/>
                            <w:ind w:firstLine="567"/>
                            <w:jc w:val="both"/>
                            <w:textAlignment w:val="center"/>
                            <w:rPr>
                              <w:szCs w:val="24"/>
                            </w:rPr>
                          </w:pPr>
                          <w:sdt>
                            <w:sdtPr>
                              <w:alias w:val="Numeris"/>
                              <w:tag w:val="nr_8f23619d7d6c4b7b9b411f321f4ef2f6"/>
                              <w:lock w:val="sdtLocked"/>
                              <w:richText/>
                            </w:sdtPr>
                            <w:sdtContent>
                              <w:r>
                                <w:rPr>
                                  <w:color w:val="000000"/>
                                  <w:szCs w:val="24"/>
                                </w:rPr>
                                <w:t>1.2.2.1</w:t>
                              </w:r>
                            </w:sdtContent>
                          </w:sdt>
                          <w:r>
                            <w:rPr>
                              <w:color w:val="000000"/>
                              <w:szCs w:val="24"/>
                            </w:rPr>
                            <w:t xml:space="preserve">. </w:t>
                          </w:r>
                          <w:r>
                            <w:rPr>
                              <w:szCs w:val="24"/>
                            </w:rPr>
                            <w:t>kai yra padarytas priešgaisrinę saugą reglamentuojančių teisės aktų pažeidimas, kuris kilus gaisrui neturėtų įtakos gaisro padariniams;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83b2c0c7d911e8bf37fd1541d65f38">
                            <w:r w:rsidRPr="00532B9F">
                              <w:rPr>
                                <w:rFonts w:ascii="Times New Roman" w:eastAsia="MS Mincho" w:hAnsi="Times New Roman"/>
                                <w:sz w:val="20"/>
                                <w:i/>
                                <w:iCs/>
                                <w:color w:val="0000FF" w:themeColor="hyperlink"/>
                                <w:u w:val="single"/>
                              </w:rPr>
                              <w:t>1-358</w:t>
                            </w:r>
                          </w:fldSimple>
                          <w:r>
                            <w:rPr>
                              <w:rFonts w:ascii="Times New Roman" w:eastAsia="MS Mincho" w:hAnsi="Times New Roman"/>
                              <w:sz w:val="20"/>
                              <w:i/>
                              <w:iCs/>
                            </w:rPr>
                            <w:t>,
2018-10-04,
paskelbta TAR 2018-10-04, i. k. 2018-15817            </w:t>
                          </w:r>
                        </w:p>
                        <w:p/>
                      </w:sdtContent>
                    </w:sdt>
                    <w:sdt>
                      <w:sdtPr>
                        <w:alias w:val="1.2.2.2 pp."/>
                        <w:tag w:val="part_732e9f977aa14aa99087eb8ba654cf24"/>
                        <w:lock w:val="sdtLocked"/>
                        <w:richText/>
                      </w:sdtPr>
                      <w:sdtContent>
                        <w:p>
                          <w:pPr>
                            <w:suppressAutoHyphens/>
                            <w:ind w:firstLine="567"/>
                            <w:jc w:val="both"/>
                            <w:textAlignment w:val="center"/>
                            <w:rPr>
                              <w:szCs w:val="24"/>
                            </w:rPr>
                          </w:pPr>
                          <w:sdt>
                            <w:sdtPr>
                              <w:alias w:val="Numeris"/>
                              <w:tag w:val="nr_732e9f977aa14aa99087eb8ba654cf24"/>
                              <w:lock w:val="sdtLocked"/>
                              <w:richText/>
                            </w:sdtPr>
                            <w:sdtContent>
                              <w:r>
                                <w:rPr>
                                  <w:color w:val="000000"/>
                                  <w:szCs w:val="24"/>
                                </w:rPr>
                                <w:t>1.2.2.2</w:t>
                              </w:r>
                            </w:sdtContent>
                          </w:sdt>
                          <w:r>
                            <w:rPr>
                              <w:color w:val="000000"/>
                              <w:szCs w:val="24"/>
                            </w:rPr>
                            <w:t xml:space="preserve">. </w:t>
                          </w:r>
                          <w:r>
                            <w:rPr>
                              <w:szCs w:val="24"/>
                            </w:rPr>
                            <w:t>kai yra padarytas priešgaisrinę saugą reglamentuojančių teisės aktų pažeidimas, kuris kilus gaisrui neapsunkintų gaisro gesinimo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83b2c0c7d911e8bf37fd1541d65f38">
                            <w:r w:rsidRPr="00532B9F">
                              <w:rPr>
                                <w:rFonts w:ascii="Times New Roman" w:eastAsia="MS Mincho" w:hAnsi="Times New Roman"/>
                                <w:sz w:val="20"/>
                                <w:i/>
                                <w:iCs/>
                                <w:color w:val="0000FF" w:themeColor="hyperlink"/>
                                <w:u w:val="single"/>
                              </w:rPr>
                              <w:t>1-358</w:t>
                            </w:r>
                          </w:fldSimple>
                          <w:r>
                            <w:rPr>
                              <w:rFonts w:ascii="Times New Roman" w:eastAsia="MS Mincho" w:hAnsi="Times New Roman"/>
                              <w:sz w:val="20"/>
                              <w:i/>
                              <w:iCs/>
                            </w:rPr>
                            <w:t>,
2018-10-04,
paskelbta TAR 2018-10-04, i. k. 2018-15817            </w:t>
                          </w:r>
                        </w:p>
                        <w:p/>
                      </w:sdtContent>
                    </w:sdt>
                  </w:sdtContent>
                </w:sdt>
                <w:sdt>
                  <w:sdtPr>
                    <w:alias w:val="1.2.3 pp."/>
                    <w:tag w:val="part_00d43ebf1bd8498db1ff1cc9dc4e8167"/>
                    <w:lock w:val="sdtLocked"/>
                    <w:richText/>
                  </w:sdtPr>
                  <w:sdtContent>
                    <w:p>
                      <w:pPr>
                        <w:tabs>
                          <w:tab w:val="left" w:pos="1185"/>
                        </w:tabs>
                        <w:suppressAutoHyphens/>
                        <w:overflowPunct w:val="0"/>
                        <w:spacing w:line="276" w:lineRule="auto"/>
                        <w:ind w:firstLine="567"/>
                        <w:jc w:val="both"/>
                        <w:textAlignment w:val="baseline"/>
                      </w:pPr>
                      <w:sdt>
                        <w:sdtPr>
                          <w:alias w:val="Numeris"/>
                          <w:tag w:val="nr_00d43ebf1bd8498db1ff1cc9dc4e8167"/>
                          <w:lock w:val="sdtLocked"/>
                          <w:richText/>
                        </w:sdtPr>
                        <w:sdtContent>
                          <w:r>
                            <w:t>1.2.3</w:t>
                          </w:r>
                        </w:sdtContent>
                      </w:sdt>
                      <w:r>
                        <w:t>.</w:t>
                        <w:tab/>
                      </w:r>
                      <w:r>
                        <w:rPr>
                          <w:szCs w:val="24"/>
                        </w:rPr>
                        <w:t>kai padarytas ANK 526 straipsnio 1 dalyje nurodytas administracinis nusižengimas:</w:t>
                      </w:r>
                    </w:p>
                    <w:sdt>
                      <w:sdtPr>
                        <w:alias w:val="1.2.3.1 pp."/>
                        <w:tag w:val="part_e8f740b56ce144caa9e529d419a61fc7"/>
                        <w:lock w:val="sdtLocked"/>
                        <w:richText/>
                      </w:sdtPr>
                      <w:sdtContent>
                        <w:p>
                          <w:pPr>
                            <w:tabs>
                              <w:tab w:val="left" w:pos="1365"/>
                            </w:tabs>
                            <w:suppressAutoHyphens/>
                            <w:overflowPunct w:val="0"/>
                            <w:spacing w:line="276" w:lineRule="auto"/>
                            <w:ind w:right="170" w:firstLine="567"/>
                            <w:jc w:val="both"/>
                            <w:textAlignment w:val="baseline"/>
                          </w:pPr>
                          <w:sdt>
                            <w:sdtPr>
                              <w:alias w:val="Numeris"/>
                              <w:tag w:val="nr_e8f740b56ce144caa9e529d419a61fc7"/>
                              <w:lock w:val="sdtLocked"/>
                              <w:richText/>
                            </w:sdtPr>
                            <w:sdtContent>
                              <w:r>
                                <w:t>1.2.3.1</w:t>
                              </w:r>
                            </w:sdtContent>
                          </w:sdt>
                          <w:r>
                            <w:t>.</w:t>
                            <w:tab/>
                          </w:r>
                          <w:r>
                            <w:rPr>
                              <w:szCs w:val="24"/>
                            </w:rPr>
                            <w:t xml:space="preserve">nusižengimas </w:t>
                          </w:r>
                          <w:r>
                            <w:t xml:space="preserve">formalaus pobūdžio ir dėl jo neatsirado realių pasekmių, trukdančių valstybės ir savivaldybių institucijų ir įstaigų, kitų įstaigų, ūkio subjektų ir gyventojų pasirengimui ekstremaliosioms situacijoms, veiksmams joms gresiant ar susidarius, ekstremaliųjų situacijų likvidavimui ir jų padarinių šalinimui; </w:t>
                          </w:r>
                        </w:p>
                      </w:sdtContent>
                    </w:sdt>
                    <w:sdt>
                      <w:sdtPr>
                        <w:alias w:val="1.2.3.2 pp."/>
                        <w:tag w:val="part_1ace5360991b428cb7af0dd37ef24f22"/>
                        <w:lock w:val="sdtLocked"/>
                        <w:richText/>
                      </w:sdtPr>
                      <w:sdtContent>
                        <w:p>
                          <w:pPr>
                            <w:tabs>
                              <w:tab w:val="left" w:pos="1365"/>
                            </w:tabs>
                            <w:suppressAutoHyphens/>
                            <w:overflowPunct w:val="0"/>
                            <w:spacing w:line="276" w:lineRule="auto"/>
                            <w:ind w:firstLine="567"/>
                            <w:jc w:val="both"/>
                            <w:textAlignment w:val="baseline"/>
                            <w:rPr>
                              <w:szCs w:val="24"/>
                            </w:rPr>
                          </w:pPr>
                          <w:sdt>
                            <w:sdtPr>
                              <w:alias w:val="Numeris"/>
                              <w:tag w:val="nr_1ace5360991b428cb7af0dd37ef24f22"/>
                              <w:lock w:val="sdtLocked"/>
                              <w:richText/>
                            </w:sdtPr>
                            <w:sdtContent>
                              <w:r>
                                <w:rPr>
                                  <w:szCs w:val="24"/>
                                </w:rPr>
                                <w:t>1.2.3.2</w:t>
                              </w:r>
                            </w:sdtContent>
                          </w:sdt>
                          <w:r>
                            <w:rPr>
                              <w:szCs w:val="24"/>
                            </w:rPr>
                            <w:t>.</w:t>
                            <w:tab/>
                            <w:t>kai yra nustatytas Lietuvos Respublikos civilinės saugos įstatymo ir kitų civilinę saugą reglamentuojančių teisės aktų nevykdymas ar pažeidimas, kurį galima ištaisyti nedelsiant priežiūrą atliekančio subjekto pareigūno akivaizdoje;</w:t>
                          </w:r>
                        </w:p>
                      </w:sdtContent>
                    </w:sdt>
                  </w:sdtContent>
                </w:sdt>
              </w:sdtContent>
            </w:sdt>
            <w:sdt>
              <w:sdtPr>
                <w:alias w:val="1.3 pp."/>
                <w:tag w:val="part_7086dc164bb84e6da95c1a6724450976"/>
                <w:lock w:val="sdtLocked"/>
                <w:richText/>
              </w:sdtPr>
              <w:sdtContent>
                <w:p>
                  <w:pPr>
                    <w:tabs>
                      <w:tab w:val="left" w:pos="1590"/>
                    </w:tabs>
                    <w:suppressAutoHyphens/>
                    <w:overflowPunct w:val="0"/>
                    <w:spacing w:line="276" w:lineRule="auto"/>
                    <w:ind w:firstLine="567"/>
                    <w:jc w:val="both"/>
                    <w:textAlignment w:val="baseline"/>
                  </w:pPr>
                  <w:sdt>
                    <w:sdtPr>
                      <w:alias w:val="Numeris"/>
                      <w:tag w:val="nr_7086dc164bb84e6da95c1a6724450976"/>
                      <w:lock w:val="sdtLocked"/>
                      <w:richText/>
                    </w:sdtPr>
                    <w:sdtContent>
                      <w:r>
                        <w:rPr>
                          <w:szCs w:val="24"/>
                        </w:rPr>
                        <w:t>1.3</w:t>
                      </w:r>
                    </w:sdtContent>
                  </w:sdt>
                  <w:r>
                    <w:rPr>
                      <w:szCs w:val="24"/>
                    </w:rPr>
                    <w:t>. administracinis nusižengimas laikomas mažai pavojingu, jei jis atitinka šio įsakymo 1.1 papunktyje nustatytą kriterijų ir bent vieną atskiram administraciniam nusižengimui nustatytą kriterijų.</w:t>
                  </w:r>
                </w:p>
              </w:sdtContent>
            </w:sdt>
          </w:sdtContent>
        </w:sdt>
        <w:sdt>
          <w:sdtPr>
            <w:alias w:val="2 p."/>
            <w:tag w:val="part_08e1935bbdf34e6891ead33825473308"/>
            <w:lock w:val="sdtLocked"/>
            <w:richText/>
          </w:sdtPr>
          <w:sdtContent>
            <w:p>
              <w:pPr>
                <w:suppressAutoHyphens/>
                <w:overflowPunct w:val="0"/>
                <w:spacing w:line="276" w:lineRule="auto"/>
                <w:ind w:firstLine="567"/>
                <w:jc w:val="both"/>
                <w:textAlignment w:val="baseline"/>
                <w:rPr>
                  <w:szCs w:val="24"/>
                </w:rPr>
              </w:pPr>
              <w:sdt>
                <w:sdtPr>
                  <w:alias w:val="Numeris"/>
                  <w:tag w:val="nr_08e1935bbdf34e6891ead33825473308"/>
                  <w:lock w:val="sdtLocked"/>
                  <w:richText/>
                </w:sdtPr>
                <w:sdtContent>
                  <w:r>
                    <w:rPr>
                      <w:szCs w:val="24"/>
                    </w:rPr>
                    <w:t>2</w:t>
                  </w:r>
                </w:sdtContent>
              </w:sdt>
              <w:r>
                <w:rPr>
                  <w:szCs w:val="24"/>
                </w:rPr>
                <w:t xml:space="preserve">.  N u r o d a u  pareigūnams, pripažinusiems padarytą administracinį nusižengimą mažai pavojinga veika ir pareiškusiems administracinį nusižengimą padariusiam asmeniui žodinę pastabą, tai pažymėti Administracinių nusižengimų registre.</w:t>
              </w:r>
            </w:p>
          </w:sdtContent>
        </w:sdt>
        <w:sdt>
          <w:sdtPr>
            <w:alias w:val="3 p."/>
            <w:tag w:val="part_1820e7fe764845b5a678d4e7e763648a"/>
            <w:lock w:val="sdtLocked"/>
            <w:richText/>
          </w:sdtPr>
          <w:sdtContent>
            <w:p>
              <w:pPr>
                <w:suppressAutoHyphens/>
                <w:overflowPunct w:val="0"/>
                <w:spacing w:line="276" w:lineRule="auto"/>
                <w:ind w:firstLine="567"/>
                <w:jc w:val="both"/>
                <w:textAlignment w:val="baseline"/>
                <w:rPr>
                  <w:szCs w:val="24"/>
                  <w:lang w:val="en-US"/>
                </w:rPr>
              </w:pPr>
              <w:sdt>
                <w:sdtPr>
                  <w:alias w:val="Numeris"/>
                  <w:tag w:val="nr_1820e7fe764845b5a678d4e7e763648a"/>
                  <w:lock w:val="sdtLocked"/>
                  <w:richText/>
                </w:sdtPr>
                <w:sdtContent>
                  <w:r>
                    <w:rPr>
                      <w:szCs w:val="24"/>
                    </w:rPr>
                    <w:t>3</w:t>
                  </w:r>
                </w:sdtContent>
              </w:sdt>
              <w:r>
                <w:rPr>
                  <w:szCs w:val="24"/>
                </w:rPr>
                <w:t xml:space="preserve">. </w:t>
              </w:r>
              <w:r>
                <w:rPr>
                  <w:spacing w:val="60"/>
                  <w:szCs w:val="24"/>
                </w:rPr>
                <w:t>Pavedu</w:t>
              </w:r>
              <w:r>
                <w:rPr>
                  <w:spacing w:val="60"/>
                  <w:szCs w:val="24"/>
                  <w:lang w:val="en-US"/>
                </w:rPr>
                <w:t>:</w:t>
              </w:r>
              <w:r>
                <w:rPr>
                  <w:szCs w:val="24"/>
                  <w:lang w:val="en-US"/>
                </w:rPr>
                <w:t xml:space="preserve"> </w:t>
              </w:r>
            </w:p>
            <w:sdt>
              <w:sdtPr>
                <w:alias w:val="3.1 pp."/>
                <w:tag w:val="part_18908e41768f495092299578cefe0311"/>
                <w:lock w:val="sdtLocked"/>
                <w:richText/>
              </w:sdtPr>
              <w:sdtContent>
                <w:p>
                  <w:pPr>
                    <w:suppressAutoHyphens/>
                    <w:overflowPunct w:val="0"/>
                    <w:spacing w:line="276" w:lineRule="auto"/>
                    <w:ind w:firstLine="567"/>
                    <w:jc w:val="both"/>
                    <w:textAlignment w:val="baseline"/>
                    <w:rPr>
                      <w:szCs w:val="24"/>
                    </w:rPr>
                  </w:pPr>
                  <w:sdt>
                    <w:sdtPr>
                      <w:alias w:val="Numeris"/>
                      <w:tag w:val="nr_18908e41768f495092299578cefe0311"/>
                      <w:lock w:val="sdtLocked"/>
                      <w:richText/>
                    </w:sdtPr>
                    <w:sdtContent>
                      <w:r>
                        <w:rPr>
                          <w:szCs w:val="24"/>
                          <w:lang w:val="en-US"/>
                        </w:rPr>
                        <w:t>3.1</w:t>
                      </w:r>
                    </w:sdtContent>
                  </w:sdt>
                  <w:r>
                    <w:rPr>
                      <w:szCs w:val="24"/>
                      <w:lang w:val="en-US"/>
                    </w:rPr>
                    <w:t xml:space="preserve">. </w:t>
                  </w:r>
                  <w:r>
                    <w:rPr>
                      <w:szCs w:val="24"/>
                    </w:rPr>
                    <w:t>apskričių priešgaisrinių gelbėjimo valdybų, priešgaisrinių gelbėjimo tarnybų, priešgaisrinių gelbėjimo tarnybų objektų apsaugai viršininkams kontroliuoti šio įsakymo vykdymą</w:t>
                  </w:r>
                  <w:r>
                    <w:rPr>
                      <w:szCs w:val="24"/>
                      <w:lang w:val="en-US"/>
                    </w:rPr>
                    <w:t>;</w:t>
                  </w:r>
                </w:p>
              </w:sdtContent>
            </w:sdt>
            <w:sdt>
              <w:sdtPr>
                <w:alias w:val="3.2 pp."/>
                <w:tag w:val="part_8fe8a8a54bb049d98528cb56445a255d"/>
                <w:lock w:val="sdtLocked"/>
                <w:richText/>
              </w:sdtPr>
              <w:sdtContent>
                <w:p>
                  <w:pPr>
                    <w:ind w:firstLine="567"/>
                    <w:jc w:val="both"/>
                    <w:rPr>
                      <w:szCs w:val="24"/>
                    </w:rPr>
                  </w:pPr>
                  <w:sdt>
                    <w:sdtPr>
                      <w:alias w:val="Numeris"/>
                      <w:tag w:val="nr_8fe8a8a54bb049d98528cb56445a255d"/>
                      <w:lock w:val="sdtLocked"/>
                      <w:richText/>
                    </w:sdtPr>
                    <w:sdtContent>
                      <w:r>
                        <w:rPr>
                          <w:bCs/>
                          <w:szCs w:val="24"/>
                        </w:rPr>
                        <w:t>3.2</w:t>
                      </w:r>
                    </w:sdtContent>
                  </w:sdt>
                  <w:r>
                    <w:rPr>
                      <w:bCs/>
                      <w:szCs w:val="24"/>
                    </w:rPr>
                    <w:t xml:space="preserve">. </w:t>
                  </w:r>
                  <w:r>
                    <w:rPr>
                      <w:szCs w:val="24"/>
                    </w:rPr>
                    <w:t>Priešgaisrinės apsaugos ir gelbėjimo departamento prie Vidaus reikalų ministerijos Administracinės valdybos Bendrajam skyriui šį įsakymą teisės aktų nustatyta tvarka teikti skelbti Teisės aktų registre;</w:t>
                  </w:r>
                </w:p>
              </w:sdtContent>
            </w:sdt>
            <w:sdt>
              <w:sdtPr>
                <w:alias w:val="3.3 pp."/>
                <w:tag w:val="part_b544f853ba7c4af6921a95eb971cc15a"/>
                <w:lock w:val="sdtLocked"/>
                <w:richText/>
              </w:sdtPr>
              <w:sdtContent>
                <w:p>
                  <w:pPr>
                    <w:ind w:firstLine="567"/>
                    <w:jc w:val="both"/>
                    <w:rPr>
                      <w:bCs/>
                      <w:szCs w:val="24"/>
                    </w:rPr>
                  </w:pPr>
                  <w:sdt>
                    <w:sdtPr>
                      <w:alias w:val="Numeris"/>
                      <w:tag w:val="nr_b544f853ba7c4af6921a95eb971cc15a"/>
                      <w:lock w:val="sdtLocked"/>
                      <w:richText/>
                    </w:sdtPr>
                    <w:sdtContent>
                      <w:r>
                        <w:rPr>
                          <w:szCs w:val="24"/>
                        </w:rPr>
                        <w:t>3.3</w:t>
                      </w:r>
                    </w:sdtContent>
                  </w:sdt>
                  <w:r>
                    <w:rPr>
                      <w:szCs w:val="24"/>
                    </w:rPr>
                    <w:t>. Priešgaisrinės apsaugos ir gelbėjimo departamento prie Vidaus reikalų ministerijos Administracinės valdybos Teisės skyriui šį įsakymą paskelbti Priešgaisrinės apsaugos ir gelbėjimo departamento prie Vidaus reikalų ministerijos interneto svetainėje.</w:t>
                  </w:r>
                </w:p>
              </w:sdtContent>
            </w:sdt>
          </w:sdtContent>
        </w:sdt>
        <w:sdt>
          <w:sdtPr>
            <w:alias w:val="4 p."/>
            <w:tag w:val="part_540f037fc8d64c6b9c084ea7874d30f6"/>
            <w:lock w:val="sdtLocked"/>
            <w:richText/>
          </w:sdtPr>
          <w:sdtContent>
            <w:p>
              <w:pPr>
                <w:ind w:firstLine="567"/>
                <w:jc w:val="both"/>
                <w:rPr>
                  <w:szCs w:val="24"/>
                </w:rPr>
              </w:pPr>
              <w:sdt>
                <w:sdtPr>
                  <w:alias w:val="Numeris"/>
                  <w:tag w:val="nr_540f037fc8d64c6b9c084ea7874d30f6"/>
                  <w:lock w:val="sdtLocked"/>
                  <w:richText/>
                </w:sdtPr>
                <w:sdtContent>
                  <w:r>
                    <w:rPr>
                      <w:bCs/>
                      <w:szCs w:val="24"/>
                    </w:rPr>
                    <w:t>4</w:t>
                  </w:r>
                </w:sdtContent>
              </w:sdt>
              <w:r>
                <w:rPr>
                  <w:bCs/>
                  <w:szCs w:val="24"/>
                </w:rPr>
                <w:t>. N u s t a t a u, kad įsakymas įsigalioja 2017 m. sausio 1 d.</w:t>
              </w:r>
            </w:p>
          </w:sdtContent>
        </w:sdt>
        <w:sdt>
          <w:sdtPr>
            <w:alias w:val="signatura"/>
            <w:tag w:val="part_840933dff7a64f63a452b043bab8ad1b"/>
            <w:lock w:val="sdtLocked"/>
            <w:richText/>
          </w:sdtPr>
          <w:sdtContent>
            <w:p>
              <w:pPr>
                <w:tabs>
                  <w:tab w:val="left" w:pos="7513"/>
                </w:tabs>
                <w:jc w:val="both"/>
              </w:pPr>
            </w:p>
            <w:p>
              <w:pPr>
                <w:tabs>
                  <w:tab w:val="left" w:pos="7513"/>
                </w:tabs>
                <w:jc w:val="both"/>
              </w:pPr>
            </w:p>
            <w:p>
              <w:pPr>
                <w:tabs>
                  <w:tab w:val="left" w:pos="7513"/>
                </w:tabs>
                <w:jc w:val="both"/>
              </w:pPr>
            </w:p>
            <w:p>
              <w:pPr>
                <w:tabs>
                  <w:tab w:val="left" w:pos="7513"/>
                </w:tabs>
                <w:jc w:val="both"/>
                <w:rPr>
                  <w:szCs w:val="24"/>
                </w:rPr>
              </w:pPr>
              <w:r>
                <w:rPr>
                  <w:szCs w:val="24"/>
                </w:rPr>
                <w:t>Direktoriaus pavaduotojas,</w:t>
              </w:r>
            </w:p>
            <w:p>
              <w:pPr>
                <w:tabs>
                  <w:tab w:val="left" w:pos="7513"/>
                </w:tabs>
                <w:jc w:val="both"/>
                <w:rPr>
                  <w:szCs w:val="24"/>
                </w:rPr>
              </w:pPr>
              <w:r>
                <w:rPr>
                  <w:szCs w:val="24"/>
                </w:rPr>
                <w:t>laikinai atliekantis direktoriaus funkcijas,</w:t>
              </w:r>
            </w:p>
            <w:p>
              <w:pPr>
                <w:tabs>
                  <w:tab w:val="left" w:pos="851"/>
                  <w:tab w:val="left" w:pos="7371"/>
                </w:tabs>
                <w:jc w:val="both"/>
                <w:rPr>
                  <w:szCs w:val="24"/>
                </w:rPr>
              </w:pPr>
              <w:r>
                <w:rPr>
                  <w:szCs w:val="24"/>
                </w:rPr>
                <w:t>vidaus tarnybos pulkininkas</w:t>
                <w:tab/>
                <w:t>Jūris Targonskas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83b2c0c7d911e8bf37fd1541d65f38">
            <w:r w:rsidRPr="00532B9F">
              <w:rPr>
                <w:rFonts w:ascii="Times New Roman" w:eastAsia="MS Mincho" w:hAnsi="Times New Roman"/>
                <w:sz w:val="20"/>
                <w:iCs/>
                <w:color w:val="0000FF" w:themeColor="hyperlink"/>
                <w:u w:val="single"/>
              </w:rPr>
              <w:t>1-358</w:t>
            </w:r>
          </w:fldSimple>
          <w:r>
            <w:rPr>
              <w:rFonts w:ascii="Times New Roman" w:eastAsia="MS Mincho" w:hAnsi="Times New Roman"/>
              <w:sz w:val="20"/>
              <w:iCs/>
            </w:rPr>
            <w:t>,
2018-10-04,
paskelbta TAR 2018-10-04, i. k. 2018-15817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2016 m. gruodžio 27 d. įsakymo Nr. 1-445 „Dėl kriterijų, pagal kuriuos priešgaisrinę saugą ir civilinę saugą reglamentuojančių teisės aktų pažeidimai laikomi mažai pavojingais,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851"/>
  <w:hyphenationZone w:val="396"/>
  <w:doNotHyphenateCaps/>
  <w:drawingGridHorizontalSpacing w:val="12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F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C1C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6860987">
      <w:bodyDiv w:val="1"/>
      <w:marLeft w:val="0"/>
      <w:marRight w:val="0"/>
      <w:marTop w:val="0"/>
      <w:marBottom w:val="0"/>
      <w:divBdr>
        <w:top w:val="none" w:sz="0" w:space="0" w:color="auto"/>
        <w:left w:val="none" w:sz="0" w:space="0" w:color="auto"/>
        <w:bottom w:val="none" w:sz="0" w:space="0" w:color="auto"/>
        <w:right w:val="none" w:sz="0" w:space="0" w:color="auto"/>
      </w:divBdr>
    </w:div>
    <w:div w:id="429664488">
      <w:bodyDiv w:val="1"/>
      <w:marLeft w:val="0"/>
      <w:marRight w:val="0"/>
      <w:marTop w:val="0"/>
      <w:marBottom w:val="0"/>
      <w:divBdr>
        <w:top w:val="none" w:sz="0" w:space="0" w:color="auto"/>
        <w:left w:val="none" w:sz="0" w:space="0" w:color="auto"/>
        <w:bottom w:val="none" w:sz="0" w:space="0" w:color="auto"/>
        <w:right w:val="none" w:sz="0" w:space="0" w:color="auto"/>
      </w:divBdr>
      <w:divsChild>
        <w:div w:id="19624915">
          <w:marLeft w:val="0"/>
          <w:marRight w:val="0"/>
          <w:marTop w:val="0"/>
          <w:marBottom w:val="0"/>
          <w:divBdr>
            <w:top w:val="none" w:sz="0" w:space="0" w:color="auto"/>
            <w:left w:val="none" w:sz="0" w:space="0" w:color="auto"/>
            <w:bottom w:val="none" w:sz="0" w:space="0" w:color="auto"/>
            <w:right w:val="none" w:sz="0" w:space="0" w:color="auto"/>
          </w:divBdr>
          <w:divsChild>
            <w:div w:id="2006084362">
              <w:marLeft w:val="0"/>
              <w:marRight w:val="0"/>
              <w:marTop w:val="0"/>
              <w:marBottom w:val="0"/>
              <w:divBdr>
                <w:top w:val="none" w:sz="0" w:space="0" w:color="auto"/>
                <w:left w:val="none" w:sz="0" w:space="0" w:color="auto"/>
                <w:bottom w:val="none" w:sz="0" w:space="0" w:color="auto"/>
                <w:right w:val="none" w:sz="0" w:space="0" w:color="auto"/>
              </w:divBdr>
              <w:divsChild>
                <w:div w:id="1468232465">
                  <w:marLeft w:val="0"/>
                  <w:marRight w:val="0"/>
                  <w:marTop w:val="0"/>
                  <w:marBottom w:val="0"/>
                  <w:divBdr>
                    <w:top w:val="none" w:sz="0" w:space="0" w:color="auto"/>
                    <w:left w:val="none" w:sz="0" w:space="0" w:color="auto"/>
                    <w:bottom w:val="none" w:sz="0" w:space="0" w:color="auto"/>
                    <w:right w:val="none" w:sz="0" w:space="0" w:color="auto"/>
                  </w:divBdr>
                  <w:divsChild>
                    <w:div w:id="642270525">
                      <w:marLeft w:val="0"/>
                      <w:marRight w:val="0"/>
                      <w:marTop w:val="0"/>
                      <w:marBottom w:val="0"/>
                      <w:divBdr>
                        <w:top w:val="none" w:sz="0" w:space="0" w:color="auto"/>
                        <w:left w:val="none" w:sz="0" w:space="0" w:color="auto"/>
                        <w:bottom w:val="none" w:sz="0" w:space="0" w:color="auto"/>
                        <w:right w:val="none" w:sz="0" w:space="0" w:color="auto"/>
                      </w:divBdr>
                      <w:divsChild>
                        <w:div w:id="1951861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9497390">
      <w:bodyDiv w:val="1"/>
      <w:marLeft w:val="0"/>
      <w:marRight w:val="0"/>
      <w:marTop w:val="0"/>
      <w:marBottom w:val="0"/>
      <w:divBdr>
        <w:top w:val="none" w:sz="0" w:space="0" w:color="auto"/>
        <w:left w:val="none" w:sz="0" w:space="0" w:color="auto"/>
        <w:bottom w:val="none" w:sz="0" w:space="0" w:color="auto"/>
        <w:right w:val="none" w:sz="0" w:space="0" w:color="auto"/>
      </w:divBdr>
      <w:divsChild>
        <w:div w:id="429081527">
          <w:marLeft w:val="0"/>
          <w:marRight w:val="0"/>
          <w:marTop w:val="0"/>
          <w:marBottom w:val="0"/>
          <w:divBdr>
            <w:top w:val="none" w:sz="0" w:space="0" w:color="auto"/>
            <w:left w:val="none" w:sz="0" w:space="0" w:color="auto"/>
            <w:bottom w:val="none" w:sz="0" w:space="0" w:color="auto"/>
            <w:right w:val="none" w:sz="0" w:space="0" w:color="auto"/>
          </w:divBdr>
          <w:divsChild>
            <w:div w:id="1500005038">
              <w:marLeft w:val="0"/>
              <w:marRight w:val="0"/>
              <w:marTop w:val="0"/>
              <w:marBottom w:val="0"/>
              <w:divBdr>
                <w:top w:val="none" w:sz="0" w:space="0" w:color="auto"/>
                <w:left w:val="none" w:sz="0" w:space="0" w:color="auto"/>
                <w:bottom w:val="none" w:sz="0" w:space="0" w:color="auto"/>
                <w:right w:val="none" w:sz="0" w:space="0" w:color="auto"/>
              </w:divBdr>
              <w:divsChild>
                <w:div w:id="1546210622">
                  <w:marLeft w:val="0"/>
                  <w:marRight w:val="0"/>
                  <w:marTop w:val="0"/>
                  <w:marBottom w:val="0"/>
                  <w:divBdr>
                    <w:top w:val="none" w:sz="0" w:space="0" w:color="auto"/>
                    <w:left w:val="none" w:sz="0" w:space="0" w:color="auto"/>
                    <w:bottom w:val="none" w:sz="0" w:space="0" w:color="auto"/>
                    <w:right w:val="none" w:sz="0" w:space="0" w:color="auto"/>
                  </w:divBdr>
                  <w:divsChild>
                    <w:div w:id="696463726">
                      <w:marLeft w:val="0"/>
                      <w:marRight w:val="0"/>
                      <w:marTop w:val="0"/>
                      <w:marBottom w:val="0"/>
                      <w:divBdr>
                        <w:top w:val="none" w:sz="0" w:space="0" w:color="auto"/>
                        <w:left w:val="none" w:sz="0" w:space="0" w:color="auto"/>
                        <w:bottom w:val="none" w:sz="0" w:space="0" w:color="auto"/>
                        <w:right w:val="none" w:sz="0" w:space="0" w:color="auto"/>
                      </w:divBdr>
                      <w:divsChild>
                        <w:div w:id="194799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785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9519152c46b4ae1baeef1bdd0c02e7a" PartId="0a4207d17fad483eb35c394dffca11b5">
    <Part Type="preambule" DocPartId="d0ab2aa6bc624cf49ba1d584a753a237" PartId="3426e8703e50435c8a782ccd04d44a48"/>
    <Part Type="punktas" Nr="1" Abbr="1 p." DocPartId="e1c2488316244f1383f1d5a677d01528" PartId="ce9fa921e1ad45968c8333d746d5b576">
      <Part Type="papunktis" Nr="1.1" Abbr="1.1 pp." DocPartId="4ede5969280a45158f869158ee96c783" PartId="7a881c2251b84ee1ba6ea2e48253edec"/>
      <Part Type="papunktis" Nr="1.2" Abbr="1.2 pp." DocPartId="c5e57147149c44c693b31ab04904da65" PartId="244a7fbd157a40109a0c4bbd273494ee">
        <Part Type="papunktis" Nr="1.2.1" Abbr="1.2.1 pp." DocPartId="81a03ee3f1be4245b6348bd239726893" PartId="9b42b3f6ba06421ea12331774781795e"/>
        <Part Type="papunktis" Nr="1.2.2" Abbr="1.2.2 pp." DocPartId="df9011e6091544eca4b4a574982c9cc4" PartId="bf400e0ef0554364a1cc3f8413dcfa64">
          <Part Type="papunktis" Nr="1.2.2.1" Abbr="1.2.2.1 pp." DocPartId="d41d1c4281c44dcea504c36895141b4e" PartId="8f23619d7d6c4b7b9b411f321f4ef2f6"/>
          <Part Type="papunktis" Nr="1.2.2.2" Abbr="1.2.2.2 pp." DocPartId="d6325e1c3ca147779bfd5d03c8cb9fb0" PartId="732e9f977aa14aa99087eb8ba654cf24"/>
        </Part>
        <Part Type="papunktis" Nr="1.2.3" Abbr="1.2.3 pp." DocPartId="eac549c053fb4ea4b4decdac6bfd63bb" PartId="00d43ebf1bd8498db1ff1cc9dc4e8167">
          <Part Type="papunktis" Nr="1.2.3.1" Abbr="1.2.3.1 pp." DocPartId="d577d800f6ba475fb46460d572cf75d2" PartId="e8f740b56ce144caa9e529d419a61fc7"/>
          <Part Type="papunktis" Nr="1.2.3.2" Abbr="1.2.3.2 pp." DocPartId="f8a7a6405677428d8a4e9a5424c7fcb8" PartId="1ace5360991b428cb7af0dd37ef24f22"/>
        </Part>
      </Part>
      <Part Type="papunktis" Nr="1.3" Abbr="1.3 pp." DocPartId="9874a588d3b840a7b9f2c31d90c3e45d" PartId="7086dc164bb84e6da95c1a6724450976"/>
    </Part>
    <Part Type="punktas" Nr="2" Abbr="2 p." DocPartId="6893dfe869b54b67bf59d62c43939d66" PartId="08e1935bbdf34e6891ead33825473308"/>
    <Part Type="punktas" Nr="3" Abbr="3 p." DocPartId="fe1c2cbc35e7474688e742f331ab6317" PartId="1820e7fe764845b5a678d4e7e763648a">
      <Part Type="papunktis" Nr="3.1" Abbr="3.1 pp." DocPartId="ade19f7f56524952b7cd7d6b1def7a33" PartId="18908e41768f495092299578cefe0311"/>
      <Part Type="papunktis" Nr="3.2" Abbr="3.2 pp." DocPartId="a24c363c06344442b78450d8815d3fce" PartId="8fe8a8a54bb049d98528cb56445a255d"/>
      <Part Type="papunktis" Nr="3.3" Abbr="3.3 pp." DocPartId="615595d607034da18784708641a569c7" PartId="b544f853ba7c4af6921a95eb971cc15a"/>
    </Part>
    <Part Type="punktas" Nr="4" Abbr="4 p." DocPartId="7634d9ae342547af9dfc9ed9ab5ef277" PartId="540f037fc8d64c6b9c084ea7874d30f6"/>
    <Part Type="signatura" DocPartId="26f032ee0080435f84fa47261e0fa555" PartId="840933dff7a64f63a452b043bab8ad1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8153FE2-85B5-468E-8C73-09A44AA0DA90}">
  <ds:schemaRefs>
    <ds:schemaRef ds:uri="http://lrs.lt/TAIS/DocParts"/>
  </ds:schemaRefs>
</ds:datastoreItem>
</file>

<file path=customXml/itemProps2.xml><?xml version="1.0" encoding="utf-8"?>
<ds:datastoreItem xmlns:ds="http://schemas.openxmlformats.org/officeDocument/2006/customXml" ds:itemID="{FB30718F-D568-4829-A00E-FA3EC5B42788}">
  <ds:schemaRefs>
    <ds:schemaRef ds:uri="http://schemas.openxmlformats.org/officeDocument/2006/bibliography"/>
  </ds:schemaRefs>
</ds:datastoreItem>
</file>

<file path=customXml/itemProps3.xml><?xml version="1.0" encoding="utf-8"?>
<ds:datastoreItem xmlns:ds="http://schemas.openxmlformats.org/officeDocument/2006/customXml" ds:itemID="{3101E551-8C0C-45A1-B17A-4DF86C31837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2</Pages>
  <Words>3197</Words>
  <Characters>1823</Characters>
  <Application>Microsoft Office Word</Application>
  <DocSecurity>0</DocSecurity>
  <Lines>15</Lines>
  <Paragraphs>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2016-12-27T11:02:00Z</dcterms:created>
  <dc:creator>LAUKIONYTĖ Irena</dc:creator>
  <lastModifiedBy>TAMALIŪNIENĖ Vilija</lastModifiedBy>
  <lastPrinted>2014-09-19T10:58:00Z</lastPrinted>
  <dcterms:modified xsi:type="dcterms:W3CDTF">2018-10-05T05:40:00Z</dcterms:modified>
  <revision>5</revision>
</coreProperties>
</file>