
<file path=[Content_Types].xml><?xml version="1.0" encoding="utf-8"?>
<Types xmlns="http://schemas.openxmlformats.org/package/2006/content-types">
  <Default Extension="bin" ContentType="application/vnd.openxmlformats-officedocument.oleObject"/>
  <Default Extension="rels" ContentType="application/vnd.openxmlformats-package.relationships+xml"/>
  <Default Extension="wmf" ContentType="image/x-wmf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extended-properties" Target="docProps/app.xml"/>
  <Relationship Id="rId3" Type="http://schemas.openxmlformats.org/officeDocument/2006/relationships/officeDocument" Target="word/document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taisx="http://lrs.lt/TAIS/DocPartXmlMarks" xmlns:v="urn:schemas-microsoft-com:vml" xmlns:w10="urn:schemas-microsoft-com:office:word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16cid w16 w16cex w16sdtdh w16sdtfl w16du wp14">
  <w:body>
    <w:sdt>
      <w:sdtPr>
        <w:alias w:val="pagrindine"/>
        <w:tag w:val="part_0f0579e35dbf43dea9112eb00a0c502f"/>
        <w:lock w:val="sdtLocked"/>
        <w:richText/>
      </w:sdtPr>
      <w:sdtContent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b/>
              <w:i/>
            </w:rPr>
            <w:t>Suvestinė redakcija nuo 2026-01-10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  <w:sz w:val="20"/>
            </w:rPr>
          </w:pPr>
          <w:bookmarkStart w:id="0" w:name="_GoBack"/>
          <w:bookmarkEnd w:id="0"/>
          <w:r>
            <w:rPr>
              <w:rFonts w:ascii="Times New Roman" w:hAnsi="Times New Roman"/>
              <w:sz w:val="20"/>
              <w:i/>
            </w:rPr>
            <w:t xml:space="preserve">Įsakymas paskelbtas: TAR 2016-11-29, i. k. 2016-27633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rPr>
              <w:rFonts w:ascii="Times New Roman" w:hAnsi="Times New Roman"/>
              <w:sz w:val="20"/>
              <w:b/>
              <w:i/>
            </w:rPr>
          </w:pPr>
          <w:r>
            <w:rPr>
              <w:rFonts w:ascii="Times New Roman" w:hAnsi="Times New Roman"/>
              <w:sz w:val="20"/>
              <w:b/>
              <w:i/>
            </w:rPr>
            <w:t>Nauja redakcija nuo 2026-01-10:</w:t>
          </w:r>
        </w:p>
        <w:p>
          <w:pPr>
            <w:rPr>
              <w:rFonts w:ascii="Times New Roman" w:hAnsi="Times New Roman"/>
              <w:sz w:val="20"/>
              <w:i/>
            </w:rPr>
          </w:pPr>
          <w:r>
            <w:rPr>
              <w:rFonts w:ascii="Times New Roman" w:hAnsi="Times New Roman"/>
              <w:sz w:val="20"/>
              <w:i/>
            </w:rPr>
            <w:t xml:space="preserve">Nr. </w:t>
          </w:r>
          <w:fldSimple w:instr="HYPERLINK https://www.e-tar.lt/portal/legalAct.html?documentId=75004436e00711f08918e1adc7c5b1ec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V1-142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2025-12-23,
paskelbta TAR 2025-12-23, i. k. 2025-22634                </w:t>
          </w:r>
        </w:p>
        <w:p>
          <w:pPr>
            <w:rPr>
              <w:rFonts w:ascii="Times New Roman" w:hAnsi="Times New Roman"/>
              <w:sz w:val="22"/>
            </w:rPr>
          </w:pPr>
        </w:p>
        <w:p>
          <w:pPr>
            <w:overflowPunct w:val="0"/>
            <w:jc w:val="center"/>
            <w:textAlignment w:val="baseline"/>
            <w:rPr>
              <w:b/>
              <w:szCs w:val="24"/>
            </w:rPr>
          </w:pPr>
          <w:r>
            <w:rPr>
              <w:b/>
              <w:szCs w:val="24"/>
            </w:rPr>
            <w:t>ŽUVININKYSTĖS TARNYBOS</w:t>
          </w:r>
        </w:p>
        <w:p>
          <w:pPr>
            <w:overflowPunct w:val="0"/>
            <w:jc w:val="center"/>
            <w:textAlignment w:val="baseline"/>
            <w:rPr>
              <w:b/>
              <w:szCs w:val="24"/>
            </w:rPr>
          </w:pPr>
          <w:r>
            <w:rPr>
              <w:b/>
              <w:szCs w:val="24"/>
            </w:rPr>
            <w:t>PRIE LIETUVOS RESPUBLIKOS ŽEMĖS ŪKIO MINISTERIJOS</w:t>
          </w:r>
        </w:p>
        <w:p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 xml:space="preserve">DIREKTORIUS </w:t>
          </w:r>
        </w:p>
        <w:p>
          <w:pPr>
            <w:jc w:val="center"/>
            <w:rPr>
              <w:b/>
              <w:szCs w:val="24"/>
            </w:rPr>
          </w:pPr>
        </w:p>
        <w:p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ĮSAKYMAS</w:t>
          </w:r>
        </w:p>
        <w:p>
          <w:pPr>
            <w:overflowPunct w:val="0"/>
            <w:jc w:val="center"/>
            <w:textAlignment w:val="baseline"/>
            <w:rPr>
              <w:b/>
              <w:bCs/>
              <w:caps/>
              <w:color w:val="000000"/>
              <w:szCs w:val="24"/>
              <w:lang w:eastAsia="lt-LT"/>
            </w:rPr>
          </w:pPr>
          <w:r>
            <w:rPr>
              <w:b/>
              <w:bCs/>
              <w:caps/>
              <w:color w:val="000000"/>
              <w:szCs w:val="24"/>
              <w:lang w:eastAsia="lt-LT"/>
            </w:rPr>
            <w:t>Dėl BALTIJOS JŪROS PRIEKRANTĖS ŽVEJYBOS IR Paukščių, žindUolių ir roplių priegauDos ŽURNALų išdavimo bei duomenų pateikimo TVARKOS</w:t>
          </w:r>
        </w:p>
        <w:p>
          <w:pPr>
            <w:overflowPunct w:val="0"/>
            <w:jc w:val="center"/>
            <w:textAlignment w:val="baseline"/>
            <w:rPr>
              <w:b/>
              <w:bCs/>
              <w:caps/>
              <w:color w:val="000000"/>
              <w:szCs w:val="24"/>
              <w:lang w:eastAsia="lt-LT"/>
            </w:rPr>
          </w:pPr>
        </w:p>
        <w:p>
          <w:pPr>
            <w:overflowPunct w:val="0"/>
            <w:jc w:val="center"/>
            <w:textAlignment w:val="baseline"/>
            <w:rPr>
              <w:b/>
              <w:bCs/>
              <w:caps/>
              <w:color w:val="000000"/>
              <w:szCs w:val="24"/>
              <w:lang w:eastAsia="lt-LT"/>
            </w:rPr>
          </w:pPr>
          <w:r>
            <w:rPr>
              <w:szCs w:val="24"/>
            </w:rPr>
            <w:t>2016 m. lapkričio 21 d. Nr. V1-173</w:t>
          </w:r>
        </w:p>
        <w:p>
          <w:pPr>
            <w:overflowPunct w:val="0"/>
            <w:jc w:val="center"/>
            <w:textAlignment w:val="baseline"/>
            <w:rPr>
              <w:szCs w:val="24"/>
            </w:rPr>
          </w:pPr>
          <w:r>
            <w:rPr>
              <w:szCs w:val="24"/>
            </w:rPr>
            <w:t>Vilnius</w:t>
          </w:r>
        </w:p>
        <w:p>
          <w:pPr>
            <w:overflowPunct w:val="0"/>
            <w:jc w:val="center"/>
            <w:textAlignment w:val="baseline"/>
            <w:rPr>
              <w:b/>
              <w:bCs/>
              <w:caps/>
              <w:color w:val="000000"/>
              <w:szCs w:val="24"/>
              <w:lang w:eastAsia="lt-LT"/>
            </w:rPr>
          </w:pPr>
        </w:p>
        <w:p>
          <w:pPr>
            <w:overflowPunct w:val="0"/>
            <w:jc w:val="center"/>
            <w:textAlignment w:val="baseline"/>
          </w:pPr>
        </w:p>
        <w:sdt>
          <w:sdtPr>
            <w:alias w:val="preambule"/>
            <w:tag w:val="part_f6bb07fc8fda4f4bb1f377eed6f72b88"/>
            <w:lock w:val="sdtLocked"/>
            <w:richText/>
          </w:sdtPr>
          <w:sdtContent>
            <w:p>
              <w:pPr>
                <w:overflowPunct w:val="0"/>
                <w:spacing w:line="360" w:lineRule="auto"/>
                <w:ind w:firstLine="567"/>
                <w:jc w:val="both"/>
                <w:textAlignment w:val="baseline"/>
              </w:pPr>
              <w:r>
                <w:t xml:space="preserve">Vadovaudamasis Verslinės žvejybos jūrų vandenyse taisyklių, patvirtintų Lietuvos Respublikos žemės ūkio ministro 2009 m. vasario 12 d. įsakymu Nr. 3D-94 „Dėl Verslinės žvejybos jūrų vandenyse taisyklių patvirtinimo“ (toliau </w:t>
              </w:r>
              <w:r>
                <w:rPr>
                  <w:color w:val="000000"/>
                </w:rPr>
                <w:t>–</w:t>
              </w:r>
              <w:r>
                <w:t xml:space="preserve"> Verslinės žvejybos jūrų vandenyse taisyklės), 17 punktu, </w:t>
              </w:r>
              <w:r>
                <w:rPr>
                  <w:color w:val="000000"/>
                  <w:spacing w:val="-4"/>
                </w:rPr>
                <w:t xml:space="preserve">2009 m. lapkričio 20 d. Tarybos reglamentu </w:t>
              </w:r>
              <w:hyperlink r:id="rId10" w:tgtFrame="_blank" w:history="1">
                <w:r>
                  <w:rPr>
                    <w:color w:val="0000FF" w:themeColor="hyperlink"/>
                    <w:spacing w:val="-4"/>
                    <w:u w:val="single"/>
                  </w:rPr>
                  <w:t>(EB) Nr. 1224/2009</w:t>
                </w:r>
              </w:hyperlink>
              <w:r>
                <w:rPr>
                  <w:color w:val="000000"/>
                  <w:spacing w:val="-4"/>
                </w:rPr>
                <w:t xml:space="preserve">, nustatančiu Bendrijos kontrolės sistemą, kuria užtikrinamas Bendrosios žuvininkystės politikos taisyklių laikymasis, iš dalies keičiančiu Reglamentus </w:t>
              </w:r>
              <w:hyperlink r:id="rId11" w:tgtFrame="_blank" w:history="1">
                <w:r>
                  <w:rPr>
                    <w:color w:val="0000FF" w:themeColor="hyperlink"/>
                    <w:spacing w:val="-4"/>
                    <w:u w:val="single"/>
                  </w:rPr>
                  <w:t>(EB) Nr. 847/96</w:t>
                </w:r>
              </w:hyperlink>
              <w:r>
                <w:rPr>
                  <w:color w:val="000000"/>
                  <w:spacing w:val="-4"/>
                </w:rPr>
                <w:t xml:space="preserve">, </w:t>
              </w:r>
              <w:hyperlink r:id="rId12" w:tgtFrame="_blank" w:history="1">
                <w:r>
                  <w:rPr>
                    <w:color w:val="0000FF" w:themeColor="hyperlink"/>
                    <w:spacing w:val="-4"/>
                    <w:u w:val="single"/>
                  </w:rPr>
                  <w:t>(EB) Nr. 2371/2002</w:t>
                </w:r>
              </w:hyperlink>
              <w:r>
                <w:rPr>
                  <w:color w:val="000000"/>
                  <w:spacing w:val="-4"/>
                </w:rPr>
                <w:t xml:space="preserve">, </w:t>
              </w:r>
              <w:hyperlink r:id="rId13" w:tgtFrame="_blank" w:history="1">
                <w:r>
                  <w:rPr>
                    <w:color w:val="0000FF" w:themeColor="hyperlink"/>
                    <w:spacing w:val="-4"/>
                    <w:u w:val="single"/>
                  </w:rPr>
                  <w:t>(EB) Nr. 811/2004</w:t>
                </w:r>
              </w:hyperlink>
              <w:r>
                <w:rPr>
                  <w:color w:val="000000"/>
                  <w:spacing w:val="-4"/>
                </w:rPr>
                <w:t xml:space="preserve">, </w:t>
              </w:r>
              <w:hyperlink r:id="rId14" w:tgtFrame="_blank" w:history="1">
                <w:r>
                  <w:rPr>
                    <w:color w:val="0000FF" w:themeColor="hyperlink"/>
                    <w:spacing w:val="-4"/>
                    <w:u w:val="single"/>
                  </w:rPr>
                  <w:t>(EB) Nr. 768/2005</w:t>
                </w:r>
              </w:hyperlink>
              <w:r>
                <w:rPr>
                  <w:color w:val="000000"/>
                  <w:spacing w:val="-4"/>
                </w:rPr>
                <w:t xml:space="preserve">, </w:t>
              </w:r>
              <w:hyperlink r:id="rId15" w:tgtFrame="_blank" w:history="1">
                <w:r>
                  <w:rPr>
                    <w:color w:val="0000FF" w:themeColor="hyperlink"/>
                    <w:spacing w:val="-4"/>
                    <w:u w:val="single"/>
                  </w:rPr>
                  <w:t>(EB) Nr. 2115/2005</w:t>
                </w:r>
              </w:hyperlink>
              <w:r>
                <w:rPr>
                  <w:color w:val="000000"/>
                  <w:spacing w:val="-4"/>
                </w:rPr>
                <w:t xml:space="preserve">, </w:t>
              </w:r>
              <w:hyperlink r:id="rId16" w:tgtFrame="_blank" w:history="1">
                <w:r>
                  <w:rPr>
                    <w:color w:val="0000FF" w:themeColor="hyperlink"/>
                    <w:spacing w:val="-4"/>
                    <w:u w:val="single"/>
                  </w:rPr>
                  <w:t>(EB) Nr. 2166/2005</w:t>
                </w:r>
              </w:hyperlink>
              <w:r>
                <w:rPr>
                  <w:color w:val="000000"/>
                  <w:spacing w:val="-4"/>
                </w:rPr>
                <w:t xml:space="preserve">, </w:t>
              </w:r>
              <w:hyperlink r:id="rId17" w:tgtFrame="_blank" w:history="1">
                <w:r>
                  <w:rPr>
                    <w:color w:val="0000FF" w:themeColor="hyperlink"/>
                    <w:spacing w:val="-4"/>
                    <w:u w:val="single"/>
                  </w:rPr>
                  <w:t>(EB) Nr. 388/2006</w:t>
                </w:r>
              </w:hyperlink>
              <w:r>
                <w:rPr>
                  <w:color w:val="000000"/>
                  <w:spacing w:val="-4"/>
                </w:rPr>
                <w:t xml:space="preserve">, </w:t>
              </w:r>
              <w:hyperlink r:id="rId18" w:tgtFrame="_blank" w:history="1">
                <w:r>
                  <w:rPr>
                    <w:color w:val="0000FF" w:themeColor="hyperlink"/>
                    <w:spacing w:val="-4"/>
                    <w:u w:val="single"/>
                  </w:rPr>
                  <w:t>(EB) Nr. 509/2007</w:t>
                </w:r>
              </w:hyperlink>
              <w:r>
                <w:rPr>
                  <w:color w:val="000000"/>
                  <w:spacing w:val="-4"/>
                </w:rPr>
                <w:t xml:space="preserve">, </w:t>
              </w:r>
              <w:hyperlink r:id="rId19" w:tgtFrame="_blank" w:history="1">
                <w:r>
                  <w:rPr>
                    <w:color w:val="0000FF" w:themeColor="hyperlink"/>
                    <w:spacing w:val="-4"/>
                    <w:u w:val="single"/>
                  </w:rPr>
                  <w:t>(EB) Nr. 676/2007</w:t>
                </w:r>
              </w:hyperlink>
              <w:r>
                <w:rPr>
                  <w:color w:val="000000"/>
                  <w:spacing w:val="-4"/>
                </w:rPr>
                <w:t xml:space="preserve">, </w:t>
              </w:r>
              <w:hyperlink r:id="rId20" w:tgtFrame="_blank" w:history="1">
                <w:r>
                  <w:rPr>
                    <w:color w:val="0000FF" w:themeColor="hyperlink"/>
                    <w:spacing w:val="-4"/>
                    <w:u w:val="single"/>
                  </w:rPr>
                  <w:t>(EB) Nr. 1098/2007</w:t>
                </w:r>
              </w:hyperlink>
              <w:r>
                <w:rPr>
                  <w:color w:val="000000"/>
                  <w:spacing w:val="-4"/>
                </w:rPr>
                <w:t xml:space="preserve">, </w:t>
              </w:r>
              <w:hyperlink r:id="rId21" w:tgtFrame="_blank" w:history="1">
                <w:r>
                  <w:rPr>
                    <w:color w:val="0000FF" w:themeColor="hyperlink"/>
                    <w:spacing w:val="-4"/>
                    <w:u w:val="single"/>
                  </w:rPr>
                  <w:t>(EB) Nr. 1300/2008</w:t>
                </w:r>
              </w:hyperlink>
              <w:r>
                <w:rPr>
                  <w:color w:val="000000"/>
                  <w:spacing w:val="-4"/>
                </w:rPr>
                <w:t xml:space="preserve">, </w:t>
              </w:r>
              <w:hyperlink r:id="rId22" w:tgtFrame="_blank" w:history="1">
                <w:r>
                  <w:rPr>
                    <w:color w:val="0000FF" w:themeColor="hyperlink"/>
                    <w:spacing w:val="-4"/>
                    <w:u w:val="single"/>
                  </w:rPr>
                  <w:t>(EB) Nr. 1342/2008</w:t>
                </w:r>
              </w:hyperlink>
              <w:r>
                <w:rPr>
                  <w:color w:val="000000"/>
                  <w:spacing w:val="-4"/>
                </w:rPr>
                <w:t xml:space="preserve"> ir panaikinančiu Reglamentus </w:t>
              </w:r>
              <w:hyperlink r:id="rId23" w:tgtFrame="_blank" w:history="1">
                <w:r>
                  <w:rPr>
                    <w:color w:val="0000FF" w:themeColor="hyperlink"/>
                    <w:spacing w:val="-4"/>
                    <w:u w:val="single"/>
                  </w:rPr>
                  <w:t>(EEB) Nr. 2847/93</w:t>
                </w:r>
              </w:hyperlink>
              <w:r>
                <w:rPr>
                  <w:color w:val="000000"/>
                  <w:spacing w:val="-4"/>
                </w:rPr>
                <w:t xml:space="preserve">, </w:t>
              </w:r>
              <w:hyperlink r:id="rId24" w:tgtFrame="_blank" w:history="1">
                <w:r>
                  <w:rPr>
                    <w:color w:val="0000FF" w:themeColor="hyperlink"/>
                    <w:spacing w:val="-4"/>
                    <w:u w:val="single"/>
                  </w:rPr>
                  <w:t>(EB) Nr. 1627/94</w:t>
                </w:r>
              </w:hyperlink>
              <w:r>
                <w:rPr>
                  <w:color w:val="000000"/>
                  <w:spacing w:val="-4"/>
                </w:rPr>
                <w:t xml:space="preserve"> ir </w:t>
              </w:r>
              <w:hyperlink r:id="rId25" w:tgtFrame="_blank" w:history="1">
                <w:r>
                  <w:rPr>
                    <w:color w:val="0000FF" w:themeColor="hyperlink"/>
                    <w:spacing w:val="-4"/>
                    <w:u w:val="single"/>
                  </w:rPr>
                  <w:t>(EB) Nr. 1966/2006</w:t>
                </w:r>
              </w:hyperlink>
              <w:r>
                <w:rPr>
                  <w:color w:val="000000"/>
                  <w:spacing w:val="-4"/>
                </w:rPr>
                <w:t xml:space="preserve">, su visais pakeitimais: </w:t>
              </w:r>
            </w:p>
          </w:sdtContent>
        </w:sdt>
        <w:sdt>
          <w:sdtPr>
            <w:alias w:val="1 p."/>
            <w:tag w:val="part_29c635e521d041cfba4abcf26b665e8d"/>
            <w:lock w:val="sdtLocked"/>
            <w:richText/>
          </w:sdtPr>
          <w:sdtContent>
            <w:p>
              <w:pPr>
                <w:overflowPunct w:val="0"/>
                <w:spacing w:line="360" w:lineRule="auto"/>
                <w:ind w:firstLine="567"/>
                <w:jc w:val="both"/>
                <w:textAlignment w:val="baseline"/>
              </w:pPr>
              <w:sdt>
                <w:sdtPr>
                  <w:alias w:val="Numeris"/>
                  <w:tag w:val="nr_29c635e521d041cfba4abcf26b665e8d"/>
                  <w:lock w:val="sdtLocked"/>
                  <w:richText/>
                </w:sdtPr>
                <w:sdtContent>
                  <w:r>
                    <w:t>1</w:t>
                  </w:r>
                </w:sdtContent>
              </w:sdt>
              <w:r>
                <w:t>. N u s t a t a u, kad:</w:t>
              </w:r>
            </w:p>
            <w:sdt>
              <w:sdtPr>
                <w:alias w:val="1.1 pp."/>
                <w:tag w:val="part_095c8821b23443678a102ab2b1d54c12"/>
                <w:lock w:val="sdtLocked"/>
                <w:richText/>
              </w:sdtPr>
              <w:sdtContent>
                <w:p>
                  <w:pPr>
                    <w:overflowPunct w:val="0"/>
                    <w:spacing w:line="360" w:lineRule="auto"/>
                    <w:ind w:firstLine="567"/>
                    <w:jc w:val="both"/>
                    <w:textAlignment w:val="baseline"/>
                    <w:rPr>
                      <w:color w:val="00000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095c8821b23443678a102ab2b1d54c12"/>
                      <w:lock w:val="sdtLocked"/>
                      <w:richText/>
                    </w:sdtPr>
                    <w:sdtContent>
                      <w:r>
                        <w:t>1.1</w:t>
                      </w:r>
                    </w:sdtContent>
                  </w:sdt>
                  <w:r>
                    <w:t xml:space="preserve">. </w:t>
                  </w:r>
                  <w:r>
                    <w:rPr>
                      <w:color w:val="000000"/>
                      <w:szCs w:val="24"/>
                      <w:lang w:eastAsia="lt-LT"/>
                    </w:rPr>
                    <w:t xml:space="preserve">Žuvininkystės tarnybos prie Lietuvos Respublikos žemės ūkio ministerijos (toliau – Žuvininkystės tarnyba) Žuvininkystės kontrolės departamento </w:t>
                  </w:r>
                  <w:r>
                    <w:t>Žuvininkystės įsipareigojimų vykdymo skyrius (toliau – Žuvininkystės įsipareigojimų vykdymo skyrius)</w:t>
                  </w:r>
                  <w:r>
                    <w:rPr>
                      <w:color w:val="000000"/>
                      <w:szCs w:val="24"/>
                      <w:lang w:eastAsia="lt-LT"/>
                    </w:rPr>
                    <w:t xml:space="preserve"> išduoda ūkio subjektams, valdantiems į žvejojančių jūrų vandenyse laivų duomenų sistemą įtrauktus Lietuvos Respublikos žūklės laivus, kurių ilgis yra mažesnis kaip 12 metrų,</w:t>
                  </w:r>
                  <w:r>
                    <w:rPr>
                      <w:color w:val="000000"/>
                    </w:rPr>
                    <w:t xml:space="preserve"> </w:t>
                  </w:r>
                  <w:r>
                    <w:rPr>
                      <w:color w:val="000000"/>
                      <w:szCs w:val="24"/>
                      <w:lang w:eastAsia="lt-LT"/>
                    </w:rPr>
                    <w:t xml:space="preserve">kuriems pereinamuoju laikotarpiu iki 2028 m. sausio 10 d. netaikomas Reglamento </w:t>
                  </w:r>
                  <w:hyperlink r:id="rId26" w:tgtFrame="_blank" w:history="1">
                    <w:r>
                      <w:rPr>
                        <w:color w:val="0000FF" w:themeColor="hyperlink"/>
                        <w:szCs w:val="24"/>
                        <w:u w:val="single"/>
                        <w:lang w:eastAsia="lt-LT"/>
                      </w:rPr>
                      <w:t>(EB) Nr. 1224/2009</w:t>
                    </w:r>
                  </w:hyperlink>
                  <w:r>
                    <w:rPr>
                      <w:color w:val="000000"/>
                      <w:szCs w:val="24"/>
                      <w:lang w:eastAsia="lt-LT"/>
                    </w:rPr>
                    <w:t xml:space="preserve"> 15 straipsnio reikalavimas žvejybos žurnalą pildyti ir perduoti elektroninėmis priemonėmis, Baltijos jūros priekrantės žvejybos žurnalą (toliau – žvejybos žurnalas) ir Paukščių, žinduolių ir roplių priegaudos žurnalą (toliau – priegaudos žurnalas);</w:t>
                  </w:r>
                </w:p>
              </w:sdtContent>
            </w:sdt>
            <w:sdt>
              <w:sdtPr>
                <w:alias w:val="1.2 pp."/>
                <w:tag w:val="part_82de73d29e8a40c690ddd67a68645013"/>
                <w:lock w:val="sdtLocked"/>
                <w:richText/>
              </w:sdtPr>
              <w:sdtContent>
                <w:p>
                  <w:pPr>
                    <w:overflowPunct w:val="0"/>
                    <w:spacing w:line="360" w:lineRule="auto"/>
                    <w:ind w:firstLine="567"/>
                    <w:jc w:val="both"/>
                    <w:textAlignment w:val="baseline"/>
                  </w:pPr>
                  <w:sdt>
                    <w:sdtPr>
                      <w:alias w:val="Numeris"/>
                      <w:tag w:val="nr_82de73d29e8a40c690ddd67a68645013"/>
                      <w:lock w:val="sdtLocked"/>
                      <w:richText/>
                    </w:sdtPr>
                    <w:sdtContent>
                      <w:r>
                        <w:t>1.2</w:t>
                      </w:r>
                    </w:sdtContent>
                  </w:sdt>
                  <w:r>
                    <w:t>. žvejybos ir priegaudos žurnalų lapai spausdinami 2 egzemplioriais lietuvių kalba, pirmojo lapo įrašas turi būti nukopijuojamas į kitus tuo pačiu numeriu pažymėtus egzempliorius;</w:t>
                  </w:r>
                </w:p>
              </w:sdtContent>
            </w:sdt>
            <w:sdt>
              <w:sdtPr>
                <w:alias w:val="1.3 pp."/>
                <w:tag w:val="part_f23c052e1ba345ea85c215bc89c20885"/>
                <w:lock w:val="sdtLocked"/>
                <w:richText/>
              </w:sdtPr>
              <w:sdtContent>
                <w:p>
                  <w:pPr>
                    <w:overflowPunct w:val="0"/>
                    <w:spacing w:line="360" w:lineRule="auto"/>
                    <w:ind w:firstLine="567"/>
                    <w:jc w:val="both"/>
                    <w:textAlignment w:val="baseline"/>
                  </w:pPr>
                  <w:sdt>
                    <w:sdtPr>
                      <w:alias w:val="Numeris"/>
                      <w:tag w:val="nr_f23c052e1ba345ea85c215bc89c20885"/>
                      <w:lock w:val="sdtLocked"/>
                      <w:richText/>
                    </w:sdtPr>
                    <w:sdtContent>
                      <w:r>
                        <w:t>1.3</w:t>
                      </w:r>
                    </w:sdtContent>
                  </w:sdt>
                  <w:r>
                    <w:t xml:space="preserve">. jeigu ūkio subjektas neturi galimybės per Verslinės žvejybos jūrų vandenyse taisyklių 15 ir 26 punktuose nustatytą terminą pateikti </w:t>
                  </w:r>
                  <w:r>
                    <w:rPr>
                      <w:color w:val="000000"/>
                      <w:szCs w:val="24"/>
                      <w:lang w:eastAsia="lt-LT"/>
                    </w:rPr>
                    <w:t xml:space="preserve">žvejybos ir priegaudos žurnalų lapų </w:t>
                  </w:r>
                  <w:r>
                    <w:t>Žvejybos Baltijos jūroje kontrolės skyriui (J. Janonio g. 24, 92251 Klaipėda, faksas (+370) 700 14 912, el. paštas Diana.Tarvydiene@zuv.lt), lapai siunčiami paštu;</w:t>
                  </w:r>
                </w:p>
              </w:sdtContent>
            </w:sdt>
            <w:sdt>
              <w:sdtPr>
                <w:alias w:val="1.4 pp."/>
                <w:tag w:val="part_2a45e80f6a7e49f382e924d1e8fc89db"/>
                <w:lock w:val="sdtLocked"/>
                <w:richText/>
              </w:sdtPr>
              <w:sdtContent>
                <w:p>
                  <w:pPr>
                    <w:overflowPunct w:val="0"/>
                    <w:spacing w:line="360" w:lineRule="auto"/>
                    <w:ind w:firstLine="567"/>
                    <w:jc w:val="both"/>
                    <w:textAlignment w:val="baseline"/>
                  </w:pPr>
                  <w:sdt>
                    <w:sdtPr>
                      <w:alias w:val="Numeris"/>
                      <w:tag w:val="nr_2a45e80f6a7e49f382e924d1e8fc89db"/>
                      <w:lock w:val="sdtLocked"/>
                      <w:richText/>
                    </w:sdtPr>
                    <w:sdtContent>
                      <w:r>
                        <w:rPr>
                          <w:color w:val="000000"/>
                          <w:szCs w:val="24"/>
                          <w:lang w:eastAsia="lt-LT"/>
                        </w:rPr>
                        <w:t>1.4</w:t>
                      </w:r>
                    </w:sdtContent>
                  </w:sdt>
                  <w:r>
                    <w:rPr>
                      <w:color w:val="000000"/>
                      <w:szCs w:val="24"/>
                      <w:lang w:eastAsia="lt-LT"/>
                    </w:rPr>
                    <w:t xml:space="preserve">. </w:t>
                  </w:r>
                  <w:r>
                    <w:t>Žuvininkystės įsipareigojimų vykdymo</w:t>
                  </w:r>
                  <w:r>
                    <w:rPr>
                      <w:color w:val="000000"/>
                      <w:szCs w:val="24"/>
                      <w:lang w:eastAsia="lt-LT"/>
                    </w:rPr>
                    <w:t xml:space="preserve"> skyrius išduoda ūkio subjektams žvejybos ir / ar priegaudos žurnalą, pateikus </w:t>
                  </w:r>
                  <w:r>
                    <w:rPr>
                      <w:color w:val="000000"/>
                    </w:rPr>
                    <w:t>rašytinį prašymą;</w:t>
                  </w:r>
                </w:p>
              </w:sdtContent>
            </w:sdt>
            <w:sdt>
              <w:sdtPr>
                <w:alias w:val="1.5 pp."/>
                <w:tag w:val="part_3aadc4f415774705a0e323c58413ef8a"/>
                <w:lock w:val="sdtLocked"/>
                <w:richText/>
              </w:sdtPr>
              <w:sdtContent>
                <w:p>
                  <w:pPr>
                    <w:overflowPunct w:val="0"/>
                    <w:spacing w:line="360" w:lineRule="auto"/>
                    <w:ind w:firstLine="567"/>
                    <w:jc w:val="both"/>
                    <w:textAlignment w:val="baseline"/>
                  </w:pPr>
                  <w:sdt>
                    <w:sdtPr>
                      <w:alias w:val="Numeris"/>
                      <w:tag w:val="nr_3aadc4f415774705a0e323c58413ef8a"/>
                      <w:lock w:val="sdtLocked"/>
                      <w:richText/>
                    </w:sdtPr>
                    <w:sdtContent>
                      <w:r>
                        <w:rPr>
                          <w:color w:val="000000"/>
                        </w:rPr>
                        <w:t>1.5</w:t>
                      </w:r>
                    </w:sdtContent>
                  </w:sdt>
                  <w:r>
                    <w:rPr>
                      <w:color w:val="000000"/>
                    </w:rPr>
                    <w:t xml:space="preserve">. prašymą išduoti </w:t>
                  </w:r>
                  <w:r>
                    <w:rPr>
                      <w:color w:val="000000"/>
                      <w:szCs w:val="24"/>
                      <w:lang w:eastAsia="lt-LT"/>
                    </w:rPr>
                    <w:t>žvejybos</w:t>
                  </w:r>
                  <w:r>
                    <w:rPr>
                      <w:color w:val="000000"/>
                    </w:rPr>
                    <w:t xml:space="preserve"> ar priegaudos</w:t>
                  </w:r>
                  <w:r>
                    <w:rPr>
                      <w:color w:val="000000"/>
                      <w:szCs w:val="24"/>
                      <w:lang w:eastAsia="lt-LT"/>
                    </w:rPr>
                    <w:t xml:space="preserve"> žurnalą</w:t>
                  </w:r>
                  <w:r>
                    <w:rPr>
                      <w:color w:val="000000"/>
                    </w:rPr>
                    <w:t xml:space="preserve"> galima pateikti per atstumą, elektroninėmis priemonėmis arba tiesiogiai kreipiantis į </w:t>
                  </w:r>
                  <w:r>
                    <w:rPr>
                      <w:color w:val="000000"/>
                      <w:szCs w:val="24"/>
                      <w:lang w:eastAsia="lt-LT"/>
                    </w:rPr>
                    <w:t>Žuvininkystės tarnybą</w:t>
                  </w:r>
                  <w:r>
                    <w:rPr>
                      <w:color w:val="000000"/>
                    </w:rPr>
                    <w:t xml:space="preserve">; </w:t>
                  </w:r>
                </w:p>
              </w:sdtContent>
            </w:sdt>
            <w:sdt>
              <w:sdtPr>
                <w:alias w:val="1.6 pp."/>
                <w:tag w:val="part_ddc0d520c0444055a36b75b85942541b"/>
                <w:lock w:val="sdtLocked"/>
                <w:richText/>
              </w:sdtPr>
              <w:sdtContent>
                <w:p>
                  <w:pPr>
                    <w:overflowPunct w:val="0"/>
                    <w:spacing w:line="360" w:lineRule="auto"/>
                    <w:ind w:firstLine="567"/>
                    <w:jc w:val="both"/>
                    <w:textAlignment w:val="baseline"/>
                  </w:pPr>
                  <w:sdt>
                    <w:sdtPr>
                      <w:alias w:val="Numeris"/>
                      <w:tag w:val="nr_ddc0d520c0444055a36b75b85942541b"/>
                      <w:lock w:val="sdtLocked"/>
                      <w:richText/>
                    </w:sdtPr>
                    <w:sdtContent>
                      <w:r>
                        <w:rPr>
                          <w:color w:val="000000"/>
                          <w:szCs w:val="24"/>
                          <w:lang w:eastAsia="lt-LT"/>
                        </w:rPr>
                        <w:t>1.6</w:t>
                      </w:r>
                    </w:sdtContent>
                  </w:sdt>
                  <w:r>
                    <w:rPr>
                      <w:color w:val="000000"/>
                      <w:szCs w:val="24"/>
                      <w:lang w:eastAsia="lt-LT"/>
                    </w:rPr>
                    <w:t xml:space="preserve">. </w:t>
                  </w:r>
                  <w:r>
                    <w:t>Žuvininkystės įsipareigojimų vykdymo</w:t>
                  </w:r>
                  <w:r>
                    <w:rPr>
                      <w:color w:val="000000"/>
                      <w:szCs w:val="24"/>
                      <w:lang w:eastAsia="lt-LT"/>
                    </w:rPr>
                    <w:t xml:space="preserve"> skyrius</w:t>
                  </w:r>
                  <w:r>
                    <w:rPr>
                      <w:color w:val="000000"/>
                    </w:rPr>
                    <w:t xml:space="preserve"> ne vėliau kaip per 5 darbo dienas nuo prašymo gavimo dienos išduoda</w:t>
                  </w:r>
                  <w:r>
                    <w:rPr>
                      <w:color w:val="000000"/>
                      <w:szCs w:val="24"/>
                      <w:lang w:eastAsia="lt-LT"/>
                    </w:rPr>
                    <w:t xml:space="preserve"> žvejybos žurnalą ir / ar </w:t>
                  </w:r>
                  <w:r>
                    <w:rPr>
                      <w:color w:val="000000"/>
                    </w:rPr>
                    <w:t xml:space="preserve">priegaudos </w:t>
                  </w:r>
                  <w:r>
                    <w:rPr>
                      <w:color w:val="000000"/>
                      <w:szCs w:val="24"/>
                      <w:lang w:eastAsia="lt-LT"/>
                    </w:rPr>
                    <w:t>žurnalą</w:t>
                  </w:r>
                  <w:r>
                    <w:rPr>
                      <w:color w:val="000000"/>
                    </w:rPr>
                    <w:t xml:space="preserve"> arba informuoja apie atsisakymą jį išduoti, nurodydamas atsisakymo priežastis, tokiu būdu, kokiu buvo gautas prašymas, arba kitu prašyme nurodytu būdu;</w:t>
                  </w:r>
                </w:p>
              </w:sdtContent>
            </w:sdt>
            <w:sdt>
              <w:sdtPr>
                <w:alias w:val="1.7 pp."/>
                <w:tag w:val="part_a987a1c2eac941cb8f65e1c307752147"/>
                <w:lock w:val="sdtLocked"/>
                <w:richText/>
              </w:sdtPr>
              <w:sdtContent>
                <w:p>
                  <w:pPr>
                    <w:overflowPunct w:val="0"/>
                    <w:spacing w:line="360" w:lineRule="auto"/>
                    <w:ind w:firstLine="567"/>
                    <w:jc w:val="both"/>
                    <w:textAlignment w:val="baseline"/>
                  </w:pPr>
                  <w:sdt>
                    <w:sdtPr>
                      <w:alias w:val="Numeris"/>
                      <w:tag w:val="nr_a987a1c2eac941cb8f65e1c307752147"/>
                      <w:lock w:val="sdtLocked"/>
                      <w:richText/>
                    </w:sdtPr>
                    <w:sdtContent>
                      <w:r>
                        <w:t>1.7</w:t>
                      </w:r>
                    </w:sdtContent>
                  </w:sdt>
                  <w:r>
                    <w:t xml:space="preserve">. praradęs žvejybos žurnalą ar priegaudos žurnalą, ūkio subjektas per 5 darbo dienas apie tai privalo informuoti </w:t>
                  </w:r>
                  <w:r>
                    <w:rPr>
                      <w:color w:val="000000"/>
                      <w:szCs w:val="24"/>
                      <w:lang w:eastAsia="lt-LT"/>
                    </w:rPr>
                    <w:t>Žuvininkystės tarnybą</w:t>
                  </w:r>
                  <w:r>
                    <w:t>, kuri per 3 darbo dienas išduoda naują žvejybos žurnalą ar priegaudos žurnalą.</w:t>
                  </w:r>
                </w:p>
              </w:sdtContent>
            </w:sdt>
          </w:sdtContent>
        </w:sdt>
        <w:sdt>
          <w:sdtPr>
            <w:alias w:val="signatura"/>
            <w:tag w:val="part_1ec0cc4115c24136a329189bd6df623c"/>
            <w:lock w:val="sdtLocked"/>
            <w:richText/>
          </w:sdtPr>
          <w:sdtContent>
            <w:p>
              <w:pPr>
                <w:overflowPunct w:val="0"/>
                <w:textAlignment w:val="baseline"/>
              </w:pPr>
            </w:p>
            <w:p>
              <w:pPr>
                <w:overflowPunct w:val="0"/>
                <w:textAlignment w:val="baseline"/>
              </w:pPr>
            </w:p>
            <w:p>
              <w:pPr>
                <w:overflowPunct w:val="0"/>
                <w:textAlignment w:val="baseline"/>
              </w:pPr>
            </w:p>
            <w:p>
              <w:pPr>
                <w:overflowPunct w:val="0"/>
                <w:spacing w:line="360" w:lineRule="auto"/>
                <w:textAlignment w:val="baseline"/>
                <w:rPr>
                  <w:szCs w:val="24"/>
                </w:rPr>
              </w:pPr>
              <w:r>
                <w:rPr>
                  <w:szCs w:val="24"/>
                </w:rPr>
                <w:t xml:space="preserve">Direktorė  </w:t>
                <w:tab/>
                <w:tab/>
                <w:tab/>
                <w:tab/>
                <w:tab/>
                <w:tab/>
                <w:t xml:space="preserve"> Indrė Šidlauskienė </w:t>
              </w:r>
            </w:p>
          </w:sdtContent>
        </w:sdt>
        <w:p/>
        <w:p>
          <w:pPr>
            <w:jc w:val="both"/>
            <w:rPr>
              <w:rFonts w:ascii="Times New Roman" w:hAnsi="Times New Roman"/>
              <w:sz w:val="20"/>
              <w:b/>
            </w:rPr>
          </w:pPr>
        </w:p>
        <w:p>
          <w:pPr>
            <w:jc w:val="both"/>
            <w:rPr>
              <w:rFonts w:ascii="Times New Roman" w:hAnsi="Times New Roman"/>
              <w:sz w:val="20"/>
              <w:b/>
            </w:rPr>
          </w:pPr>
        </w:p>
        <w:p>
          <w:pPr>
            <w:jc w:val="both"/>
            <w:rPr>
              <w:rFonts w:ascii="Times New Roman" w:hAnsi="Times New Roman"/>
              <w:b/>
            </w:rPr>
          </w:pPr>
          <w:r>
            <w:rPr>
              <w:rFonts w:ascii="Times New Roman" w:hAnsi="Times New Roman"/>
              <w:sz w:val="20"/>
              <w:b/>
            </w:rPr>
            <w:t>Pakeitimai: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1.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Žuvininkystės tarnyba prie Lietuvos Respublikos žemės ūkio ministerijos, Įsakymas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80d100e00f8511ebb74de75171d26d52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V1-76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2019-06-18,
paskelbta TAR 2020-10-22, i. k. 2020-21982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Žuvininkystės tarnybos prie Lietuvos Respublikos žemės ūkio ministerijos direktoriaus 2016 m. lapkričio 21 d. įsakymo Nr. V1-173 „Dėl popierinių žvejybos žurnalų, žvejybos produktų iškrovimo bei perkrovimo deklaracijų ir Baltijos jūros priekrantės žvejybos žurnalo išdavimo bei duomenų pateikimo tvarkos“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2.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Žuvininkystės tarnyba prie Lietuvos Respublikos žemės ūkio ministerijos, Įsakymas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75004436e00711f08918e1adc7c5b1ec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V1-142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2025-12-23,
paskelbta TAR 2025-12-23, i. k. 2025-22634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Žuvininkystės tarnybos prie Lietuvos Respublikos žemės ūkio ministerijos direktoriaus 2016 m. lapkričio 21 d. įsakymo Nr. V1-173 „Dėl popierinių žvejybos žurnalų, žvejybos produktų iškrovimo bei perkrovimo deklaracijų ir Baltijos jūros priekrantės žvejybos žurnalo išdavimo bei duomenų pateikimo tvarkos“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widowControl w:val="0"/>
            <w:rPr>
              <w:rFonts w:ascii="Times New Roman" w:hAnsi="Times New Roman"/>
              <w:snapToGrid w:val="0"/>
            </w:rPr>
          </w:pPr>
        </w:p>
      </w:sdtContent>
    </w:sdt>
    <w:sectPr>
      <w:headerReference w:type="default" r:id="rId1"/>
      <w:type w:val="continuous"/>
      <w:pgSz w:w="11906" w:h="16838" w:code="9"/>
      <w:pgMar w:top="1134" w:right="567" w:bottom="1134" w:left="1701" w:header="567" w:footer="567" w:gutter="0"/>
      <w:cols w:space="1296"/>
      <w:titlePg/>
      <w:docGrid w:linePitch="360"/>
    </w:sectPr>
  </w:body>
</w:document>
</file>

<file path=word/endnotes.xml><?xml version="1.0" encoding="utf-8"?>
<w:endnote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16cid w16 w16cex w16sdtdh w16sdtfl w16du wp14">
  <w:endnote w:type="separator" w:id="-1">
    <w:p>
      <w:pPr>
        <w:overflowPunct w:val="0"/>
        <w:textAlignment w:val="baseline"/>
      </w:pPr>
      <w:r>
        <w:separator/>
      </w:r>
    </w:p>
  </w:endnote>
  <w:endnote w:type="continuationSeparator" w:id="0">
    <w:p>
      <w:pPr>
        <w:overflowPunct w:val="0"/>
        <w:textAlignment w:val="baseline"/>
      </w:pPr>
      <w:r>
        <w:continuationSeparator/>
      </w:r>
    </w:p>
  </w:endnote>
</w:endnotes>
</file>

<file path=word/fontTable.xml><?xml version="1.0" encoding="utf-8"?>
<w:font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16cid w16 w16cex w16sdtdh w16sdtfl w16du wp14">
  <w:footnote w:type="separator" w:id="-1">
    <w:p>
      <w:pPr>
        <w:overflowPunct w:val="0"/>
        <w:textAlignment w:val="baseline"/>
      </w:pPr>
      <w:r>
        <w:separator/>
      </w:r>
    </w:p>
  </w:footnote>
  <w:footnote w:type="continuationSeparator" w:id="0">
    <w:p>
      <w:pPr>
        <w:overflowPunct w:val="0"/>
        <w:textAlignment w:val="baseline"/>
      </w:pPr>
      <w:r>
        <w:continuationSeparator/>
      </w:r>
    </w:p>
  </w:footnote>
</w:footnotes>
</file>

<file path=word/header1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819"/>
        <w:tab w:val="right" w:pos="9638"/>
      </w:tabs>
      <w:overflowPunct w:val="0"/>
      <w:jc w:val="center"/>
      <w:textAlignment w:val="baseline"/>
    </w:pPr>
    <w:r>
      <w:fldChar w:fldCharType="begin"/>
    </w:r>
    <w:r>
      <w:instrText>PAGE   \* MERGEFORMAT</w:instrText>
    </w:r>
    <w:r>
      <w:fldChar w:fldCharType="separate"/>
    </w:r>
    <w:r>
      <w:t>3</w:t>
    </w:r>
    <w:r>
      <w:fldChar w:fldCharType="end"/>
    </w:r>
  </w:p>
  <w:p>
    <w:pPr>
      <w:tabs>
        <w:tab w:val="center" w:pos="4819"/>
        <w:tab w:val="right" w:pos="9638"/>
      </w:tabs>
      <w:overflowPunct w:val="0"/>
      <w:textAlignment w:val="baseline"/>
    </w:pPr>
  </w:p>
</w:hdr>
</file>

<file path=word/header2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819"/>
        <w:tab w:val="right" w:pos="9638"/>
      </w:tabs>
      <w:overflowPunct w:val="0"/>
      <w:jc w:val="center"/>
      <w:textAlignment w:val="baseline"/>
    </w:pPr>
    <w:r>
      <w:fldChar w:fldCharType="begin"/>
    </w:r>
    <w:r>
      <w:instrText>PAGE   \* MERGEFORMAT</w:instrText>
    </w:r>
    <w:r>
      <w:fldChar w:fldCharType="separate"/>
    </w:r>
    <w:r>
      <w:t>3</w:t>
    </w:r>
    <w:r>
      <w:fldChar w:fldCharType="end"/>
    </w:r>
  </w:p>
  <w:p>
    <w:pPr>
      <w:tabs>
        <w:tab w:val="center" w:pos="4819"/>
        <w:tab w:val="right" w:pos="9638"/>
      </w:tabs>
      <w:overflowPunct w:val="0"/>
      <w:textAlignment w:val="baseline"/>
    </w:pPr>
  </w:p>
</w:hdr>
</file>

<file path=word/header3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16cid w16 w16cex w16sdtdh w16sdtfl w16du wp14">
  <w:p>
    <w:pPr>
      <w:tabs>
        <w:tab w:val="center" w:pos="4819"/>
        <w:tab w:val="right" w:pos="9638"/>
      </w:tabs>
      <w:overflowPunct w:val="0"/>
      <w:jc w:val="center"/>
      <w:textAlignment w:val="baseline"/>
    </w:pPr>
    <w:r>
      <w:fldChar w:fldCharType="begin"/>
    </w:r>
    <w:r>
      <w:instrText>PAGE   \* MERGEFORMAT</w:instrText>
    </w:r>
    <w:r>
      <w:fldChar w:fldCharType="separate"/>
    </w:r>
    <w:r>
      <w:t>3</w:t>
    </w:r>
    <w:r>
      <w:fldChar w:fldCharType="end"/>
    </w:r>
  </w:p>
  <w:p>
    <w:pPr>
      <w:tabs>
        <w:tab w:val="center" w:pos="4819"/>
        <w:tab w:val="right" w:pos="9638"/>
      </w:tabs>
      <w:overflowPunct w:val="0"/>
      <w:textAlignment w:val="baseline"/>
    </w:pPr>
  </w:p>
</w:hdr>
</file>

<file path=word/settings.xml><?xml version="1.0" encoding="utf-8"?>
<w:setting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16cid w16 w16cex w16sdtdh w16sdtfl w16du">
  <w:zoom w:val="bestFit" w:percent="94"/>
  <w:defaultTabStop w:val="1247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D346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29D366E"/>
  <w15:docId w15:val="{978055A8-5C83-48B4-9657-C943009E9677}"/>
</w:settings>
</file>

<file path=word/styles.xml><?xml version="1.0" encoding="utf-8"?>
<w:style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16cid w16 w16cex w16sdtdh w16sdtfl w16du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6"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16cid w16 w16cex w16sdtdh w16sdtfl w16du">
  <w:divs>
    <w:div w:id="23902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841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104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45402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92920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64525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header" Target="header3.xml"/>
  <Relationship Id="rId10" Type="http://schemas.openxmlformats.org/officeDocument/2006/relationships/hyperlink" TargetMode="External" Target="http://eur-lex.europa.eu/legal-content/LIT/TXT/?uri=CELEX:32009R1224&amp;locale=lt"/>
  <Relationship Id="rId11" Type="http://schemas.openxmlformats.org/officeDocument/2006/relationships/hyperlink" TargetMode="External" Target="http://eur-lex.europa.eu/legal-content/LIT/TXT/?uri=CELEX:31996R0847&amp;locale=lt"/>
  <Relationship Id="rId12" Type="http://schemas.openxmlformats.org/officeDocument/2006/relationships/hyperlink" TargetMode="External" Target="http://eur-lex.europa.eu/legal-content/LIT/TXT/?uri=CELEX:32002R2371&amp;locale=lt"/>
  <Relationship Id="rId13" Type="http://schemas.openxmlformats.org/officeDocument/2006/relationships/hyperlink" TargetMode="External" Target="http://eur-lex.europa.eu/legal-content/LIT/TXT/?uri=CELEX:32004R0811&amp;locale=lt"/>
  <Relationship Id="rId14" Type="http://schemas.openxmlformats.org/officeDocument/2006/relationships/hyperlink" TargetMode="External" Target="http://eur-lex.europa.eu/legal-content/LIT/TXT/?uri=CELEX:32005R0768&amp;locale=lt"/>
  <Relationship Id="rId15" Type="http://schemas.openxmlformats.org/officeDocument/2006/relationships/hyperlink" TargetMode="External" Target="http://eur-lex.europa.eu/legal-content/LIT/TXT/?uri=CELEX:32005R2115&amp;locale=lt"/>
  <Relationship Id="rId16" Type="http://schemas.openxmlformats.org/officeDocument/2006/relationships/hyperlink" TargetMode="External" Target="http://eur-lex.europa.eu/legal-content/LIT/TXT/?uri=CELEX:32005R2166&amp;locale=lt"/>
  <Relationship Id="rId17" Type="http://schemas.openxmlformats.org/officeDocument/2006/relationships/hyperlink" TargetMode="External" Target="http://eur-lex.europa.eu/legal-content/LIT/TXT/?uri=CELEX:32006R0388&amp;locale=lt"/>
  <Relationship Id="rId18" Type="http://schemas.openxmlformats.org/officeDocument/2006/relationships/hyperlink" TargetMode="External" Target="http://eur-lex.europa.eu/legal-content/LIT/TXT/?uri=CELEX:32007R0509&amp;locale=lt"/>
  <Relationship Id="rId19" Type="http://schemas.openxmlformats.org/officeDocument/2006/relationships/hyperlink" TargetMode="External" Target="http://eur-lex.europa.eu/legal-content/LIT/TXT/?uri=CELEX:32007R0676&amp;locale=lt"/>
  <Relationship Id="rId2" Type="http://schemas.openxmlformats.org/officeDocument/2006/relationships/customXml" Target="../customXml/item1.xml"/>
  <Relationship Id="rId20" Type="http://schemas.openxmlformats.org/officeDocument/2006/relationships/hyperlink" TargetMode="External" Target="http://eur-lex.europa.eu/legal-content/LIT/TXT/?uri=CELEX:32007R1098&amp;locale=lt"/>
  <Relationship Id="rId21" Type="http://schemas.openxmlformats.org/officeDocument/2006/relationships/hyperlink" TargetMode="External" Target="http://eur-lex.europa.eu/legal-content/LIT/TXT/?uri=CELEX:32008R1300&amp;locale=lt"/>
  <Relationship Id="rId22" Type="http://schemas.openxmlformats.org/officeDocument/2006/relationships/hyperlink" TargetMode="External" Target="http://eur-lex.europa.eu/legal-content/LIT/TXT/?uri=CELEX:32008R1342&amp;locale=lt"/>
  <Relationship Id="rId23" Type="http://schemas.openxmlformats.org/officeDocument/2006/relationships/hyperlink" TargetMode="External" Target="http://eur-lex.europa.eu/legal-content/LIT/TXT/?uri=CELEX:31993R2847&amp;locale=lt"/>
  <Relationship Id="rId24" Type="http://schemas.openxmlformats.org/officeDocument/2006/relationships/hyperlink" TargetMode="External" Target="http://eur-lex.europa.eu/legal-content/LIT/TXT/?uri=CELEX:31994R1627&amp;locale=lt"/>
  <Relationship Id="rId25" Type="http://schemas.openxmlformats.org/officeDocument/2006/relationships/hyperlink" TargetMode="External" Target="http://eur-lex.europa.eu/legal-content/LIT/TXT/?uri=CELEX:32006R1966&amp;locale=lt"/>
  <Relationship Id="rId26" Type="http://schemas.openxmlformats.org/officeDocument/2006/relationships/hyperlink" TargetMode="External" Target="http://eur-lex.europa.eu/legal-content/LIT/TXT/?uri=CELEX:32009R1224&amp;locale=lt"/>
  <Relationship Id="rId27" Type="http://schemas.openxmlformats.org/officeDocument/2006/relationships/customXml" Target="../customXml/item2.xml"/>
  <Relationship Id="rId3" Type="http://schemas.openxmlformats.org/officeDocument/2006/relationships/endnotes" Target="endnotes.xml"/>
  <Relationship Id="rId4" Type="http://schemas.openxmlformats.org/officeDocument/2006/relationships/fontTable" Target="fontTable.xml"/>
  <Relationship Id="rId5" Type="http://schemas.openxmlformats.org/officeDocument/2006/relationships/footnotes" Target="footnotes.xml"/>
  <Relationship Id="rId6" Type="http://schemas.openxmlformats.org/officeDocument/2006/relationships/settings" Target="settings.xml"/>
  <Relationship Id="rId7" Type="http://schemas.openxmlformats.org/officeDocument/2006/relationships/styles" Target="styles.xml"/>
  <Relationship Id="rId8" Type="http://schemas.openxmlformats.org/officeDocument/2006/relationships/theme" Target="theme/theme1.xml"/>
  <Relationship Id="rId9" Type="http://schemas.openxmlformats.org/officeDocument/2006/relationships/webSettings" Target="webSettings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SelectedStyle="\APA.XSL" StyleName="APA"/>
</file>

<file path=customXml/item2.xml><?xml version="1.0" encoding="utf-8"?>
<Parts xmlns="http://lrs.lt/TAIS/DocParts">
  <Part Type="pagrindine" DocPartId="2b402c097c89411ea35910cca65d152c" PartId="0f0579e35dbf43dea9112eb00a0c502f">
    <Part Type="preambule" DocPartId="44ecdc839e55458c9be9005190944b8a" PartId="f6bb07fc8fda4f4bb1f377eed6f72b88"/>
    <Part Type="punktas" Nr="1" Abbr="1 p." DocPartId="f17ea88ef8fd4abd8299c84c5792099d" PartId="29c635e521d041cfba4abcf26b665e8d">
      <Part Type="papunktis" Nr="1.1" Abbr="1.1 pp." DocPartId="7782406085a847dba3c9bf24e78f51e2" PartId="095c8821b23443678a102ab2b1d54c12"/>
      <Part Type="papunktis" Nr="1.2" Abbr="1.2 pp." DocPartId="351723d44b934c018729f3899920683e" PartId="82de73d29e8a40c690ddd67a68645013"/>
      <Part Type="papunktis" Nr="1.3" Abbr="1.3 pp." DocPartId="1d80142b2fc54555a9fb7229115ffbd7" PartId="f23c052e1ba345ea85c215bc89c20885"/>
      <Part Type="papunktis" Nr="1.4" Abbr="1.4 pp." DocPartId="ce831858b7d2482791ff2b350485b631" PartId="2a45e80f6a7e49f382e924d1e8fc89db"/>
      <Part Type="papunktis" Nr="1.5" Abbr="1.5 pp." DocPartId="8450b9833ff94753982f0733a0cb2893" PartId="3aadc4f415774705a0e323c58413ef8a"/>
      <Part Type="papunktis" Nr="1.6" Abbr="1.6 pp." DocPartId="0ce57e20a2af4a858456ef39e68764f4" PartId="ddc0d520c0444055a36b75b85942541b"/>
      <Part Type="papunktis" Nr="1.7" Abbr="1.7 pp." DocPartId="633cbcd71f8e4a63a8e9697c17dd6955" PartId="a987a1c2eac941cb8f65e1c307752147"/>
    </Part>
    <Part Type="signatura" DocPartId="2aac7138ddb845be8a2c0af69ad6773a" PartId="1ec0cc4115c24136a329189bd6df623c"/>
  </Part>
</Parts>
</file>

<file path=customXml/itemProps1.xml><?xml version="1.0" encoding="utf-8"?>
<ds:datastoreItem xmlns:ds="http://schemas.openxmlformats.org/officeDocument/2006/customXml" ds:itemID="{36E83EE8-556F-45ED-A6CA-4F08BF1D445C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3CB4551A-CE2B-4936-B0B2-38BD74F7240D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>
  <Template>Normal</Template>
  <TotalTime>4</TotalTime>
  <Pages>4</Pages>
  <Words>6393</Words>
  <Characters>3645</Characters>
  <Application>Microsoft Office Word</Application>
  <DocSecurity>0</DocSecurity>
  <Lines>30</Lines>
  <Paragraphs>20</Paragraphs>
  <ScaleCrop>false</ScaleCrop>
  <HeadingPairs>
    <vt:vector xmlns:vt="http://schemas.openxmlformats.org/officeDocument/2006/docPropsVTypes"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xmlns:vt="http://schemas.openxmlformats.org/officeDocument/2006/docPropsVTypes" size="2" baseType="lpstr">
      <vt:lpstr/>
      <vt:lpstr/>
    </vt:vector>
  </TitlesOfParts>
  <Company/>
  <LinksUpToDate>false</LinksUpToDate>
  <CharactersWithSpaces>10018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2016-11-28T13:32:00Z</dcterms:created>
  <dc:creator>IRINA</dc:creator>
  <lastModifiedBy>JŪRĖNIENĖ Jolanta</lastModifiedBy>
  <lastPrinted>2016-10-28T05:29:00Z</lastPrinted>
  <dcterms:modified xsi:type="dcterms:W3CDTF">2026-06-10T10:40:00Z</dcterms:modified>
  <revision>6</revision>
</coreProperties>
</file>