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542c9d99f1c4905b45b797931a1108d"/>
        <w:lock w:val="sdtLocked"/>
        <w:richText/>
      </w:sdtPr>
      <w:sdtContent>
        <w:p>
          <w:pPr>
            <w:rPr>
              <w:rFonts w:ascii="Times New Roman" w:hAnsi="Times New Roman"/>
              <w:b/>
              <w:i/>
            </w:rPr>
          </w:pPr>
          <w:r>
            <w:rPr>
              <w:rFonts w:ascii="Times New Roman" w:hAnsi="Times New Roman"/>
              <w:b/>
              <w:i/>
            </w:rPr>
            <w:t>Nutarimas netenka galios 2023-06-01:</w:t>
          </w:r>
        </w:p>
        <w:p>
          <w:pPr>
            <w:jc w:val="both"/>
            <w:rPr>
              <w:rFonts w:ascii="Times New Roman" w:hAnsi="Times New Roman"/>
              <w:i/>
            </w:rPr>
          </w:pPr>
          <w:r>
            <w:rPr>
              <w:rFonts w:ascii="Times New Roman" w:hAnsi="Times New Roman"/>
              <w:sz w:val="20"/>
              <w:i/>
            </w:rPr>
            <w:t>
                    Valstybinė energetikos reguliavimo taryba,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864b6cd0e38c11ed9978886e85107ab2">
            <w:r w:rsidRPr="00532B9F">
              <w:rPr>
                <w:rFonts w:ascii="Times New Roman" w:eastAsia="MS Mincho" w:hAnsi="Times New Roman"/>
                <w:sz w:val="20"/>
                <w:i/>
                <w:iCs/>
                <w:color w:val="0000FF" w:themeColor="hyperlink"/>
                <w:u w:val="single"/>
              </w:rPr>
              <w:t>O3E-472</w:t>
            </w:r>
          </w:fldSimple>
          <w:r>
            <w:rPr>
              <w:rFonts w:ascii="Times New Roman" w:eastAsia="MS Mincho" w:hAnsi="Times New Roman"/>
              <w:sz w:val="20"/>
              <w:iCs/>
              <w:i/>
            </w:rPr>
            <w:t>,
2023-04-25,
paskelbta TAR 2023-04-25, i. k. 2023-07950                </w:t>
          </w:r>
        </w:p>
        <w:p>
          <w:pPr>
            <w:jc w:val="both"/>
            <w:rPr>
              <w:rFonts w:ascii="Times New Roman" w:hAnsi="Times New Roman"/>
              <w:i/>
            </w:rPr>
          </w:pPr>
          <w:r>
            <w:rPr>
              <w:rFonts w:ascii="Times New Roman" w:hAnsi="Times New Roman"/>
              <w:sz w:val="20"/>
              <w:i/>
            </w:rPr>
            <w:t>Dėl AB „Energijos skirstymo operatorius“ elektros energijos persiuntimo ir tiekimo nutraukimo, apribojimo, atnaujinimo įkainių derinimo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2021-07-24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2018-07-23, i. k. 2018-12253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2021-07-24:</w:t>
          </w:r>
        </w:p>
        <w:p>
          <w:pPr>
            <w:rPr>
              <w:rFonts w:ascii="Times New Roman" w:hAnsi="Times New Roman"/>
              <w:sz w:val="20"/>
              <w:i/>
            </w:rPr>
          </w:pPr>
          <w:r>
            <w:rPr>
              <w:rFonts w:ascii="Times New Roman" w:hAnsi="Times New Roman"/>
              <w:sz w:val="20"/>
              <w:i/>
            </w:rPr>
            <w:t xml:space="preserve">Nr. </w:t>
          </w:r>
          <w:fldSimple w:instr="HYPERLINK https://www.e-tar.lt/portal/legalAct.html?documentId=c7857bc0eb7f11eb9f09e7df20500045">
            <w:r w:rsidRPr="00532B9F">
              <w:rPr>
                <w:rFonts w:ascii="Times New Roman" w:eastAsia="MS Mincho" w:hAnsi="Times New Roman"/>
                <w:sz w:val="20"/>
                <w:i/>
                <w:iCs/>
                <w:color w:val="0000FF" w:themeColor="hyperlink"/>
                <w:u w:val="single"/>
              </w:rPr>
              <w:t>O3E-855</w:t>
            </w:r>
          </w:fldSimple>
          <w:r>
            <w:rPr>
              <w:rFonts w:ascii="Times New Roman" w:eastAsia="MS Mincho" w:hAnsi="Times New Roman"/>
              <w:sz w:val="20"/>
              <w:i/>
              <w:iCs/>
            </w:rPr>
            <w:t>,
2021-07-23,
paskelbta TAR 2021-07-23, i. k. 2021-16382                </w:t>
          </w:r>
        </w:p>
        <w:p>
          <w:pPr>
            <w:rPr>
              <w:rFonts w:ascii="Times New Roman" w:hAnsi="Times New Roman"/>
              <w:sz w:val="22"/>
            </w:rPr>
          </w:pPr>
        </w:p>
        <w:p>
          <w:pPr>
            <w:jc w:val="center"/>
            <w:rPr>
              <w:b/>
              <w:caps/>
            </w:rPr>
          </w:pPr>
          <w:sdt>
            <w:sdtPr>
              <w:alias w:val="Pavadinimas"/>
              <w:tag w:val="title_b542c9d99f1c4905b45b797931a1108d"/>
              <w:lock w:val="sdtLocked"/>
              <w:richText/>
            </w:sdtPr>
            <w:sdtContent>
              <w:r>
                <w:rPr>
                  <w:b/>
                  <w:caps/>
                </w:rPr>
                <w:t>vALSTYBINĖ ENERGETIKOS REGULIAVIMO TARYBA</w:t>
              </w:r>
            </w:sdtContent>
          </w:sdt>
        </w:p>
        <w:p>
          <w:pPr>
            <w:jc w:val="center"/>
            <w:rPr>
              <w:b/>
              <w:caps/>
            </w:rPr>
          </w:pPr>
        </w:p>
        <w:p>
          <w:pPr>
            <w:keepNext/>
            <w:jc w:val="center"/>
            <w:outlineLvl w:val="1"/>
            <w:rPr>
              <w:b/>
              <w:caps/>
            </w:rPr>
          </w:pPr>
          <w:r>
            <w:rPr>
              <w:b/>
              <w:caps/>
            </w:rPr>
            <w:t>NUTARIMAS</w:t>
          </w:r>
        </w:p>
        <w:p>
          <w:pPr>
            <w:jc w:val="center"/>
            <w:rPr>
              <w:b/>
              <w:caps/>
            </w:rPr>
          </w:pPr>
          <w:r>
            <w:rPr>
              <w:b/>
              <w:caps/>
            </w:rPr>
            <w:t>Dėl AB „energijos skirstymo operatorius“ ELEKTROS ENERGIJOS PERSIUNTIMO IR TIEKIMO NUTRAUKIMO, APRIBOJIMO, ATNAUJINIMO IR ELEKTROS APSKAITOS PRIETAISO RODMENŲ NUSKAITYMO PASLAUGŲ ĮKAINIŲ DERINIMO</w:t>
          </w:r>
        </w:p>
        <w:p>
          <w:pPr>
            <w:jc w:val="center"/>
            <w:rPr>
              <w:b/>
              <w:caps/>
            </w:rPr>
          </w:pPr>
        </w:p>
        <w:p>
          <w:pPr>
            <w:jc w:val="center"/>
          </w:pPr>
          <w:r>
            <w:t>2018 m. liepos 20 d. Nr. O3E-230</w:t>
          </w:r>
        </w:p>
        <w:p>
          <w:pPr>
            <w:jc w:val="center"/>
            <w:rPr>
              <w:b/>
              <w:caps/>
            </w:rPr>
          </w:pPr>
          <w:r>
            <w:t>Vilnius</w:t>
          </w:r>
        </w:p>
        <w:p>
          <w:pPr>
            <w:jc w:val="center"/>
          </w:pPr>
        </w:p>
        <w:sdt>
          <w:sdtPr>
            <w:alias w:val="preambule"/>
            <w:tag w:val="part_69690c80d09048dc8514c6f9893fe224"/>
            <w:lock w:val="sdtLocked"/>
            <w:richText/>
          </w:sdtPr>
          <w:sdtContent>
            <w:p>
              <w:pPr>
                <w:ind w:firstLine="709"/>
                <w:jc w:val="both"/>
                <w:rPr>
                  <w:color w:val="000000"/>
                </w:rPr>
              </w:pPr>
              <w:r>
                <w:t xml:space="preserve">Vadovaudamasi </w:t>
              </w:r>
              <w:r>
                <w:rPr>
                  <w:szCs w:val="24"/>
                </w:rPr>
                <w:t>Lietuvos Respublikos elektros energetikos įstatymo 9 straipsnio 3 dalies 20 punktu</w:t>
              </w:r>
              <w:r>
                <w:rPr>
                  <w:color w:val="000000"/>
                </w:rPr>
                <w:t xml:space="preserve">, Elektros energijos tiekimo ir naudojimo taisyklėmis, patvirtintomis Lietuvos Respublikos energetikos ministro 2010 m. vasario 11 d. įsakymu Nr. 1-38 „Dėl Elektros energijos tiekimo ir naudojimo taisyklių patvirtinimo“ (toliau – Elektros energijos tiekimo ir naudojimo taisyklės), ir atsižvelgdama į Valstybinės kainų ir energetikos kontrolės komisijos Dujų ir elektros departamento Elektros skyriaus 2018 m. liepos 11 d. pažymą Nr. </w:t>
              </w:r>
              <w:r>
                <w:rPr>
                  <w:bCs/>
                  <w:szCs w:val="24"/>
                </w:rPr>
                <w:t>O5E-170</w:t>
              </w:r>
              <w:r>
                <w:rPr>
                  <w:color w:val="000000"/>
                </w:rPr>
                <w:t xml:space="preserve"> „Dėl AB „Energijos skirstymo operatorius“ elektros energijos persiuntimo ir tiekimo nutraukimo, apribojimo, atnaujinimo ir elektros apskaitos prietaiso rodmenų nuskaitymo įkainių derinimo“ (toliau – Pažyma) bei į AB „Energijos skirstymo operatorius“ (toliau – Operatorius) 2014–2018 m. raštais, nurodytais Pažymoje, pateiktą informaciją, Valstybinė energetikos reguliavimo taryba </w:t>
              </w:r>
              <w:r>
                <w:t>n u t a r i a:</w:t>
              </w:r>
            </w:p>
          </w:sdtContent>
        </w:sdt>
        <w:sdt>
          <w:sdtPr>
            <w:alias w:val="pastraipa"/>
            <w:tag w:val="part_5132b6a4d07b43e8bddf67834bdde216"/>
            <w:lock w:val="sdtLocked"/>
            <w:richText/>
          </w:sdtPr>
          <w:sdtContent>
            <w:p>
              <w:pPr>
                <w:ind w:firstLine="720"/>
                <w:jc w:val="both"/>
                <w:rPr>
                  <w:szCs w:val="24"/>
                  <w:lang w:eastAsia="lt-LT"/>
                </w:rPr>
              </w:pPr>
              <w:r>
                <w:rPr>
                  <w:szCs w:val="24"/>
                  <w:lang w:eastAsia="lt-LT"/>
                </w:rPr>
                <w:t xml:space="preserve">Suderinti Operatoriaus teikiamų </w:t>
              </w:r>
              <w:r>
                <w:rPr>
                  <w:color w:val="000000"/>
                  <w:szCs w:val="24"/>
                  <w:lang w:eastAsia="lt-LT"/>
                </w:rPr>
                <w:t xml:space="preserve">elektros energijos persiuntimo ir tiekimo nutraukimo, apribojimo, atnaujinimo ir elektros apskaitos prietaiso rodmenų nuskaitymo paslaugų įkainius </w:t>
              </w:r>
              <w:r>
                <w:rPr>
                  <w:szCs w:val="24"/>
                  <w:lang w:eastAsia="lt-LT"/>
                </w:rPr>
                <w:t>ir jų taikymo sąlygas:</w:t>
              </w:r>
            </w:p>
          </w:sdtContent>
        </w:sdt>
        <w:sdt>
          <w:sdtPr>
            <w:alias w:val="lentele"/>
            <w:tag w:val="part_94bb91e57348437197cc2a8e9db3664b"/>
            <w:lock w:val="sdtLocked"/>
            <w:richText/>
          </w:sdtPr>
          <w:sdtContent>
            <w:p>
              <w:pPr>
                <w:ind w:firstLine="720"/>
                <w:jc w:val="both"/>
                <w:rPr>
                  <w:color w:val="00000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08"/>
                <w:gridCol w:w="2120"/>
              </w:tblGrid>
              <w:tr>
                <w:trPr>
                  <w:trHeight w:val="610"/>
                  <w:jc w:val="center"/>
                </w:trPr>
                <w:tc>
                  <w:tcPr>
                    <w:tcW w:w="7508" w:type="dxa"/>
                    <w:noWrap/>
                    <w:vAlign w:val="center"/>
                  </w:tcPr>
                  <w:p>
                    <w:pPr>
                      <w:jc w:val="center"/>
                      <w:rPr>
                        <w:bCs/>
                        <w:color w:val="000000"/>
                        <w:szCs w:val="24"/>
                      </w:rPr>
                    </w:pPr>
                    <w:r>
                      <w:rPr>
                        <w:bCs/>
                        <w:color w:val="000000"/>
                        <w:szCs w:val="24"/>
                      </w:rPr>
                      <w:t>Paslaugų pavadinimai</w:t>
                    </w:r>
                  </w:p>
                </w:tc>
                <w:tc>
                  <w:tcPr>
                    <w:tcW w:w="2120" w:type="dxa"/>
                  </w:tcPr>
                  <w:p>
                    <w:pPr>
                      <w:ind w:firstLine="35"/>
                      <w:jc w:val="center"/>
                      <w:rPr>
                        <w:bCs/>
                        <w:color w:val="000000"/>
                        <w:szCs w:val="24"/>
                      </w:rPr>
                    </w:pPr>
                    <w:r>
                      <w:rPr>
                        <w:bCs/>
                        <w:color w:val="000000"/>
                        <w:szCs w:val="24"/>
                      </w:rPr>
                      <w:t>Fiksuotas įkainis be PVM</w:t>
                    </w:r>
                  </w:p>
                </w:tc>
              </w:tr>
              <w:tr>
                <w:trPr>
                  <w:trHeight w:val="300"/>
                  <w:jc w:val="center"/>
                </w:trPr>
                <w:tc>
                  <w:tcPr>
                    <w:tcW w:w="7508" w:type="dxa"/>
                    <w:noWrap/>
                  </w:tcPr>
                  <w:p>
                    <w:pPr>
                      <w:ind w:firstLine="710"/>
                      <w:jc w:val="both"/>
                      <w:rPr>
                        <w:color w:val="000000"/>
                        <w:szCs w:val="24"/>
                      </w:rPr>
                    </w:pPr>
                  </w:p>
                </w:tc>
                <w:tc>
                  <w:tcPr>
                    <w:tcW w:w="2120" w:type="dxa"/>
                    <w:noWrap/>
                  </w:tcPr>
                  <w:p>
                    <w:pPr>
                      <w:ind w:firstLine="35"/>
                      <w:jc w:val="center"/>
                      <w:rPr>
                        <w:color w:val="000000"/>
                        <w:szCs w:val="24"/>
                      </w:rPr>
                    </w:pPr>
                    <w:r>
                      <w:rPr>
                        <w:color w:val="000000"/>
                        <w:szCs w:val="24"/>
                      </w:rPr>
                      <w:t>EUR</w:t>
                    </w:r>
                  </w:p>
                </w:tc>
              </w:tr>
              <w:tr>
                <w:trPr>
                  <w:trHeight w:val="342"/>
                  <w:jc w:val="center"/>
                </w:trPr>
                <w:tc>
                  <w:tcPr>
                    <w:tcW w:w="9628" w:type="dxa"/>
                    <w:gridSpan w:val="2"/>
                  </w:tcPr>
                  <w:p>
                    <w:pPr>
                      <w:ind w:firstLine="35"/>
                      <w:jc w:val="center"/>
                      <w:rPr>
                        <w:bCs/>
                        <w:color w:val="000000"/>
                        <w:szCs w:val="24"/>
                      </w:rPr>
                    </w:pPr>
                    <w:r>
                      <w:rPr>
                        <w:bCs/>
                        <w:color w:val="000000"/>
                        <w:szCs w:val="24"/>
                      </w:rPr>
                      <w:t>1. Elektros energijos persiuntimo / tiekimo nutraukimas, apribojimas arba atnaujinimas:</w:t>
                    </w:r>
                  </w:p>
                </w:tc>
              </w:tr>
              <w:tr>
                <w:trPr>
                  <w:trHeight w:val="300"/>
                  <w:jc w:val="center"/>
                </w:trPr>
                <w:tc>
                  <w:tcPr>
                    <w:tcW w:w="7508" w:type="dxa"/>
                    <w:vAlign w:val="center"/>
                  </w:tcPr>
                  <w:p>
                    <w:pPr>
                      <w:ind w:firstLine="455"/>
                      <w:jc w:val="both"/>
                      <w:rPr>
                        <w:color w:val="000000"/>
                        <w:szCs w:val="24"/>
                      </w:rPr>
                    </w:pPr>
                    <w:r>
                      <w:rPr>
                        <w:color w:val="000000"/>
                        <w:szCs w:val="24"/>
                      </w:rPr>
                      <w:t>1.1. Fiziniams ir juridiniams asmenims nuo skaitiklio</w:t>
                    </w:r>
                  </w:p>
                </w:tc>
                <w:tc>
                  <w:tcPr>
                    <w:tcW w:w="2120" w:type="dxa"/>
                    <w:vAlign w:val="center"/>
                  </w:tcPr>
                  <w:p>
                    <w:pPr>
                      <w:ind w:firstLine="35"/>
                      <w:jc w:val="center"/>
                      <w:rPr>
                        <w:color w:val="000000"/>
                        <w:szCs w:val="24"/>
                      </w:rPr>
                    </w:pPr>
                    <w:r>
                      <w:rPr>
                        <w:color w:val="000000"/>
                        <w:szCs w:val="24"/>
                      </w:rPr>
                      <w:t>18,32</w:t>
                    </w:r>
                  </w:p>
                </w:tc>
              </w:tr>
              <w:tr>
                <w:trPr>
                  <w:trHeight w:val="300"/>
                  <w:jc w:val="center"/>
                </w:trPr>
                <w:tc>
                  <w:tcPr>
                    <w:tcW w:w="7508" w:type="dxa"/>
                  </w:tcPr>
                  <w:p>
                    <w:pPr>
                      <w:ind w:firstLine="455"/>
                      <w:jc w:val="both"/>
                      <w:rPr>
                        <w:color w:val="000000"/>
                        <w:szCs w:val="24"/>
                      </w:rPr>
                    </w:pPr>
                    <w:r>
                      <w:rPr>
                        <w:color w:val="000000"/>
                        <w:szCs w:val="24"/>
                      </w:rPr>
                      <w:t>1.2. Fiziniams ir juridiniams asmenims, panaudojant automobilį su pakėlimo aikštele</w:t>
                    </w:r>
                  </w:p>
                </w:tc>
                <w:tc>
                  <w:tcPr>
                    <w:tcW w:w="2120" w:type="dxa"/>
                    <w:vAlign w:val="center"/>
                  </w:tcPr>
                  <w:p>
                    <w:pPr>
                      <w:ind w:firstLine="35"/>
                      <w:jc w:val="center"/>
                      <w:rPr>
                        <w:color w:val="000000"/>
                        <w:szCs w:val="24"/>
                      </w:rPr>
                    </w:pPr>
                    <w:r>
                      <w:rPr>
                        <w:color w:val="000000"/>
                        <w:szCs w:val="24"/>
                      </w:rPr>
                      <w:t>86,49</w:t>
                    </w:r>
                  </w:p>
                </w:tc>
              </w:tr>
              <w:tr>
                <w:trPr>
                  <w:trHeight w:val="570"/>
                  <w:jc w:val="center"/>
                </w:trPr>
                <w:tc>
                  <w:tcPr>
                    <w:tcW w:w="7508" w:type="dxa"/>
                  </w:tcPr>
                  <w:p>
                    <w:pPr>
                      <w:ind w:firstLine="455"/>
                      <w:jc w:val="both"/>
                      <w:rPr>
                        <w:color w:val="000000"/>
                        <w:szCs w:val="24"/>
                      </w:rPr>
                    </w:pPr>
                    <w:r>
                      <w:rPr>
                        <w:color w:val="000000"/>
                        <w:szCs w:val="24"/>
                      </w:rPr>
                      <w:t>1.3. Fiziniams ir juridiniams asmenims nuo tranzitinės dėžės arba transformatorinės arba atjungiant nuo atramos, nenaudojant automobilio su pakėlimo aikštele</w:t>
                    </w:r>
                  </w:p>
                </w:tc>
                <w:tc>
                  <w:tcPr>
                    <w:tcW w:w="2120" w:type="dxa"/>
                    <w:vAlign w:val="center"/>
                  </w:tcPr>
                  <w:p>
                    <w:pPr>
                      <w:ind w:firstLine="35"/>
                      <w:jc w:val="center"/>
                      <w:rPr>
                        <w:color w:val="000000"/>
                        <w:szCs w:val="24"/>
                      </w:rPr>
                    </w:pPr>
                    <w:r>
                      <w:rPr>
                        <w:color w:val="000000"/>
                        <w:szCs w:val="24"/>
                      </w:rPr>
                      <w:t>51,29</w:t>
                    </w:r>
                  </w:p>
                </w:tc>
              </w:tr>
              <w:tr>
                <w:trPr>
                  <w:trHeight w:val="2026"/>
                  <w:jc w:val="center"/>
                </w:trPr>
                <w:tc>
                  <w:tcPr>
                    <w:tcW w:w="9628" w:type="dxa"/>
                    <w:gridSpan w:val="2"/>
                  </w:tcPr>
                  <w:p>
                    <w:pPr>
                      <w:ind w:firstLine="455"/>
                      <w:jc w:val="both"/>
                      <w:rPr>
                        <w:szCs w:val="24"/>
                      </w:rPr>
                    </w:pPr>
                    <w:r>
                      <w:rPr>
                        <w:szCs w:val="24"/>
                      </w:rPr>
                      <w:t>Įkainiai taikomi:</w:t>
                    </w:r>
                  </w:p>
                  <w:p>
                    <w:pPr>
                      <w:ind w:firstLine="455"/>
                      <w:jc w:val="both"/>
                      <w:rPr>
                        <w:szCs w:val="24"/>
                      </w:rPr>
                    </w:pPr>
                    <w:r>
                      <w:rPr>
                        <w:szCs w:val="24"/>
                      </w:rPr>
                      <w:t>a)</w:t>
                      <w:tab/>
                      <w:t>kai vartotojui elektros energijos persiuntimas / tiekimas yra nutraukiamas / apribojamas dėl jo skolos už suvartotą elektros energiją, suteiktą elektros energijos persiuntimo ar už kitas su tuo susijusias paslaugas;</w:t>
                    </w:r>
                  </w:p>
                  <w:p>
                    <w:pPr>
                      <w:ind w:firstLine="455"/>
                      <w:jc w:val="both"/>
                      <w:rPr>
                        <w:szCs w:val="24"/>
                      </w:rPr>
                    </w:pPr>
                    <w:r>
                      <w:rPr>
                        <w:szCs w:val="24"/>
                      </w:rPr>
                      <w:t>b)</w:t>
                      <w:tab/>
                      <w:t>kai vartotojui elektros energijos persiuntimas / tiekimas yra nutraukiamas / apribojamas dėl nesudarytos sutarties dėl elektros energijos pirkimo‒pardavimo ir (ar) persiuntimo paslaugos teikimo;</w:t>
                    </w:r>
                  </w:p>
                  <w:p>
                    <w:pPr>
                      <w:ind w:firstLine="455"/>
                      <w:jc w:val="both"/>
                      <w:rPr>
                        <w:szCs w:val="24"/>
                      </w:rPr>
                    </w:pPr>
                    <w:r>
                      <w:rPr>
                        <w:szCs w:val="24"/>
                      </w:rPr>
                      <w:t>c)</w:t>
                      <w:tab/>
                      <w:t xml:space="preserve">kai vartotojui elektros energijos persiuntimas / tiekimas yra nutraukiamas / apribojamas dėl sutartyje dėl elektros energijos pirkimo–pardavimo ir (ar) persiuntimo paslaugos teikimo numatytų prievolių nevykdymo ar netinkamo vykdymo; </w:t>
                    </w:r>
                  </w:p>
                  <w:p>
                    <w:pPr>
                      <w:ind w:firstLine="455"/>
                      <w:jc w:val="both"/>
                      <w:rPr>
                        <w:szCs w:val="24"/>
                      </w:rPr>
                    </w:pPr>
                    <w:r>
                      <w:rPr>
                        <w:szCs w:val="24"/>
                      </w:rPr>
                      <w:t>d)</w:t>
                      <w:tab/>
                      <w:t xml:space="preserve">atnaujinant vartotojui elektros energijos persiuntimą / tiekimą, kuriam elektros energijos persiuntimas / tiekimas buvo nutraukiamas / apribojamas; </w:t>
                    </w:r>
                  </w:p>
                  <w:p>
                    <w:pPr>
                      <w:ind w:firstLine="455"/>
                      <w:jc w:val="both"/>
                      <w:rPr>
                        <w:szCs w:val="24"/>
                      </w:rPr>
                    </w:pPr>
                    <w:r>
                      <w:rPr>
                        <w:szCs w:val="24"/>
                      </w:rPr>
                      <w:t>e)</w:t>
                      <w:tab/>
                      <w:t xml:space="preserve">tiekėjui ar vartotojui </w:t>
                    </w:r>
                    <w:r>
                      <w:rPr>
                        <w:color w:val="000000"/>
                        <w:szCs w:val="24"/>
                      </w:rPr>
                      <w:t>Elektros energijos tiekimo ir naudojimo taisyklėse</w:t>
                    </w:r>
                    <w:r>
                      <w:rPr>
                        <w:szCs w:val="24"/>
                      </w:rPr>
                      <w:t xml:space="preserve"> numatytais atvejais prašant nutraukti / apriboti / atnaujinti elektros energijos persiuntimą / tiekimą; </w:t>
                    </w:r>
                  </w:p>
                  <w:p>
                    <w:pPr>
                      <w:ind w:firstLine="455"/>
                      <w:jc w:val="both"/>
                      <w:rPr>
                        <w:szCs w:val="24"/>
                      </w:rPr>
                    </w:pPr>
                    <w:r>
                      <w:rPr>
                        <w:szCs w:val="24"/>
                      </w:rPr>
                      <w:t>f)</w:t>
                      <w:tab/>
                      <w:t xml:space="preserve">siekiant užkirsti kelią neteisėtiems vartotojo veiksmams (neveikimui); </w:t>
                    </w:r>
                  </w:p>
                  <w:p>
                    <w:pPr>
                      <w:ind w:firstLine="455"/>
                      <w:jc w:val="both"/>
                      <w:rPr>
                        <w:szCs w:val="24"/>
                      </w:rPr>
                    </w:pPr>
                    <w:r>
                      <w:rPr>
                        <w:szCs w:val="24"/>
                      </w:rPr>
                      <w:t xml:space="preserve">g) kai vartotojui elektros energijos persiuntimas / tiekimas yra nutraukiamas / apribojamas kitais </w:t>
                    </w:r>
                    <w:r>
                      <w:rPr>
                        <w:color w:val="000000"/>
                        <w:szCs w:val="24"/>
                      </w:rPr>
                      <w:t>Elektros energijos tiekimo ir naudojimo taisyklėse</w:t>
                    </w:r>
                    <w:r>
                      <w:rPr>
                        <w:szCs w:val="24"/>
                      </w:rPr>
                      <w:t xml:space="preserve"> nustatytais pagrindais, kuriems esant taikomas su Taryba suderintas įkainis;</w:t>
                    </w:r>
                  </w:p>
                  <w:p>
                    <w:pPr>
                      <w:ind w:firstLine="455"/>
                      <w:jc w:val="both"/>
                      <w:rPr>
                        <w:szCs w:val="24"/>
                      </w:rPr>
                    </w:pPr>
                    <w:r>
                      <w:rPr>
                        <w:szCs w:val="24"/>
                      </w:rPr>
                      <w:t>h) atskirai tiek nutraukiant / apribojant, tiek atnaujinant elektros energijos persiuntimą / tiekimą;</w:t>
                    </w:r>
                  </w:p>
                  <w:p>
                    <w:pPr>
                      <w:ind w:firstLine="455"/>
                      <w:jc w:val="both"/>
                      <w:rPr>
                        <w:szCs w:val="24"/>
                      </w:rPr>
                    </w:pPr>
                    <w:r>
                      <w:rPr>
                        <w:szCs w:val="24"/>
                      </w:rPr>
                      <w:t>i) kiekvienam vartotojo objektui, nepriklausomai nuo objekte įrengtų elektros apskaitos prietaisų skaičiaus;</w:t>
                    </w:r>
                  </w:p>
                  <w:p>
                    <w:pPr>
                      <w:ind w:firstLine="455"/>
                      <w:jc w:val="both"/>
                      <w:rPr>
                        <w:szCs w:val="24"/>
                      </w:rPr>
                    </w:pPr>
                    <w:r>
                      <w:rPr>
                        <w:szCs w:val="24"/>
                      </w:rPr>
                      <w:t xml:space="preserve">j) vartotojui arba tiekėjui, kaip tai numatyta </w:t>
                    </w:r>
                    <w:r>
                      <w:rPr>
                        <w:color w:val="000000"/>
                        <w:szCs w:val="24"/>
                      </w:rPr>
                      <w:t>Elektros energijos tiekimo ir naudojimo taisyklėse</w:t>
                    </w:r>
                    <w:r>
                      <w:rPr>
                        <w:szCs w:val="24"/>
                      </w:rPr>
                      <w:t>.</w:t>
                    </w:r>
                  </w:p>
                </w:tc>
              </w:tr>
              <w:tr>
                <w:trPr>
                  <w:trHeight w:val="274"/>
                  <w:jc w:val="center"/>
                </w:trPr>
                <w:tc>
                  <w:tcPr>
                    <w:tcW w:w="7508" w:type="dxa"/>
                  </w:tcPr>
                  <w:p>
                    <w:pPr>
                      <w:ind w:firstLine="455"/>
                      <w:jc w:val="both"/>
                      <w:rPr>
                        <w:szCs w:val="24"/>
                      </w:rPr>
                    </w:pPr>
                    <w:r>
                      <w:rPr>
                        <w:szCs w:val="24"/>
                      </w:rPr>
                      <w:t xml:space="preserve">2. </w:t>
                    </w:r>
                    <w:r>
                      <w:rPr>
                        <w:bCs/>
                        <w:szCs w:val="24"/>
                        <w:lang w:eastAsia="lt-LT"/>
                      </w:rPr>
                      <w:t>Elektros apskaitos prietaiso rodmenų nuskaitymas</w:t>
                    </w:r>
                  </w:p>
                </w:tc>
                <w:tc>
                  <w:tcPr>
                    <w:tcW w:w="2120" w:type="dxa"/>
                  </w:tcPr>
                  <w:p>
                    <w:pPr>
                      <w:jc w:val="center"/>
                      <w:rPr>
                        <w:szCs w:val="24"/>
                      </w:rPr>
                    </w:pPr>
                    <w:r>
                      <w:rPr>
                        <w:szCs w:val="24"/>
                      </w:rPr>
                      <w:t>17,98</w:t>
                    </w:r>
                  </w:p>
                </w:tc>
              </w:tr>
              <w:tr>
                <w:trPr>
                  <w:trHeight w:val="274"/>
                  <w:jc w:val="center"/>
                </w:trPr>
                <w:tc>
                  <w:tcPr>
                    <w:tcW w:w="9628" w:type="dxa"/>
                    <w:gridSpan w:val="2"/>
                  </w:tcPr>
                  <w:p>
                    <w:pPr>
                      <w:ind w:firstLine="455"/>
                      <w:jc w:val="both"/>
                      <w:rPr>
                        <w:szCs w:val="24"/>
                      </w:rPr>
                    </w:pPr>
                    <w:r>
                      <w:rPr>
                        <w:szCs w:val="24"/>
                      </w:rPr>
                      <w:t>Įkainis taikomas vartotojui:</w:t>
                    </w:r>
                  </w:p>
                  <w:p>
                    <w:pPr>
                      <w:ind w:firstLine="455"/>
                      <w:jc w:val="both"/>
                      <w:rPr>
                        <w:szCs w:val="24"/>
                      </w:rPr>
                    </w:pPr>
                    <w:r>
                      <w:rPr>
                        <w:szCs w:val="24"/>
                      </w:rPr>
                      <w:t>a) kiekvienam vartotojo (išskyrus buitinį) objektui, iki sutartyje nustatytos dienos nedeklaravusiam elektros apskaitos prietaisų rodmenų;</w:t>
                    </w:r>
                  </w:p>
                  <w:p>
                    <w:pPr>
                      <w:ind w:firstLine="455"/>
                      <w:jc w:val="both"/>
                      <w:rPr>
                        <w:szCs w:val="24"/>
                      </w:rPr>
                    </w:pPr>
                    <w:r>
                      <w:rPr>
                        <w:szCs w:val="24"/>
                      </w:rPr>
                      <w:t>b) kurio elektros apskaitos prietaisas ar elektros apskaitos schemos elementai buvo patikrinti vietoje, esant nepagrįstam vartotojo prašymui (už pakartotinį vartotojo iškvietimą pašalinti elektros apskaitos prietaiso ar apskaitos schemos elemento gedimą per paskutinius 12 mėnesių);</w:t>
                    </w:r>
                  </w:p>
                  <w:p>
                    <w:pPr>
                      <w:ind w:firstLine="455"/>
                      <w:jc w:val="both"/>
                      <w:rPr>
                        <w:szCs w:val="24"/>
                      </w:rPr>
                    </w:pPr>
                    <w:r>
                      <w:rPr>
                        <w:szCs w:val="24"/>
                      </w:rPr>
                      <w:t>c) kiekvienam vartotojo objektui, nepriklausomai nuo objekte įrengtų elektros apskaitos prietaisų skaičiaus.</w:t>
                    </w:r>
                  </w:p>
                </w:tc>
              </w:tr>
            </w:tbl>
            <w:p>
              <w:pPr/>
            </w:p>
          </w:sdtContent>
        </w:sdt>
        <w:sdt>
          <w:sdtPr>
            <w:alias w:val="pastraipa"/>
            <w:tag w:val="part_6c57fce8a5a44339ae3ed457f2768ade"/>
            <w:lock w:val="sdtLocked"/>
            <w:richText/>
          </w:sdtPr>
          <w:sdtContent>
            <w:p>
              <w:pPr>
                <w:ind w:firstLine="709"/>
                <w:jc w:val="both"/>
              </w:pPr>
              <w:r>
                <w:rPr>
                  <w:iCs/>
                  <w:color w:val="000000"/>
                  <w:szCs w:val="24"/>
                  <w:lang w:eastAsia="lt-LT"/>
                </w:rPr>
                <w:t>Šis nutarimas gali būti skundžiamas Lietuvos Respublikos administracinių bylų teisenos įstatymo nustatyta tvarka ir sąlygomis.</w:t>
              </w:r>
              <w:r>
                <w:t xml:space="preserve"> </w:t>
              </w:r>
            </w:p>
          </w:sdtContent>
        </w:sdt>
        <w:sdt>
          <w:sdtPr>
            <w:alias w:val="signatura"/>
            <w:tag w:val="part_46c7243f5346438d9fc999ddec0df436"/>
            <w:lock w:val="sdtLocked"/>
            <w:richText/>
          </w:sdtPr>
          <w:sdtContent>
            <w:p>
              <w:pPr>
                <w:jc w:val="both"/>
              </w:pPr>
            </w:p>
            <w:p>
              <w:pPr>
                <w:jc w:val="both"/>
              </w:pPr>
            </w:p>
            <w:p>
              <w:pPr>
                <w:jc w:val="both"/>
              </w:pPr>
            </w:p>
            <w:p>
              <w:pPr>
                <w:tabs>
                  <w:tab w:val="left" w:pos="8222"/>
                </w:tabs>
                <w:jc w:val="both"/>
                <w:rPr>
                  <w:color w:val="000000"/>
                  <w:szCs w:val="24"/>
                </w:rPr>
              </w:pPr>
              <w:r>
                <w:rPr>
                  <w:color w:val="000000"/>
                  <w:szCs w:val="24"/>
                </w:rPr>
                <w:t>Komisijos pirmininkė</w:t>
                <w:tab/>
                <w:t>Inga Žilienė</w:t>
              </w:r>
            </w:p>
            <w:p>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6e82d090b911e8b93ad15b34c9248c">
            <w:r w:rsidRPr="00532B9F">
              <w:rPr>
                <w:rFonts w:ascii="Times New Roman" w:eastAsia="MS Mincho" w:hAnsi="Times New Roman"/>
                <w:sz w:val="20"/>
                <w:iCs/>
                <w:color w:val="0000FF" w:themeColor="hyperlink"/>
                <w:u w:val="single"/>
              </w:rPr>
              <w:t>O3E-235</w:t>
            </w:r>
          </w:fldSimple>
          <w:r>
            <w:rPr>
              <w:rFonts w:ascii="Times New Roman" w:eastAsia="MS Mincho" w:hAnsi="Times New Roman"/>
              <w:sz w:val="20"/>
              <w:iCs/>
            </w:rPr>
            <w:t>,
2018-07-26,
paskelbta TAR 2018-07-26, i. k. 2018-12448                </w:t>
          </w:r>
        </w:p>
        <w:p>
          <w:pPr>
            <w:jc w:val="both"/>
            <w:rPr>
              <w:rFonts w:ascii="Times New Roman" w:hAnsi="Times New Roman"/>
            </w:rPr>
          </w:pPr>
          <w:r>
            <w:rPr>
              <w:rFonts w:ascii="Times New Roman" w:hAnsi="Times New Roman"/>
              <w:sz w:val="20"/>
            </w:rPr>
            <w:t>Dėl Valstybinės kainų ir energetikos kontrolės komisijos 2018 m. liepos 20 d. nutarimo Nr. O3E-230 „Dėl AB „Energijos skirstymo operatorius“ elektros energijos persiuntimo ir tiekimo nutraukimo, apribojimo, atnaujinimo ir elektros apskaitos prietaiso rodmenų nuskaitymo įkainių derinimo“ korektūros klaidos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7857bc0eb7f11eb9f09e7df20500045">
            <w:r w:rsidRPr="00532B9F">
              <w:rPr>
                <w:rFonts w:ascii="Times New Roman" w:eastAsia="MS Mincho" w:hAnsi="Times New Roman"/>
                <w:sz w:val="20"/>
                <w:iCs/>
                <w:color w:val="0000FF" w:themeColor="hyperlink"/>
                <w:u w:val="single"/>
              </w:rPr>
              <w:t>O3E-855</w:t>
            </w:r>
          </w:fldSimple>
          <w:r>
            <w:rPr>
              <w:rFonts w:ascii="Times New Roman" w:eastAsia="MS Mincho" w:hAnsi="Times New Roman"/>
              <w:sz w:val="20"/>
              <w:iCs/>
            </w:rPr>
            <w:t>,
2021-07-23,
paskelbta TAR 2021-07-23, i. k. 2021-16382                </w:t>
          </w:r>
        </w:p>
        <w:p>
          <w:pPr>
            <w:jc w:val="both"/>
            <w:rPr>
              <w:rFonts w:ascii="Times New Roman" w:hAnsi="Times New Roman"/>
            </w:rPr>
          </w:pPr>
          <w:r>
            <w:rPr>
              <w:rFonts w:ascii="Times New Roman" w:hAnsi="Times New Roman"/>
              <w:sz w:val="20"/>
            </w:rPr>
            <w:t>Dėl naujų AB „Energijos skirstymo operatorius“ elektros energijos persiuntimo / tiekimo nutraukimo, apribojimo ir atnaujinimo paslaugų įkainių nederinimo ir Valstybinės kainų ir energetikos kontrolės komisijos 2018 m. liepos 20 d. nutarimo Nr. O3E-230 "Dėl AB „Energijos skirstymo operatorius“ elektros energijos persiuntimo ir tiekimo nutraukimo, apribojimo, atnaujinimo ir elektros apskaitos prietaiso rodmenų nuskaitymo įkainių derinimo“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jc w:val="both"/>
      </w:pPr>
      <w:r>
        <w:separator/>
      </w:r>
    </w:p>
  </w:endnote>
  <w:endnote w:type="continuationSeparator" w:id="0">
    <w:p>
      <w:pPr>
        <w:jc w:val="both"/>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jc w:val="both"/>
      </w:pPr>
      <w:r>
        <w:separator/>
      </w:r>
    </w:p>
  </w:footnote>
  <w:footnote w:type="continuationSeparator" w:id="0">
    <w:p>
      <w:pPr>
        <w:jc w:val="both"/>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jc w:val="both"/>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jc w:val="both"/>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DA9"/>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05292797">
      <w:marLeft w:val="0"/>
      <w:marRight w:val="0"/>
      <w:marTop w:val="0"/>
      <w:marBottom w:val="0"/>
      <w:divBdr>
        <w:top w:val="none" w:sz="0" w:space="0" w:color="auto"/>
        <w:left w:val="none" w:sz="0" w:space="0" w:color="auto"/>
        <w:bottom w:val="none" w:sz="0" w:space="0" w:color="auto"/>
        <w:right w:val="none" w:sz="0" w:space="0" w:color="auto"/>
      </w:divBdr>
    </w:div>
    <w:div w:id="190529279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ae5effc20e45dcb566fb87969a62b5" PartId="b542c9d99f1c4905b45b797931a1108d">
    <Part Type="preambule" DocPartId="fe0e44ffb9ec4fe9b25cd64d46d1e13f" PartId="69690c80d09048dc8514c6f9893fe224"/>
    <Part Type="pastraipa" DocPartId="6eadc42e58da4b019fc9dcff421c9550" PartId="5132b6a4d07b43e8bddf67834bdde216"/>
    <Part Type="lentele" DocPartId="3be6e7a5eeb54491aa5dc3d724354d27" PartId="94bb91e57348437197cc2a8e9db3664b"/>
    <Part Type="pastraipa" DocPartId="f6c5161bf8ec450cb08f3628ca2b6e63" PartId="6c57fce8a5a44339ae3ed457f2768ade"/>
    <Part Type="signatura" DocPartId="327a28504d214ae19dbb7ca27ea931b1" PartId="46c7243f5346438d9fc999ddec0df436"/>
  </Part>
</Parts>
</file>

<file path=customXml/itemProps1.xml><?xml version="1.0" encoding="utf-8"?>
<ds:datastoreItem xmlns:ds="http://schemas.openxmlformats.org/officeDocument/2006/customXml" ds:itemID="{2B27AC0F-5132-4E42-A762-75FB93DF5EEF}">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990</Words>
  <Characters>7104</Characters>
  <Application>Microsoft Office Word</Application>
  <DocSecurity>0</DocSecurity>
  <Lines>59</Lines>
  <Paragraphs>16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8078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2018-07-20T12:08:00Z</dcterms:created>
  <dc:creator>Anastasija Skunčikaitė</dc:creator>
  <lastModifiedBy>ŠAULYTĖ SKAIRIENĖ Dalia</lastModifiedBy>
  <lastPrinted>2014-12-04T11:30:00Z</lastPrinted>
  <dcterms:modified xsi:type="dcterms:W3CDTF">2021-07-24T04:19:00Z</dcterms:modified>
  <revision>8</revision>
</coreProperties>
</file>