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15aaa6117c44bebf2afde10f65e626"/>
        <w:lock w:val="sdtLocked"/>
        <w:richText/>
      </w:sdtPr>
      <w:sdtContent>
        <w:p>
          <w:pPr>
            <w:jc w:val="both"/>
            <w:rPr>
              <w:rFonts w:ascii="Times New Roman" w:hAnsi="Times New Roman"/>
            </w:rPr>
          </w:pPr>
          <w:r>
            <w:rPr>
              <w:rFonts w:ascii="Times New Roman" w:hAnsi="Times New Roman"/>
              <w:b/>
              <w:i/>
            </w:rPr>
            <w:t>Suvestinė redakcija nuo 2022-03-04 iki 2025-06-26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2017-06-16, i. k. 2017-10118</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caps/>
              <w:szCs w:val="24"/>
              <w:lang w:eastAsia="lt-LT"/>
            </w:rPr>
            <w:t>Valstybinio socialinio draudimo rezervINIO fondo sudarymo ir valdymo nuostatŲ</w:t>
          </w:r>
          <w:r>
            <w:rPr>
              <w:rFonts w:eastAsia="Calibri"/>
              <w:b/>
              <w:szCs w:val="24"/>
              <w:lang w:eastAsia="lt-LT"/>
            </w:rPr>
            <w:t xml:space="preserve"> PATVIRTINIMO</w:t>
          </w:r>
        </w:p>
        <w:p>
          <w:pPr>
            <w:tabs>
              <w:tab w:val="center" w:pos="4153"/>
              <w:tab w:val="right" w:pos="8306"/>
            </w:tabs>
            <w:rPr>
              <w:lang w:eastAsia="lt-LT"/>
            </w:rPr>
          </w:pPr>
        </w:p>
        <w:p>
          <w:pPr>
            <w:ind w:firstLine="62"/>
            <w:jc w:val="center"/>
            <w:rPr>
              <w:lang w:eastAsia="lt-LT"/>
            </w:rPr>
          </w:pPr>
          <w:r>
            <w:rPr>
              <w:lang w:eastAsia="lt-LT"/>
            </w:rPr>
            <w:t>2017 m. birželio 14 d. Nr. 438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cfab122a979d4d748f6e02adad557573"/>
            <w:lock w:val="sdtLocked"/>
            <w:richText/>
          </w:sdtPr>
          <w:sdtContent>
            <w:p>
              <w:pPr>
                <w:ind w:firstLine="720"/>
                <w:jc w:val="both"/>
                <w:rPr>
                  <w:szCs w:val="24"/>
                  <w:lang w:eastAsia="lt-LT"/>
                </w:rPr>
              </w:pPr>
              <w:r>
                <w:rPr>
                  <w:rFonts w:eastAsia="Calibri"/>
                  <w:szCs w:val="24"/>
                  <w:lang w:eastAsia="lt-LT"/>
                </w:rPr>
                <w:t xml:space="preserve">Vadovaudamasi Lietuvos Respublikos valstybinio socialinio draudimo įstatymo 35 straipsnio 2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d0b3d7acaba84e21b06ee0e5a638f0f1"/>
            <w:lock w:val="sdtLocked"/>
            <w:richText/>
          </w:sdtPr>
          <w:sdtContent>
            <w:p>
              <w:pPr>
                <w:ind w:firstLine="720"/>
                <w:jc w:val="both"/>
              </w:pPr>
              <w:r>
                <w:rPr>
                  <w:rFonts w:eastAsia="Calibri"/>
                  <w:szCs w:val="24"/>
                  <w:lang w:eastAsia="lt-LT"/>
                </w:rPr>
                <w:t xml:space="preserve">Patvirtinti Valstybinio socialinio draudimo rezervinio fondo sudarymo ir valdymo nuostatus (pridedama). </w:t>
              </w:r>
            </w:p>
          </w:sdtContent>
        </w:sdt>
        <w:sdt>
          <w:sdtPr>
            <w:alias w:val="signatura"/>
            <w:tag w:val="part_51d147f9d2954284863150628373cf0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rFonts w:eastAsia="Calibri"/>
                  <w:szCs w:val="24"/>
                  <w:lang w:eastAsia="lt-LT"/>
                </w:rPr>
                <w:t>Socialinės apsaugos ir darbo</w:t>
              </w:r>
              <w:r>
                <w:rPr>
                  <w:lang w:eastAsia="lt-LT"/>
                </w:rPr>
                <w:t xml:space="preserve"> ministras</w:t>
                <w:tab/>
                <w:t>Linas Kukuraitis</w:t>
              </w:r>
            </w:p>
          </w:sdtContent>
        </w:sdt>
      </w:sdtContent>
    </w:sdt>
    <w:sdt>
      <w:sdtPr>
        <w:alias w:val="patvirtinta"/>
        <w:tag w:val="part_8b1edb718c8e47b786935fac3c53282e"/>
        <w:lock w:val="sdtLocked"/>
        <w:richText/>
      </w:sdtPr>
      <w:sdtContent>
        <w:p>
          <w:pPr>
            <w:widowControl w:val="0"/>
            <w:ind w:left="5103"/>
            <w:sectPr>
              <w:headerReference w:type="even" r:id="rId15"/>
              <w:headerReference w:type="default" r:id="rId16"/>
              <w:footerReference w:type="even" r:id="rId17"/>
              <w:footerReference w:type="default" r:id="rId18"/>
              <w:footerReference w:type="first" r:id="rId19"/>
              <w:pgSz w:w="11906" w:h="16838" w:code="9"/>
              <w:pgMar w:top="1134" w:right="567" w:bottom="1134" w:left="1701" w:header="851" w:footer="567" w:gutter="0"/>
              <w:pgNumType w:start="1"/>
              <w:cols w:space="1296"/>
              <w:titlePg/>
              <w:docGrid w:linePitch="326"/>
            </w:sectPr>
          </w:pPr>
        </w:p>
        <w:p>
          <w:pPr>
            <w:widowControl w:val="0"/>
            <w:ind w:left="5103"/>
          </w:pPr>
          <w:r>
            <w:rPr>
              <w:szCs w:val="24"/>
              <w:lang w:eastAsia="lt-LT"/>
            </w:rPr>
            <w:t>PATVIRTINTA</w:t>
          </w:r>
        </w:p>
        <w:p>
          <w:pPr>
            <w:widowControl w:val="0"/>
            <w:ind w:left="5103"/>
          </w:pPr>
          <w:r>
            <w:rPr>
              <w:szCs w:val="24"/>
              <w:lang w:eastAsia="lt-LT"/>
            </w:rPr>
            <w:t>Lietuvos Respublikos Vyriausybės</w:t>
          </w:r>
        </w:p>
        <w:p>
          <w:pPr>
            <w:widowControl w:val="0"/>
            <w:ind w:left="5103"/>
            <w:rPr>
              <w:szCs w:val="24"/>
              <w:lang w:eastAsia="lt-LT"/>
            </w:rPr>
          </w:pPr>
          <w:r>
            <w:rPr>
              <w:szCs w:val="24"/>
              <w:lang w:eastAsia="lt-LT"/>
            </w:rPr>
            <w:t>2017 m. birželio 14 d. nutarimu Nr. 438</w:t>
          </w:r>
        </w:p>
        <w:p>
          <w:pPr>
            <w:widowControl w:val="0"/>
            <w:ind w:left="5103"/>
          </w:pPr>
          <w:r>
            <w:rPr>
              <w:szCs w:val="24"/>
              <w:lang w:eastAsia="lt-LT"/>
            </w:rPr>
            <w:t>(Lietuvos Respublikos Vyriausybės</w:t>
          </w:r>
        </w:p>
        <w:p>
          <w:pPr>
            <w:widowControl w:val="0"/>
            <w:ind w:left="5103"/>
          </w:pPr>
          <w:r>
            <w:rPr>
              <w:color w:val="000000"/>
            </w:rPr>
            <w:t xml:space="preserve">2022 m. kovo 2 d. </w:t>
          </w:r>
          <w:r>
            <w:rPr>
              <w:szCs w:val="24"/>
              <w:lang w:eastAsia="lt-LT"/>
            </w:rPr>
            <w:t xml:space="preserve">nutarimo </w:t>
          </w:r>
          <w:r>
            <w:rPr>
              <w:color w:val="000000"/>
            </w:rPr>
            <w:t>Nr. 1</w:t>
          </w:r>
          <w:r>
            <w:rPr>
              <w:szCs w:val="24"/>
              <w:lang w:eastAsia="lt-LT"/>
            </w:rPr>
            <w:t>81</w:t>
          </w:r>
        </w:p>
        <w:p>
          <w:pPr>
            <w:widowControl w:val="0"/>
            <w:ind w:left="5103"/>
          </w:pPr>
          <w:r>
            <w:rPr>
              <w:szCs w:val="24"/>
              <w:lang w:eastAsia="lt-LT"/>
            </w:rPr>
            <w:t>redakcija)</w:t>
          </w:r>
        </w:p>
        <w:p>
          <w:pPr>
            <w:widowControl w:val="0"/>
            <w:tabs>
              <w:tab w:val="center" w:pos="4153"/>
              <w:tab w:val="right" w:pos="8306"/>
            </w:tabs>
            <w:ind w:left="5103"/>
            <w:rPr>
              <w:lang w:eastAsia="lt-LT"/>
            </w:rPr>
          </w:pPr>
        </w:p>
        <w:p>
          <w:pPr>
            <w:widowControl w:val="0"/>
            <w:tabs>
              <w:tab w:val="center" w:pos="4153"/>
              <w:tab w:val="right" w:pos="8306"/>
            </w:tabs>
            <w:ind w:left="5103"/>
            <w:rPr>
              <w:lang w:eastAsia="lt-LT"/>
            </w:rPr>
          </w:pPr>
        </w:p>
        <w:p>
          <w:pPr>
            <w:widowControl w:val="0"/>
            <w:jc w:val="center"/>
            <w:rPr>
              <w:rFonts w:eastAsia="Calibri"/>
              <w:b/>
              <w:caps/>
              <w:szCs w:val="24"/>
              <w:lang w:eastAsia="lt-LT"/>
            </w:rPr>
          </w:pPr>
          <w:sdt>
            <w:sdtPr>
              <w:alias w:val="Pavadinimas"/>
              <w:tag w:val="title_8b1edb718c8e47b786935fac3c53282e"/>
              <w:lock w:val="sdtLocked"/>
              <w:richText/>
            </w:sdtPr>
            <w:sdtContent>
              <w:r>
                <w:rPr>
                  <w:rFonts w:eastAsia="Calibri"/>
                  <w:b/>
                  <w:caps/>
                  <w:szCs w:val="24"/>
                  <w:lang w:eastAsia="lt-LT"/>
                </w:rPr>
                <w:t xml:space="preserve">Valstybinio socialinio draudimo rezervinio fondo sudarymo ir valdymo nuostatai </w:t>
              </w:r>
            </w:sdtContent>
          </w:sdt>
        </w:p>
        <w:p>
          <w:pPr>
            <w:widowControl w:val="0"/>
            <w:rPr>
              <w:rFonts w:eastAsia="Calibri"/>
              <w:caps/>
              <w:szCs w:val="24"/>
              <w:lang w:eastAsia="lt-LT"/>
            </w:rPr>
          </w:pPr>
        </w:p>
        <w:sdt>
          <w:sdtPr>
            <w:alias w:val="skyrius"/>
            <w:tag w:val="part_3e70b846e7b34c5e83bd4309b657b0a0"/>
            <w:lock w:val="sdtLocked"/>
            <w:richText/>
          </w:sdtPr>
          <w:sdtContent>
            <w:p>
              <w:pPr>
                <w:widowControl w:val="0"/>
                <w:jc w:val="center"/>
                <w:rPr>
                  <w:rFonts w:eastAsia="Calibri"/>
                  <w:b/>
                  <w:szCs w:val="24"/>
                  <w:lang w:eastAsia="lt-LT"/>
                </w:rPr>
              </w:pPr>
              <w:sdt>
                <w:sdtPr>
                  <w:alias w:val="Numeris"/>
                  <w:tag w:val="nr_3e70b846e7b34c5e83bd4309b657b0a0"/>
                  <w:lock w:val="sdtLocked"/>
                  <w:richText/>
                </w:sdtPr>
                <w:sdtContent>
                  <w:r>
                    <w:rPr>
                      <w:rFonts w:eastAsia="Calibri"/>
                      <w:b/>
                      <w:szCs w:val="24"/>
                      <w:lang w:eastAsia="lt-LT"/>
                    </w:rPr>
                    <w:t>I</w:t>
                  </w:r>
                </w:sdtContent>
              </w:sdt>
              <w:r>
                <w:rPr>
                  <w:rFonts w:eastAsia="Calibri"/>
                  <w:b/>
                  <w:szCs w:val="24"/>
                  <w:lang w:eastAsia="lt-LT"/>
                </w:rPr>
                <w:t xml:space="preserve"> SKYRIUS</w:t>
              </w:r>
            </w:p>
            <w:p>
              <w:pPr>
                <w:widowControl w:val="0"/>
                <w:jc w:val="center"/>
              </w:pPr>
              <w:sdt>
                <w:sdtPr>
                  <w:alias w:val="Pavadinimas"/>
                  <w:tag w:val="title_3e70b846e7b34c5e83bd4309b657b0a0"/>
                  <w:lock w:val="sdtLocked"/>
                  <w:richText/>
                </w:sdtPr>
                <w:sdtContent>
                  <w:r>
                    <w:rPr>
                      <w:rFonts w:eastAsia="Calibri"/>
                      <w:b/>
                      <w:szCs w:val="24"/>
                      <w:lang w:eastAsia="lt-LT"/>
                    </w:rPr>
                    <w:t>BENDROSIOS NUOSTATOS</w:t>
                  </w:r>
                </w:sdtContent>
              </w:sdt>
            </w:p>
            <w:p>
              <w:pPr>
                <w:widowControl w:val="0"/>
                <w:jc w:val="center"/>
                <w:rPr>
                  <w:rFonts w:eastAsia="Calibri"/>
                  <w:szCs w:val="24"/>
                  <w:lang w:eastAsia="lt-LT"/>
                </w:rPr>
              </w:pPr>
            </w:p>
            <w:sdt>
              <w:sdtPr>
                <w:alias w:val="1 p."/>
                <w:tag w:val="part_b69ad78c3c154d3783554c5fb558643f"/>
                <w:lock w:val="sdtLocked"/>
                <w:richText/>
              </w:sdtPr>
              <w:sdtContent>
                <w:p>
                  <w:pPr>
                    <w:widowControl w:val="0"/>
                    <w:ind w:firstLine="720"/>
                    <w:jc w:val="both"/>
                    <w:rPr>
                      <w:rFonts w:eastAsia="Calibri"/>
                      <w:szCs w:val="24"/>
                      <w:lang w:eastAsia="lt-LT"/>
                    </w:rPr>
                  </w:pPr>
                  <w:sdt>
                    <w:sdtPr>
                      <w:alias w:val="Numeris"/>
                      <w:tag w:val="nr_b69ad78c3c154d3783554c5fb558643f"/>
                      <w:lock w:val="sdtLocked"/>
                      <w:richText/>
                    </w:sdtPr>
                    <w:sdtContent>
                      <w:r>
                        <w:rPr>
                          <w:rFonts w:eastAsia="Calibri"/>
                          <w:szCs w:val="24"/>
                          <w:lang w:eastAsia="lt-LT"/>
                        </w:rPr>
                        <w:t>1</w:t>
                      </w:r>
                    </w:sdtContent>
                  </w:sdt>
                  <w:r>
                    <w:rPr>
                      <w:rFonts w:eastAsia="Calibri"/>
                      <w:szCs w:val="24"/>
                      <w:lang w:eastAsia="lt-LT"/>
                    </w:rPr>
                    <w:t>. Valstybinio socialinio draudimo rezervinio fondo sudarymo ir valdymo nuostatai (toliau – Nuostatai) nustato Valstybinio socialinio draudimo rezervinio fondo (toliau – Rezervo fondas) sudarymo šaltinius, dydį, panaudojimo atvejus, lėšų investavimo, audito tvarką, veiklą ir atskaitomybę.</w:t>
                  </w:r>
                </w:p>
              </w:sdtContent>
            </w:sdt>
            <w:sdt>
              <w:sdtPr>
                <w:alias w:val="2 p."/>
                <w:tag w:val="part_e7a2af309f0a4286867db6eaf8f1945d"/>
                <w:lock w:val="sdtLocked"/>
                <w:richText/>
              </w:sdtPr>
              <w:sdtContent>
                <w:p>
                  <w:pPr>
                    <w:widowControl w:val="0"/>
                    <w:ind w:firstLine="720"/>
                    <w:jc w:val="both"/>
                  </w:pPr>
                  <w:sdt>
                    <w:sdtPr>
                      <w:alias w:val="Numeris"/>
                      <w:tag w:val="nr_e7a2af309f0a4286867db6eaf8f1945d"/>
                      <w:lock w:val="sdtLocked"/>
                      <w:richText/>
                    </w:sdtPr>
                    <w:sdtContent>
                      <w:r>
                        <w:rPr>
                          <w:rFonts w:eastAsia="Calibri"/>
                          <w:szCs w:val="24"/>
                          <w:lang w:eastAsia="lt-LT"/>
                        </w:rPr>
                        <w:t>2</w:t>
                      </w:r>
                    </w:sdtContent>
                  </w:sdt>
                  <w:r>
                    <w:rPr>
                      <w:rFonts w:eastAsia="Calibri"/>
                      <w:szCs w:val="24"/>
                      <w:lang w:eastAsia="lt-LT"/>
                    </w:rPr>
                    <w:t>. Rezervo fondo tikslas – užtikrinti Valstybinio socialinio draudimo fondo (toliau – VSDF) biudžeto stabilumą ir kaupti piniginius išteklius, reikalingus Lietuvos Respublikos socialinio draudimo pensijų įstatyme, Lietuvos Respublikos ligos ir motinystės socialinio draudimo įstatyme, Lietuvos Respublikos nelaimingų atsitikimų darbe ir profesinių ligų socialinio draudimo įstatyme, Lietuvos Respublikos nedarbo socialinio draudimo įstatyme nurodytoms</w:t>
                  </w:r>
                  <w:r>
                    <w:rPr>
                      <w:rFonts w:eastAsia="Calibri"/>
                      <w:b/>
                      <w:szCs w:val="24"/>
                      <w:lang w:eastAsia="lt-LT"/>
                    </w:rPr>
                    <w:t xml:space="preserve"> </w:t>
                  </w:r>
                  <w:r>
                    <w:rPr>
                      <w:rFonts w:eastAsia="Calibri"/>
                      <w:szCs w:val="24"/>
                      <w:lang w:eastAsia="lt-LT"/>
                    </w:rPr>
                    <w:t xml:space="preserve">valstybinio socialinio draudimo išmokoms finansuoti, kai </w:t>
                  </w:r>
                  <w:r>
                    <w:rPr>
                      <w:rFonts w:eastAsia="Calibri"/>
                      <w:lang w:eastAsia="lt-LT"/>
                    </w:rPr>
                    <w:t>nepakanka V</w:t>
                  </w:r>
                  <w:r>
                    <w:rPr>
                      <w:rFonts w:eastAsia="Calibri"/>
                      <w:szCs w:val="24"/>
                      <w:lang w:eastAsia="lt-LT"/>
                    </w:rPr>
                    <w:t>SDF biudžeto atitinkamos valstybinio socialinio draudimo rūšies pajamų.</w:t>
                  </w:r>
                  <w:r>
                    <w:rPr>
                      <w:lang w:eastAsia="lt-LT"/>
                    </w:rPr>
                    <w:t xml:space="preserve"> </w:t>
                  </w:r>
                </w:p>
                <w:p>
                  <w:pPr>
                    <w:widowControl w:val="0"/>
                    <w:rPr>
                      <w:lang w:eastAsia="lt-LT"/>
                    </w:rPr>
                  </w:pPr>
                </w:p>
              </w:sdtContent>
            </w:sdt>
          </w:sdtContent>
        </w:sdt>
        <w:sdt>
          <w:sdtPr>
            <w:alias w:val="skyrius"/>
            <w:tag w:val="part_4705d6d2fa4e4880a0bf7e6e150a98ce"/>
            <w:lock w:val="sdtLocked"/>
            <w:richText/>
          </w:sdtPr>
          <w:sdtContent>
            <w:p>
              <w:pPr>
                <w:widowControl w:val="0"/>
                <w:jc w:val="center"/>
                <w:rPr>
                  <w:rFonts w:eastAsia="Calibri"/>
                  <w:b/>
                  <w:szCs w:val="24"/>
                  <w:lang w:eastAsia="lt-LT"/>
                </w:rPr>
              </w:pPr>
              <w:sdt>
                <w:sdtPr>
                  <w:alias w:val="Numeris"/>
                  <w:tag w:val="nr_4705d6d2fa4e4880a0bf7e6e150a98ce"/>
                  <w:lock w:val="sdtLocked"/>
                  <w:richText/>
                </w:sdtPr>
                <w:sdtContent>
                  <w:r>
                    <w:rPr>
                      <w:rFonts w:eastAsia="Calibri"/>
                      <w:b/>
                      <w:szCs w:val="24"/>
                      <w:lang w:eastAsia="lt-LT"/>
                    </w:rPr>
                    <w:t>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4705d6d2fa4e4880a0bf7e6e150a98ce"/>
                  <w:lock w:val="sdtLocked"/>
                  <w:richText/>
                </w:sdtPr>
                <w:sdtContent>
                  <w:r>
                    <w:rPr>
                      <w:rFonts w:eastAsia="Calibri"/>
                      <w:b/>
                      <w:szCs w:val="24"/>
                      <w:lang w:eastAsia="lt-LT"/>
                    </w:rPr>
                    <w:t>REZERVO FONDO SUDARYMO ŠALTINIAI</w:t>
                  </w:r>
                </w:sdtContent>
              </w:sdt>
            </w:p>
            <w:p>
              <w:pPr>
                <w:widowControl w:val="0"/>
                <w:ind w:firstLine="567"/>
                <w:jc w:val="both"/>
                <w:rPr>
                  <w:rFonts w:eastAsia="Calibri"/>
                  <w:szCs w:val="24"/>
                  <w:lang w:eastAsia="lt-LT"/>
                </w:rPr>
              </w:pPr>
            </w:p>
            <w:sdt>
              <w:sdtPr>
                <w:alias w:val="3 p."/>
                <w:tag w:val="part_206b77f7754f4816958746231958c3b2"/>
                <w:lock w:val="sdtLocked"/>
                <w:richText/>
              </w:sdtPr>
              <w:sdtContent>
                <w:p>
                  <w:pPr>
                    <w:widowControl w:val="0"/>
                    <w:ind w:firstLine="720"/>
                    <w:jc w:val="both"/>
                    <w:rPr>
                      <w:lang w:eastAsia="lt-LT"/>
                    </w:rPr>
                  </w:pPr>
                  <w:sdt>
                    <w:sdtPr>
                      <w:alias w:val="Numeris"/>
                      <w:tag w:val="nr_206b77f7754f4816958746231958c3b2"/>
                      <w:lock w:val="sdtLocked"/>
                      <w:richText/>
                    </w:sdtPr>
                    <w:sdtContent>
                      <w:r>
                        <w:rPr>
                          <w:lang w:eastAsia="lt-LT"/>
                        </w:rPr>
                        <w:t>3</w:t>
                      </w:r>
                    </w:sdtContent>
                  </w:sdt>
                  <w:r>
                    <w:rPr>
                      <w:lang w:eastAsia="lt-LT"/>
                    </w:rPr>
                    <w:t xml:space="preserve">. Rezervo fonde kaupiamos šios įplaukos: </w:t>
                  </w:r>
                </w:p>
                <w:sdt>
                  <w:sdtPr>
                    <w:alias w:val="3.1 pp."/>
                    <w:tag w:val="part_c782f01ee53745cebddf9b176293ba48"/>
                    <w:lock w:val="sdtLocked"/>
                    <w:richText/>
                  </w:sdtPr>
                  <w:sdtContent>
                    <w:p>
                      <w:pPr>
                        <w:widowControl w:val="0"/>
                        <w:ind w:firstLine="720"/>
                        <w:jc w:val="both"/>
                      </w:pPr>
                      <w:sdt>
                        <w:sdtPr>
                          <w:alias w:val="Numeris"/>
                          <w:tag w:val="nr_c782f01ee53745cebddf9b176293ba48"/>
                          <w:lock w:val="sdtLocked"/>
                          <w:richText/>
                        </w:sdtPr>
                        <w:sdtContent>
                          <w:r>
                            <w:rPr>
                              <w:lang w:eastAsia="lt-LT"/>
                            </w:rPr>
                            <w:t>3.1</w:t>
                          </w:r>
                        </w:sdtContent>
                      </w:sdt>
                      <w:r>
                        <w:rPr>
                          <w:lang w:eastAsia="lt-LT"/>
                        </w:rPr>
                        <w:t>. atitinkamų metų VSDF įplaukų dalis, viršijanti VSDF įprastinės ir investicinės veiklos išlaidas</w:t>
                      </w:r>
                      <w:r>
                        <w:rPr>
                          <w:rFonts w:eastAsia="Calibri"/>
                          <w:color w:val="000000"/>
                          <w:lang w:eastAsia="lt-LT"/>
                        </w:rPr>
                        <w:t>, įsipareigojimų pagal finansinės nuomos (lizingo) sutartis išlaidas</w:t>
                      </w:r>
                      <w:r>
                        <w:rPr>
                          <w:lang w:eastAsia="lt-LT"/>
                        </w:rPr>
                        <w:t xml:space="preserve"> ir metų pabaigoje negrąžintų paskolų sumą, susidaranti įvertinus kasos apyvartos lėšų pokytį;</w:t>
                      </w:r>
                    </w:p>
                  </w:sdtContent>
                </w:sdt>
                <w:sdt>
                  <w:sdtPr>
                    <w:alias w:val="3.2 pp."/>
                    <w:tag w:val="part_0e191fe6db4d402f818e45a324362e22"/>
                    <w:lock w:val="sdtLocked"/>
                    <w:richText/>
                  </w:sdtPr>
                  <w:sdtContent>
                    <w:p>
                      <w:pPr>
                        <w:widowControl w:val="0"/>
                        <w:ind w:firstLine="720"/>
                        <w:jc w:val="both"/>
                        <w:rPr>
                          <w:lang w:eastAsia="lt-LT"/>
                        </w:rPr>
                      </w:pPr>
                      <w:sdt>
                        <w:sdtPr>
                          <w:alias w:val="Numeris"/>
                          <w:tag w:val="nr_0e191fe6db4d402f818e45a324362e22"/>
                          <w:lock w:val="sdtLocked"/>
                          <w:richText/>
                        </w:sdtPr>
                        <w:sdtContent>
                          <w:r>
                            <w:rPr>
                              <w:lang w:eastAsia="lt-LT"/>
                            </w:rPr>
                            <w:t>3.2</w:t>
                          </w:r>
                        </w:sdtContent>
                      </w:sdt>
                      <w:r>
                        <w:rPr>
                          <w:lang w:eastAsia="lt-LT"/>
                        </w:rPr>
                        <w:t xml:space="preserve">. pajamos, gautos investavus Rezervo fondo lėšas; </w:t>
                      </w:r>
                    </w:p>
                  </w:sdtContent>
                </w:sdt>
                <w:sdt>
                  <w:sdtPr>
                    <w:alias w:val="3.3 pp."/>
                    <w:tag w:val="part_2f0253abb02c4346b73d83a8ecb1b62f"/>
                    <w:lock w:val="sdtLocked"/>
                    <w:richText/>
                  </w:sdtPr>
                  <w:sdtContent>
                    <w:p>
                      <w:pPr>
                        <w:widowControl w:val="0"/>
                        <w:ind w:firstLine="720"/>
                        <w:jc w:val="both"/>
                        <w:rPr>
                          <w:lang w:eastAsia="lt-LT"/>
                        </w:rPr>
                      </w:pPr>
                      <w:sdt>
                        <w:sdtPr>
                          <w:alias w:val="Numeris"/>
                          <w:tag w:val="nr_2f0253abb02c4346b73d83a8ecb1b62f"/>
                          <w:lock w:val="sdtLocked"/>
                          <w:richText/>
                        </w:sdtPr>
                        <w:sdtContent>
                          <w:r>
                            <w:rPr>
                              <w:lang w:eastAsia="lt-LT"/>
                            </w:rPr>
                            <w:t>3.3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3.4 pp."/>
                    <w:tag w:val="part_5a76ea5986644c2284bc6ae7b32ef4db"/>
                    <w:lock w:val="sdtLocked"/>
                    <w:richText/>
                  </w:sdtPr>
                  <w:sdtContent>
                    <w:p>
                      <w:pPr>
                        <w:widowControl w:val="0"/>
                        <w:ind w:firstLine="720"/>
                        <w:jc w:val="both"/>
                      </w:pPr>
                      <w:sdt>
                        <w:sdtPr>
                          <w:alias w:val="Numeris"/>
                          <w:tag w:val="nr_5a76ea5986644c2284bc6ae7b32ef4db"/>
                          <w:lock w:val="sdtLocked"/>
                          <w:richText/>
                        </w:sdtPr>
                        <w:sdtContent>
                          <w:r>
                            <w:rPr>
                              <w:lang w:eastAsia="lt-LT"/>
                            </w:rPr>
                            <w:t>3.4</w:t>
                          </w:r>
                        </w:sdtContent>
                      </w:sdt>
                      <w:r>
                        <w:rPr>
                          <w:lang w:eastAsia="lt-LT"/>
                        </w:rPr>
                        <w:t>. kitos teisėtai gautos pajamos.</w:t>
                      </w:r>
                    </w:p>
                  </w:sdtContent>
                </w:sdt>
              </w:sdtContent>
            </w:sdt>
            <w:sdt>
              <w:sdtPr>
                <w:alias w:val="4 p."/>
                <w:tag w:val="part_fe82dee87bff48128ece51f349bfdb17"/>
                <w:lock w:val="sdtLocked"/>
                <w:richText/>
              </w:sdtPr>
              <w:sdtContent>
                <w:p>
                  <w:pPr>
                    <w:widowControl w:val="0"/>
                    <w:ind w:firstLine="720"/>
                    <w:jc w:val="both"/>
                    <w:rPr>
                      <w:rFonts w:eastAsia="Calibri"/>
                      <w:szCs w:val="24"/>
                      <w:lang w:eastAsia="lt-LT"/>
                    </w:rPr>
                  </w:pPr>
                  <w:sdt>
                    <w:sdtPr>
                      <w:alias w:val="Numeris"/>
                      <w:tag w:val="nr_fe82dee87bff48128ece51f349bfdb17"/>
                      <w:lock w:val="sdtLocked"/>
                      <w:richText/>
                    </w:sdtPr>
                    <w:sdtContent>
                      <w:r>
                        <w:rPr>
                          <w:rFonts w:eastAsia="Calibri"/>
                          <w:szCs w:val="24"/>
                          <w:lang w:eastAsia="lt-LT"/>
                        </w:rPr>
                        <w:t>4</w:t>
                      </w:r>
                    </w:sdtContent>
                  </w:sdt>
                  <w:r>
                    <w:rPr>
                      <w:rFonts w:eastAsia="Calibri"/>
                      <w:szCs w:val="24"/>
                      <w:lang w:eastAsia="lt-LT"/>
                    </w:rPr>
                    <w:t xml:space="preserve">. Rezervo fondo lėšos kaupiamos atskiroje valstybės iždo sąskaitoje. </w:t>
                  </w:r>
                </w:p>
              </w:sdtContent>
            </w:sdt>
            <w:sdt>
              <w:sdtPr>
                <w:alias w:val="5 p."/>
                <w:tag w:val="part_8247c5dcef844cfeb2fa80b268a3af5a"/>
                <w:lock w:val="sdtLocked"/>
                <w:richText/>
              </w:sdtPr>
              <w:sdtContent>
                <w:p>
                  <w:pPr>
                    <w:widowControl w:val="0"/>
                    <w:ind w:firstLine="720"/>
                    <w:jc w:val="both"/>
                  </w:pPr>
                  <w:sdt>
                    <w:sdtPr>
                      <w:alias w:val="Numeris"/>
                      <w:tag w:val="nr_8247c5dcef844cfeb2fa80b268a3af5a"/>
                      <w:lock w:val="sdtLocked"/>
                      <w:richText/>
                    </w:sdtPr>
                    <w:sdtContent>
                      <w:r>
                        <w:rPr>
                          <w:rFonts w:eastAsia="Calibri"/>
                          <w:lang w:eastAsia="lt-LT"/>
                        </w:rPr>
                        <w:t>5</w:t>
                      </w:r>
                    </w:sdtContent>
                  </w:sdt>
                  <w:r>
                    <w:rPr>
                      <w:rFonts w:eastAsia="Calibri"/>
                      <w:lang w:eastAsia="lt-LT"/>
                    </w:rPr>
                    <w:t>. Nuostatų 3.1 papunktyje nurodytas lėšas Valstybinio socialinio draudimo fondo valdyba prie Socialinės apsaugos ir darbo ministerijos (toliau – VSDF valdyba) iki kitų kalendorinių metų kovo 31 d. apskaičiuoja pagal atitinkamų kalendorinių metų VSDF biudžeto vykdymo ataskaitų duomenis ir iki kitų kalendorinių metų balandžio 30 d. perveda į Rezervo fondo sąskaitą.</w:t>
                  </w:r>
                  <w:r>
                    <w:rPr>
                      <w:lang w:eastAsia="lt-LT"/>
                    </w:rPr>
                    <w:t xml:space="preserve"> </w:t>
                  </w:r>
                </w:p>
                <w:p>
                  <w:pPr>
                    <w:widowControl w:val="0"/>
                    <w:rPr>
                      <w:lang w:eastAsia="lt-LT"/>
                    </w:rPr>
                  </w:pPr>
                </w:p>
              </w:sdtContent>
            </w:sdt>
          </w:sdtContent>
        </w:sdt>
        <w:sdt>
          <w:sdtPr>
            <w:alias w:val="skyrius"/>
            <w:tag w:val="part_978747a2bb7c48b48820017fe4d48e8d"/>
            <w:lock w:val="sdtLocked"/>
            <w:richText/>
          </w:sdtPr>
          <w:sdtContent>
            <w:p>
              <w:pPr>
                <w:widowControl w:val="0"/>
                <w:jc w:val="center"/>
                <w:rPr>
                  <w:rFonts w:eastAsia="Calibri"/>
                  <w:b/>
                  <w:szCs w:val="24"/>
                  <w:lang w:eastAsia="lt-LT"/>
                </w:rPr>
              </w:pPr>
              <w:sdt>
                <w:sdtPr>
                  <w:alias w:val="Numeris"/>
                  <w:tag w:val="nr_978747a2bb7c48b48820017fe4d48e8d"/>
                  <w:lock w:val="sdtLocked"/>
                  <w:richText/>
                </w:sdtPr>
                <w:sdtContent>
                  <w:r>
                    <w:rPr>
                      <w:rFonts w:eastAsia="Calibri"/>
                      <w:b/>
                      <w:szCs w:val="24"/>
                      <w:lang w:eastAsia="lt-LT"/>
                    </w:rPr>
                    <w:t>III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978747a2bb7c48b48820017fe4d48e8d"/>
                  <w:lock w:val="sdtLocked"/>
                  <w:richText/>
                </w:sdtPr>
                <w:sdtContent>
                  <w:r>
                    <w:rPr>
                      <w:rFonts w:eastAsia="Calibri"/>
                      <w:b/>
                      <w:szCs w:val="24"/>
                      <w:lang w:eastAsia="lt-LT"/>
                    </w:rPr>
                    <w:t>REZERVO FONDO LĖŠŲ INVESTAVIMAS</w:t>
                  </w:r>
                </w:sdtContent>
              </w:sdt>
            </w:p>
            <w:p>
              <w:pPr>
                <w:widowControl w:val="0"/>
                <w:jc w:val="center"/>
                <w:rPr>
                  <w:rFonts w:eastAsia="Calibri"/>
                  <w:szCs w:val="24"/>
                  <w:lang w:eastAsia="lt-LT"/>
                </w:rPr>
              </w:pPr>
            </w:p>
            <w:sdt>
              <w:sdtPr>
                <w:alias w:val="6 p."/>
                <w:tag w:val="part_bd0926a7b2eb412490a4eb24754fe8d5"/>
                <w:lock w:val="sdtLocked"/>
                <w:richText/>
              </w:sdtPr>
              <w:sdtContent>
                <w:p>
                  <w:pPr>
                    <w:widowControl w:val="0"/>
                    <w:ind w:firstLine="709"/>
                    <w:jc w:val="both"/>
                  </w:pPr>
                  <w:sdt>
                    <w:sdtPr>
                      <w:alias w:val="Numeris"/>
                      <w:tag w:val="nr_bd0926a7b2eb412490a4eb24754fe8d5"/>
                      <w:lock w:val="sdtLocked"/>
                      <w:richText/>
                    </w:sdtPr>
                    <w:sdtContent>
                      <w:r>
                        <w:rPr>
                          <w:rFonts w:eastAsia="Calibri"/>
                          <w:szCs w:val="24"/>
                          <w:lang w:eastAsia="lt-LT"/>
                        </w:rPr>
                        <w:t>6</w:t>
                      </w:r>
                    </w:sdtContent>
                  </w:sdt>
                  <w:r>
                    <w:rPr>
                      <w:rFonts w:eastAsia="Calibri"/>
                      <w:szCs w:val="24"/>
                      <w:lang w:eastAsia="lt-LT"/>
                    </w:rPr>
                    <w:t>. Rezervo fondo lėšos turi būti investuojamos laikantis Lietuvos Respublikos valstybės iždo įstatymo 11 straipsnio 2 dalyje nustatytų sąlygų ir vadovaujantis šio straipsnio 3 dalyje nustatytais kriterijais. Rezervo fondo lėšos,</w:t>
                  </w:r>
                  <w:r>
                    <w:rPr>
                      <w:lang w:eastAsia="lt-LT"/>
                    </w:rPr>
                    <w:t xml:space="preserve"> pasirinkus ekonomiškai naudingiausią būdą ir kryptį,</w:t>
                  </w:r>
                  <w:r>
                    <w:rPr>
                      <w:rFonts w:eastAsia="Calibri"/>
                      <w:szCs w:val="24"/>
                      <w:lang w:eastAsia="lt-LT"/>
                    </w:rPr>
                    <w:t xml:space="preserve"> investuojamos tik į:</w:t>
                  </w:r>
                </w:p>
                <w:sdt>
                  <w:sdtPr>
                    <w:alias w:val="6.1 pp."/>
                    <w:tag w:val="part_1832a2bb81e740df86674d0a9ac3b43c"/>
                    <w:lock w:val="sdtLocked"/>
                    <w:richText/>
                  </w:sdtPr>
                  <w:sdtContent>
                    <w:p>
                      <w:pPr>
                        <w:widowControl w:val="0"/>
                        <w:ind w:firstLine="709"/>
                        <w:jc w:val="both"/>
                      </w:pPr>
                      <w:sdt>
                        <w:sdtPr>
                          <w:alias w:val="Numeris"/>
                          <w:tag w:val="nr_1832a2bb81e740df86674d0a9ac3b43c"/>
                          <w:lock w:val="sdtLocked"/>
                          <w:richText/>
                        </w:sdtPr>
                        <w:sdtContent>
                          <w:r>
                            <w:rPr>
                              <w:rFonts w:eastAsia="Calibri"/>
                              <w:szCs w:val="24"/>
                              <w:lang w:eastAsia="lt-LT"/>
                            </w:rPr>
                            <w:t>6.1</w:t>
                          </w:r>
                        </w:sdtContent>
                      </w:sdt>
                      <w:r>
                        <w:rPr>
                          <w:rFonts w:eastAsia="Calibri"/>
                          <w:szCs w:val="24"/>
                          <w:lang w:eastAsia="lt-LT"/>
                        </w:rPr>
                        <w:t>. Lietuvos Respublikos Vyriausybės ir Europos ekonominės erdvės valstybių narių, Šveicarijos Konfederacijos, Jungtinių Amerikos Valstijų, Kanados arba Jungtinės Didžiosios Britanijos ir Šiaurės Airijos Karalystės (toliau kartu – Užsienio valstybės) išleistus (išleidžiamus) ir (ar) garantuotus skolos vertybinius popierius ir (ar) pinigų rinkos priemones bei terminuotuosius indėlius Užsienio valstybių įstaigose, kurios įpareigotos valdyti arba dalyvauja valdant valstybės skolą (toliau – skolos valdymo įstaiga). Tinkama garantija laikoma garantija, kuri atitinka visus šiuos reikalavimus:</w:t>
                      </w:r>
                      <w:r>
                        <w:rPr>
                          <w:rFonts w:ascii="Arial" w:hAnsi="Arial" w:cs="Arial"/>
                          <w:color w:val="000000"/>
                          <w:shd w:val="clear" w:color="auto" w:fill="FFFFFF"/>
                          <w:lang w:eastAsia="lt-LT"/>
                        </w:rPr>
                        <w:t xml:space="preserve"> </w:t>
                      </w:r>
                    </w:p>
                    <w:sdt>
                      <w:sdtPr>
                        <w:alias w:val="6.1.1 pp."/>
                        <w:tag w:val="part_6be06083daea456f831241be3dd6605b"/>
                        <w:lock w:val="sdtLocked"/>
                        <w:richText/>
                      </w:sdtPr>
                      <w:sdtContent>
                        <w:p>
                          <w:pPr>
                            <w:widowControl w:val="0"/>
                            <w:ind w:firstLine="709"/>
                            <w:rPr>
                              <w:rFonts w:eastAsia="Calibri"/>
                              <w:szCs w:val="24"/>
                            </w:rPr>
                          </w:pPr>
                          <w:sdt>
                            <w:sdtPr>
                              <w:alias w:val="Numeris"/>
                              <w:tag w:val="nr_6be06083daea456f831241be3dd6605b"/>
                              <w:lock w:val="sdtLocked"/>
                              <w:richText/>
                            </w:sdtPr>
                            <w:sdtContent>
                              <w:r>
                                <w:rPr>
                                  <w:rFonts w:eastAsia="Calibri"/>
                                  <w:szCs w:val="24"/>
                                </w:rPr>
                                <w:t>6.1.1</w:t>
                              </w:r>
                            </w:sdtContent>
                          </w:sdt>
                          <w:r>
                            <w:rPr>
                              <w:rFonts w:eastAsia="Calibri"/>
                              <w:szCs w:val="24"/>
                            </w:rPr>
                            <w:t>. yra besąlyginė ir neatšaukiama;</w:t>
                          </w:r>
                        </w:p>
                        <w:p>
                          <w:pPr>
                            <w:rPr>
                              <w:sz w:val="2"/>
                              <w:szCs w:val="2"/>
                            </w:rPr>
                          </w:pPr>
                        </w:p>
                      </w:sdtContent>
                    </w:sdt>
                    <w:sdt>
                      <w:sdtPr>
                        <w:alias w:val="6.1.2 pp."/>
                        <w:tag w:val="part_a73897e6f00a4e04bfbfcbdd373423ff"/>
                        <w:lock w:val="sdtLocked"/>
                        <w:richText/>
                      </w:sdtPr>
                      <w:sdtContent>
                        <w:p>
                          <w:pPr>
                            <w:widowControl w:val="0"/>
                            <w:ind w:firstLine="709"/>
                            <w:jc w:val="both"/>
                            <w:rPr>
                              <w:rFonts w:eastAsia="Calibri"/>
                              <w:szCs w:val="24"/>
                            </w:rPr>
                          </w:pPr>
                          <w:sdt>
                            <w:sdtPr>
                              <w:alias w:val="Numeris"/>
                              <w:tag w:val="nr_a73897e6f00a4e04bfbfcbdd373423ff"/>
                              <w:lock w:val="sdtLocked"/>
                              <w:richText/>
                            </w:sdtPr>
                            <w:sdtContent>
                              <w:r>
                                <w:rPr>
                                  <w:rFonts w:eastAsia="Calibri"/>
                                  <w:szCs w:val="24"/>
                                </w:rPr>
                                <w:t>6.1.2</w:t>
                              </w:r>
                            </w:sdtContent>
                          </w:sdt>
                          <w:r>
                            <w:rPr>
                              <w:rFonts w:eastAsia="Calibri"/>
                              <w:szCs w:val="24"/>
                            </w:rPr>
                            <w:t>. garantuoja pagrindinę skolos įsipareigojimo sumą, palūkanas ir visas kitas pagal skolinį įsipareigojimą mokėtinas sumas;</w:t>
                          </w:r>
                        </w:p>
                        <w:p>
                          <w:pPr>
                            <w:rPr>
                              <w:sz w:val="2"/>
                              <w:szCs w:val="2"/>
                            </w:rPr>
                          </w:pPr>
                        </w:p>
                      </w:sdtContent>
                    </w:sdt>
                    <w:sdt>
                      <w:sdtPr>
                        <w:alias w:val="6.1.3 pp."/>
                        <w:tag w:val="part_8380749b3a8b4a54b586423c7b2dda5a"/>
                        <w:lock w:val="sdtLocked"/>
                        <w:richText/>
                      </w:sdtPr>
                      <w:sdtContent>
                        <w:p>
                          <w:pPr>
                            <w:widowControl w:val="0"/>
                            <w:ind w:firstLine="709"/>
                            <w:jc w:val="both"/>
                            <w:rPr>
                              <w:rFonts w:eastAsia="Calibri"/>
                              <w:szCs w:val="24"/>
                            </w:rPr>
                          </w:pPr>
                          <w:sdt>
                            <w:sdtPr>
                              <w:alias w:val="Numeris"/>
                              <w:tag w:val="nr_8380749b3a8b4a54b586423c7b2dda5a"/>
                              <w:lock w:val="sdtLocked"/>
                              <w:richText/>
                            </w:sdtPr>
                            <w:sdtContent>
                              <w:r>
                                <w:rPr>
                                  <w:rFonts w:eastAsia="Calibri"/>
                                  <w:szCs w:val="24"/>
                                </w:rPr>
                                <w:t>6.1.3</w:t>
                              </w:r>
                            </w:sdtContent>
                          </w:sdt>
                          <w:r>
                            <w:rPr>
                              <w:rFonts w:eastAsia="Calibri"/>
                              <w:szCs w:val="24"/>
                            </w:rPr>
                            <w:t>. yra apmokama pagal pirmą kreditoriaus pareikalavimą, nepriklausomai nuo garantija garantuotų įsipareigojimų vykdymo. Valstybės garantija turi būti apmokama pagal pirmą kreditoriaus pareikalavimą arba nedelsiant po to, kai skolininkas neįvykdo garantija garantuotų įsipareigojimų;</w:t>
                          </w:r>
                        </w:p>
                      </w:sdtContent>
                    </w:sdt>
                    <w:sdt>
                      <w:sdtPr>
                        <w:alias w:val="6.1.4 pp."/>
                        <w:tag w:val="part_18d76238db9e40a89e995d9611100b5c"/>
                        <w:lock w:val="sdtLocked"/>
                        <w:richText/>
                      </w:sdtPr>
                      <w:sdtContent>
                        <w:p>
                          <w:pPr>
                            <w:widowControl w:val="0"/>
                            <w:ind w:firstLine="709"/>
                            <w:jc w:val="both"/>
                            <w:rPr>
                              <w:rFonts w:eastAsia="Calibri"/>
                              <w:szCs w:val="24"/>
                            </w:rPr>
                          </w:pPr>
                          <w:sdt>
                            <w:sdtPr>
                              <w:alias w:val="Numeris"/>
                              <w:tag w:val="nr_18d76238db9e40a89e995d9611100b5c"/>
                              <w:lock w:val="sdtLocked"/>
                              <w:richText/>
                            </w:sdtPr>
                            <w:sdtContent>
                              <w:r>
                                <w:rPr>
                                  <w:rFonts w:eastAsia="Calibri"/>
                                  <w:szCs w:val="24"/>
                                </w:rPr>
                                <w:t>6.1.4</w:t>
                              </w:r>
                            </w:sdtContent>
                          </w:sdt>
                          <w:r>
                            <w:rPr>
                              <w:rFonts w:eastAsia="Calibri"/>
                              <w:szCs w:val="24"/>
                            </w:rPr>
                            <w:t>. garantija turi galioti tol, kol neįvykdyti visi ja garantuoti įsipareigojimai;</w:t>
                          </w:r>
                        </w:p>
                      </w:sdtContent>
                    </w:sdt>
                    <w:sdt>
                      <w:sdtPr>
                        <w:alias w:val="6.1.5 pp."/>
                        <w:tag w:val="part_5497ab31f9b64b708b93bfe4a0e0e245"/>
                        <w:lock w:val="sdtLocked"/>
                        <w:richText/>
                      </w:sdtPr>
                      <w:sdtContent>
                        <w:p>
                          <w:pPr>
                            <w:widowControl w:val="0"/>
                            <w:ind w:firstLine="709"/>
                            <w:jc w:val="both"/>
                            <w:rPr>
                              <w:rFonts w:eastAsia="Calibri"/>
                              <w:szCs w:val="24"/>
                            </w:rPr>
                          </w:pPr>
                          <w:sdt>
                            <w:sdtPr>
                              <w:alias w:val="Numeris"/>
                              <w:tag w:val="nr_5497ab31f9b64b708b93bfe4a0e0e245"/>
                              <w:lock w:val="sdtLocked"/>
                              <w:richText/>
                            </w:sdtPr>
                            <w:sdtContent>
                              <w:r>
                                <w:rPr>
                                  <w:rFonts w:eastAsia="Calibri"/>
                                  <w:szCs w:val="24"/>
                                </w:rPr>
                                <w:t>6.1.5</w:t>
                              </w:r>
                            </w:sdtContent>
                          </w:sdt>
                          <w:r>
                            <w:rPr>
                              <w:rFonts w:eastAsia="Calibri"/>
                              <w:szCs w:val="24"/>
                            </w:rPr>
                            <w:t>. turi būti užtikrintas garantija suteikiamų teisių perleidžiamumas, t. y. teisę pasinaudoti garantija turi turėti bet kuris skolos priemonės turėtojas;</w:t>
                          </w:r>
                        </w:p>
                      </w:sdtContent>
                    </w:sdt>
                  </w:sdtContent>
                </w:sdt>
                <w:sdt>
                  <w:sdtPr>
                    <w:alias w:val="6.2 pp."/>
                    <w:tag w:val="part_b42c0c443c9f47cdb1a2f7d9d2181d8f"/>
                    <w:lock w:val="sdtLocked"/>
                    <w:richText/>
                  </w:sdtPr>
                  <w:sdtContent>
                    <w:p>
                      <w:pPr>
                        <w:ind w:firstLine="709"/>
                        <w:jc w:val="both"/>
                      </w:pPr>
                      <w:sdt>
                        <w:sdtPr>
                          <w:alias w:val="Numeris"/>
                          <w:tag w:val="nr_b42c0c443c9f47cdb1a2f7d9d2181d8f"/>
                          <w:lock w:val="sdtLocked"/>
                          <w:richText/>
                        </w:sdtPr>
                        <w:sdtContent>
                          <w:r>
                            <w:rPr>
                              <w:rFonts w:eastAsia="Calibri"/>
                              <w:szCs w:val="24"/>
                              <w:lang w:eastAsia="lt-LT"/>
                            </w:rPr>
                            <w:t>6.2</w:t>
                          </w:r>
                        </w:sdtContent>
                      </w:sdt>
                      <w:r>
                        <w:rPr>
                          <w:rFonts w:eastAsia="Calibri"/>
                          <w:szCs w:val="24"/>
                          <w:lang w:eastAsia="lt-LT"/>
                        </w:rPr>
                        <w:t xml:space="preserve">. </w:t>
                      </w:r>
                      <w:r>
                        <w:rPr>
                          <w:rFonts w:eastAsia="Calibri"/>
                          <w:lang w:eastAsia="lt-LT"/>
                        </w:rPr>
                        <w:t>Lietuvos</w:t>
                      </w:r>
                      <w:r>
                        <w:rPr>
                          <w:rFonts w:eastAsia="Calibri"/>
                          <w:szCs w:val="24"/>
                          <w:lang w:eastAsia="lt-LT"/>
                        </w:rPr>
                        <w:t xml:space="preserve"> banko</w:t>
                      </w:r>
                      <w:r>
                        <w:rPr>
                          <w:rFonts w:eastAsia="Calibri"/>
                          <w:lang w:eastAsia="lt-LT"/>
                        </w:rPr>
                        <w:t xml:space="preserve">, </w:t>
                      </w:r>
                      <w:r>
                        <w:rPr>
                          <w:rFonts w:eastAsia="Calibri"/>
                          <w:szCs w:val="24"/>
                          <w:lang w:eastAsia="lt-LT"/>
                        </w:rPr>
                        <w:t>Europos centrinio banko, Užsienio valstybių centrinių bankų ir tarptautinės organizacijos, kuriai priklauso bent viena Europos Sąjungos valstybė narė, išleistus (išleidžiamus) skolos vertybinius popierius ir (ar) pinigų rinkos priemones;</w:t>
                      </w:r>
                      <w:r>
                        <w:rPr>
                          <w:lang w:eastAsia="lt-LT"/>
                        </w:rPr>
                        <w:t xml:space="preserve"> </w:t>
                      </w:r>
                    </w:p>
                  </w:sdtContent>
                </w:sdt>
                <w:sdt>
                  <w:sdtPr>
                    <w:alias w:val="6.3 pp."/>
                    <w:tag w:val="part_4637b28bc2dd4a2fa5bee7555c3add33"/>
                    <w:lock w:val="sdtLocked"/>
                    <w:richText/>
                  </w:sdtPr>
                  <w:sdtContent>
                    <w:p>
                      <w:pPr>
                        <w:widowControl w:val="0"/>
                        <w:ind w:firstLine="709"/>
                        <w:jc w:val="both"/>
                      </w:pPr>
                      <w:sdt>
                        <w:sdtPr>
                          <w:alias w:val="Numeris"/>
                          <w:tag w:val="nr_4637b28bc2dd4a2fa5bee7555c3add33"/>
                          <w:lock w:val="sdtLocked"/>
                          <w:richText/>
                        </w:sdtPr>
                        <w:sdtContent>
                          <w:r>
                            <w:rPr>
                              <w:rFonts w:eastAsia="Calibri"/>
                              <w:szCs w:val="24"/>
                              <w:lang w:eastAsia="lt-LT"/>
                            </w:rPr>
                            <w:t>6.3</w:t>
                          </w:r>
                        </w:sdtContent>
                      </w:sdt>
                      <w:r>
                        <w:rPr>
                          <w:rFonts w:eastAsia="Calibri"/>
                          <w:szCs w:val="24"/>
                          <w:lang w:eastAsia="lt-LT"/>
                        </w:rPr>
                        <w:t>. terminuotuosius indėlius Lietuvos Respublikos ir (ar) Užsienio valstybių kredito įstaigose</w:t>
                      </w:r>
                      <w:r>
                        <w:rPr>
                          <w:lang w:eastAsia="lt-LT"/>
                        </w:rPr>
                        <w:t>.</w:t>
                      </w:r>
                    </w:p>
                  </w:sdtContent>
                </w:sdt>
              </w:sdtContent>
            </w:sdt>
            <w:sdt>
              <w:sdtPr>
                <w:alias w:val="7 p."/>
                <w:tag w:val="part_eb448bc62bc442e68668de2bd968dfba"/>
                <w:lock w:val="sdtLocked"/>
                <w:richText/>
              </w:sdtPr>
              <w:sdtContent>
                <w:p>
                  <w:pPr>
                    <w:widowControl w:val="0"/>
                    <w:ind w:firstLine="709"/>
                    <w:jc w:val="both"/>
                    <w:rPr>
                      <w:rFonts w:eastAsia="Calibri"/>
                      <w:szCs w:val="24"/>
                      <w:lang w:eastAsia="lt-LT"/>
                    </w:rPr>
                  </w:pPr>
                  <w:sdt>
                    <w:sdtPr>
                      <w:alias w:val="Numeris"/>
                      <w:tag w:val="nr_eb448bc62bc442e68668de2bd968dfba"/>
                      <w:lock w:val="sdtLocked"/>
                      <w:richText/>
                    </w:sdtPr>
                    <w:sdtContent>
                      <w:r>
                        <w:rPr>
                          <w:rFonts w:eastAsia="Calibri"/>
                          <w:szCs w:val="24"/>
                          <w:lang w:eastAsia="lt-LT"/>
                        </w:rPr>
                        <w:t>7</w:t>
                      </w:r>
                    </w:sdtContent>
                  </w:sdt>
                  <w:r>
                    <w:rPr>
                      <w:rFonts w:eastAsia="Calibri"/>
                      <w:szCs w:val="24"/>
                      <w:lang w:eastAsia="lt-LT"/>
                    </w:rPr>
                    <w:t>. Rezervo fondo lėšos investuojamos tik į eurais denominuotus skolos vertybinius popierius, pinigų rinkos priemones ir (ar) terminuotuosius indėlius.</w:t>
                  </w:r>
                </w:p>
              </w:sdtContent>
            </w:sdt>
            <w:sdt>
              <w:sdtPr>
                <w:alias w:val="8 p."/>
                <w:tag w:val="part_12378b56a30941dab8a4c74499e93154"/>
                <w:lock w:val="sdtLocked"/>
                <w:richText/>
              </w:sdtPr>
              <w:sdtContent>
                <w:p>
                  <w:pPr>
                    <w:widowControl w:val="0"/>
                    <w:ind w:firstLine="709"/>
                    <w:jc w:val="both"/>
                    <w:rPr>
                      <w:rFonts w:eastAsia="Calibri"/>
                      <w:szCs w:val="24"/>
                      <w:lang w:eastAsia="lt-LT"/>
                    </w:rPr>
                  </w:pPr>
                  <w:sdt>
                    <w:sdtPr>
                      <w:alias w:val="Numeris"/>
                      <w:tag w:val="nr_12378b56a30941dab8a4c74499e93154"/>
                      <w:lock w:val="sdtLocked"/>
                      <w:richText/>
                    </w:sdtPr>
                    <w:sdtContent>
                      <w:r>
                        <w:rPr>
                          <w:rFonts w:eastAsia="Calibri"/>
                          <w:szCs w:val="24"/>
                          <w:lang w:eastAsia="lt-LT"/>
                        </w:rPr>
                        <w:t>8</w:t>
                      </w:r>
                    </w:sdtContent>
                  </w:sdt>
                  <w:r>
                    <w:rPr>
                      <w:rFonts w:eastAsia="Calibri"/>
                      <w:szCs w:val="24"/>
                      <w:lang w:eastAsia="lt-LT"/>
                    </w:rPr>
                    <w:t>. Rezervo fondo lėšos gali būti investuojamos į Nuostatų 6.1–6.2 papunkčiuose nurodytus skolos vertybinius popierius ir (ar) pinigų rinkos priemones, jei šiame punkte nurodytų skolos vertybinių popierių ir (ar) pinigų rinkos priemonių emitentas atitinka Nuostatų 11.2 ir 14.2 papunkčiuose nustatytus kredito reitingo reikalavimus ir:</w:t>
                  </w:r>
                </w:p>
                <w:sdt>
                  <w:sdtPr>
                    <w:alias w:val="8.1 pp."/>
                    <w:tag w:val="part_f46bea3ff04940ad876eb681ee824432"/>
                    <w:lock w:val="sdtLocked"/>
                    <w:richText/>
                  </w:sdtPr>
                  <w:sdtContent>
                    <w:p>
                      <w:pPr>
                        <w:widowControl w:val="0"/>
                        <w:ind w:firstLine="709"/>
                        <w:jc w:val="both"/>
                      </w:pPr>
                      <w:sdt>
                        <w:sdtPr>
                          <w:alias w:val="Numeris"/>
                          <w:tag w:val="nr_f46bea3ff04940ad876eb681ee824432"/>
                          <w:lock w:val="sdtLocked"/>
                          <w:richText/>
                        </w:sdtPr>
                        <w:sdtContent>
                          <w:r>
                            <w:rPr>
                              <w:rFonts w:eastAsia="Calibri"/>
                              <w:szCs w:val="24"/>
                              <w:lang w:eastAsia="lt-LT"/>
                            </w:rPr>
                            <w:t>8.1</w:t>
                          </w:r>
                        </w:sdtContent>
                      </w:sdt>
                      <w:r>
                        <w:rPr>
                          <w:rFonts w:eastAsia="Calibri"/>
                          <w:szCs w:val="24"/>
                          <w:lang w:eastAsia="lt-LT"/>
                        </w:rPr>
                        <w:t>.</w:t>
                      </w:r>
                      <w:r>
                        <w:rPr>
                          <w:lang w:eastAsia="lt-LT"/>
                        </w:rPr>
                        <w:t xml:space="preserve"> skolos vertybiniai popieriai ar pinigų rinkos priemonės įtraukti į rinkos, pagal </w:t>
                        <w:br/>
                        <w:t>2014 m. gegužės 15 d. Europos Parlamento ir Tarybos direktyvą 2014/65/ES dėl finansinių priemonių rinkų, kuria iš dalies keičiamos Direktyva 2002/92/EB ir Direktyva 2011/61/ES, įgyvendinančius nacionalinius Europos Sąjungos valstybių narių teisės aktus laikomos reguliuojama ir veikiančia Lietuvos Respublikoje ar kitoje Europos Sąjungos valstybėje narėje, prekybos sąrašą, ir (ar)</w:t>
                      </w:r>
                    </w:p>
                  </w:sdtContent>
                </w:sdt>
                <w:sdt>
                  <w:sdtPr>
                    <w:alias w:val="8.2 pp."/>
                    <w:tag w:val="part_95c78d4ba98846d8adbbe87ab6de7379"/>
                    <w:lock w:val="sdtLocked"/>
                    <w:richText/>
                  </w:sdtPr>
                  <w:sdtContent>
                    <w:p>
                      <w:pPr>
                        <w:widowControl w:val="0"/>
                        <w:ind w:firstLine="709"/>
                        <w:jc w:val="both"/>
                      </w:pPr>
                      <w:sdt>
                        <w:sdtPr>
                          <w:alias w:val="Numeris"/>
                          <w:tag w:val="nr_95c78d4ba98846d8adbbe87ab6de7379"/>
                          <w:lock w:val="sdtLocked"/>
                          <w:richText/>
                        </w:sdtPr>
                        <w:sdtContent>
                          <w:r>
                            <w:rPr>
                              <w:szCs w:val="24"/>
                              <w:lang w:eastAsia="lt-LT"/>
                            </w:rPr>
                            <w:t>8.2</w:t>
                          </w:r>
                        </w:sdtContent>
                      </w:sdt>
                      <w:r>
                        <w:rPr>
                          <w:szCs w:val="24"/>
                          <w:lang w:eastAsia="lt-LT"/>
                        </w:rPr>
                        <w:t>. skolos vertybiniai popieriai ar pinigų rinkos priemonės, įtraukti į prekybą kitos Užsienio valstybės pagal jos nacionalinius teisės aktus veikiančią, pripažintą, prižiūrimą ir visuomenei prieinamą rinką, kuri laikoma lygiaverte reguliuojamai rinkai pagal Direktyvos 2014/65/ES 25 straipsnio 4 dalies a punkte nustatytą procedūrą</w:t>
                      </w:r>
                      <w:r>
                        <w:rPr>
                          <w:lang w:eastAsia="lt-LT"/>
                        </w:rPr>
                        <w:t>, ir (ar)</w:t>
                      </w:r>
                    </w:p>
                  </w:sdtContent>
                </w:sdt>
                <w:sdt>
                  <w:sdtPr>
                    <w:alias w:val="8.3 pp."/>
                    <w:tag w:val="part_6ee9d9b7b8964638a526e7fead60890a"/>
                    <w:lock w:val="sdtLocked"/>
                    <w:richText/>
                  </w:sdtPr>
                  <w:sdtContent>
                    <w:p>
                      <w:pPr>
                        <w:widowControl w:val="0"/>
                        <w:ind w:firstLine="709"/>
                        <w:jc w:val="both"/>
                        <w:rPr>
                          <w:lang w:eastAsia="lt-LT"/>
                        </w:rPr>
                      </w:pPr>
                      <w:sdt>
                        <w:sdtPr>
                          <w:alias w:val="Numeris"/>
                          <w:tag w:val="nr_6ee9d9b7b8964638a526e7fead60890a"/>
                          <w:lock w:val="sdtLocked"/>
                          <w:richText/>
                        </w:sdtPr>
                        <w:sdtContent>
                          <w:r>
                            <w:rPr>
                              <w:lang w:eastAsia="lt-LT"/>
                            </w:rPr>
                            <w:t>8.3</w:t>
                          </w:r>
                        </w:sdtContent>
                      </w:sdt>
                      <w:r>
                        <w:rPr>
                          <w:lang w:eastAsia="lt-LT"/>
                        </w:rPr>
                        <w:t>. išleidžiamų naujų skolos vertybinių popierių emisijos sąlygose numatytas įsipareigojimas įtraukti šiuos skolos vertybinius popierius į prekybą reguliuojamoje rinkoje ne vėliau kaip per vienus metus nuo jų išleidimo į rinką.</w:t>
                      </w:r>
                    </w:p>
                  </w:sdtContent>
                </w:sdt>
              </w:sdtContent>
            </w:sdt>
            <w:sdt>
              <w:sdtPr>
                <w:alias w:val="9 p."/>
                <w:tag w:val="part_c90b2cf9336343dfb85207aadaf0b881"/>
                <w:lock w:val="sdtLocked"/>
                <w:richText/>
              </w:sdtPr>
              <w:sdtContent>
                <w:p>
                  <w:pPr>
                    <w:widowControl w:val="0"/>
                    <w:ind w:firstLine="709"/>
                    <w:jc w:val="both"/>
                    <w:rPr>
                      <w:lang w:eastAsia="lt-LT"/>
                    </w:rPr>
                  </w:pPr>
                  <w:sdt>
                    <w:sdtPr>
                      <w:alias w:val="Numeris"/>
                      <w:tag w:val="nr_c90b2cf9336343dfb85207aadaf0b881"/>
                      <w:lock w:val="sdtLocked"/>
                      <w:richText/>
                    </w:sdtPr>
                    <w:sdtContent>
                      <w:r>
                        <w:rPr>
                          <w:lang w:eastAsia="lt-LT"/>
                        </w:rPr>
                        <w:t>9</w:t>
                      </w:r>
                    </w:sdtContent>
                  </w:sdt>
                  <w:r>
                    <w:rPr>
                      <w:lang w:eastAsia="lt-LT"/>
                    </w:rPr>
                    <w:t xml:space="preserve">. Investuoti į Vyriausybės išleistus ir (ar) garantuotus skolos vertybinius popierius ir (ar) pinigų rinkos priemones galima tik antrinėje rinkoje. </w:t>
                  </w:r>
                </w:p>
              </w:sdtContent>
            </w:sdt>
            <w:sdt>
              <w:sdtPr>
                <w:alias w:val="10 p."/>
                <w:tag w:val="part_e7b7eda7018d4d8bb2136eabcbf506bc"/>
                <w:lock w:val="sdtLocked"/>
                <w:richText/>
              </w:sdtPr>
              <w:sdtContent>
                <w:p>
                  <w:pPr>
                    <w:widowControl w:val="0"/>
                    <w:ind w:firstLine="709"/>
                    <w:jc w:val="both"/>
                    <w:rPr>
                      <w:rFonts w:eastAsia="Calibri"/>
                      <w:szCs w:val="24"/>
                      <w:lang w:eastAsia="lt-LT"/>
                    </w:rPr>
                  </w:pPr>
                  <w:sdt>
                    <w:sdtPr>
                      <w:alias w:val="Numeris"/>
                      <w:tag w:val="nr_e7b7eda7018d4d8bb2136eabcbf506bc"/>
                      <w:lock w:val="sdtLocked"/>
                      <w:richText/>
                    </w:sdtPr>
                    <w:sdtContent>
                      <w:r>
                        <w:rPr>
                          <w:rFonts w:eastAsia="Calibri"/>
                          <w:szCs w:val="24"/>
                          <w:lang w:eastAsia="lt-LT"/>
                        </w:rPr>
                        <w:t>10</w:t>
                      </w:r>
                    </w:sdtContent>
                  </w:sdt>
                  <w:r>
                    <w:rPr>
                      <w:rFonts w:eastAsia="Calibri"/>
                      <w:szCs w:val="24"/>
                      <w:lang w:eastAsia="lt-LT"/>
                    </w:rPr>
                    <w:t>. Rezervo fondo lėšos gali būti laikomos kaip terminuotasis indėlis Lietuvos Respublikos ir (ar) Užsienio valstybių kredito įstaigose, jeigu tenkinami visi šie reikalavimai:</w:t>
                  </w:r>
                </w:p>
                <w:sdt>
                  <w:sdtPr>
                    <w:alias w:val="10.1 pp."/>
                    <w:tag w:val="part_c249fb56f4e54e7eae88279de6a00e7f"/>
                    <w:lock w:val="sdtLocked"/>
                    <w:richText/>
                  </w:sdtPr>
                  <w:sdtContent>
                    <w:p>
                      <w:pPr>
                        <w:ind w:firstLine="709"/>
                        <w:jc w:val="both"/>
                      </w:pPr>
                      <w:sdt>
                        <w:sdtPr>
                          <w:alias w:val="Numeris"/>
                          <w:tag w:val="nr_c249fb56f4e54e7eae88279de6a00e7f"/>
                          <w:lock w:val="sdtLocked"/>
                          <w:richText/>
                        </w:sdtPr>
                        <w:sdtContent>
                          <w:r>
                            <w:rPr>
                              <w:lang w:eastAsia="lt-LT"/>
                            </w:rPr>
                            <w:t>10.1</w:t>
                          </w:r>
                        </w:sdtContent>
                      </w:sdt>
                      <w:r>
                        <w:rPr>
                          <w:lang w:eastAsia="lt-LT"/>
                        </w:rPr>
                        <w:t>. kredito įstaigos, kurioje laikomi terminuotieji indėliai, registruota buveinė yra arba Lietuvos Respublikoje, arba kitoje Europos Sąjungos valstybėje narėje, arba kitoje Užsienio valstybėje, kurioje riziką ribojanti priežiūra yra laikoma bent lygiaverte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p>
                  </w:sdtContent>
                </w:sdt>
                <w:sdt>
                  <w:sdtPr>
                    <w:alias w:val="10.2 pp."/>
                    <w:tag w:val="part_e81459a124084f91a13c2518082b8933"/>
                    <w:lock w:val="sdtLocked"/>
                    <w:richText/>
                  </w:sdtPr>
                  <w:sdtContent>
                    <w:p>
                      <w:pPr>
                        <w:widowControl w:val="0"/>
                        <w:ind w:firstLine="709"/>
                        <w:jc w:val="both"/>
                      </w:pPr>
                      <w:sdt>
                        <w:sdtPr>
                          <w:alias w:val="Numeris"/>
                          <w:tag w:val="nr_e81459a124084f91a13c2518082b8933"/>
                          <w:lock w:val="sdtLocked"/>
                          <w:richText/>
                        </w:sdtPr>
                        <w:sdtContent>
                          <w:r>
                            <w:rPr>
                              <w:szCs w:val="24"/>
                              <w:lang w:eastAsia="lt-LT"/>
                            </w:rPr>
                            <w:t>10.2</w:t>
                          </w:r>
                        </w:sdtContent>
                      </w:sdt>
                      <w:r>
                        <w:rPr>
                          <w:szCs w:val="24"/>
                          <w:lang w:eastAsia="lt-LT"/>
                        </w:rPr>
                        <w:t>. kredito įstaiga, kurioje laikomi terminuotieji indėliai</w:t>
                      </w:r>
                      <w:r>
                        <w:rPr>
                          <w:lang w:eastAsia="lt-LT"/>
                        </w:rPr>
                        <w:t>, ir terminuotųjų indėlių trukmė atitinka Nuostatų 15 punkte nurodytus investavimo į terminuotuosius indėlius reikalavimus.</w:t>
                      </w:r>
                    </w:p>
                  </w:sdtContent>
                </w:sdt>
              </w:sdtContent>
            </w:sdt>
            <w:sdt>
              <w:sdtPr>
                <w:alias w:val="11 p."/>
                <w:tag w:val="part_79824ffd77fd4dacbf8a7856f4dca4a6"/>
                <w:lock w:val="sdtLocked"/>
                <w:richText/>
              </w:sdtPr>
              <w:sdtContent>
                <w:p>
                  <w:pPr>
                    <w:widowControl w:val="0"/>
                    <w:ind w:firstLine="709"/>
                    <w:jc w:val="both"/>
                    <w:rPr>
                      <w:lang w:eastAsia="lt-LT"/>
                    </w:rPr>
                  </w:pPr>
                  <w:sdt>
                    <w:sdtPr>
                      <w:alias w:val="Numeris"/>
                      <w:tag w:val="nr_79824ffd77fd4dacbf8a7856f4dca4a6"/>
                      <w:lock w:val="sdtLocked"/>
                      <w:richText/>
                    </w:sdtPr>
                    <w:sdtContent>
                      <w:r>
                        <w:rPr>
                          <w:lang w:eastAsia="lt-LT"/>
                        </w:rPr>
                        <w:t>11</w:t>
                      </w:r>
                    </w:sdtContent>
                  </w:sdt>
                  <w:r>
                    <w:rPr>
                      <w:lang w:eastAsia="lt-LT"/>
                    </w:rPr>
                    <w:t>. Į Europos Sąjungos valstybių narių vyriausybių išleistus (išleidžiamus) ir (ar) garantuotus skolos vertybinius popierius ir (ar) pinigų rinkos priemones galima investuoti visas Rezervo fondo lėšas, tačiau turi būti tenkinamos visos šios sąlygos:</w:t>
                  </w:r>
                </w:p>
                <w:sdt>
                  <w:sdtPr>
                    <w:alias w:val="11.1 pp."/>
                    <w:tag w:val="part_3e0ef86e2813445c9fbe0e44e56f6506"/>
                    <w:lock w:val="sdtLocked"/>
                    <w:richText/>
                  </w:sdtPr>
                  <w:sdtContent>
                    <w:p>
                      <w:pPr>
                        <w:widowControl w:val="0"/>
                        <w:ind w:firstLine="709"/>
                        <w:jc w:val="both"/>
                        <w:rPr>
                          <w:lang w:eastAsia="lt-LT"/>
                        </w:rPr>
                      </w:pPr>
                      <w:sdt>
                        <w:sdtPr>
                          <w:alias w:val="Numeris"/>
                          <w:tag w:val="nr_3e0ef86e2813445c9fbe0e44e56f6506"/>
                          <w:lock w:val="sdtLocked"/>
                          <w:richText/>
                        </w:sdtPr>
                        <w:sdtContent>
                          <w:r>
                            <w:rPr>
                              <w:lang w:eastAsia="lt-LT"/>
                            </w:rPr>
                            <w:t>11.1</w:t>
                          </w:r>
                        </w:sdtContent>
                      </w:sdt>
                      <w:r>
                        <w:rPr>
                          <w:lang w:eastAsia="lt-LT"/>
                        </w:rPr>
                        <w:t>. į vienos Europos Sąjungos valstybės narės vyriausybės išleistus (išleidžiamus) ir (ar) garantuotus skolos vertybinius popierius ir (ar) pinigų rinkos priemones galima investuoti ne daugiau kaip 20 procentų visų lėšų;</w:t>
                      </w:r>
                    </w:p>
                  </w:sdtContent>
                </w:sdt>
                <w:sdt>
                  <w:sdtPr>
                    <w:alias w:val="11.2 pp."/>
                    <w:tag w:val="part_7b45fab2ec374a15810b96d272ff6ba5"/>
                    <w:lock w:val="sdtLocked"/>
                    <w:richText/>
                  </w:sdtPr>
                  <w:sdtContent>
                    <w:p>
                      <w:pPr>
                        <w:widowControl w:val="0"/>
                        <w:ind w:firstLine="709"/>
                        <w:jc w:val="both"/>
                        <w:rPr>
                          <w:lang w:eastAsia="lt-LT"/>
                        </w:rPr>
                      </w:pPr>
                      <w:sdt>
                        <w:sdtPr>
                          <w:alias w:val="Numeris"/>
                          <w:tag w:val="nr_7b45fab2ec374a15810b96d272ff6ba5"/>
                          <w:lock w:val="sdtLocked"/>
                          <w:richText/>
                        </w:sdtPr>
                        <w:sdtContent>
                          <w:r>
                            <w:rPr>
                              <w:lang w:eastAsia="lt-LT"/>
                            </w:rPr>
                            <w:t>11.2</w:t>
                          </w:r>
                        </w:sdtContent>
                      </w:sdt>
                      <w:r>
                        <w:rPr>
                          <w:lang w:eastAsia="lt-LT"/>
                        </w:rPr>
                        <w:t xml:space="preserve">. Europos Sąjungos valstybė narė (išskyrus Lietuvos Respubliką), į kurios išleistus (išleidžiamus) ir (ar) garantuotus skolos vertybinius popierius arba pinigų rinkos priemones investuojama, turi bent vienos iš toliau išvardytų reitingo agentūrų suteiktą ilgalaikio mokumo kredito reitingą, ne mažesnį kaip: </w:t>
                      </w:r>
                    </w:p>
                    <w:sdt>
                      <w:sdtPr>
                        <w:alias w:val="11.2.1 pp."/>
                        <w:tag w:val="part_c49f6224196547d0a5c276b135808c34"/>
                        <w:lock w:val="sdtLocked"/>
                        <w:richText/>
                      </w:sdtPr>
                      <w:sdtContent>
                        <w:p>
                          <w:pPr>
                            <w:widowControl w:val="0"/>
                            <w:ind w:firstLine="709"/>
                            <w:jc w:val="both"/>
                          </w:pPr>
                          <w:sdt>
                            <w:sdtPr>
                              <w:alias w:val="Numeris"/>
                              <w:tag w:val="nr_c49f6224196547d0a5c276b135808c34"/>
                              <w:lock w:val="sdtLocked"/>
                              <w:richText/>
                            </w:sdtPr>
                            <w:sdtContent>
                              <w:r>
                                <w:rPr>
                                  <w:lang w:val="en-US" w:eastAsia="lt-LT"/>
                                </w:rPr>
                                <w:t>11.2.1</w:t>
                              </w:r>
                            </w:sdtContent>
                          </w:sdt>
                          <w:r>
                            <w:rPr>
                              <w:lang w:val="en-US" w:eastAsia="lt-LT"/>
                            </w:rPr>
                            <w:t xml:space="preserve">. </w:t>
                          </w:r>
                          <w:r>
                            <w:rPr>
                              <w:i/>
                              <w:iCs/>
                              <w:lang w:val="en-US" w:eastAsia="lt-LT"/>
                            </w:rPr>
                            <w:t xml:space="preserve">Moody's Investors </w:t>
                          </w:r>
                          <w:r>
                            <w:rPr>
                              <w:i/>
                              <w:iCs/>
                              <w:lang w:eastAsia="lt-LT"/>
                            </w:rPr>
                            <w:t xml:space="preserve">Service – </w:t>
                          </w:r>
                          <w:r>
                            <w:rPr>
                              <w:lang w:eastAsia="lt-LT"/>
                            </w:rPr>
                            <w:t xml:space="preserve">A3; </w:t>
                          </w:r>
                        </w:p>
                      </w:sdtContent>
                    </w:sdt>
                    <w:sdt>
                      <w:sdtPr>
                        <w:alias w:val="11.2.2 pp."/>
                        <w:tag w:val="part_a40bfa5d03b443588399564f7b230c70"/>
                        <w:lock w:val="sdtLocked"/>
                        <w:richText/>
                      </w:sdtPr>
                      <w:sdtContent>
                        <w:p>
                          <w:pPr>
                            <w:widowControl w:val="0"/>
                            <w:ind w:firstLine="709"/>
                            <w:jc w:val="both"/>
                          </w:pPr>
                          <w:sdt>
                            <w:sdtPr>
                              <w:alias w:val="Numeris"/>
                              <w:tag w:val="nr_a40bfa5d03b443588399564f7b230c70"/>
                              <w:lock w:val="sdtLocked"/>
                              <w:richText/>
                            </w:sdtPr>
                            <w:sdtContent>
                              <w:r>
                                <w:rPr>
                                  <w:lang w:eastAsia="lt-LT"/>
                                </w:rPr>
                                <w:t>11.2.2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1.2.3 pp."/>
                        <w:tag w:val="part_c6a14567073d4149ad33761ddcae6264"/>
                        <w:lock w:val="sdtLocked"/>
                        <w:richText/>
                      </w:sdtPr>
                      <w:sdtContent>
                        <w:p>
                          <w:pPr>
                            <w:widowControl w:val="0"/>
                            <w:ind w:firstLine="709"/>
                            <w:jc w:val="both"/>
                          </w:pPr>
                          <w:sdt>
                            <w:sdtPr>
                              <w:alias w:val="Numeris"/>
                              <w:tag w:val="nr_c6a14567073d4149ad33761ddcae6264"/>
                              <w:lock w:val="sdtLocked"/>
                              <w:richText/>
                            </w:sdtPr>
                            <w:sdtContent>
                              <w:r>
                                <w:rPr>
                                  <w:lang w:eastAsia="lt-LT"/>
                                </w:rPr>
                                <w:t>11.2.3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2 p."/>
                <w:tag w:val="part_af77267a9ffa4e678d8bb478b2cb63e1"/>
                <w:lock w:val="sdtLocked"/>
                <w:richText/>
              </w:sdtPr>
              <w:sdtContent>
                <w:p>
                  <w:pPr>
                    <w:widowControl w:val="0"/>
                    <w:ind w:firstLine="709"/>
                    <w:jc w:val="both"/>
                    <w:rPr>
                      <w:color w:val="000000"/>
                      <w:szCs w:val="24"/>
                      <w:lang w:eastAsia="lt-LT"/>
                    </w:rPr>
                  </w:pPr>
                  <w:sdt>
                    <w:sdtPr>
                      <w:alias w:val="Numeris"/>
                      <w:tag w:val="nr_af77267a9ffa4e678d8bb478b2cb63e1"/>
                      <w:lock w:val="sdtLocked"/>
                      <w:richText/>
                    </w:sdtPr>
                    <w:sdtContent>
                      <w:r>
                        <w:rPr>
                          <w:color w:val="000000"/>
                          <w:szCs w:val="24"/>
                          <w:lang w:eastAsia="lt-LT"/>
                        </w:rPr>
                        <w:t>12</w:t>
                      </w:r>
                    </w:sdtContent>
                  </w:sdt>
                  <w:r>
                    <w:rPr>
                      <w:color w:val="000000"/>
                      <w:szCs w:val="24"/>
                      <w:lang w:eastAsia="lt-LT"/>
                    </w:rPr>
                    <w:t>. Į terminuotuosius indėlius skolos valdymo įstaigose galima investuoti:</w:t>
                  </w:r>
                </w:p>
                <w:sdt>
                  <w:sdtPr>
                    <w:alias w:val="12.1 pp."/>
                    <w:tag w:val="part_33de9fb06f514124b1317d1f84752b7d"/>
                    <w:lock w:val="sdtLocked"/>
                    <w:richText/>
                  </w:sdtPr>
                  <w:sdtContent>
                    <w:p>
                      <w:pPr>
                        <w:widowControl w:val="0"/>
                        <w:ind w:firstLine="709"/>
                        <w:jc w:val="both"/>
                        <w:rPr>
                          <w:color w:val="000000"/>
                          <w:szCs w:val="24"/>
                          <w:lang w:eastAsia="lt-LT"/>
                        </w:rPr>
                      </w:pPr>
                      <w:sdt>
                        <w:sdtPr>
                          <w:alias w:val="Numeris"/>
                          <w:tag w:val="nr_33de9fb06f514124b1317d1f84752b7d"/>
                          <w:lock w:val="sdtLocked"/>
                          <w:richText/>
                        </w:sdtPr>
                        <w:sdtContent>
                          <w:r>
                            <w:rPr>
                              <w:color w:val="000000"/>
                              <w:szCs w:val="24"/>
                              <w:lang w:eastAsia="lt-LT"/>
                            </w:rPr>
                            <w:t>12.1</w:t>
                          </w:r>
                        </w:sdtContent>
                      </w:sdt>
                      <w:r>
                        <w:rPr>
                          <w:color w:val="000000"/>
                          <w:szCs w:val="24"/>
                          <w:lang w:eastAsia="lt-LT"/>
                        </w:rPr>
                        <w:t>. ne daugiau kaip 50 procentų Rezervo fondo lėšų, tačiau į terminuotuosius indėlius vienoje skolos valdymo įstaigoje – ne daugiau kaip 20 procentų Rezervo fondo lėšų ir</w:t>
                      </w:r>
                    </w:p>
                  </w:sdtContent>
                </w:sdt>
                <w:sdt>
                  <w:sdtPr>
                    <w:alias w:val="12.2 pp."/>
                    <w:tag w:val="part_dea1fdcc4a4748f398bca836dccd2b48"/>
                    <w:lock w:val="sdtLocked"/>
                    <w:richText/>
                  </w:sdtPr>
                  <w:sdtContent>
                    <w:p>
                      <w:pPr>
                        <w:widowControl w:val="0"/>
                        <w:ind w:firstLine="709"/>
                        <w:jc w:val="both"/>
                      </w:pPr>
                      <w:sdt>
                        <w:sdtPr>
                          <w:alias w:val="Numeris"/>
                          <w:tag w:val="nr_dea1fdcc4a4748f398bca836dccd2b48"/>
                          <w:lock w:val="sdtLocked"/>
                          <w:richText/>
                        </w:sdtPr>
                        <w:sdtContent>
                          <w:r>
                            <w:rPr>
                              <w:color w:val="000000"/>
                              <w:szCs w:val="24"/>
                              <w:lang w:eastAsia="lt-LT"/>
                            </w:rPr>
                            <w:t>12.2</w:t>
                          </w:r>
                        </w:sdtContent>
                      </w:sdt>
                      <w:r>
                        <w:rPr>
                          <w:color w:val="000000"/>
                          <w:szCs w:val="24"/>
                          <w:lang w:eastAsia="lt-LT"/>
                        </w:rPr>
                        <w:t xml:space="preserve">. jeigu Užsienio valstybė, į kurios terminuotuosius indėlius skolos valdymo įstaigose investuojama, turi bent vienos iš toliau išvardytų reitingo agentūrų suteiktą ilgalaikio mokumo kredito reitingą, </w:t>
                      </w:r>
                      <w:r>
                        <w:rPr>
                          <w:lang w:eastAsia="lt-LT"/>
                        </w:rPr>
                        <w:t>ne mažesnį kaip</w:t>
                      </w:r>
                      <w:r>
                        <w:rPr>
                          <w:color w:val="000000"/>
                          <w:szCs w:val="24"/>
                          <w:lang w:eastAsia="lt-LT"/>
                        </w:rPr>
                        <w:t xml:space="preserve">: </w:t>
                      </w:r>
                    </w:p>
                    <w:sdt>
                      <w:sdtPr>
                        <w:alias w:val="12.2.1 pp."/>
                        <w:tag w:val="part_6326c5768216486d9109fe288e99ef72"/>
                        <w:lock w:val="sdtLocked"/>
                        <w:richText/>
                      </w:sdtPr>
                      <w:sdtContent>
                        <w:p>
                          <w:pPr>
                            <w:widowControl w:val="0"/>
                            <w:ind w:firstLine="709"/>
                            <w:jc w:val="both"/>
                          </w:pPr>
                          <w:sdt>
                            <w:sdtPr>
                              <w:alias w:val="Numeris"/>
                              <w:tag w:val="nr_6326c5768216486d9109fe288e99ef72"/>
                              <w:lock w:val="sdtLocked"/>
                              <w:richText/>
                            </w:sdtPr>
                            <w:sdtContent>
                              <w:r>
                                <w:rPr>
                                  <w:color w:val="000000"/>
                                  <w:szCs w:val="24"/>
                                  <w:lang w:eastAsia="lt-LT"/>
                                </w:rPr>
                                <w:t>12.2.1</w:t>
                              </w:r>
                            </w:sdtContent>
                          </w:sdt>
                          <w:r>
                            <w:rPr>
                              <w:color w:val="000000"/>
                              <w:szCs w:val="24"/>
                              <w:lang w:eastAsia="lt-LT"/>
                            </w:rPr>
                            <w:t xml:space="preserve">. </w:t>
                          </w:r>
                          <w:r>
                            <w:rPr>
                              <w:i/>
                              <w:iCs/>
                              <w:color w:val="000000"/>
                              <w:szCs w:val="24"/>
                              <w:lang w:eastAsia="lt-LT"/>
                            </w:rPr>
                            <w:t xml:space="preserve">Moody’s Investors Service – </w:t>
                          </w:r>
                          <w:r>
                            <w:rPr>
                              <w:color w:val="000000"/>
                              <w:szCs w:val="24"/>
                              <w:lang w:eastAsia="lt-LT"/>
                            </w:rPr>
                            <w:t xml:space="preserve">A3; </w:t>
                          </w:r>
                        </w:p>
                      </w:sdtContent>
                    </w:sdt>
                    <w:sdt>
                      <w:sdtPr>
                        <w:alias w:val="12.2.2 pp."/>
                        <w:tag w:val="part_298cc2db58fd4477916e83a2051798b8"/>
                        <w:lock w:val="sdtLocked"/>
                        <w:richText/>
                      </w:sdtPr>
                      <w:sdtContent>
                        <w:p>
                          <w:pPr>
                            <w:widowControl w:val="0"/>
                            <w:ind w:firstLine="709"/>
                            <w:jc w:val="both"/>
                          </w:pPr>
                          <w:sdt>
                            <w:sdtPr>
                              <w:alias w:val="Numeris"/>
                              <w:tag w:val="nr_298cc2db58fd4477916e83a2051798b8"/>
                              <w:lock w:val="sdtLocked"/>
                              <w:richText/>
                            </w:sdtPr>
                            <w:sdtContent>
                              <w:r>
                                <w:rPr>
                                  <w:color w:val="000000"/>
                                  <w:szCs w:val="24"/>
                                  <w:lang w:eastAsia="lt-LT"/>
                                </w:rPr>
                                <w:t>12.2.2</w:t>
                              </w:r>
                            </w:sdtContent>
                          </w:sdt>
                          <w:r>
                            <w:rPr>
                              <w:color w:val="000000"/>
                              <w:szCs w:val="24"/>
                              <w:lang w:eastAsia="lt-LT"/>
                            </w:rPr>
                            <w:t xml:space="preserve">. </w:t>
                          </w:r>
                          <w:r>
                            <w:rPr>
                              <w:i/>
                              <w:iCs/>
                              <w:color w:val="000000"/>
                              <w:szCs w:val="24"/>
                              <w:lang w:eastAsia="lt-LT"/>
                            </w:rPr>
                            <w:t xml:space="preserve">Standard &amp; Poor’s – </w:t>
                          </w:r>
                          <w:r>
                            <w:rPr>
                              <w:color w:val="000000"/>
                              <w:szCs w:val="24"/>
                              <w:lang w:eastAsia="lt-LT"/>
                            </w:rPr>
                            <w:t>A</w:t>
                          </w:r>
                          <w:r>
                            <w:rPr>
                              <w:i/>
                              <w:iCs/>
                              <w:lang w:eastAsia="lt-LT"/>
                            </w:rPr>
                            <w:t>–</w:t>
                          </w:r>
                          <w:r>
                            <w:rPr>
                              <w:color w:val="000000"/>
                              <w:szCs w:val="24"/>
                              <w:lang w:eastAsia="lt-LT"/>
                            </w:rPr>
                            <w:t xml:space="preserve">; </w:t>
                          </w:r>
                        </w:p>
                      </w:sdtContent>
                    </w:sdt>
                    <w:sdt>
                      <w:sdtPr>
                        <w:alias w:val="12.2.3 pp."/>
                        <w:tag w:val="part_02a10f4a6f3b455c84b8b9ae50249364"/>
                        <w:lock w:val="sdtLocked"/>
                        <w:richText/>
                      </w:sdtPr>
                      <w:sdtContent>
                        <w:p>
                          <w:pPr>
                            <w:widowControl w:val="0"/>
                            <w:ind w:firstLine="709"/>
                            <w:jc w:val="both"/>
                          </w:pPr>
                          <w:sdt>
                            <w:sdtPr>
                              <w:alias w:val="Numeris"/>
                              <w:tag w:val="nr_02a10f4a6f3b455c84b8b9ae50249364"/>
                              <w:lock w:val="sdtLocked"/>
                              <w:richText/>
                            </w:sdtPr>
                            <w:sdtContent>
                              <w:r>
                                <w:rPr>
                                  <w:color w:val="000000"/>
                                  <w:szCs w:val="24"/>
                                  <w:lang w:eastAsia="lt-LT"/>
                                </w:rPr>
                                <w:t>12.2.3</w:t>
                              </w:r>
                            </w:sdtContent>
                          </w:sdt>
                          <w:r>
                            <w:rPr>
                              <w:color w:val="000000"/>
                              <w:szCs w:val="24"/>
                              <w:lang w:eastAsia="lt-LT"/>
                            </w:rPr>
                            <w:t xml:space="preserve">. </w:t>
                          </w:r>
                          <w:r>
                            <w:rPr>
                              <w:i/>
                              <w:iCs/>
                              <w:color w:val="000000"/>
                              <w:szCs w:val="24"/>
                              <w:lang w:eastAsia="lt-LT"/>
                            </w:rPr>
                            <w:t xml:space="preserve">Fitch Ratings – </w:t>
                          </w:r>
                          <w:r>
                            <w:rPr>
                              <w:color w:val="000000"/>
                              <w:szCs w:val="24"/>
                              <w:lang w:eastAsia="lt-LT"/>
                            </w:rPr>
                            <w:t>A</w:t>
                          </w:r>
                          <w:r>
                            <w:rPr>
                              <w:i/>
                              <w:iCs/>
                              <w:lang w:eastAsia="lt-LT"/>
                            </w:rPr>
                            <w:t>–</w:t>
                          </w:r>
                          <w:r>
                            <w:rPr>
                              <w:color w:val="000000"/>
                              <w:szCs w:val="24"/>
                              <w:lang w:eastAsia="lt-LT"/>
                            </w:rPr>
                            <w:t>.</w:t>
                          </w:r>
                        </w:p>
                      </w:sdtContent>
                    </w:sdt>
                  </w:sdtContent>
                </w:sdt>
              </w:sdtContent>
            </w:sdt>
            <w:sdt>
              <w:sdtPr>
                <w:alias w:val="13 p."/>
                <w:tag w:val="part_0c293b8e65e84a63ad17f45e56eca617"/>
                <w:lock w:val="sdtLocked"/>
                <w:richText/>
              </w:sdtPr>
              <w:sdtContent>
                <w:p>
                  <w:pPr>
                    <w:widowControl w:val="0"/>
                    <w:ind w:firstLine="709"/>
                    <w:jc w:val="both"/>
                    <w:rPr>
                      <w:lang w:eastAsia="lt-LT"/>
                    </w:rPr>
                  </w:pPr>
                  <w:sdt>
                    <w:sdtPr>
                      <w:alias w:val="Numeris"/>
                      <w:tag w:val="nr_0c293b8e65e84a63ad17f45e56eca617"/>
                      <w:lock w:val="sdtLocked"/>
                      <w:richText/>
                    </w:sdtPr>
                    <w:sdtContent>
                      <w:r>
                        <w:rPr>
                          <w:lang w:eastAsia="lt-LT"/>
                        </w:rPr>
                        <w:t>13</w:t>
                      </w:r>
                    </w:sdtContent>
                  </w:sdt>
                  <w:r>
                    <w:rPr>
                      <w:lang w:eastAsia="lt-LT"/>
                    </w:rPr>
                    <w:t>. Į Europos Sąjungos valstybių narių centrinių bankų, Europos centrinio banko, tarptautinės organizacijos, kuriai priklauso bent viena Europos Sąjungos valstybė narė, išleistus (išleidžiamus) skolos vertybinius popierius ir (ar) pinigų rinkos priemones galima investuoti visas Rezervo fondo lėšas, jei jų (išskyrus Europos centrinį banką) kredito reitingas atitinka Nuostatų 11.2 papunkčio reikalavimus. Į vieno šiame punkte nurodyto subjekto išleistus (išleidžiamus) skolos vertybinius popierius ir (ar) pinigų rinkos priemones galima investuoti ne daugiau kaip 20 procentų Rezervo fondo lėšų.</w:t>
                  </w:r>
                </w:p>
              </w:sdtContent>
            </w:sdt>
            <w:sdt>
              <w:sdtPr>
                <w:alias w:val="14 p."/>
                <w:tag w:val="part_7dfb5b232abb4527b0fc1fade91c6961"/>
                <w:lock w:val="sdtLocked"/>
                <w:richText/>
              </w:sdtPr>
              <w:sdtContent>
                <w:p>
                  <w:pPr>
                    <w:widowControl w:val="0"/>
                    <w:ind w:firstLine="709"/>
                    <w:jc w:val="both"/>
                    <w:rPr>
                      <w:lang w:eastAsia="lt-LT"/>
                    </w:rPr>
                  </w:pPr>
                  <w:sdt>
                    <w:sdtPr>
                      <w:alias w:val="Numeris"/>
                      <w:tag w:val="nr_7dfb5b232abb4527b0fc1fade91c6961"/>
                      <w:lock w:val="sdtLocked"/>
                      <w:richText/>
                    </w:sdtPr>
                    <w:sdtContent>
                      <w:r>
                        <w:rPr>
                          <w:lang w:eastAsia="lt-LT"/>
                        </w:rPr>
                        <w:t>14</w:t>
                      </w:r>
                    </w:sdtContent>
                  </w:sdt>
                  <w:r>
                    <w:rPr>
                      <w:lang w:eastAsia="lt-LT"/>
                    </w:rPr>
                    <w:t>. Į Užsienio valstybių (išskyrus Europos Sąjungos valstybes nares) vyriausybių ir tų šalių centrinių bankų išleistus ir (ar) garantuotus skolos vertybinius popierius ir (ar) pinigų rinkos priemones galima investuoti:</w:t>
                  </w:r>
                </w:p>
                <w:sdt>
                  <w:sdtPr>
                    <w:alias w:val="14.1 pp."/>
                    <w:tag w:val="part_a12ff5c2d7f446b59184b17f06b48d41"/>
                    <w:lock w:val="sdtLocked"/>
                    <w:richText/>
                  </w:sdtPr>
                  <w:sdtContent>
                    <w:p>
                      <w:pPr>
                        <w:ind w:firstLine="709"/>
                        <w:jc w:val="both"/>
                      </w:pPr>
                      <w:sdt>
                        <w:sdtPr>
                          <w:alias w:val="Numeris"/>
                          <w:tag w:val="nr_a12ff5c2d7f446b59184b17f06b48d41"/>
                          <w:lock w:val="sdtLocked"/>
                          <w:richText/>
                        </w:sdtPr>
                        <w:sdtContent>
                          <w:r>
                            <w:rPr>
                              <w:rFonts w:eastAsia="Calibri"/>
                              <w:szCs w:val="24"/>
                              <w:lang w:eastAsia="lt-LT"/>
                            </w:rPr>
                            <w:t>14.1</w:t>
                          </w:r>
                        </w:sdtContent>
                      </w:sdt>
                      <w:r>
                        <w:rPr>
                          <w:rFonts w:eastAsia="Calibri"/>
                          <w:szCs w:val="24"/>
                          <w:lang w:eastAsia="lt-LT"/>
                        </w:rPr>
                        <w:t xml:space="preserve">. </w:t>
                      </w:r>
                      <w:r>
                        <w:rPr>
                          <w:lang w:eastAsia="lt-LT"/>
                        </w:rPr>
                        <w:t>ne daugiau kaip 50 procentų Rezervo fondo lėšų, tačiau į vienos Užsienio valstybės (išskyrus Europos Sąjungos valstybes nares) vyriausybės ir tos šalies centrinio banko išleistus skolos vertybinius popierius ir (ar) pinigų rinkos priemones – ne daugiau kaip 10 procentų visų Rezervo fondo lėšų ir</w:t>
                      </w:r>
                    </w:p>
                  </w:sdtContent>
                </w:sdt>
                <w:sdt>
                  <w:sdtPr>
                    <w:alias w:val="14.2 pp."/>
                    <w:tag w:val="part_ea3f345ee69847a3ad3d2a96d5b3088a"/>
                    <w:lock w:val="sdtLocked"/>
                    <w:richText/>
                  </w:sdtPr>
                  <w:sdtContent>
                    <w:p>
                      <w:pPr>
                        <w:widowControl w:val="0"/>
                        <w:ind w:firstLine="709"/>
                        <w:jc w:val="both"/>
                        <w:rPr>
                          <w:lang w:eastAsia="lt-LT"/>
                        </w:rPr>
                      </w:pPr>
                      <w:sdt>
                        <w:sdtPr>
                          <w:alias w:val="Numeris"/>
                          <w:tag w:val="nr_ea3f345ee69847a3ad3d2a96d5b3088a"/>
                          <w:lock w:val="sdtLocked"/>
                          <w:richText/>
                        </w:sdtPr>
                        <w:sdtContent>
                          <w:r>
                            <w:rPr>
                              <w:lang w:eastAsia="lt-LT"/>
                            </w:rPr>
                            <w:t>14.2</w:t>
                          </w:r>
                        </w:sdtContent>
                      </w:sdt>
                      <w:r>
                        <w:rPr>
                          <w:lang w:eastAsia="lt-LT"/>
                        </w:rPr>
                        <w:t xml:space="preserve">. jeigu Užsienio valstybė (išskyrus Europos Sąjungos valstybes nares) ar tos šalies centrinis bankas, į kurių išleistus ir (ar) garantuojamus skolos vertybinius popierius arba pinigų rinkos priemones investuojama, turi bent vienos iš toliau išvardytų reitingo agentūrų suteiktą ilgalaikio mokumo kredito reitingą, ne mažesnį kaip: </w:t>
                      </w:r>
                    </w:p>
                    <w:sdt>
                      <w:sdtPr>
                        <w:alias w:val="14.2.1 pp."/>
                        <w:tag w:val="part_1f63f607147746aaa8952cfa794e2cd5"/>
                        <w:lock w:val="sdtLocked"/>
                        <w:richText/>
                      </w:sdtPr>
                      <w:sdtContent>
                        <w:p>
                          <w:pPr>
                            <w:widowControl w:val="0"/>
                            <w:ind w:firstLine="709"/>
                            <w:jc w:val="both"/>
                          </w:pPr>
                          <w:sdt>
                            <w:sdtPr>
                              <w:alias w:val="Numeris"/>
                              <w:tag w:val="nr_1f63f607147746aaa8952cfa794e2cd5"/>
                              <w:lock w:val="sdtLocked"/>
                              <w:richText/>
                            </w:sdtPr>
                            <w:sdtContent>
                              <w:r>
                                <w:rPr>
                                  <w:lang w:eastAsia="lt-LT"/>
                                </w:rPr>
                                <w:t>14.2.1</w:t>
                              </w:r>
                            </w:sdtContent>
                          </w:sdt>
                          <w:r>
                            <w:rPr>
                              <w:lang w:eastAsia="lt-LT"/>
                            </w:rPr>
                            <w:t xml:space="preserve">. </w:t>
                          </w:r>
                          <w:r>
                            <w:rPr>
                              <w:i/>
                              <w:iCs/>
                              <w:lang w:eastAsia="lt-LT"/>
                            </w:rPr>
                            <w:t xml:space="preserve">Moody's Investors Service – </w:t>
                          </w:r>
                          <w:r>
                            <w:rPr>
                              <w:lang w:eastAsia="lt-LT"/>
                            </w:rPr>
                            <w:t>A3;</w:t>
                          </w:r>
                        </w:p>
                      </w:sdtContent>
                    </w:sdt>
                    <w:sdt>
                      <w:sdtPr>
                        <w:alias w:val="14.2.2 pp."/>
                        <w:tag w:val="part_184d0479e0fe45e2bc0acea49ef0f114"/>
                        <w:lock w:val="sdtLocked"/>
                        <w:richText/>
                      </w:sdtPr>
                      <w:sdtContent>
                        <w:p>
                          <w:pPr>
                            <w:widowControl w:val="0"/>
                            <w:ind w:firstLine="709"/>
                            <w:jc w:val="both"/>
                          </w:pPr>
                          <w:sdt>
                            <w:sdtPr>
                              <w:alias w:val="Numeris"/>
                              <w:tag w:val="nr_184d0479e0fe45e2bc0acea49ef0f114"/>
                              <w:lock w:val="sdtLocked"/>
                              <w:richText/>
                            </w:sdtPr>
                            <w:sdtContent>
                              <w:r>
                                <w:rPr>
                                  <w:lang w:eastAsia="lt-LT"/>
                                </w:rPr>
                                <w:t>14.2.2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4.2.3 pp."/>
                        <w:tag w:val="part_492846e49ffd4c36b3afde6c7539528b"/>
                        <w:lock w:val="sdtLocked"/>
                        <w:richText/>
                      </w:sdtPr>
                      <w:sdtContent>
                        <w:p>
                          <w:pPr>
                            <w:widowControl w:val="0"/>
                            <w:ind w:firstLine="709"/>
                            <w:jc w:val="both"/>
                          </w:pPr>
                          <w:sdt>
                            <w:sdtPr>
                              <w:alias w:val="Numeris"/>
                              <w:tag w:val="nr_492846e49ffd4c36b3afde6c7539528b"/>
                              <w:lock w:val="sdtLocked"/>
                              <w:richText/>
                            </w:sdtPr>
                            <w:sdtContent>
                              <w:r>
                                <w:rPr>
                                  <w:lang w:eastAsia="lt-LT"/>
                                </w:rPr>
                                <w:t>14.2.3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5 p."/>
                <w:tag w:val="part_04781161527d4c42b1c77900d9066cbd"/>
                <w:lock w:val="sdtLocked"/>
                <w:richText/>
              </w:sdtPr>
              <w:sdtContent>
                <w:p>
                  <w:pPr>
                    <w:widowControl w:val="0"/>
                    <w:ind w:firstLine="709"/>
                    <w:jc w:val="both"/>
                  </w:pPr>
                  <w:sdt>
                    <w:sdtPr>
                      <w:alias w:val="Numeris"/>
                      <w:tag w:val="nr_04781161527d4c42b1c77900d9066cbd"/>
                      <w:lock w:val="sdtLocked"/>
                      <w:richText/>
                    </w:sdtPr>
                    <w:sdtContent>
                      <w:r>
                        <w:rPr>
                          <w:lang w:eastAsia="lt-LT"/>
                        </w:rPr>
                        <w:t>15</w:t>
                      </w:r>
                    </w:sdtContent>
                  </w:sdt>
                  <w:r>
                    <w:rPr>
                      <w:lang w:eastAsia="lt-LT"/>
                    </w:rPr>
                    <w:t>. Į Lietuvos Respublikos ir Užsienio valstybių kredito įstaigų terminuotuosius ind</w:t>
                  </w:r>
                  <w:r>
                    <w:rPr>
                      <w:rFonts w:ascii="TimesNewRoman" w:hAnsi="TimesNewRoman" w:cs="TimesNewRoman"/>
                      <w:lang w:eastAsia="lt-LT"/>
                    </w:rPr>
                    <w:t>ė</w:t>
                  </w:r>
                  <w:r>
                    <w:rPr>
                      <w:lang w:eastAsia="lt-LT"/>
                    </w:rPr>
                    <w:t xml:space="preserve">lius galima investuoti ne daugiau kaip 20 procentų investavimo dieną esančio (paskutinės oficialiai paskelbtos ataskaitos duomenimis) kredito įstaigos apmokėtojo kapitalo sumos ir ne ilgesniam nei 12 mėnesių terminui, jei kredito įstaiga turi bent vienos iš toliau išvardytų reitingų agentūrų suteiktą ilgalaikio mokumo kredito reitingą, ne mažesnį kaip: </w:t>
                  </w:r>
                </w:p>
                <w:sdt>
                  <w:sdtPr>
                    <w:alias w:val="15.1 pp."/>
                    <w:tag w:val="part_90612b48cce44c3c85689664af3c04ce"/>
                    <w:lock w:val="sdtLocked"/>
                    <w:richText/>
                  </w:sdtPr>
                  <w:sdtContent>
                    <w:p>
                      <w:pPr>
                        <w:widowControl w:val="0"/>
                        <w:ind w:firstLine="709"/>
                        <w:jc w:val="both"/>
                      </w:pPr>
                      <w:sdt>
                        <w:sdtPr>
                          <w:alias w:val="Numeris"/>
                          <w:tag w:val="nr_90612b48cce44c3c85689664af3c04ce"/>
                          <w:lock w:val="sdtLocked"/>
                          <w:richText/>
                        </w:sdtPr>
                        <w:sdtContent>
                          <w:r>
                            <w:rPr>
                              <w:lang w:eastAsia="lt-LT"/>
                            </w:rPr>
                            <w:t>15.1</w:t>
                          </w:r>
                        </w:sdtContent>
                      </w:sdt>
                      <w:r>
                        <w:rPr>
                          <w:lang w:eastAsia="lt-LT"/>
                        </w:rPr>
                        <w:t xml:space="preserve">. </w:t>
                      </w:r>
                      <w:r>
                        <w:rPr>
                          <w:i/>
                          <w:iCs/>
                          <w:lang w:eastAsia="lt-LT"/>
                        </w:rPr>
                        <w:t>Moody</w:t>
                      </w:r>
                      <w:r>
                        <w:rPr>
                          <w:i/>
                          <w:iCs/>
                          <w:lang w:val="en-US" w:eastAsia="lt-LT"/>
                        </w:rPr>
                        <w:t>’</w:t>
                      </w:r>
                      <w:r>
                        <w:rPr>
                          <w:i/>
                          <w:iCs/>
                          <w:lang w:eastAsia="lt-LT"/>
                        </w:rPr>
                        <w:t xml:space="preserve">s Investors Service – </w:t>
                      </w:r>
                      <w:r>
                        <w:rPr>
                          <w:lang w:eastAsia="lt-LT"/>
                        </w:rPr>
                        <w:t xml:space="preserve">A3; </w:t>
                      </w:r>
                    </w:p>
                  </w:sdtContent>
                </w:sdt>
                <w:sdt>
                  <w:sdtPr>
                    <w:alias w:val="15.2 pp."/>
                    <w:tag w:val="part_b1b2a3b0cfe94a92ae600b2b43edbe04"/>
                    <w:lock w:val="sdtLocked"/>
                    <w:richText/>
                  </w:sdtPr>
                  <w:sdtContent>
                    <w:p>
                      <w:pPr>
                        <w:widowControl w:val="0"/>
                        <w:ind w:firstLine="709"/>
                        <w:jc w:val="both"/>
                      </w:pPr>
                      <w:sdt>
                        <w:sdtPr>
                          <w:alias w:val="Numeris"/>
                          <w:tag w:val="nr_b1b2a3b0cfe94a92ae600b2b43edbe04"/>
                          <w:lock w:val="sdtLocked"/>
                          <w:richText/>
                        </w:sdtPr>
                        <w:sdtContent>
                          <w:r>
                            <w:rPr>
                              <w:lang w:eastAsia="lt-LT"/>
                            </w:rPr>
                            <w:t>15.2</w:t>
                          </w:r>
                        </w:sdtContent>
                      </w:sdt>
                      <w:r>
                        <w:rPr>
                          <w:lang w:eastAsia="lt-LT"/>
                        </w:rPr>
                        <w:t xml:space="preserve">. </w:t>
                      </w:r>
                      <w:r>
                        <w:rPr>
                          <w:i/>
                          <w:iCs/>
                          <w:lang w:eastAsia="lt-LT"/>
                        </w:rPr>
                        <w:t xml:space="preserve">Standard &amp; Poor’s – </w:t>
                      </w:r>
                      <w:r>
                        <w:rPr>
                          <w:lang w:eastAsia="lt-LT"/>
                        </w:rPr>
                        <w:t>A</w:t>
                      </w:r>
                      <w:r>
                        <w:rPr>
                          <w:i/>
                          <w:iCs/>
                          <w:lang w:eastAsia="lt-LT"/>
                        </w:rPr>
                        <w:t>–</w:t>
                      </w:r>
                      <w:r>
                        <w:rPr>
                          <w:lang w:eastAsia="lt-LT"/>
                        </w:rPr>
                        <w:t xml:space="preserve">; </w:t>
                      </w:r>
                    </w:p>
                  </w:sdtContent>
                </w:sdt>
                <w:sdt>
                  <w:sdtPr>
                    <w:alias w:val="15.3 pp."/>
                    <w:tag w:val="part_16ec48664d2241248aef1b266d2f909e"/>
                    <w:lock w:val="sdtLocked"/>
                    <w:richText/>
                  </w:sdtPr>
                  <w:sdtContent>
                    <w:p>
                      <w:pPr>
                        <w:widowControl w:val="0"/>
                        <w:ind w:firstLine="709"/>
                        <w:jc w:val="both"/>
                      </w:pPr>
                      <w:sdt>
                        <w:sdtPr>
                          <w:alias w:val="Numeris"/>
                          <w:tag w:val="nr_16ec48664d2241248aef1b266d2f909e"/>
                          <w:lock w:val="sdtLocked"/>
                          <w:richText/>
                        </w:sdtPr>
                        <w:sdtContent>
                          <w:r>
                            <w:rPr>
                              <w:lang w:eastAsia="lt-LT"/>
                            </w:rPr>
                            <w:t>15.3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
              <w:sdtPr>
                <w:alias w:val="16 p."/>
                <w:tag w:val="part_f5ea99c1c52b4af1b561c23cc4ad28c3"/>
                <w:lock w:val="sdtLocked"/>
                <w:richText/>
              </w:sdtPr>
              <w:sdtContent>
                <w:p>
                  <w:pPr>
                    <w:widowControl w:val="0"/>
                    <w:ind w:firstLine="709"/>
                    <w:jc w:val="both"/>
                    <w:rPr>
                      <w:lang w:eastAsia="lt-LT"/>
                    </w:rPr>
                  </w:pPr>
                  <w:sdt>
                    <w:sdtPr>
                      <w:alias w:val="Numeris"/>
                      <w:tag w:val="nr_f5ea99c1c52b4af1b561c23cc4ad28c3"/>
                      <w:lock w:val="sdtLocked"/>
                      <w:richText/>
                    </w:sdtPr>
                    <w:sdtContent>
                      <w:r>
                        <w:rPr>
                          <w:lang w:eastAsia="lt-LT"/>
                        </w:rPr>
                        <w:t>16</w:t>
                      </w:r>
                    </w:sdtContent>
                  </w:sdt>
                  <w:r>
                    <w:rPr>
                      <w:lang w:eastAsia="lt-LT"/>
                    </w:rPr>
                    <w:t>. Lietuvos Respublikoje įsteigta kredito įstaiga arba Užsienio valstybės kredito įstaigos filialas, įsteigtas Lietuvos Respublikoje, gali būti laikomas aukštesnį ilgalaikio mokumo kredito reitingą turinčia kredito įstaiga, jeigu tokį ilgalaikio mokumo kredito reitingą turi Užsienio valstybės kredito įstaiga, patronuojanti Lietuvos Respublikoje įsteigtą kredito įstaigą arba įsteigusi Lietuvos Respublikoje savo filialą.</w:t>
                  </w:r>
                </w:p>
              </w:sdtContent>
            </w:sdt>
            <w:sdt>
              <w:sdtPr>
                <w:alias w:val="17 p."/>
                <w:tag w:val="part_89f59359e93246a995c97d0973e1066e"/>
                <w:lock w:val="sdtLocked"/>
                <w:richText/>
              </w:sdtPr>
              <w:sdtContent>
                <w:p>
                  <w:pPr>
                    <w:widowControl w:val="0"/>
                    <w:ind w:firstLine="709"/>
                    <w:jc w:val="both"/>
                    <w:rPr>
                      <w:lang w:eastAsia="lt-LT"/>
                    </w:rPr>
                  </w:pPr>
                  <w:sdt>
                    <w:sdtPr>
                      <w:alias w:val="Numeris"/>
                      <w:tag w:val="nr_89f59359e93246a995c97d0973e1066e"/>
                      <w:lock w:val="sdtLocked"/>
                      <w:richText/>
                    </w:sdtPr>
                    <w:sdtContent>
                      <w:r>
                        <w:rPr>
                          <w:lang w:eastAsia="lt-LT"/>
                        </w:rPr>
                        <w:t>17</w:t>
                      </w:r>
                    </w:sdtContent>
                  </w:sdt>
                  <w:r>
                    <w:rPr>
                      <w:lang w:eastAsia="lt-LT"/>
                    </w:rPr>
                    <w:t>. Lėšų suma, laikoma tos pačios Lietuvos Respublikos arba Užsienio valstybės kredito įstaigos terminuotuosiuose indėliuose, negali viršyti 20 procentų Rezervo fondo lėšų.</w:t>
                  </w:r>
                </w:p>
              </w:sdtContent>
            </w:sdt>
            <w:sdt>
              <w:sdtPr>
                <w:alias w:val="18 p."/>
                <w:tag w:val="part_592f49872b4941c391a2928749491495"/>
                <w:lock w:val="sdtLocked"/>
                <w:richText/>
              </w:sdtPr>
              <w:sdtContent>
                <w:p>
                  <w:pPr>
                    <w:widowControl w:val="0"/>
                    <w:ind w:firstLine="709"/>
                    <w:jc w:val="both"/>
                    <w:rPr>
                      <w:lang w:eastAsia="lt-LT"/>
                    </w:rPr>
                  </w:pPr>
                  <w:sdt>
                    <w:sdtPr>
                      <w:alias w:val="Numeris"/>
                      <w:tag w:val="nr_592f49872b4941c391a2928749491495"/>
                      <w:lock w:val="sdtLocked"/>
                      <w:richText/>
                    </w:sdtPr>
                    <w:sdtContent>
                      <w:r>
                        <w:rPr>
                          <w:lang w:eastAsia="lt-LT"/>
                        </w:rPr>
                        <w:t>18</w:t>
                      </w:r>
                    </w:sdtContent>
                  </w:sdt>
                  <w:r>
                    <w:rPr>
                      <w:lang w:eastAsia="lt-LT"/>
                    </w:rPr>
                    <w:t>. Bendra terminuotųjų indėlių, laikomų Lietuvos Respublikos arba Užsienio valstybių kredito įstaigose, suma negali viršyti 30 procentų Rezervo fondo lėšų.</w:t>
                  </w:r>
                </w:p>
              </w:sdtContent>
            </w:sdt>
            <w:sdt>
              <w:sdtPr>
                <w:alias w:val="19 p."/>
                <w:tag w:val="part_77a9fcb59a414d019ddc00e2cdbe7156"/>
                <w:lock w:val="sdtLocked"/>
                <w:richText/>
              </w:sdtPr>
              <w:sdtContent>
                <w:p>
                  <w:pPr>
                    <w:widowControl w:val="0"/>
                    <w:ind w:firstLine="709"/>
                    <w:jc w:val="both"/>
                  </w:pPr>
                  <w:sdt>
                    <w:sdtPr>
                      <w:alias w:val="Numeris"/>
                      <w:tag w:val="nr_77a9fcb59a414d019ddc00e2cdbe7156"/>
                      <w:lock w:val="sdtLocked"/>
                      <w:richText/>
                    </w:sdtPr>
                    <w:sdtContent>
                      <w:r>
                        <w:rPr>
                          <w:color w:val="000000"/>
                          <w:szCs w:val="24"/>
                          <w:lang w:eastAsia="lt-LT"/>
                        </w:rPr>
                        <w:t>19</w:t>
                      </w:r>
                    </w:sdtContent>
                  </w:sdt>
                  <w:r>
                    <w:rPr>
                      <w:color w:val="000000"/>
                      <w:szCs w:val="24"/>
                      <w:lang w:eastAsia="lt-LT"/>
                    </w:rPr>
                    <w:t>. Bendra terminuotųjų indėlių, laikomų Lietuvos Respublikos arba Užsienio valstybių kredito įstaigų ir skolos valdymo įstaigų terminuotuosiuose indėliuose, suma negali viršyti 50 procentų Rezervo fondo lėšų.</w:t>
                  </w:r>
                  <w:r>
                    <w:rPr>
                      <w:lang w:eastAsia="lt-LT"/>
                    </w:rPr>
                    <w:t xml:space="preserve"> </w:t>
                  </w:r>
                </w:p>
              </w:sdtContent>
            </w:sdt>
            <w:sdt>
              <w:sdtPr>
                <w:alias w:val="20 p."/>
                <w:tag w:val="part_1fb40601196842cfa5ace77833729cab"/>
                <w:lock w:val="sdtLocked"/>
                <w:richText/>
              </w:sdtPr>
              <w:sdtContent>
                <w:p>
                  <w:pPr>
                    <w:widowControl w:val="0"/>
                    <w:ind w:firstLine="709"/>
                    <w:jc w:val="both"/>
                  </w:pPr>
                  <w:sdt>
                    <w:sdtPr>
                      <w:alias w:val="Numeris"/>
                      <w:tag w:val="nr_1fb40601196842cfa5ace77833729cab"/>
                      <w:lock w:val="sdtLocked"/>
                      <w:richText/>
                    </w:sdtPr>
                    <w:sdtContent>
                      <w:r>
                        <w:rPr>
                          <w:color w:val="000000"/>
                          <w:lang w:eastAsia="lt-LT"/>
                        </w:rPr>
                        <w:t>20</w:t>
                      </w:r>
                    </w:sdtContent>
                  </w:sdt>
                  <w:r>
                    <w:rPr>
                      <w:color w:val="000000"/>
                      <w:lang w:eastAsia="lt-LT"/>
                    </w:rPr>
                    <w:t xml:space="preserve">. Į Lietuvos Respublikos ir Užsienio valstybių kredito įstaigų priešlaikinio grąžinimo galimybės neturinčius (neatšaukiamus) terminuotuosius indėlius galima investuoti, jei kredito įstaiga, kurioje laikomas terminuotasis indėlis, ir terminuotojo indėlio trukmė atitinka Nuostatų 15 punkte nurodytus </w:t>
                  </w:r>
                  <w:r>
                    <w:rPr>
                      <w:lang w:eastAsia="lt-LT"/>
                    </w:rPr>
                    <w:t>investavimo į terminuotuosius indėlius</w:t>
                  </w:r>
                  <w:r>
                    <w:rPr>
                      <w:color w:val="000000"/>
                      <w:lang w:eastAsia="lt-LT"/>
                    </w:rPr>
                    <w:t xml:space="preserve"> reikalavimus, tačiau, skaičiuojant Nuostatų 15 ir 17–19 punktuose nustatytus investavimo į terminuotuosius indėlius limitus, laikoma, kad priešlaikinio grąžinimo galimybės neturinčio (neatšaukiamo) terminuotojo indėlio suma yra dvigubai didesnė.</w:t>
                  </w:r>
                </w:p>
              </w:sdtContent>
            </w:sdt>
            <w:sdt>
              <w:sdtPr>
                <w:alias w:val="21 p."/>
                <w:tag w:val="part_6dae42aaa7fa4c82ba81dace45afadff"/>
                <w:lock w:val="sdtLocked"/>
                <w:richText/>
              </w:sdtPr>
              <w:sdtContent>
                <w:p>
                  <w:pPr>
                    <w:widowControl w:val="0"/>
                    <w:ind w:firstLine="709"/>
                    <w:jc w:val="both"/>
                    <w:rPr>
                      <w:rFonts w:eastAsia="Calibri"/>
                      <w:szCs w:val="24"/>
                      <w:lang w:eastAsia="lt-LT"/>
                    </w:rPr>
                  </w:pPr>
                  <w:sdt>
                    <w:sdtPr>
                      <w:alias w:val="Numeris"/>
                      <w:tag w:val="nr_6dae42aaa7fa4c82ba81dace45afadff"/>
                      <w:lock w:val="sdtLocked"/>
                      <w:richText/>
                    </w:sdtPr>
                    <w:sdtContent>
                      <w:r>
                        <w:rPr>
                          <w:rFonts w:eastAsia="Calibri"/>
                          <w:szCs w:val="24"/>
                          <w:lang w:eastAsia="lt-LT"/>
                        </w:rPr>
                        <w:t>21</w:t>
                      </w:r>
                    </w:sdtContent>
                  </w:sdt>
                  <w:r>
                    <w:rPr>
                      <w:rFonts w:eastAsia="Calibri"/>
                      <w:szCs w:val="24"/>
                      <w:lang w:eastAsia="lt-LT"/>
                    </w:rPr>
                    <w:t>. Užsienio valstybės centrinio banko kredito reitingas prilyginamas valstybės, kurioje jis yra, kredito reitingui.</w:t>
                  </w:r>
                </w:p>
              </w:sdtContent>
            </w:sdt>
            <w:sdt>
              <w:sdtPr>
                <w:alias w:val="22 p."/>
                <w:tag w:val="part_8e7e1f98f97a4a2c9f2075ae751197b7"/>
                <w:lock w:val="sdtLocked"/>
                <w:richText/>
              </w:sdtPr>
              <w:sdtContent>
                <w:p>
                  <w:pPr>
                    <w:widowControl w:val="0"/>
                    <w:ind w:firstLine="709"/>
                    <w:jc w:val="both"/>
                    <w:rPr>
                      <w:rFonts w:eastAsia="Calibri"/>
                      <w:szCs w:val="24"/>
                      <w:lang w:eastAsia="lt-LT"/>
                    </w:rPr>
                  </w:pPr>
                  <w:sdt>
                    <w:sdtPr>
                      <w:alias w:val="Numeris"/>
                      <w:tag w:val="nr_8e7e1f98f97a4a2c9f2075ae751197b7"/>
                      <w:lock w:val="sdtLocked"/>
                      <w:richText/>
                    </w:sdtPr>
                    <w:sdtContent>
                      <w:r>
                        <w:rPr>
                          <w:rFonts w:eastAsia="Calibri"/>
                          <w:szCs w:val="24"/>
                          <w:lang w:eastAsia="lt-LT"/>
                        </w:rPr>
                        <w:t>22</w:t>
                      </w:r>
                    </w:sdtContent>
                  </w:sdt>
                  <w:r>
                    <w:rPr>
                      <w:rFonts w:eastAsia="Calibri"/>
                      <w:szCs w:val="24"/>
                      <w:lang w:eastAsia="lt-LT"/>
                    </w:rPr>
                    <w:t xml:space="preserve">. Į visų vienos valstybės subjektų finansines priemones galima investuoti ne daugiau kaip 20 procentų Rezervo fondo lėšų. Rezervo fondo lėšos, esančios sąskaitoje Lietuvos banke, Lietuvos Respublikos subjektams į limitą neįskaičiuojamos. </w:t>
                  </w:r>
                </w:p>
              </w:sdtContent>
            </w:sdt>
            <w:sdt>
              <w:sdtPr>
                <w:alias w:val="23 p."/>
                <w:tag w:val="part_d31bb4e38a7042b0b36241454eb50daf"/>
                <w:lock w:val="sdtLocked"/>
                <w:richText/>
              </w:sdtPr>
              <w:sdtContent>
                <w:p>
                  <w:pPr>
                    <w:widowControl w:val="0"/>
                    <w:ind w:firstLine="709"/>
                    <w:jc w:val="both"/>
                    <w:rPr>
                      <w:rFonts w:eastAsia="Calibri"/>
                      <w:szCs w:val="24"/>
                      <w:lang w:eastAsia="lt-LT"/>
                    </w:rPr>
                  </w:pPr>
                  <w:sdt>
                    <w:sdtPr>
                      <w:alias w:val="Numeris"/>
                      <w:tag w:val="nr_d31bb4e38a7042b0b36241454eb50daf"/>
                      <w:lock w:val="sdtLocked"/>
                      <w:richText/>
                    </w:sdtPr>
                    <w:sdtContent>
                      <w:r>
                        <w:rPr>
                          <w:rFonts w:eastAsia="Calibri"/>
                          <w:szCs w:val="24"/>
                          <w:lang w:eastAsia="lt-LT"/>
                        </w:rPr>
                        <w:t>23</w:t>
                      </w:r>
                    </w:sdtContent>
                  </w:sdt>
                  <w:r>
                    <w:rPr>
                      <w:rFonts w:eastAsia="Calibri"/>
                      <w:szCs w:val="24"/>
                      <w:lang w:eastAsia="lt-LT"/>
                    </w:rPr>
                    <w:t>. Rezervo fondo lėšas investuoja Lietuvos Respublikos finansų ministerija, užtikrindama:</w:t>
                  </w:r>
                </w:p>
                <w:sdt>
                  <w:sdtPr>
                    <w:alias w:val="23.1 pp."/>
                    <w:tag w:val="part_40d376c10e8e434ab90691f1cc914cfa"/>
                    <w:lock w:val="sdtLocked"/>
                    <w:richText/>
                  </w:sdtPr>
                  <w:sdtContent>
                    <w:p>
                      <w:pPr>
                        <w:widowControl w:val="0"/>
                        <w:ind w:firstLine="709"/>
                        <w:jc w:val="both"/>
                        <w:rPr>
                          <w:rFonts w:eastAsia="Calibri"/>
                          <w:szCs w:val="24"/>
                          <w:lang w:eastAsia="lt-LT"/>
                        </w:rPr>
                      </w:pPr>
                      <w:sdt>
                        <w:sdtPr>
                          <w:alias w:val="Numeris"/>
                          <w:tag w:val="nr_40d376c10e8e434ab90691f1cc914cfa"/>
                          <w:lock w:val="sdtLocked"/>
                          <w:richText/>
                        </w:sdtPr>
                        <w:sdtContent>
                          <w:r>
                            <w:rPr>
                              <w:rFonts w:eastAsia="Calibri"/>
                              <w:szCs w:val="24"/>
                              <w:lang w:eastAsia="lt-LT"/>
                            </w:rPr>
                            <w:t>23.1</w:t>
                          </w:r>
                        </w:sdtContent>
                      </w:sdt>
                      <w:r>
                        <w:rPr>
                          <w:rFonts w:eastAsia="Calibri"/>
                          <w:szCs w:val="24"/>
                          <w:lang w:eastAsia="lt-LT"/>
                        </w:rPr>
                        <w:t>. kad investuojamų Rezervo fondo lėšų grynasis pajamingumas (pajamingumas, įvertinus su investavimo veikla susijusias sąnaudas) būtų ne mažesnis nei investavimo metu sąskaitoje Lietuvos banke esantiems lėšų likučiams taikoma palūkanų norma;</w:t>
                      </w:r>
                    </w:p>
                  </w:sdtContent>
                </w:sdt>
                <w:sdt>
                  <w:sdtPr>
                    <w:alias w:val="23.2 pp."/>
                    <w:tag w:val="part_4b5ad733b28b4a5499dac3f29fdfccc8"/>
                    <w:lock w:val="sdtLocked"/>
                    <w:richText/>
                  </w:sdtPr>
                  <w:sdtContent>
                    <w:p>
                      <w:pPr>
                        <w:widowControl w:val="0"/>
                        <w:ind w:firstLine="709"/>
                        <w:jc w:val="both"/>
                        <w:rPr>
                          <w:rFonts w:eastAsia="Calibri"/>
                          <w:szCs w:val="24"/>
                          <w:lang w:eastAsia="lt-LT"/>
                        </w:rPr>
                      </w:pPr>
                      <w:sdt>
                        <w:sdtPr>
                          <w:alias w:val="Numeris"/>
                          <w:tag w:val="nr_4b5ad733b28b4a5499dac3f29fdfccc8"/>
                          <w:lock w:val="sdtLocked"/>
                          <w:richText/>
                        </w:sdtPr>
                        <w:sdtContent>
                          <w:r>
                            <w:rPr>
                              <w:rFonts w:eastAsia="Calibri"/>
                              <w:szCs w:val="24"/>
                              <w:lang w:eastAsia="lt-LT"/>
                            </w:rPr>
                            <w:t>23.2</w:t>
                          </w:r>
                        </w:sdtContent>
                      </w:sdt>
                      <w:r>
                        <w:rPr>
                          <w:rFonts w:eastAsia="Calibri"/>
                          <w:szCs w:val="24"/>
                          <w:lang w:eastAsia="lt-LT"/>
                        </w:rPr>
                        <w:t>. Rezervo fondo lėšų likvidumo reikalavimus, nustatytus Nuostatų 31 punkte;</w:t>
                      </w:r>
                    </w:p>
                  </w:sdtContent>
                </w:sdt>
                <w:sdt>
                  <w:sdtPr>
                    <w:alias w:val="23.3 pp."/>
                    <w:tag w:val="part_88df55c213aa4fc2990456e529f1e1fa"/>
                    <w:lock w:val="sdtLocked"/>
                    <w:richText/>
                  </w:sdtPr>
                  <w:sdtContent>
                    <w:p>
                      <w:pPr>
                        <w:widowControl w:val="0"/>
                        <w:ind w:firstLine="709"/>
                        <w:jc w:val="both"/>
                      </w:pPr>
                      <w:sdt>
                        <w:sdtPr>
                          <w:alias w:val="Numeris"/>
                          <w:tag w:val="nr_88df55c213aa4fc2990456e529f1e1fa"/>
                          <w:lock w:val="sdtLocked"/>
                          <w:richText/>
                        </w:sdtPr>
                        <w:sdtContent>
                          <w:r>
                            <w:rPr>
                              <w:rFonts w:eastAsia="Calibri"/>
                              <w:szCs w:val="24"/>
                              <w:lang w:eastAsia="lt-LT"/>
                            </w:rPr>
                            <w:t>23.3</w:t>
                          </w:r>
                        </w:sdtContent>
                      </w:sdt>
                      <w:r>
                        <w:rPr>
                          <w:rFonts w:eastAsia="Calibri"/>
                          <w:szCs w:val="24"/>
                          <w:lang w:eastAsia="lt-LT"/>
                        </w:rPr>
                        <w:t xml:space="preserve">. bendrą investuotų Rezervo fondo lėšų finansinę trukmę (angl. </w:t>
                      </w:r>
                      <w:r>
                        <w:rPr>
                          <w:rFonts w:eastAsia="Calibri"/>
                          <w:i/>
                          <w:iCs/>
                          <w:szCs w:val="24"/>
                          <w:lang w:eastAsia="lt-LT"/>
                        </w:rPr>
                        <w:t>duration</w:t>
                      </w:r>
                      <w:r>
                        <w:rPr>
                          <w:rFonts w:eastAsia="Calibri"/>
                          <w:szCs w:val="24"/>
                          <w:lang w:eastAsia="lt-LT"/>
                        </w:rPr>
                        <w:t>) iki 3 metų, o ilgiausią skolos vertybinio popieriaus, į kurį investuotos Rezervo fondo lėšos, terminą iki išpirkimo – 7 metus;</w:t>
                      </w:r>
                    </w:p>
                  </w:sdtContent>
                </w:sdt>
                <w:sdt>
                  <w:sdtPr>
                    <w:alias w:val="23.4 pp."/>
                    <w:tag w:val="part_88727a9f050e4fb9b3409f066ac9f0ee"/>
                    <w:lock w:val="sdtLocked"/>
                    <w:richText/>
                  </w:sdtPr>
                  <w:sdtContent>
                    <w:p>
                      <w:pPr>
                        <w:widowControl w:val="0"/>
                        <w:ind w:firstLine="709"/>
                        <w:jc w:val="both"/>
                        <w:rPr>
                          <w:rFonts w:eastAsia="Calibri"/>
                          <w:szCs w:val="24"/>
                          <w:lang w:eastAsia="lt-LT"/>
                        </w:rPr>
                      </w:pPr>
                      <w:sdt>
                        <w:sdtPr>
                          <w:alias w:val="Numeris"/>
                          <w:tag w:val="nr_88727a9f050e4fb9b3409f066ac9f0ee"/>
                          <w:lock w:val="sdtLocked"/>
                          <w:richText/>
                        </w:sdtPr>
                        <w:sdtContent>
                          <w:r>
                            <w:rPr>
                              <w:rFonts w:eastAsia="Calibri"/>
                              <w:szCs w:val="24"/>
                              <w:lang w:eastAsia="lt-LT"/>
                            </w:rPr>
                            <w:t>23.4</w:t>
                          </w:r>
                        </w:sdtContent>
                      </w:sdt>
                      <w:r>
                        <w:rPr>
                          <w:rFonts w:eastAsia="Calibri"/>
                          <w:szCs w:val="24"/>
                          <w:lang w:eastAsia="lt-LT"/>
                        </w:rPr>
                        <w:t>. kad, atsižvelgiant į Nuostatų 31 punkte nustatytus Rezervo fondo lėšų likvidumo reikalavimus, ne mažiau kaip 15 procentų Rezervo fondo lėšų turi būti investuota į terminuotuosius indėlius, Nuostatų 6.1–6.2 papunkčiuose nurodytus skolos vertybinius popierius ir (ar) pinigų rinkos priemones, kurių terminas iki išpirkimo neviršija vieno mėnesio ir (ar) kurios laikomos sąskaitoje Lietuvos banke. Į šią investuojamų Rezervo fondo lėšų dalį taip pat įskaičiuojamos per artimiausią kalendorinį mėnesį mokamos skolos vertybinių popierių atkarpos. Iki 25 procentų Rezervo fondo lėšų gali būti investuota į Nuostatų 6.1–6.2 papunkčiuose nurodytus skolos vertybinius popierius, kurių terminas iki išpirkimo yra 4–7 metai.</w:t>
                      </w:r>
                    </w:p>
                  </w:sdtContent>
                </w:sdt>
              </w:sdtContent>
            </w:sdt>
            <w:sdt>
              <w:sdtPr>
                <w:alias w:val="24 p."/>
                <w:tag w:val="part_6b394a0109c34fd5b64238718b9a88b6"/>
                <w:lock w:val="sdtLocked"/>
                <w:richText/>
              </w:sdtPr>
              <w:sdtContent>
                <w:p>
                  <w:pPr>
                    <w:widowControl w:val="0"/>
                    <w:ind w:firstLine="709"/>
                    <w:jc w:val="both"/>
                    <w:rPr>
                      <w:rFonts w:eastAsia="Calibri"/>
                      <w:szCs w:val="24"/>
                      <w:lang w:eastAsia="lt-LT"/>
                    </w:rPr>
                  </w:pPr>
                  <w:sdt>
                    <w:sdtPr>
                      <w:alias w:val="Numeris"/>
                      <w:tag w:val="nr_6b394a0109c34fd5b64238718b9a88b6"/>
                      <w:lock w:val="sdtLocked"/>
                      <w:richText/>
                    </w:sdtPr>
                    <w:sdtContent>
                      <w:r>
                        <w:rPr>
                          <w:rFonts w:eastAsia="Calibri"/>
                          <w:szCs w:val="24"/>
                          <w:lang w:eastAsia="lt-LT"/>
                        </w:rPr>
                        <w:t>24</w:t>
                      </w:r>
                    </w:sdtContent>
                  </w:sdt>
                  <w:r>
                    <w:rPr>
                      <w:rFonts w:eastAsia="Calibri"/>
                      <w:szCs w:val="24"/>
                      <w:lang w:eastAsia="lt-LT"/>
                    </w:rPr>
                    <w:t xml:space="preserve">. Investuotoms ir Lietuvos banke laikomoms Rezervo fondo lėšoms taikomi visi Nuostatuose nurodyti apribojimai. </w:t>
                  </w:r>
                </w:p>
              </w:sdtContent>
            </w:sdt>
            <w:sdt>
              <w:sdtPr>
                <w:alias w:val="25 p."/>
                <w:tag w:val="part_08549abda3b8407eb3a6828984635193"/>
                <w:lock w:val="sdtLocked"/>
                <w:richText/>
              </w:sdtPr>
              <w:sdtContent>
                <w:p>
                  <w:pPr>
                    <w:widowControl w:val="0"/>
                    <w:ind w:firstLine="709"/>
                    <w:jc w:val="both"/>
                  </w:pPr>
                  <w:sdt>
                    <w:sdtPr>
                      <w:alias w:val="Numeris"/>
                      <w:tag w:val="nr_08549abda3b8407eb3a6828984635193"/>
                      <w:lock w:val="sdtLocked"/>
                      <w:richText/>
                    </w:sdtPr>
                    <w:sdtContent>
                      <w:r>
                        <w:rPr>
                          <w:rFonts w:eastAsia="Calibri"/>
                          <w:szCs w:val="24"/>
                          <w:lang w:eastAsia="lt-LT"/>
                        </w:rPr>
                        <w:t>25</w:t>
                      </w:r>
                    </w:sdtContent>
                  </w:sdt>
                  <w:r>
                    <w:rPr>
                      <w:rFonts w:eastAsia="Calibri"/>
                      <w:szCs w:val="24"/>
                      <w:lang w:eastAsia="lt-LT"/>
                    </w:rPr>
                    <w:t>.</w:t>
                  </w:r>
                  <w:r>
                    <w:rPr>
                      <w:lang w:eastAsia="lt-LT"/>
                    </w:rPr>
                    <w:t xml:space="preserve"> VSDF valdyba, apskaičiavusi į Rezervo fondą pervestinų lėšų dydį Nuostatų </w:t>
                    <w:br/>
                    <w:t>5 punkte nustatyta tvarka, apie tai per 10 darbo dienų raštu informuoja Finansų ministeriją, nurodydama į Rezervo fondą pervestinų lėšų sumą ir numatomą jų pervedimo datą. Pervedus lėšas į Rezervo fondo sąskaitą, Finansų ministerija jas investuoja per protingą laikotarpį, kuris pirmaisiais Rezervo fondo lėšų investavimo metais negali viršyti 12 mėnesių, o vėlesniais metais – 6 mėnesių. Jei nėra tinkamų investavimo alternatyvų, neinvestuotos Rezervo fondo lėšos gali būti laikomos Lietuvos banko sąskaitoje ilgesniais nei šiame punkte nurodyti terminais.</w:t>
                  </w:r>
                </w:p>
              </w:sdtContent>
            </w:sdt>
            <w:sdt>
              <w:sdtPr>
                <w:alias w:val="26 p."/>
                <w:tag w:val="part_8d9484c9b27d44c8a9e001aadb832fec"/>
                <w:lock w:val="sdtLocked"/>
                <w:richText/>
              </w:sdtPr>
              <w:sdtContent>
                <w:p>
                  <w:pPr>
                    <w:widowControl w:val="0"/>
                    <w:ind w:firstLine="709"/>
                    <w:jc w:val="both"/>
                    <w:rPr>
                      <w:rFonts w:eastAsia="Calibri"/>
                      <w:lang w:eastAsia="lt-LT"/>
                    </w:rPr>
                  </w:pPr>
                  <w:sdt>
                    <w:sdtPr>
                      <w:alias w:val="Numeris"/>
                      <w:tag w:val="nr_8d9484c9b27d44c8a9e001aadb832fec"/>
                      <w:lock w:val="sdtLocked"/>
                      <w:richText/>
                    </w:sdtPr>
                    <w:sdtContent>
                      <w:r>
                        <w:rPr>
                          <w:rFonts w:eastAsia="Calibri"/>
                          <w:lang w:eastAsia="lt-LT"/>
                        </w:rPr>
                        <w:t>26</w:t>
                      </w:r>
                    </w:sdtContent>
                  </w:sdt>
                  <w:r>
                    <w:rPr>
                      <w:rFonts w:eastAsia="Calibri"/>
                      <w:lang w:eastAsia="lt-LT"/>
                    </w:rPr>
                    <w:t xml:space="preserve">. Siekiant efektyviai realizuoti Rezervo fondo investicijas ir Nuostatų 31 punkte nustatyta tvarka grąžinti lėšas, 6 mėnesius nuo Nuostatų 31 punkte nurodytos datos, kai VSDF valdyba raštu informuoja Finansų ministeriją apie grąžintinų Rezervo fondo lėšų sumas ir jų grąžinimo terminus, likusios Rezervo fondo investicijos gali neatitikti Nuostatų 11.1, 12.1, 14.1 ir 23.3 papunkčiuose bei 13, 17–19, 22 punktuose nustatytų Rezervo fondo lėšų investavimo reikalavimų. </w:t>
                  </w:r>
                </w:p>
              </w:sdtContent>
            </w:sdt>
            <w:sdt>
              <w:sdtPr>
                <w:alias w:val="27 p."/>
                <w:tag w:val="part_11891194298b4997ba7196779065fed4"/>
                <w:lock w:val="sdtLocked"/>
                <w:richText/>
              </w:sdtPr>
              <w:sdtContent>
                <w:p>
                  <w:pPr>
                    <w:widowControl w:val="0"/>
                    <w:ind w:firstLine="709"/>
                    <w:jc w:val="both"/>
                    <w:rPr>
                      <w:rFonts w:eastAsia="Calibri"/>
                      <w:szCs w:val="24"/>
                      <w:lang w:eastAsia="lt-LT"/>
                    </w:rPr>
                  </w:pPr>
                  <w:sdt>
                    <w:sdtPr>
                      <w:alias w:val="Numeris"/>
                      <w:tag w:val="nr_11891194298b4997ba7196779065fed4"/>
                      <w:lock w:val="sdtLocked"/>
                      <w:richText/>
                    </w:sdtPr>
                    <w:sdtContent>
                      <w:r>
                        <w:rPr>
                          <w:rFonts w:eastAsia="Calibri"/>
                          <w:szCs w:val="24"/>
                          <w:lang w:eastAsia="lt-LT"/>
                        </w:rPr>
                        <w:t>27</w:t>
                      </w:r>
                    </w:sdtContent>
                  </w:sdt>
                  <w:r>
                    <w:rPr>
                      <w:rFonts w:eastAsia="Calibri"/>
                      <w:szCs w:val="24"/>
                      <w:lang w:eastAsia="lt-LT"/>
                    </w:rPr>
                    <w:t>. Pasibaigus kalendoriniam mėnesiui, iki kito kalendorinio mėnesio 15 dienos, Finansų ministerija raštu pateikia VSDF valdybai Rezervo fondo lėšų investavimo mėnesinę ataskaitą pagal tarpusavyje suderintą ataskaitos formą.</w:t>
                  </w:r>
                </w:p>
                <w:p>
                  <w:pPr>
                    <w:widowControl w:val="0"/>
                    <w:ind w:firstLine="567"/>
                    <w:jc w:val="center"/>
                    <w:rPr>
                      <w:rFonts w:eastAsia="Calibri"/>
                      <w:szCs w:val="24"/>
                      <w:lang w:eastAsia="lt-LT"/>
                    </w:rPr>
                  </w:pPr>
                </w:p>
              </w:sdtContent>
            </w:sdt>
          </w:sdtContent>
        </w:sdt>
        <w:sdt>
          <w:sdtPr>
            <w:alias w:val="skyrius"/>
            <w:tag w:val="part_e18a7b03b1774fc7b231bed2fa47b7d9"/>
            <w:lock w:val="sdtLocked"/>
            <w:richText/>
          </w:sdtPr>
          <w:sdtContent>
            <w:p>
              <w:pPr>
                <w:keepNext/>
                <w:widowControl w:val="0"/>
                <w:jc w:val="center"/>
                <w:rPr>
                  <w:rFonts w:eastAsia="Calibri"/>
                  <w:b/>
                  <w:szCs w:val="24"/>
                  <w:lang w:eastAsia="lt-LT"/>
                </w:rPr>
              </w:pPr>
              <w:sdt>
                <w:sdtPr>
                  <w:alias w:val="Numeris"/>
                  <w:tag w:val="nr_e18a7b03b1774fc7b231bed2fa47b7d9"/>
                  <w:lock w:val="sdtLocked"/>
                  <w:richText/>
                </w:sdtPr>
                <w:sdtContent>
                  <w:r>
                    <w:rPr>
                      <w:rFonts w:eastAsia="Calibri"/>
                      <w:b/>
                      <w:szCs w:val="24"/>
                      <w:lang w:eastAsia="lt-LT"/>
                    </w:rPr>
                    <w:t>IV</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e18a7b03b1774fc7b231bed2fa47b7d9"/>
                  <w:lock w:val="sdtLocked"/>
                  <w:richText/>
                </w:sdtPr>
                <w:sdtContent>
                  <w:r>
                    <w:rPr>
                      <w:rFonts w:eastAsia="Calibri"/>
                      <w:b/>
                      <w:szCs w:val="24"/>
                      <w:lang w:eastAsia="lt-LT"/>
                    </w:rPr>
                    <w:t>REZERVO FONDO DYDIS</w:t>
                  </w:r>
                </w:sdtContent>
              </w:sdt>
            </w:p>
            <w:p>
              <w:pPr>
                <w:keepNext/>
                <w:widowControl w:val="0"/>
                <w:jc w:val="center"/>
                <w:rPr>
                  <w:rFonts w:eastAsia="Calibri"/>
                  <w:b/>
                  <w:szCs w:val="24"/>
                  <w:lang w:eastAsia="lt-LT"/>
                </w:rPr>
              </w:pPr>
            </w:p>
            <w:sdt>
              <w:sdtPr>
                <w:alias w:val="28 p."/>
                <w:tag w:val="part_8ac30a2f083f4ca1852e47b579af5639"/>
                <w:lock w:val="sdtLocked"/>
                <w:richText/>
              </w:sdtPr>
              <w:sdtContent>
                <w:p>
                  <w:pPr>
                    <w:widowControl w:val="0"/>
                    <w:ind w:firstLine="709"/>
                    <w:jc w:val="both"/>
                  </w:pPr>
                  <w:sdt>
                    <w:sdtPr>
                      <w:alias w:val="Numeris"/>
                      <w:tag w:val="nr_8ac30a2f083f4ca1852e47b579af5639"/>
                      <w:lock w:val="sdtLocked"/>
                      <w:richText/>
                    </w:sdtPr>
                    <w:sdtContent>
                      <w:r>
                        <w:rPr>
                          <w:rFonts w:eastAsia="Calibri"/>
                          <w:lang w:eastAsia="lt-LT"/>
                        </w:rPr>
                        <w:t>28</w:t>
                      </w:r>
                    </w:sdtContent>
                  </w:sdt>
                  <w:r>
                    <w:rPr>
                      <w:rFonts w:eastAsia="Calibri"/>
                      <w:lang w:eastAsia="lt-LT"/>
                    </w:rPr>
                    <w:t>. Rezervo fondo dydis lygus paskutinių praėjusių</w:t>
                  </w:r>
                  <w:r>
                    <w:rPr>
                      <w:lang w:eastAsia="lt-LT"/>
                    </w:rPr>
                    <w:t xml:space="preserve"> </w:t>
                  </w:r>
                  <w:r>
                    <w:rPr>
                      <w:rFonts w:eastAsia="Calibri"/>
                      <w:lang w:eastAsia="lt-LT"/>
                    </w:rPr>
                    <w:t>kalendorinių metų VSDF įprastinės, investicinės veiklos bei įsipareigojimų pagal finansinės nuomos (lizingo) sutartis metinei išlaidų sumai.</w:t>
                  </w:r>
                </w:p>
                <w:p>
                  <w:pPr>
                    <w:widowControl w:val="0"/>
                    <w:rPr>
                      <w:lang w:eastAsia="lt-LT"/>
                    </w:rPr>
                  </w:pPr>
                </w:p>
              </w:sdtContent>
            </w:sdt>
          </w:sdtContent>
        </w:sdt>
        <w:sdt>
          <w:sdtPr>
            <w:alias w:val="skyrius"/>
            <w:tag w:val="part_1190328a6c4b484caf1ad289fdb8eb8c"/>
            <w:lock w:val="sdtLocked"/>
            <w:richText/>
          </w:sdtPr>
          <w:sdtContent>
            <w:p>
              <w:pPr>
                <w:widowControl w:val="0"/>
                <w:jc w:val="center"/>
                <w:rPr>
                  <w:rFonts w:eastAsia="Calibri"/>
                  <w:b/>
                  <w:szCs w:val="24"/>
                  <w:lang w:eastAsia="lt-LT"/>
                </w:rPr>
              </w:pPr>
              <w:sdt>
                <w:sdtPr>
                  <w:alias w:val="Numeris"/>
                  <w:tag w:val="nr_1190328a6c4b484caf1ad289fdb8eb8c"/>
                  <w:lock w:val="sdtLocked"/>
                  <w:richText/>
                </w:sdtPr>
                <w:sdtContent>
                  <w:r>
                    <w:rPr>
                      <w:rFonts w:eastAsia="Calibri"/>
                      <w:b/>
                      <w:szCs w:val="24"/>
                      <w:lang w:eastAsia="lt-LT"/>
                    </w:rPr>
                    <w:t>V</w:t>
                  </w:r>
                </w:sdtContent>
              </w:sdt>
              <w:r>
                <w:rPr>
                  <w:rFonts w:eastAsia="Calibri"/>
                  <w:b/>
                  <w:szCs w:val="24"/>
                  <w:lang w:eastAsia="lt-LT"/>
                </w:rPr>
                <w:t xml:space="preserve"> SKYRIUS</w:t>
              </w:r>
            </w:p>
            <w:p>
              <w:pPr>
                <w:widowControl w:val="0"/>
                <w:jc w:val="center"/>
              </w:pPr>
              <w:sdt>
                <w:sdtPr>
                  <w:alias w:val="Pavadinimas"/>
                  <w:tag w:val="title_1190328a6c4b484caf1ad289fdb8eb8c"/>
                  <w:lock w:val="sdtLocked"/>
                  <w:richText/>
                </w:sdtPr>
                <w:sdtContent>
                  <w:r>
                    <w:rPr>
                      <w:rFonts w:eastAsia="Calibri"/>
                      <w:b/>
                      <w:szCs w:val="24"/>
                      <w:lang w:eastAsia="lt-LT"/>
                    </w:rPr>
                    <w:t>REZERVO FONDO LĖŠŲ PANAUDOJIMAS</w:t>
                  </w:r>
                </w:sdtContent>
              </w:sdt>
            </w:p>
            <w:p>
              <w:pPr>
                <w:widowControl w:val="0"/>
                <w:jc w:val="center"/>
                <w:rPr>
                  <w:rFonts w:eastAsia="Calibri"/>
                  <w:szCs w:val="24"/>
                  <w:lang w:eastAsia="lt-LT"/>
                </w:rPr>
              </w:pPr>
            </w:p>
            <w:sdt>
              <w:sdtPr>
                <w:alias w:val="29 p."/>
                <w:tag w:val="part_2edd4440a9744ba9a3ef86f2410cab76"/>
                <w:lock w:val="sdtLocked"/>
                <w:richText/>
              </w:sdtPr>
              <w:sdtContent>
                <w:p>
                  <w:pPr>
                    <w:widowControl w:val="0"/>
                    <w:ind w:firstLine="709"/>
                    <w:jc w:val="both"/>
                    <w:rPr>
                      <w:rFonts w:eastAsia="Calibri"/>
                      <w:lang w:eastAsia="lt-LT"/>
                    </w:rPr>
                  </w:pPr>
                  <w:sdt>
                    <w:sdtPr>
                      <w:alias w:val="Numeris"/>
                      <w:tag w:val="nr_2edd4440a9744ba9a3ef86f2410cab76"/>
                      <w:lock w:val="sdtLocked"/>
                      <w:richText/>
                    </w:sdtPr>
                    <w:sdtContent>
                      <w:r>
                        <w:rPr>
                          <w:rFonts w:eastAsia="Calibri"/>
                          <w:lang w:eastAsia="lt-LT"/>
                        </w:rPr>
                        <w:t>29</w:t>
                      </w:r>
                    </w:sdtContent>
                  </w:sdt>
                  <w:r>
                    <w:rPr>
                      <w:rFonts w:eastAsia="Calibri"/>
                      <w:lang w:eastAsia="lt-LT"/>
                    </w:rPr>
                    <w:t>. Rezervo fondo lėšos gali būti naudojamos:</w:t>
                  </w:r>
                </w:p>
                <w:sdt>
                  <w:sdtPr>
                    <w:alias w:val="29.1 pp."/>
                    <w:tag w:val="part_4217e798ec02482ba81ac15e45571b06"/>
                    <w:lock w:val="sdtLocked"/>
                    <w:richText/>
                  </w:sdtPr>
                  <w:sdtContent>
                    <w:p>
                      <w:pPr>
                        <w:widowControl w:val="0"/>
                        <w:ind w:firstLine="709"/>
                        <w:jc w:val="both"/>
                        <w:rPr>
                          <w:rFonts w:eastAsia="Calibri"/>
                          <w:lang w:eastAsia="lt-LT"/>
                        </w:rPr>
                      </w:pPr>
                      <w:sdt>
                        <w:sdtPr>
                          <w:alias w:val="Numeris"/>
                          <w:tag w:val="nr_4217e798ec02482ba81ac15e45571b06"/>
                          <w:lock w:val="sdtLocked"/>
                          <w:richText/>
                        </w:sdtPr>
                        <w:sdtContent>
                          <w:r>
                            <w:rPr>
                              <w:rFonts w:eastAsia="Calibri"/>
                              <w:lang w:eastAsia="lt-LT"/>
                            </w:rPr>
                            <w:t>29.1</w:t>
                          </w:r>
                        </w:sdtContent>
                      </w:sdt>
                      <w:r>
                        <w:rPr>
                          <w:rFonts w:eastAsia="Calibri"/>
                          <w:lang w:eastAsia="lt-LT"/>
                        </w:rPr>
                        <w:t>. VSDF biudžeto išlaidoms pensijų, ligos, motinystės, nedarbo, nelaimingų atsitikimų darbe ir profesinių ligų socialinio draudimo išmokoms finansuoti, vadovaujantis Lietuvos Respublikos fiskalinės sutarties įgyvendinimo konstituciniu įstatymu, nustačius ir paskelbus išskirtines aplinkybes, kai dėl šių aplinkybių atsiradimo kalendoriniais metais nepakanka VSDF biudžeto atitinkamos valstybinio socialinio draudimo rūšies pajamų. Kai išskirtinės aplinkybės paskelbiamos dėl didelio ekonomikos nuosmukio, Rezervo fondo lėšos gali būti naudojamos išskirtinių aplinkybių atsiradimo kalendoriniais metais ir dar dvejus po jų einančius metus, jeigu vis dar nepakanka atitinkamos valstybinio socialinio draudimo rūšies VSDF biudžeto pajamų. Kitais atvejais Rezervo fondo lėšos gali būti naudojamos tik išskirtinių aplinkybių atsiradimo kalendoriniais metais;</w:t>
                      </w:r>
                    </w:p>
                  </w:sdtContent>
                </w:sdt>
                <w:sdt>
                  <w:sdtPr>
                    <w:alias w:val="29.2 pp."/>
                    <w:tag w:val="part_8c900aa5eb1348d896b4cefc05d014bf"/>
                    <w:lock w:val="sdtLocked"/>
                    <w:richText/>
                  </w:sdtPr>
                  <w:sdtContent>
                    <w:p>
                      <w:pPr>
                        <w:widowControl w:val="0"/>
                        <w:ind w:firstLine="709"/>
                        <w:jc w:val="both"/>
                      </w:pPr>
                      <w:sdt>
                        <w:sdtPr>
                          <w:alias w:val="Numeris"/>
                          <w:tag w:val="nr_8c900aa5eb1348d896b4cefc05d014bf"/>
                          <w:lock w:val="sdtLocked"/>
                          <w:richText/>
                        </w:sdtPr>
                        <w:sdtContent>
                          <w:r>
                            <w:rPr>
                              <w:rFonts w:eastAsia="Calibri"/>
                              <w:lang w:eastAsia="lt-LT"/>
                            </w:rPr>
                            <w:t>29.2</w:t>
                          </w:r>
                        </w:sdtContent>
                      </w:sdt>
                      <w:r>
                        <w:rPr>
                          <w:rFonts w:eastAsia="Calibri"/>
                          <w:lang w:eastAsia="lt-LT"/>
                        </w:rPr>
                        <w:t xml:space="preserve">. su </w:t>
                      </w:r>
                      <w:r>
                        <w:rPr>
                          <w:lang w:eastAsia="lt-LT"/>
                        </w:rPr>
                        <w:t>Rezervo fondo lėšų investavimo veikla susijusioms sąnaudoms dengti</w:t>
                      </w:r>
                      <w:r>
                        <w:rPr>
                          <w:rFonts w:eastAsia="Calibri"/>
                          <w:lang w:eastAsia="lt-LT"/>
                        </w:rPr>
                        <w:t xml:space="preserve"> sutartyse dėl Rezervo fondo lėšų investavimo nustatyta tvarka</w:t>
                      </w:r>
                      <w:r>
                        <w:rPr>
                          <w:lang w:eastAsia="lt-LT"/>
                        </w:rPr>
                        <w:t xml:space="preserve">; </w:t>
                      </w:r>
                    </w:p>
                  </w:sdtContent>
                </w:sdt>
                <w:sdt>
                  <w:sdtPr>
                    <w:alias w:val="29.3 pp."/>
                    <w:tag w:val="part_d2ca84282e31493288860ee511a2a671"/>
                    <w:lock w:val="sdtLocked"/>
                    <w:richText/>
                  </w:sdtPr>
                  <w:sdtContent>
                    <w:p>
                      <w:pPr>
                        <w:widowControl w:val="0"/>
                        <w:ind w:firstLine="709"/>
                        <w:jc w:val="both"/>
                      </w:pPr>
                      <w:sdt>
                        <w:sdtPr>
                          <w:alias w:val="Numeris"/>
                          <w:tag w:val="nr_d2ca84282e31493288860ee511a2a671"/>
                          <w:lock w:val="sdtLocked"/>
                          <w:richText/>
                        </w:sdtPr>
                        <w:sdtContent>
                          <w:r>
                            <w:rPr>
                              <w:lang w:eastAsia="lt-LT"/>
                            </w:rPr>
                            <w:t>29.3</w:t>
                          </w:r>
                        </w:sdtContent>
                      </w:sdt>
                      <w:r>
                        <w:rPr>
                          <w:lang w:eastAsia="lt-LT"/>
                        </w:rPr>
                        <w:t>. neigiamoms palūkanoms už Rezervo fondo lėšų likutį Lietuvos banko ar kredito įstaigos sąskaitoje apmokėti sutartyse dėl Rezervo fondo lėšų laikymo Lietuvos banko ar kredito įstaigos sąskaitoje nustatyta tvarka.</w:t>
                      </w:r>
                    </w:p>
                  </w:sdtContent>
                </w:sdt>
              </w:sdtContent>
            </w:sdt>
            <w:sdt>
              <w:sdtPr>
                <w:alias w:val="30 p."/>
                <w:tag w:val="part_94c8cc7e0c7648f88c9aca7b5b5f0a94"/>
                <w:lock w:val="sdtLocked"/>
                <w:richText/>
              </w:sdtPr>
              <w:sdtContent>
                <w:p>
                  <w:pPr>
                    <w:widowControl w:val="0"/>
                    <w:ind w:firstLine="709"/>
                    <w:jc w:val="both"/>
                    <w:rPr>
                      <w:rFonts w:eastAsia="Calibri"/>
                      <w:lang w:eastAsia="lt-LT"/>
                    </w:rPr>
                  </w:pPr>
                  <w:sdt>
                    <w:sdtPr>
                      <w:alias w:val="Numeris"/>
                      <w:tag w:val="nr_94c8cc7e0c7648f88c9aca7b5b5f0a94"/>
                      <w:lock w:val="sdtLocked"/>
                      <w:richText/>
                    </w:sdtPr>
                    <w:sdtContent>
                      <w:r>
                        <w:rPr>
                          <w:rFonts w:eastAsia="Calibri"/>
                          <w:lang w:eastAsia="lt-LT"/>
                        </w:rPr>
                        <w:t>30</w:t>
                      </w:r>
                    </w:sdtContent>
                  </w:sdt>
                  <w:r>
                    <w:rPr>
                      <w:rFonts w:eastAsia="Calibri"/>
                      <w:lang w:eastAsia="lt-LT"/>
                    </w:rPr>
                    <w:t xml:space="preserve">. Nustačius Nuostatų 29.1 papunktyje nurodytas aplinkybes, VSDF taryba teikia pasiūlymus Lietuvos Respublikos socialinės apsaugos ir darbo ministerijai dėl Rezervo fondo panaudojimo, o Vyriausybė Socialinės apsaugos ir darbo ministerijos teikimu priima nutarimą dėl lėšų iš Rezervo fondo skyrimo. </w:t>
                  </w:r>
                </w:p>
              </w:sdtContent>
            </w:sdt>
            <w:sdt>
              <w:sdtPr>
                <w:alias w:val="31 p."/>
                <w:tag w:val="part_930bd175afbe48bcb1eee7cf9335d03d"/>
                <w:lock w:val="sdtLocked"/>
                <w:richText/>
              </w:sdtPr>
              <w:sdtContent>
                <w:p>
                  <w:pPr>
                    <w:widowControl w:val="0"/>
                    <w:ind w:firstLine="709"/>
                    <w:jc w:val="both"/>
                    <w:rPr>
                      <w:lang w:eastAsia="lt-LT"/>
                    </w:rPr>
                  </w:pPr>
                  <w:sdt>
                    <w:sdtPr>
                      <w:alias w:val="Numeris"/>
                      <w:tag w:val="nr_930bd175afbe48bcb1eee7cf9335d03d"/>
                      <w:lock w:val="sdtLocked"/>
                      <w:richText/>
                    </w:sdtPr>
                    <w:sdtContent>
                      <w:r>
                        <w:rPr>
                          <w:lang w:eastAsia="lt-LT"/>
                        </w:rPr>
                        <w:t>31</w:t>
                      </w:r>
                    </w:sdtContent>
                  </w:sdt>
                  <w:r>
                    <w:rPr>
                      <w:lang w:eastAsia="lt-LT"/>
                    </w:rPr>
                    <w:t>. Nustačius Nuostatų 29.1 papunktyje nurodytas aplinkybes ir Vyriausybei priėmus nutarimą dėl Rezervo fondo lėšų skyrimo, VSDF valdyba ne vėliau kaip prieš vieną mėnesį iki datos, kai jos turi būti pradėtos grąžinti į Rezervo fondą, raštu informuoja Finansų ministeriją apie grąžintinų Rezervo fondo lėšų sumas (ne daugiau kaip po 15 procentų investuotos Rezervo fondo lėšų sumos, buvusios prieš pirmosios į Rezervo fondą grąžintinos lėšų sumos pervedimą, kas mėnesį) ir grąžinimo terminus. Nurodyta informacija gali būti tikslinama atsižvelgus į realų Rezervo fondo lėšų poreikį valstybinio socialinio draudimo išmokas reglamentuojančiuose įstatymuose nurodytoms atitinkamoms valstybinio socialinio draudimo išmokoms finansuoti vėlesniais mėnesiais ir efektyvaus Rezervo fondo lėšų investavimo realizavimo terminą.</w:t>
                  </w:r>
                </w:p>
              </w:sdtContent>
            </w:sdt>
            <w:sdt>
              <w:sdtPr>
                <w:alias w:val="32 p."/>
                <w:tag w:val="part_71627132240b4fd4acef09ec08f62241"/>
                <w:lock w:val="sdtLocked"/>
                <w:richText/>
              </w:sdtPr>
              <w:sdtContent>
                <w:p>
                  <w:pPr>
                    <w:widowControl w:val="0"/>
                    <w:ind w:firstLine="709"/>
                    <w:jc w:val="both"/>
                  </w:pPr>
                  <w:sdt>
                    <w:sdtPr>
                      <w:alias w:val="Numeris"/>
                      <w:tag w:val="nr_71627132240b4fd4acef09ec08f62241"/>
                      <w:lock w:val="sdtLocked"/>
                      <w:richText/>
                    </w:sdtPr>
                    <w:sdtContent>
                      <w:r>
                        <w:rPr>
                          <w:color w:val="000000"/>
                          <w:szCs w:val="24"/>
                          <w:lang w:eastAsia="lt-LT"/>
                        </w:rPr>
                        <w:t>32</w:t>
                      </w:r>
                    </w:sdtContent>
                  </w:sdt>
                  <w:r>
                    <w:rPr>
                      <w:color w:val="000000"/>
                      <w:szCs w:val="24"/>
                      <w:lang w:eastAsia="lt-LT"/>
                    </w:rPr>
                    <w:t>. Jei po išskirtinių aplinkybių atsiradimo kalendorinių metų einančiais pirmais ar antrais metais planuojamos subalansuotos atitinkamos valstybinio socialinio draudimo rūšies VSDF biudžeto pajamos ir išlaidos, kalendorinių metų pabaigoje likusios nepanaudotos Nuostatų 29.1 papunktyje nurodytais tikslais leistos naudoti Rezervo fondo lėšos grąžinamos į Rezervo fondo sąskaitą iki kitų kalendorinių metų balandžio 30 d</w:t>
                  </w:r>
                  <w:r>
                    <w:rPr>
                      <w:rFonts w:eastAsia="Calibri"/>
                      <w:color w:val="000000"/>
                      <w:szCs w:val="24"/>
                      <w:lang w:eastAsia="lt-LT"/>
                    </w:rPr>
                    <w:t xml:space="preserve">. </w:t>
                  </w:r>
                </w:p>
                <w:p>
                  <w:pPr>
                    <w:widowControl w:val="0"/>
                    <w:rPr>
                      <w:lang w:eastAsia="lt-LT"/>
                    </w:rPr>
                  </w:pPr>
                </w:p>
              </w:sdtContent>
            </w:sdt>
          </w:sdtContent>
        </w:sdt>
        <w:sdt>
          <w:sdtPr>
            <w:alias w:val="skyrius"/>
            <w:tag w:val="part_9790249800d5462686831436721dcff1"/>
            <w:lock w:val="sdtLocked"/>
            <w:richText/>
          </w:sdtPr>
          <w:sdtContent>
            <w:p>
              <w:pPr>
                <w:keepNext/>
                <w:widowControl w:val="0"/>
                <w:jc w:val="center"/>
                <w:rPr>
                  <w:rFonts w:eastAsia="Calibri"/>
                  <w:b/>
                  <w:szCs w:val="24"/>
                  <w:lang w:eastAsia="lt-LT"/>
                </w:rPr>
              </w:pPr>
              <w:sdt>
                <w:sdtPr>
                  <w:alias w:val="Numeris"/>
                  <w:tag w:val="nr_9790249800d5462686831436721dcff1"/>
                  <w:lock w:val="sdtLocked"/>
                  <w:richText/>
                </w:sdtPr>
                <w:sdtContent>
                  <w:r>
                    <w:rPr>
                      <w:rFonts w:eastAsia="Calibri"/>
                      <w:b/>
                      <w:szCs w:val="24"/>
                      <w:lang w:eastAsia="lt-LT"/>
                    </w:rPr>
                    <w:t>VI</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9790249800d5462686831436721dcff1"/>
                  <w:lock w:val="sdtLocked"/>
                  <w:richText/>
                </w:sdtPr>
                <w:sdtContent>
                  <w:r>
                    <w:rPr>
                      <w:rFonts w:eastAsia="Calibri"/>
                      <w:b/>
                      <w:szCs w:val="24"/>
                      <w:lang w:eastAsia="lt-LT"/>
                    </w:rPr>
                    <w:t xml:space="preserve">REZERVO FONDO LĖŠŲ AUDITAS IR APSKAITA </w:t>
                  </w:r>
                </w:sdtContent>
              </w:sdt>
            </w:p>
            <w:p>
              <w:pPr>
                <w:widowControl w:val="0"/>
                <w:jc w:val="center"/>
                <w:rPr>
                  <w:rFonts w:eastAsia="Calibri"/>
                  <w:szCs w:val="24"/>
                  <w:lang w:eastAsia="lt-LT"/>
                </w:rPr>
              </w:pPr>
            </w:p>
            <w:sdt>
              <w:sdtPr>
                <w:alias w:val="33 p."/>
                <w:tag w:val="part_8f292ad9189548d4b6b5fa4f2accea4b"/>
                <w:lock w:val="sdtLocked"/>
                <w:richText/>
              </w:sdtPr>
              <w:sdtContent>
                <w:p>
                  <w:pPr>
                    <w:widowControl w:val="0"/>
                    <w:ind w:firstLine="709"/>
                    <w:jc w:val="both"/>
                    <w:rPr>
                      <w:lang w:eastAsia="lt-LT"/>
                    </w:rPr>
                  </w:pPr>
                  <w:sdt>
                    <w:sdtPr>
                      <w:alias w:val="Numeris"/>
                      <w:tag w:val="nr_8f292ad9189548d4b6b5fa4f2accea4b"/>
                      <w:lock w:val="sdtLocked"/>
                      <w:richText/>
                    </w:sdtPr>
                    <w:sdtContent>
                      <w:r>
                        <w:rPr>
                          <w:lang w:eastAsia="lt-LT"/>
                        </w:rPr>
                        <w:t>33</w:t>
                      </w:r>
                    </w:sdtContent>
                  </w:sdt>
                  <w:r>
                    <w:rPr>
                      <w:lang w:eastAsia="lt-LT"/>
                    </w:rPr>
                    <w:t xml:space="preserve">. Rezervo fondo lėšų apskaitą tvarko VSDF valdyba atskirai nuo kitų VSDF lėšų ir įtraukia į VSDF ataskaitas, vadovaudamasi finansų ministro tvirtinamais viešojo sektoriaus apskaitos ir finansinės atskaitomybės standartais ir atsižvelgdama į Finansų ministerijos VSDF valdybai pateiktą Rezervo fondo lėšų apskaitai tvarkyti reikalingą informaciją (informacija apie investicijų tikrąją vertę, skolos vertybinių popierių įsigijimo savikainą, išpirkimo terminus, palūkanų mokėjimo datas, palūkanų normas ir kt.). </w:t>
                  </w:r>
                </w:p>
              </w:sdtContent>
            </w:sdt>
            <w:sdt>
              <w:sdtPr>
                <w:alias w:val="34 p."/>
                <w:tag w:val="part_d06ce1eb615848d2bb7362f1416c6c58"/>
                <w:lock w:val="sdtLocked"/>
                <w:richText/>
              </w:sdtPr>
              <w:sdtContent>
                <w:p>
                  <w:pPr>
                    <w:widowControl w:val="0"/>
                    <w:ind w:firstLine="709"/>
                    <w:jc w:val="both"/>
                  </w:pPr>
                  <w:sdt>
                    <w:sdtPr>
                      <w:alias w:val="Numeris"/>
                      <w:tag w:val="nr_d06ce1eb615848d2bb7362f1416c6c58"/>
                      <w:lock w:val="sdtLocked"/>
                      <w:richText/>
                    </w:sdtPr>
                    <w:sdtContent>
                      <w:r>
                        <w:rPr>
                          <w:lang w:eastAsia="lt-LT"/>
                        </w:rPr>
                        <w:t>34</w:t>
                      </w:r>
                    </w:sdtContent>
                  </w:sdt>
                  <w:r>
                    <w:rPr>
                      <w:lang w:eastAsia="lt-LT"/>
                    </w:rPr>
                    <w:t>. Rezervo fondo metinių ataskaitų rinkinio</w:t>
                  </w:r>
                  <w:r>
                    <w:rPr>
                      <w:rFonts w:ascii="Arial" w:hAnsi="Arial" w:cs="Arial"/>
                      <w:color w:val="000000"/>
                      <w:sz w:val="22"/>
                      <w:szCs w:val="22"/>
                      <w:shd w:val="clear" w:color="auto" w:fill="FFFFFF"/>
                    </w:rPr>
                    <w:t> </w:t>
                  </w:r>
                  <w:r>
                    <w:rPr>
                      <w:lang w:eastAsia="lt-LT"/>
                    </w:rPr>
                    <w:t>valstybinį auditą atlieka Lietuvos Respublikos valstybės kontrolė Lietuvos Respublikos viešojo sektoriaus atskaitomybės įstatyme nustatyta</w:t>
                  </w:r>
                  <w:r>
                    <w:rPr>
                      <w:b/>
                      <w:lang w:eastAsia="lt-LT"/>
                    </w:rPr>
                    <w:t xml:space="preserve"> </w:t>
                  </w:r>
                  <w:r>
                    <w:rPr>
                      <w:lang w:eastAsia="lt-LT"/>
                    </w:rPr>
                    <w:t>tvarka.</w:t>
                  </w:r>
                </w:p>
              </w:sdtContent>
            </w:sdt>
            <w:sdt>
              <w:sdtPr>
                <w:alias w:val="35 p."/>
                <w:tag w:val="part_0c317d78a3c44f2ea8cee54793681918"/>
                <w:lock w:val="sdtLocked"/>
                <w:richText/>
              </w:sdtPr>
              <w:sdtContent>
                <w:p>
                  <w:pPr>
                    <w:widowControl w:val="0"/>
                    <w:ind w:firstLine="709"/>
                    <w:jc w:val="both"/>
                    <w:rPr>
                      <w:lang w:eastAsia="lt-LT"/>
                    </w:rPr>
                  </w:pPr>
                  <w:sdt>
                    <w:sdtPr>
                      <w:alias w:val="Numeris"/>
                      <w:tag w:val="nr_0c317d78a3c44f2ea8cee54793681918"/>
                      <w:lock w:val="sdtLocked"/>
                      <w:richText/>
                    </w:sdtPr>
                    <w:sdtContent>
                      <w:r>
                        <w:rPr>
                          <w:lang w:eastAsia="lt-LT"/>
                        </w:rPr>
                        <w:t>35</w:t>
                      </w:r>
                    </w:sdtContent>
                  </w:sdt>
                  <w:r>
                    <w:rPr>
                      <w:lang w:eastAsia="lt-LT"/>
                    </w:rPr>
                    <w:t>. VSDF finansinių ataskaitų ir biudžeto vykdymo ataskaitų aiškinamuosiuose raštuose pateikiama informacija apie Rezervo fondo lėšų likučius, Rezervo fondo lėšų investavimą, įplaukas į Rezervo fondą ir Rezervo fondo lėšų panaudojimą.</w:t>
                  </w:r>
                </w:p>
                <w:p>
                  <w:pPr>
                    <w:widowControl w:val="0"/>
                    <w:jc w:val="both"/>
                    <w:rPr>
                      <w:color w:val="000000"/>
                      <w:lang w:eastAsia="lt-LT"/>
                    </w:rPr>
                  </w:pPr>
                </w:p>
                <w:p>
                  <w:pPr>
                    <w:widowControl w:val="0"/>
                    <w:rPr>
                      <w:lang w:eastAsia="lt-LT"/>
                    </w:rPr>
                  </w:pPr>
                </w:p>
              </w:sdtContent>
            </w:sdt>
          </w:sdtContent>
        </w:sdt>
        <w:sdt>
          <w:sdtPr>
            <w:alias w:val="pabaiga"/>
            <w:tag w:val="part_fdfc5024d10c44d3807ad7377ad43a2c"/>
            <w:lock w:val="sdtLocked"/>
            <w:richText/>
          </w:sdtPr>
          <w:sdtContent>
            <w:p>
              <w:pPr>
                <w:widowControl w:val="0"/>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516c0275311e88ea9fc46d2024961">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2018-03-07,
paskelbta TAR 2018-03-14, i. k. 2018-03907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bd8fc09b1511ec8d04d3fbbc911715">
            <w:r w:rsidRPr="00532B9F">
              <w:rPr>
                <w:rFonts w:ascii="Times New Roman" w:eastAsia="MS Mincho" w:hAnsi="Times New Roman"/>
                <w:sz w:val="20"/>
                <w:iCs/>
                <w:color w:val="0000FF" w:themeColor="hyperlink"/>
                <w:u w:val="single"/>
              </w:rPr>
              <w:t>181</w:t>
            </w:r>
          </w:fldSimple>
          <w:r>
            <w:rPr>
              <w:rFonts w:ascii="Times New Roman" w:eastAsia="MS Mincho" w:hAnsi="Times New Roman"/>
              <w:sz w:val="20"/>
              <w:iCs/>
            </w:rPr>
            <w:t>,
2022-03-02,
paskelbta TAR 2022-03-03, i. k. 2022-04334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5:docId w15:val="{7D3113D5-AA88-42A4-BAF6-7E588F46F18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227315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footer" Target="footer12.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9e5f8b4d3f4b739b0fcc5f543d9770" PartId="1715aaa6117c44bebf2afde10f65e626">
    <Part Type="preambule" DocPartId="d276b674042b401ba8da0449fa45f4f1" PartId="cfab122a979d4d748f6e02adad557573"/>
    <Part Type="pastraipa" DocPartId="08ec9bbdc8b147bb8ccd58768e598c1f" PartId="d0b3d7acaba84e21b06ee0e5a638f0f1"/>
    <Part Type="signatura" DocPartId="87b3dcaa5e504355ae9b0a030f76ec32" PartId="51d147f9d2954284863150628373cf01"/>
  </Part>
  <Part Type="patvirtinta" Title="VALSTYBINIO SOCIALINIO DRAUDIMO REZERVINIO FONDO SUDARYMO IR VALDYMO NUOSTATAI" DocPartId="553f71f8c71d4af2aea3a4e028a3db6d" PartId="8b1edb718c8e47b786935fac3c53282e">
    <Part Type="skyrius" Nr="1" Title="BENDROSIOS NUOSTATOS" DocPartId="790e0391f32e4b41b6f60617d7d698ed" PartId="3e70b846e7b34c5e83bd4309b657b0a0">
      <Part Type="punktas" Nr="1" Abbr="1 p." DocPartId="0863f820997647889ba6090dc494a9fb" PartId="b69ad78c3c154d3783554c5fb558643f"/>
      <Part Type="punktas" Nr="2" Abbr="2 p." DocPartId="76a1b289882c417f8a3754debb26fd3f" PartId="e7a2af309f0a4286867db6eaf8f1945d"/>
    </Part>
    <Part Type="skyrius" Nr="2" Title="REZERVO FONDO SUDARYMO ŠALTINIAI" DocPartId="41d7d9db4ec04b26b383573626bf3251" PartId="4705d6d2fa4e4880a0bf7e6e150a98ce">
      <Part Type="punktas" Nr="3" Abbr="3 p." DocPartId="1749648f90fe49468920efc09ff85a35" PartId="206b77f7754f4816958746231958c3b2">
        <Part Type="papunktis" Nr="3.1" Abbr="3.1 pp." DocPartId="43fc454143ec433a9aa5203843f66a01" PartId="c782f01ee53745cebddf9b176293ba48"/>
        <Part Type="papunktis" Nr="3.2" Abbr="3.2 pp." DocPartId="d7f0d45b57864d0d889a090587057e02" PartId="0e191fe6db4d402f818e45a324362e22"/>
        <Part Type="papunktis" Nr="3.3" Abbr="3.3 pp." DocPartId="3dc1f9dabb4c4d97b9dae7db92f2e475" PartId="2f0253abb02c4346b73d83a8ecb1b62f"/>
        <Part Type="papunktis" Nr="3.4" Abbr="3.4 pp." DocPartId="68b0d517d1aa4f788ec32aeb62f16981" PartId="5a76ea5986644c2284bc6ae7b32ef4db"/>
      </Part>
      <Part Type="punktas" Nr="4" Abbr="4 p." DocPartId="708f39e95884463985bd685dc9de16d4" PartId="fe82dee87bff48128ece51f349bfdb17"/>
      <Part Type="punktas" Nr="5" Abbr="5 p." DocPartId="7c7bdc4c0b234d8ca96e9968304c3453" PartId="8247c5dcef844cfeb2fa80b268a3af5a"/>
    </Part>
    <Part Type="skyrius" Nr="3" Title="REZERVO FONDO LĖŠŲ INVESTAVIMAS" DocPartId="4cfb458fd05c4ceaaefd925d8b48540c" PartId="978747a2bb7c48b48820017fe4d48e8d">
      <Part Type="punktas" Nr="6" Abbr="6 p." DocPartId="1867f089e57d4724909c3d8161a19b1f" PartId="bd0926a7b2eb412490a4eb24754fe8d5">
        <Part Type="papunktis" Nr="6.1" Abbr="6.1 pp." DocPartId="8822bbe11f454634a41d35cb2eebd5ab" PartId="1832a2bb81e740df86674d0a9ac3b43c">
          <Part Type="papunktis" Nr="6.1.1" Abbr="6.1.1 pp." DocPartId="5b7155dd86e24431bc7af5f9c963ea6f" PartId="6be06083daea456f831241be3dd6605b"/>
          <Part Type="papunktis" Nr="6.1.2" Abbr="6.1.2 pp." DocPartId="506470f62db54cccb59bca29490e70e6" PartId="a73897e6f00a4e04bfbfcbdd373423ff"/>
          <Part Type="papunktis" Nr="6.1.3" Abbr="6.1.3 pp." DocPartId="21eb803dc8674eb9aa562520018f79b0" PartId="8380749b3a8b4a54b586423c7b2dda5a"/>
          <Part Type="papunktis" Nr="6.1.4" Abbr="6.1.4 pp." DocPartId="444e3203bae14725987ef094e0a40c6d" PartId="18d76238db9e40a89e995d9611100b5c"/>
          <Part Type="papunktis" Nr="6.1.5" Abbr="6.1.5 pp." DocPartId="c841f011f00a4fb8ab5d68abb10edcf4" PartId="5497ab31f9b64b708b93bfe4a0e0e245"/>
        </Part>
        <Part Type="papunktis" Nr="6.2" Abbr="6.2 pp." DocPartId="fb011f5379024ec784a4d6d1a3ccb899" PartId="b42c0c443c9f47cdb1a2f7d9d2181d8f"/>
        <Part Type="papunktis" Nr="6.3" Abbr="6.3 pp." DocPartId="e8fd6b5cd04b420d9faf6b540f6dc5f6" PartId="4637b28bc2dd4a2fa5bee7555c3add33"/>
      </Part>
      <Part Type="punktas" Nr="7" Abbr="7 p." DocPartId="9aaf1a9773a8436785f5a3213f937ddb" PartId="eb448bc62bc442e68668de2bd968dfba"/>
      <Part Type="punktas" Nr="8" Abbr="8 p." DocPartId="9f482fc7b92544fdbe8932273bd3895b" PartId="12378b56a30941dab8a4c74499e93154">
        <Part Type="papunktis" Nr="8.1" Abbr="8.1 pp." DocPartId="b9bca7c3042645d4b4e51d584ab52ef7" PartId="f46bea3ff04940ad876eb681ee824432"/>
        <Part Type="papunktis" Nr="8.2" Abbr="8.2 pp." DocPartId="9b56082a572947a3b3034a640bd2e529" PartId="95c78d4ba98846d8adbbe87ab6de7379"/>
        <Part Type="papunktis" Nr="8.3" Abbr="8.3 pp." DocPartId="6aff5c6038b64efe8a4c08df81b8b4b7" PartId="6ee9d9b7b8964638a526e7fead60890a"/>
      </Part>
      <Part Type="punktas" Nr="9" Abbr="9 p." DocPartId="8931aa63ad1c4c4eb5896442a6d2766a" PartId="c90b2cf9336343dfb85207aadaf0b881"/>
      <Part Type="punktas" Nr="10" Abbr="10 p." DocPartId="c5a28472ab7b401e92996ada2aab283c" PartId="e7b7eda7018d4d8bb2136eabcbf506bc">
        <Part Type="papunktis" Nr="10.1" Abbr="10.1 pp." DocPartId="2f1a34e3377b4bc48d9a8b3158046a45" PartId="c249fb56f4e54e7eae88279de6a00e7f"/>
        <Part Type="papunktis" Nr="10.2" Abbr="10.2 pp." DocPartId="340e48e49f4145d485b7e3cab3062137" PartId="e81459a124084f91a13c2518082b8933"/>
      </Part>
      <Part Type="punktas" Nr="11" Abbr="11 p." DocPartId="8597eee76c2f415e970331bb23b778e2" PartId="79824ffd77fd4dacbf8a7856f4dca4a6">
        <Part Type="papunktis" Nr="11.1" Abbr="11.1 pp." DocPartId="bdb2d002e44446fea22442574fab56aa" PartId="3e0ef86e2813445c9fbe0e44e56f6506"/>
        <Part Type="papunktis" Nr="11.2" Abbr="11.2 pp." DocPartId="2731ccc904714ad0ac7f927e1e271bc3" PartId="7b45fab2ec374a15810b96d272ff6ba5">
          <Part Type="papunktis" Nr="11.2.1" Abbr="11.2.1 pp." DocPartId="13ceae95ef664d72b95b2f6470952495" PartId="c49f6224196547d0a5c276b135808c34"/>
          <Part Type="papunktis" Nr="11.2.2" Abbr="11.2.2 pp." DocPartId="4d1fb7203cd247b4a317341d1551e15d" PartId="a40bfa5d03b443588399564f7b230c70"/>
          <Part Type="papunktis" Nr="11.2.3" Abbr="11.2.3 pp." DocPartId="f42e71f5d4f94b3d8b04300636aaff2f" PartId="c6a14567073d4149ad33761ddcae6264"/>
        </Part>
      </Part>
      <Part Type="punktas" Nr="12" Abbr="12 p." DocPartId="695c3aa232834e93a50927d8c3995f56" PartId="af77267a9ffa4e678d8bb478b2cb63e1">
        <Part Type="papunktis" Nr="12.1" Abbr="12.1 pp." DocPartId="9819ca56aca24ade8e2d8408f61a0f22" PartId="33de9fb06f514124b1317d1f84752b7d"/>
        <Part Type="papunktis" Nr="12.2" Abbr="12.2 pp." DocPartId="355b43db2ea14f3d9966426668fbdc52" PartId="dea1fdcc4a4748f398bca836dccd2b48">
          <Part Type="papunktis" Nr="12.2.1" Abbr="12.2.1 pp." DocPartId="4fff987af38646c7b4b496a03edda3a2" PartId="6326c5768216486d9109fe288e99ef72"/>
          <Part Type="papunktis" Nr="12.2.2" Abbr="12.2.2 pp." DocPartId="58e838fea7b34ac18cbcf26f673dc085" PartId="298cc2db58fd4477916e83a2051798b8"/>
          <Part Type="papunktis" Nr="12.2.3" Abbr="12.2.3 pp." DocPartId="a655ae38eb964ef0b8fe7d0662a12a2d" PartId="02a10f4a6f3b455c84b8b9ae50249364"/>
        </Part>
      </Part>
      <Part Type="punktas" Nr="13" Abbr="13 p." DocPartId="fa4b4059eeea4243a76433fda40ae33a" PartId="0c293b8e65e84a63ad17f45e56eca617"/>
      <Part Type="punktas" Nr="14" Abbr="14 p." DocPartId="46f5b69c5f924d95b04ad35163121c96" PartId="7dfb5b232abb4527b0fc1fade91c6961">
        <Part Type="papunktis" Nr="14.1" Abbr="14.1 pp." DocPartId="906cfebcbe75491f905b3c8490fce77f" PartId="a12ff5c2d7f446b59184b17f06b48d41"/>
        <Part Type="papunktis" Nr="14.2" Abbr="14.2 pp." DocPartId="1fcd6e8db6694f71945c3ea0a864ae8a" PartId="ea3f345ee69847a3ad3d2a96d5b3088a">
          <Part Type="papunktis" Nr="14.2.1" Abbr="14.2.1 pp." DocPartId="37ef1ce93a4e4d5990bbf2d29863420f" PartId="1f63f607147746aaa8952cfa794e2cd5"/>
          <Part Type="papunktis" Nr="14.2.2" Abbr="14.2.2 pp." DocPartId="e1f13e4c1b9d4f8fbd490aebb389bc67" PartId="184d0479e0fe45e2bc0acea49ef0f114"/>
          <Part Type="papunktis" Nr="14.2.3" Abbr="14.2.3 pp." DocPartId="00216f9d3bb24f85bf7c7d2758589d55" PartId="492846e49ffd4c36b3afde6c7539528b"/>
        </Part>
      </Part>
      <Part Type="punktas" Nr="15" Abbr="15 p." DocPartId="ba2407324747463e861d8455731f37b9" PartId="04781161527d4c42b1c77900d9066cbd">
        <Part Type="papunktis" Nr="15.1" Abbr="15.1 pp." DocPartId="429a65ff6cbb49e98c7a47dcc391474d" PartId="90612b48cce44c3c85689664af3c04ce"/>
        <Part Type="papunktis" Nr="15.2" Abbr="15.2 pp." DocPartId="788e6b72e172411dabcd88d948a9a1de" PartId="b1b2a3b0cfe94a92ae600b2b43edbe04"/>
        <Part Type="papunktis" Nr="15.3" Abbr="15.3 pp." DocPartId="d25b3736d9fc456e9d0763750e59a20a" PartId="16ec48664d2241248aef1b266d2f909e"/>
      </Part>
      <Part Type="punktas" Nr="16" Abbr="16 p." DocPartId="42c6f6d9fe4b492a8a064c1380c0f05f" PartId="f5ea99c1c52b4af1b561c23cc4ad28c3"/>
      <Part Type="punktas" Nr="17" Abbr="17 p." DocPartId="8b2a8b68075947ac8a32f0faee8ec940" PartId="89f59359e93246a995c97d0973e1066e"/>
      <Part Type="punktas" Nr="18" Abbr="18 p." DocPartId="0053afdebf1241c195c2a871e7169ddf" PartId="592f49872b4941c391a2928749491495"/>
      <Part Type="punktas" Nr="19" Abbr="19 p." DocPartId="47b445504b834fb0b807719609e6ee3c" PartId="77a9fcb59a414d019ddc00e2cdbe7156"/>
      <Part Type="punktas" Nr="20" Abbr="20 p." DocPartId="7a68e603e19741f888630348c4aa453d" PartId="1fb40601196842cfa5ace77833729cab"/>
      <Part Type="punktas" Nr="21" Abbr="21 p." DocPartId="c74e37f535f4496382e1a3de95ff344e" PartId="6dae42aaa7fa4c82ba81dace45afadff"/>
      <Part Type="punktas" Nr="22" Abbr="22 p." DocPartId="b463cd43e32d4e588fc4e9ff9a5d5a3b" PartId="8e7e1f98f97a4a2c9f2075ae751197b7"/>
      <Part Type="punktas" Nr="23" Abbr="23 p." DocPartId="e8570a3139da4a2181b45a350fe5970a" PartId="d31bb4e38a7042b0b36241454eb50daf">
        <Part Type="papunktis" Nr="23.1" Abbr="23.1 pp." DocPartId="1d3ec01f5acd4aa69832cecfff5583d1" PartId="40d376c10e8e434ab90691f1cc914cfa"/>
        <Part Type="papunktis" Nr="23.2" Abbr="23.2 pp." DocPartId="adfd8625f4c3479cbab333fba011984b" PartId="4b5ad733b28b4a5499dac3f29fdfccc8"/>
        <Part Type="papunktis" Nr="23.3" Abbr="23.3 pp." DocPartId="83e3efd5132f4defba7a8cd5a203c531" PartId="88df55c213aa4fc2990456e529f1e1fa"/>
        <Part Type="papunktis" Nr="23.4" Abbr="23.4 pp." DocPartId="bdf5d7feb8f14c8eb913f1f4478b6214" PartId="88727a9f050e4fb9b3409f066ac9f0ee"/>
      </Part>
      <Part Type="punktas" Nr="24" Abbr="24 p." DocPartId="fbae81e48ee445fb8a31611125a4755f" PartId="6b394a0109c34fd5b64238718b9a88b6"/>
      <Part Type="punktas" Nr="25" Abbr="25 p." DocPartId="b1d2363144974589bd845d5312c8faee" PartId="08549abda3b8407eb3a6828984635193"/>
      <Part Type="punktas" Nr="26" Abbr="26 p." DocPartId="2a8af04ce4c04ab7a183d7a6c468ef69" PartId="8d9484c9b27d44c8a9e001aadb832fec"/>
      <Part Type="punktas" Nr="27" Abbr="27 p." DocPartId="810b8b29d88849ae872a653b80163377" PartId="11891194298b4997ba7196779065fed4"/>
    </Part>
    <Part Type="skyrius" Nr="4" Title="REZERVO FONDO DYDIS" DocPartId="25c31d506b8140068f9b11a5640b419e" PartId="e18a7b03b1774fc7b231bed2fa47b7d9">
      <Part Type="punktas" Nr="28" Abbr="28 p." DocPartId="1e688fe032fb48779fbd8d903a9de331" PartId="8ac30a2f083f4ca1852e47b579af5639"/>
    </Part>
    <Part Type="skyrius" Nr="5" Title="REZERVO FONDO LĖŠŲ PANAUDOJIMAS" DocPartId="23c90c6b41cb458cbe47a60d0a50e933" PartId="1190328a6c4b484caf1ad289fdb8eb8c">
      <Part Type="punktas" Nr="29" Abbr="29 p." DocPartId="fc5a4d88895b4edc97c92353b51fb1c1" PartId="2edd4440a9744ba9a3ef86f2410cab76">
        <Part Type="papunktis" Nr="29.1" Abbr="29.1 pp." DocPartId="5637bda5230040c28087d83792869992" PartId="4217e798ec02482ba81ac15e45571b06"/>
        <Part Type="papunktis" Nr="29.2" Abbr="29.2 pp." DocPartId="b7550884721f4f36bd54509749f04403" PartId="8c900aa5eb1348d896b4cefc05d014bf"/>
        <Part Type="papunktis" Nr="29.3" Abbr="29.3 pp." DocPartId="419f140af9324c48b6884c0d25b43963" PartId="d2ca84282e31493288860ee511a2a671"/>
      </Part>
      <Part Type="punktas" Nr="30" Abbr="30 p." DocPartId="0b9b1e42d28d4859b454728897038937" PartId="94c8cc7e0c7648f88c9aca7b5b5f0a94"/>
      <Part Type="punktas" Nr="31" Abbr="31 p." DocPartId="03ac70ce447046b197ae2fcde8d055f3" PartId="930bd175afbe48bcb1eee7cf9335d03d"/>
      <Part Type="punktas" Nr="32" Abbr="32 p." DocPartId="811c644c28b048bd9eaa2b2ccd120d06" PartId="71627132240b4fd4acef09ec08f62241"/>
    </Part>
    <Part Type="skyrius" Nr="6" Title="REZERVO FONDO LĖŠŲ AUDITAS IR APSKAITA" DocPartId="33b82f9985bc4bd0b0434e7a67c3eeff" PartId="9790249800d5462686831436721dcff1">
      <Part Type="punktas" Nr="33" Abbr="33 p." DocPartId="7114adb2437d472fa35baec002592269" PartId="8f292ad9189548d4b6b5fa4f2accea4b"/>
      <Part Type="punktas" Nr="34" Abbr="34 p." DocPartId="2bd194b22c7742e0b5a14354e8a30207" PartId="d06ce1eb615848d2bb7362f1416c6c58"/>
      <Part Type="punktas" Nr="35" Abbr="35 p." DocPartId="019e18c254904f2fb4948965699d8f1e" PartId="0c317d78a3c44f2ea8cee54793681918"/>
    </Part>
    <Part Type="pabaiga" DocPartId="d914252e62e34bc49e004ec8188d8145" PartId="fdfc5024d10c44d3807ad7377ad43a2c"/>
  </Part>
</Parts>
</file>

<file path=customXml/itemProps1.xml><?xml version="1.0" encoding="utf-8"?>
<ds:datastoreItem xmlns:ds="http://schemas.openxmlformats.org/officeDocument/2006/customXml" ds:itemID="{FBA459D4-0A1F-49FB-A054-AACE2D1CE1A0}">
  <ds:schemaRefs>
    <ds:schemaRef ds:uri="http://lrs.lt/TAIS/DocParts"/>
  </ds:schemaRefs>
</ds:datastoreItem>
</file>

<file path=docProps/app.xml><?xml version="1.0" encoding="utf-8"?>
<Properties xmlns="http://schemas.openxmlformats.org/officeDocument/2006/extended-properties">
  <Template>Normal.dotm</Template>
  <TotalTime>4</TotalTime>
  <Pages>10</Pages>
  <Words>3229</Words>
  <Characters>22995</Characters>
  <Application>Microsoft Office Word</Application>
  <DocSecurity>0</DocSecurity>
  <Lines>191</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26172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2017-06-16T11:55:00Z</dcterms:created>
  <dc:creator>lrvk</dc:creator>
  <lastModifiedBy>BODIN Aušra</lastModifiedBy>
  <lastPrinted>2017-06-14T07:57:00Z</lastPrinted>
  <dcterms:modified xsi:type="dcterms:W3CDTF">2022-03-04T06:55:00Z</dcterms:modified>
  <revision>8</revision>
</coreProperties>
</file>