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2021-03-03 iki 2021-07-30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ebe533f32dd643dca7f9ab9831990dc9"/>
            <w:lock w:val="sdtLocked"/>
            <w:richText/>
          </w:sdtPr>
          <w:sdtContent>
            <w:p>
              <w:pPr>
                <w:tabs>
                  <w:tab w:val="left" w:pos="426"/>
                </w:tabs>
                <w:overflowPunct w:val="0"/>
                <w:spacing w:line="360" w:lineRule="auto"/>
                <w:ind w:firstLine="709"/>
                <w:jc w:val="both"/>
                <w:rPr>
                  <w:szCs w:val="24"/>
                </w:rPr>
              </w:pPr>
              <w:r>
                <w:rPr>
                  <w:color w:val="000000" w:themeColor="text1"/>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44a7f617765440a28c0bf39056391b19"/>
        <w:lock w:val="sdtLocked"/>
        <w:richText/>
      </w:sdtPr>
      <w:sdtContent>
        <w:p>
          <w:pPr>
            <w:tabs>
              <w:tab w:val="left" w:pos="1304"/>
              <w:tab w:val="left" w:pos="1457"/>
              <w:tab w:val="left" w:pos="1604"/>
              <w:tab w:val="left" w:pos="1757"/>
            </w:tabs>
            <w:rPr>
              <w:szCs w:val="24"/>
            </w:rPr>
            <w:sectPr>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spacing w:line="298" w:lineRule="auto"/>
            <w:ind w:firstLine="312"/>
            <w:jc w:val="both"/>
            <w:textAlignment w:val="center"/>
            <w:rPr>
              <w:color w:val="000000"/>
              <w:szCs w:val="24"/>
            </w:rPr>
          </w:pPr>
        </w:p>
        <w:p>
          <w:pPr>
            <w:keepLines/>
            <w:suppressAutoHyphens/>
            <w:spacing w:line="278" w:lineRule="auto"/>
            <w:jc w:val="center"/>
            <w:textAlignment w:val="center"/>
            <w:rPr>
              <w:b/>
              <w:bCs/>
              <w:caps/>
              <w:color w:val="000000"/>
              <w:szCs w:val="24"/>
            </w:rPr>
          </w:pPr>
          <w:sdt>
            <w:sdtPr>
              <w:alias w:val="Pavadinimas"/>
              <w:tag w:val="title_44a7f617765440a28c0bf39056391b19"/>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Cs w:val="24"/>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30a4e9a152124bfe9960ff980d060077"/>
                <w:lock w:val="sdtLocked"/>
                <w:richText/>
              </w:sdtPr>
              <w:sdtContent>
                <w:p>
                  <w:pPr>
                    <w:overflowPunct w:val="0"/>
                    <w:ind w:firstLine="312"/>
                    <w:jc w:val="both"/>
                    <w:rPr>
                      <w:color w:val="000000"/>
                      <w:sz w:val="22"/>
                      <w:szCs w:val="22"/>
                    </w:rPr>
                  </w:pPr>
                  <w:sdt>
                    <w:sdtPr>
                      <w:alias w:val="Numeris"/>
                      <w:tag w:val="nr_30a4e9a152124bfe9960ff980d060077"/>
                      <w:lock w:val="sdtLocked"/>
                      <w:richText/>
                    </w:sdtPr>
                    <w:sdtContent>
                      <w:r>
                        <w:rPr>
                          <w:color w:val="000000" w:themeColor="text1"/>
                          <w:szCs w:val="24"/>
                          <w:lang w:val="gsw-FR"/>
                        </w:rPr>
                        <w:t>1</w:t>
                      </w:r>
                    </w:sdtContent>
                  </w:sdt>
                  <w:r>
                    <w:rPr>
                      <w:color w:val="000000" w:themeColor="text1"/>
                      <w:szCs w:val="24"/>
                      <w:lang w:val="gsw-FR"/>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themeColor="text1"/>
                      <w:sz w:val="22"/>
                      <w:szCs w:val="22"/>
                    </w:rPr>
                    <w:t xml:space="preserve"> </w:t>
                  </w:r>
                  <w:r>
                    <w:rPr>
                      <w:color w:val="000000" w:themeColor="text1"/>
                      <w:szCs w:val="24"/>
                      <w:lang w:val="gsw-FR"/>
                    </w:rPr>
                    <w:t>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e948ed160a9046118662392a946bf943"/>
                    <w:lock w:val="sdtLocked"/>
                    <w:richText/>
                  </w:sdtPr>
                  <w:sdtContent>
                    <w:p>
                      <w:pPr>
                        <w:overflowPunct w:val="0"/>
                        <w:ind w:firstLine="425"/>
                        <w:jc w:val="both"/>
                        <w:textAlignment w:val="baseline"/>
                        <w:rPr>
                          <w:color w:val="000000"/>
                          <w:sz w:val="22"/>
                          <w:szCs w:val="22"/>
                        </w:rPr>
                      </w:pPr>
                      <w:sdt>
                        <w:sdtPr>
                          <w:alias w:val="Numeris"/>
                          <w:tag w:val="nr_e948ed160a9046118662392a946bf943"/>
                          <w:lock w:val="sdtLocked"/>
                          <w:richText/>
                        </w:sdtPr>
                        <w:sdtContent>
                          <w:r>
                            <w:rPr>
                              <w:sz w:val="22"/>
                              <w:szCs w:val="22"/>
                            </w:rPr>
                            <w:t>8.2</w:t>
                          </w:r>
                        </w:sdtContent>
                      </w:sdt>
                      <w:r>
                        <w:rPr>
                          <w:sz w:val="22"/>
                          <w:szCs w:val="22"/>
                        </w:rPr>
                        <w:t xml:space="preserve">. įveisto miško priežiūra, apsauga ir ugdymas (12 metų mokama kasmetinė kompensacinė išmoka).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db9d22dd79c346d3bb4d8d2ab250fe68"/>
                <w:lock w:val="sdtLocked"/>
                <w:richText/>
              </w:sdtPr>
              <w:sdtContent>
                <w:p>
                  <w:pPr>
                    <w:suppressAutoHyphens/>
                    <w:spacing w:line="278" w:lineRule="auto"/>
                    <w:ind w:firstLine="312"/>
                    <w:jc w:val="both"/>
                    <w:textAlignment w:val="center"/>
                    <w:rPr>
                      <w:color w:val="000000"/>
                      <w:szCs w:val="24"/>
                    </w:rPr>
                  </w:pPr>
                  <w:sdt>
                    <w:sdtPr>
                      <w:alias w:val="Numeris"/>
                      <w:tag w:val="nr_db9d22dd79c346d3bb4d8d2ab250fe68"/>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851349bf452f4c059d039fc2dc4945c4"/>
                <w:lock w:val="sdtLocked"/>
                <w:richText/>
              </w:sdtPr>
              <w:sdtContent>
                <w:p>
                  <w:pPr>
                    <w:widowControl w:val="0"/>
                    <w:spacing w:line="278" w:lineRule="auto"/>
                    <w:ind w:firstLine="312"/>
                    <w:jc w:val="both"/>
                    <w:rPr>
                      <w:szCs w:val="24"/>
                    </w:rPr>
                  </w:pPr>
                  <w:sdt>
                    <w:sdtPr>
                      <w:alias w:val="Numeris"/>
                      <w:tag w:val="nr_851349bf452f4c059d039fc2dc4945c4"/>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8c9f2647f2594dbe92bb82c8cefed13a"/>
                        <w:lock w:val="sdtLocked"/>
                        <w:richText/>
                      </w:sdtPr>
                      <w:sdtContent>
                        <w:p>
                          <w:pPr>
                            <w:suppressAutoHyphens/>
                            <w:ind w:firstLine="284"/>
                            <w:jc w:val="both"/>
                            <w:textAlignment w:val="center"/>
                            <w:rPr>
                              <w:color w:val="000000"/>
                              <w:sz w:val="22"/>
                              <w:szCs w:val="22"/>
                            </w:rPr>
                          </w:pPr>
                          <w:sdt>
                            <w:sdtPr>
                              <w:alias w:val="Numeris"/>
                              <w:tag w:val="nr_8c9f2647f2594dbe92bb82c8cefed13a"/>
                              <w:lock w:val="sdtLocked"/>
                              <w:richText/>
                            </w:sdtPr>
                            <w:sdtContent>
                              <w:r>
                                <w:rPr>
                                  <w:sz w:val="22"/>
                                  <w:szCs w:val="22"/>
                                  <w:lang w:eastAsia="lt-LT"/>
                                </w:rPr>
                                <w:t>17.10.2</w:t>
                              </w:r>
                            </w:sdtContent>
                          </w:sdt>
                          <w:r>
                            <w:rPr>
                              <w:sz w:val="22"/>
                              <w:szCs w:val="22"/>
                              <w:lang w:eastAsia="lt-LT"/>
                            </w:rPr>
                            <w:t>.</w:t>
                          </w:r>
                          <w:r>
                            <w:rPr>
                              <w:color w:val="000000"/>
                              <w:sz w:val="22"/>
                              <w:szCs w:val="22"/>
                              <w:lang w:val="en-US" w:eastAsia="lt-LT"/>
                            </w:rPr>
                            <w:t xml:space="preserve"> </w:t>
                          </w:r>
                          <w:r>
                            <w:rPr>
                              <w:sz w:val="22"/>
                              <w:szCs w:val="22"/>
                              <w:lang w:eastAsia="lt-LT"/>
                            </w:rPr>
                            <w:t xml:space="preserve">patvirtintas VĮ Valstybinių miškų urėdijos regioninio padalinio, kurio veiklos teritorijoje yra žemės plotas, kuriame planuojama veisti mišką, vadovo ar jo įgalioto valstybinio miškų pareigūno;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af22b3b7379348349dc823a0b0120999"/>
                    <w:lock w:val="sdtLocked"/>
                    <w:richText/>
                  </w:sdtPr>
                  <w:sdtContent>
                    <w:p>
                      <w:pPr>
                        <w:overflowPunct w:val="0"/>
                        <w:spacing w:line="276" w:lineRule="auto"/>
                        <w:ind w:firstLine="284"/>
                        <w:jc w:val="both"/>
                        <w:textAlignment w:val="baseline"/>
                        <w:rPr>
                          <w:color w:val="000000"/>
                          <w:sz w:val="22"/>
                          <w:szCs w:val="22"/>
                        </w:rPr>
                      </w:pPr>
                      <w:sdt>
                        <w:sdtPr>
                          <w:alias w:val="Numeris"/>
                          <w:tag w:val="nr_af22b3b7379348349dc823a0b0120999"/>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a545a6787f7f444ba7faa13d8a2e397b"/>
                <w:lock w:val="sdtLocked"/>
                <w:richText/>
              </w:sdtPr>
              <w:sdtContent>
                <w:p>
                  <w:pPr>
                    <w:overflowPunct w:val="0"/>
                    <w:ind w:firstLine="312"/>
                    <w:jc w:val="both"/>
                    <w:rPr>
                      <w:color w:val="000000" w:themeColor="text1"/>
                    </w:rPr>
                  </w:pPr>
                  <w:sdt>
                    <w:sdtPr>
                      <w:alias w:val="Numeris"/>
                      <w:tag w:val="nr_a545a6787f7f444ba7faa13d8a2e397b"/>
                      <w:lock w:val="sdtLocked"/>
                      <w:richText/>
                    </w:sdtPr>
                    <w:sdtContent>
                      <w:r>
                        <w:rPr>
                          <w:color w:val="000000" w:themeColor="text1"/>
                        </w:rPr>
                        <w:t>30</w:t>
                      </w:r>
                    </w:sdtContent>
                  </w:sdt>
                  <w:r>
                    <w:rPr>
                      <w:color w:val="000000" w:themeColor="text1"/>
                    </w:rPr>
                    <w:t>. Miško želdinių ar žėlinių apskaitos metais VMT Miškų ūkio priežiūros skyriaus valstybiniams miškų pareigūnams nustačius, kad želdinių ar žėlinių tankis neatitinka Miško atkūrimo ir įveisimo nuostatų reikalavimų,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w:t>
                  </w:r>
                </w:p>
                <w:sdt>
                  <w:sdtPr>
                    <w:alias w:val="30.1 pp."/>
                    <w:tag w:val="part_a91a86707a4f49eead13ca0253f681c1"/>
                    <w:lock w:val="sdtLocked"/>
                    <w:richText/>
                  </w:sdtPr>
                  <w:sdtContent>
                    <w:p>
                      <w:pPr>
                        <w:overflowPunct w:val="0"/>
                        <w:ind w:firstLine="312"/>
                        <w:jc w:val="both"/>
                        <w:rPr>
                          <w:color w:val="000000" w:themeColor="text1"/>
                        </w:rPr>
                      </w:pPr>
                      <w:sdt>
                        <w:sdtPr>
                          <w:alias w:val="Numeris"/>
                          <w:tag w:val="nr_a91a86707a4f49eead13ca0253f681c1"/>
                          <w:lock w:val="sdtLocked"/>
                          <w:richText/>
                        </w:sdtPr>
                        <w:sdtContent>
                          <w:r>
                            <w:rPr>
                              <w:color w:val="000000" w:themeColor="text1"/>
                            </w:rPr>
                            <w:t>30.1</w:t>
                          </w:r>
                        </w:sdtContent>
                      </w:sdt>
                      <w:r>
                        <w:rPr>
                          <w:color w:val="000000" w:themeColor="text1"/>
                        </w:rPr>
                        <w:t xml:space="preserve"> </w:t>
                      </w:r>
                      <w:r>
                        <w:rPr>
                          <w:color w:val="000000" w:themeColor="text1"/>
                          <w:szCs w:val="24"/>
                        </w:rPr>
                        <w:t>jeigu miško želdinių apskaita atlikta pirmaisiais jų augimo metais, želdiniai turi būti atsodinti per tris artimiausius miško želdinimo sezonus nuo šio fakto nustatymo dienos.</w:t>
                      </w:r>
                      <w:r>
                        <w:rPr>
                          <w:color w:val="000000" w:themeColor="text1"/>
                        </w:rPr>
                        <w:t xml:space="preserve"> Atsodinęs miško želdinius,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p>
                  </w:sdtContent>
                </w:sdt>
                <w:sdt>
                  <w:sdtPr>
                    <w:alias w:val="30.2 pp."/>
                    <w:tag w:val="part_99614be8f8dc46a6ab49722a7b49a36c"/>
                    <w:lock w:val="sdtLocked"/>
                    <w:richText/>
                  </w:sdtPr>
                  <w:sdtContent>
                    <w:p>
                      <w:pPr>
                        <w:overflowPunct w:val="0"/>
                        <w:ind w:firstLine="312"/>
                        <w:jc w:val="both"/>
                        <w:rPr>
                          <w:color w:val="000000"/>
                          <w:szCs w:val="24"/>
                        </w:rPr>
                      </w:pPr>
                      <w:sdt>
                        <w:sdtPr>
                          <w:alias w:val="Numeris"/>
                          <w:tag w:val="nr_99614be8f8dc46a6ab49722a7b49a36c"/>
                          <w:lock w:val="sdtLocked"/>
                          <w:richText/>
                        </w:sdtPr>
                        <w:sdtContent>
                          <w:r>
                            <w:rPr>
                              <w:color w:val="000000" w:themeColor="text1"/>
                              <w:szCs w:val="24"/>
                            </w:rPr>
                            <w:t>30.2</w:t>
                          </w:r>
                        </w:sdtContent>
                      </w:sdt>
                      <w:r>
                        <w:rPr>
                          <w:color w:val="000000" w:themeColor="text1"/>
                          <w:szCs w:val="24"/>
                        </w:rPr>
                        <w:t>. jeigu miško želdinių ar žėlinių apskaita atlikta trečiaisiais jų augimo metais, želdiniai ar žėliniai turi būti atsodinti Miško atkūrimo ir įveisimo nuostatų 21 punkte nustatyta tvarka ir terminais. Atsodinęs miško želdinius ar žėlinius, paramos gavėjas Agentūrai iki metų, kuriais baigiasi Miško atkūrimo ir įveisimo nuostatuose nustatytas želdinių ar žėlinių atsodinimo terminas,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31 p."/>
                <w:tag w:val="part_adf613fd85a148e4b94cb259204bec52"/>
                <w:lock w:val="sdtLocked"/>
                <w:richText/>
              </w:sdtPr>
              <w:sdtContent>
                <w:p>
                  <w:pPr>
                    <w:suppressAutoHyphens/>
                    <w:overflowPunct w:val="0"/>
                    <w:ind w:firstLine="284"/>
                    <w:jc w:val="both"/>
                    <w:textAlignment w:val="center"/>
                    <w:rPr>
                      <w:color w:val="000000"/>
                      <w:szCs w:val="24"/>
                    </w:rPr>
                  </w:pPr>
                  <w:sdt>
                    <w:sdtPr>
                      <w:alias w:val="Numeris"/>
                      <w:tag w:val="nr_adf613fd85a148e4b94cb259204bec52"/>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6e99e3d3592e44e4bfea10cf5faf1a41"/>
                <w:lock w:val="sdtLocked"/>
                <w:richText/>
              </w:sdtPr>
              <w:sdtContent>
                <w:p>
                  <w:pPr>
                    <w:suppressAutoHyphens/>
                    <w:spacing w:line="278" w:lineRule="auto"/>
                    <w:ind w:firstLine="312"/>
                    <w:jc w:val="both"/>
                    <w:textAlignment w:val="center"/>
                    <w:rPr>
                      <w:szCs w:val="24"/>
                    </w:rPr>
                  </w:pPr>
                  <w:sdt>
                    <w:sdtPr>
                      <w:alias w:val="Numeris"/>
                      <w:tag w:val="nr_6e99e3d3592e44e4bfea10cf5faf1a41"/>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f20e8376cdde4c56aa902dcd7894179f"/>
                <w:lock w:val="sdtLocked"/>
                <w:richText/>
              </w:sdtPr>
              <w:sdtContent>
                <w:p>
                  <w:pPr>
                    <w:suppressAutoHyphens/>
                    <w:ind w:firstLine="284"/>
                    <w:jc w:val="both"/>
                    <w:textAlignment w:val="center"/>
                    <w:rPr>
                      <w:b/>
                      <w:i/>
                      <w:color w:val="000000"/>
                      <w:sz w:val="20"/>
                    </w:rPr>
                  </w:pPr>
                  <w:sdt>
                    <w:sdtPr>
                      <w:alias w:val="Numeris"/>
                      <w:tag w:val="nr_f20e8376cdde4c56aa902dcd7894179f"/>
                      <w:lock w:val="sdtLocked"/>
                      <w:richText/>
                    </w:sdt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9e0e11239eec481aac9d4bacb52e0e63"/>
                    <w:lock w:val="sdtLocked"/>
                    <w:richText/>
                  </w:sdtPr>
                  <w:sdtContent>
                    <w:p>
                      <w:pPr>
                        <w:overflowPunct w:val="0"/>
                        <w:ind w:firstLine="312"/>
                        <w:jc w:val="both"/>
                        <w:rPr>
                          <w:sz w:val="22"/>
                          <w:szCs w:val="22"/>
                        </w:rPr>
                      </w:pPr>
                      <w:sdt>
                        <w:sdtPr>
                          <w:alias w:val="Numeris"/>
                          <w:tag w:val="nr_9e0e11239eec481aac9d4bacb52e0e63"/>
                          <w:lock w:val="sdtLocked"/>
                          <w:richText/>
                        </w:sdtPr>
                        <w:sdtContent>
                          <w:r>
                            <w:rPr>
                              <w:color w:val="000000" w:themeColor="text1"/>
                              <w:szCs w:val="24"/>
                            </w:rPr>
                            <w:t>50.2</w:t>
                          </w:r>
                        </w:sdtContent>
                      </w:sdt>
                      <w:r>
                        <w:rPr>
                          <w:color w:val="000000" w:themeColor="text1"/>
                          <w:szCs w:val="24"/>
                        </w:rPr>
                        <w:t xml:space="preserve">. daugiau nei 50 proc. ploto, kuriame veisiamas miškas, priskiriama prie vietovių, kuriose esama gamtinių ar kitų specifinių kliūčių, nustatytų </w:t>
                      </w:r>
                      <w:r>
                        <w:rPr>
                          <w:color w:val="000000" w:themeColor="text1"/>
                          <w:szCs w:val="24"/>
                          <w:shd w:val="clear" w:color="auto" w:fill="FFFFFF"/>
                        </w:rPr>
                        <w:t xml:space="preserve">Lietuvos Respublikos </w:t>
                      </w:r>
                      <w:r>
                        <w:rPr>
                          <w:color w:val="000000" w:themeColor="text1"/>
                          <w:szCs w:val="24"/>
                        </w:rPr>
                        <w:t>žemės ūkio ministro 2015 m. balandžio 1 d. įsakyme Nr. 3D-245 „D</w:t>
                      </w:r>
                      <w:r>
                        <w:rPr>
                          <w:bCs/>
                          <w:color w:val="000000" w:themeColor="text1"/>
                          <w:szCs w:val="24"/>
                        </w:rPr>
                        <w:t>ėl Lietuvos kaimo plėtros 2014–2020 metų programos priemonės „Išmokos už vietoves, kuriose esama gamtinių ar kitų specifinių kliūčių</w:t>
                      </w:r>
                      <w:r>
                        <w:rPr>
                          <w:color w:val="000000" w:themeColor="text1"/>
                          <w:szCs w:val="24"/>
                        </w:rPr>
                        <w:t>“ įgyvendinimo taisyklių patvirtinimo</w:t>
                      </w:r>
                      <w:r>
                        <w:rPr>
                          <w:b/>
                          <w:bCs/>
                          <w:color w:val="000000" w:themeColor="text1"/>
                          <w:szCs w:val="24"/>
                        </w:rPr>
                        <w:t>“</w:t>
                      </w:r>
                      <w:r>
                        <w:rPr>
                          <w:color w:val="000000" w:themeColor="text1"/>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8e083699f01245ddaee59d5e4e12e588"/>
                    <w:lock w:val="sdtLocked"/>
                    <w:richText/>
                  </w:sdtPr>
                  <w:sdtContent>
                    <w:p>
                      <w:pPr>
                        <w:tabs>
                          <w:tab w:val="left" w:pos="426"/>
                        </w:tabs>
                        <w:overflowPunct w:val="0"/>
                        <w:ind w:firstLine="284"/>
                        <w:jc w:val="both"/>
                        <w:textAlignment w:val="baseline"/>
                        <w:rPr>
                          <w:bCs/>
                          <w:szCs w:val="24"/>
                        </w:rPr>
                      </w:pPr>
                      <w:sdt>
                        <w:sdtPr>
                          <w:alias w:val="Numeris"/>
                          <w:tag w:val="nr_8e083699f01245ddaee59d5e4e12e588"/>
                          <w:lock w:val="sdtLocked"/>
                          <w:richText/>
                        </w:sdtPr>
                        <w:sdtContent>
                          <w:r>
                            <w:rPr>
                              <w:szCs w:val="24"/>
                            </w:rPr>
                            <w:t>54.1</w:t>
                          </w:r>
                        </w:sdtContent>
                      </w:sdt>
                      <w:r>
                        <w:rPr>
                          <w:szCs w:val="24"/>
                        </w:rPr>
                        <w:t xml:space="preserve">. </w:t>
                      </w:r>
                      <w:r>
                        <w:rPr>
                          <w:bCs/>
                          <w:szCs w:val="24"/>
                        </w:rPr>
                        <w:t xml:space="preserve">miško veisimo išmokų dydžiai (taikytinos sumos ir paramos normos) taikomi </w:t>
                      </w:r>
                      <w:r>
                        <w:rPr>
                          <w:b/>
                          <w:szCs w:val="24"/>
                        </w:rPr>
                        <w:t xml:space="preserve">  </w:t>
                      </w:r>
                      <w:r>
                        <w:rPr>
                          <w:bCs/>
                          <w:szCs w:val="24"/>
                        </w:rPr>
                        <w:t>2020 (ir vėlesniaisiais) metais pateiktoms paramos paraiškoms;</w:t>
                      </w:r>
                    </w:p>
                  </w:sdtContent>
                </w:sdt>
                <w:sdt>
                  <w:sdtPr>
                    <w:alias w:val="54.2 pp."/>
                    <w:tag w:val="part_b2803a713e15438084c3569479dd4ec5"/>
                    <w:lock w:val="sdtLocked"/>
                    <w:richText/>
                  </w:sdtPr>
                  <w:sdtContent>
                    <w:p>
                      <w:pPr>
                        <w:tabs>
                          <w:tab w:val="left" w:pos="426"/>
                        </w:tabs>
                        <w:overflowPunct w:val="0"/>
                        <w:ind w:firstLine="284"/>
                        <w:jc w:val="both"/>
                        <w:textAlignment w:val="baseline"/>
                        <w:rPr>
                          <w:szCs w:val="24"/>
                        </w:rPr>
                      </w:pPr>
                      <w:sdt>
                        <w:sdtPr>
                          <w:alias w:val="Numeris"/>
                          <w:tag w:val="nr_b2803a713e15438084c3569479dd4ec5"/>
                          <w:lock w:val="sdtLocked"/>
                          <w:richText/>
                        </w:sdtPr>
                        <w:sdtContent>
                          <w:r>
                            <w:rPr>
                              <w:bCs/>
                              <w:szCs w:val="24"/>
                            </w:rPr>
                            <w:t>54.2</w:t>
                          </w:r>
                        </w:sdtContent>
                      </w:sdt>
                      <w:r>
                        <w:rPr>
                          <w:bCs/>
                          <w:szCs w:val="24"/>
                        </w:rPr>
                        <w:t>. į</w:t>
                      </w:r>
                      <w:r>
                        <w:rPr>
                          <w:bCs/>
                          <w:color w:val="000000"/>
                          <w:szCs w:val="24"/>
                        </w:rPr>
                        <w:t xml:space="preserve">veisto miško priežiūros, apsaugos ir ugdymo išmokų dydžiai (taikytinos sumos ir paramos normos) taikomi už </w:t>
                      </w:r>
                      <w:r>
                        <w:rPr>
                          <w:bCs/>
                          <w:szCs w:val="24"/>
                        </w:rPr>
                        <w:t>2020</w:t>
                      </w:r>
                      <w:r>
                        <w:rPr>
                          <w:b/>
                          <w:szCs w:val="24"/>
                        </w:rPr>
                        <w:t xml:space="preserve"> </w:t>
                      </w:r>
                      <w:r>
                        <w:rPr>
                          <w:bCs/>
                          <w:color w:val="000000"/>
                          <w:szCs w:val="24"/>
                        </w:rPr>
                        <w:t>(ir vėlesnius) metus mokamoms kasmetinėms kompensacinėms išmokoms, nepriklausomai nuo paramos paraiškos pateikimo ir miško įveisimo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ab22620f30b44278fee8cd2d7beb8e7"/>
                <w:lock w:val="sdtLocked"/>
                <w:richText/>
              </w:sdtPr>
              <w:sdtContent>
                <w:p>
                  <w:pPr>
                    <w:suppressAutoHyphens/>
                    <w:overflowPunct w:val="0"/>
                    <w:ind w:firstLine="426"/>
                    <w:jc w:val="both"/>
                    <w:textAlignment w:val="center"/>
                    <w:rPr>
                      <w:color w:val="000000"/>
                      <w:sz w:val="22"/>
                      <w:szCs w:val="22"/>
                    </w:rPr>
                  </w:pPr>
                  <w:sdt>
                    <w:sdtPr>
                      <w:alias w:val="Numeris"/>
                      <w:tag w:val="nr_0ab22620f30b44278fee8cd2d7beb8e7"/>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29f2f0918e164573b80c53933deaf147"/>
                <w:lock w:val="sdtLocked"/>
                <w:richText/>
              </w:sdtPr>
              <w:sdtContent>
                <w:p>
                  <w:pPr>
                    <w:suppressAutoHyphens/>
                    <w:overflowPunct w:val="0"/>
                    <w:ind w:firstLine="284"/>
                    <w:jc w:val="both"/>
                    <w:textAlignment w:val="center"/>
                    <w:rPr>
                      <w:color w:val="000000"/>
                      <w:szCs w:val="24"/>
                    </w:rPr>
                  </w:pPr>
                  <w:sdt>
                    <w:sdtPr>
                      <w:alias w:val="Numeris"/>
                      <w:tag w:val="nr_29f2f0918e164573b80c53933deaf147"/>
                      <w:lock w:val="sdtLocked"/>
                      <w:richText/>
                    </w:sdtPr>
                    <w:sdtContent>
                      <w:r>
                        <w:rPr>
                          <w:szCs w:val="24"/>
                        </w:rPr>
                        <w:t>58</w:t>
                      </w:r>
                    </w:sdtContent>
                  </w:sdt>
                  <w:r>
                    <w:rPr>
                      <w:szCs w:val="24"/>
                    </w:rPr>
                    <w:t xml:space="preserve">. Paramos gavėjui Agentūrai pateikus Pagrindinius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Miškų ūkio priežiūros skyriaus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59 p."/>
                <w:tag w:val="part_3c92d1a23cd44b6c98b3414ecac438ab"/>
                <w:lock w:val="sdtLocked"/>
                <w:richText/>
              </w:sdtPr>
              <w:sdtContent>
                <w:p>
                  <w:pPr>
                    <w:overflowPunct w:val="0"/>
                    <w:ind w:firstLine="312"/>
                    <w:jc w:val="both"/>
                    <w:rPr>
                      <w:color w:val="000000"/>
                      <w:szCs w:val="24"/>
                    </w:rPr>
                  </w:pPr>
                  <w:sdt>
                    <w:sdtPr>
                      <w:alias w:val="Numeris"/>
                      <w:tag w:val="nr_3c92d1a23cd44b6c98b3414ecac438ab"/>
                      <w:lock w:val="sdtLocked"/>
                      <w:richText/>
                    </w:sdtPr>
                    <w:sdtContent>
                      <w:r>
                        <w:rPr>
                          <w:color w:val="000000" w:themeColor="text1"/>
                          <w:szCs w:val="24"/>
                        </w:rPr>
                        <w:t>59</w:t>
                      </w:r>
                    </w:sdtContent>
                  </w:sdt>
                  <w:r>
                    <w:rPr>
                      <w:color w:val="000000" w:themeColor="text1"/>
                      <w:szCs w:val="24"/>
                    </w:rPr>
                    <w:t>. Parama skiriama nepažeidžiant valstybės pagalbos reikalavimų, vadovaujantis 2013 m. gruodžio 18 d. Komisijos reglamentu (ES) Nr. 1407/2013 dėl Sutarties veikimo 107 ir 108 straipsnių taikymo nereikšmingai (</w:t>
                  </w:r>
                  <w:r>
                    <w:rPr>
                      <w:i/>
                      <w:iCs/>
                      <w:color w:val="000000" w:themeColor="text1"/>
                      <w:szCs w:val="24"/>
                    </w:rPr>
                    <w:t>de minimis)</w:t>
                  </w:r>
                  <w:r>
                    <w:rPr>
                      <w:color w:val="000000" w:themeColor="text1"/>
                      <w:szCs w:val="24"/>
                    </w:rPr>
                    <w:t xml:space="preserve"> pagalbai (taikoma paraiškoms ir kasmetinėms išmokoms). </w:t>
                  </w:r>
                  <w:r>
                    <w:rPr>
                      <w:bCs/>
                      <w:color w:val="000000" w:themeColor="text1"/>
                      <w:szCs w:val="24"/>
                    </w:rPr>
                    <w:t xml:space="preserve">Bendra pagalbos suma, skiriama tai pačiai įmonei, negali viršyti </w:t>
                  </w:r>
                  <w:r>
                    <w:rPr>
                      <w:color w:val="000000" w:themeColor="text1"/>
                      <w:szCs w:val="24"/>
                    </w:rPr>
                    <w:t>200 000 Eur (du šimtai tūkstančių eurų)</w:t>
                  </w:r>
                  <w:r>
                    <w:rPr>
                      <w:bCs/>
                      <w:color w:val="000000" w:themeColor="text1"/>
                      <w:szCs w:val="24"/>
                    </w:rPr>
                    <w:t xml:space="preserve"> per trejų fiskalinių metų laikotarpį.</w:t>
                  </w:r>
                  <w:r>
                    <w:rPr>
                      <w:color w:val="000000" w:themeColor="text1"/>
                      <w:szCs w:val="24"/>
                    </w:rPr>
                    <w:t xml:space="preserve"> </w:t>
                  </w:r>
                  <w:r>
                    <w:rPr>
                      <w:color w:val="000000" w:themeColor="text1"/>
                    </w:rPr>
                    <w:t>Jei pareiškėjui suteikus apskaičiuotą nereikšmingos (</w:t>
                  </w:r>
                  <w:r>
                    <w:rPr>
                      <w:i/>
                      <w:iCs/>
                      <w:color w:val="000000" w:themeColor="text1"/>
                    </w:rPr>
                    <w:t>de minimis</w:t>
                  </w:r>
                  <w:r>
                    <w:rPr>
                      <w:color w:val="000000" w:themeColor="text1"/>
                    </w:rPr>
                    <w:t>) pagalbos sumą būtų viršyta šiame punkte nurodyta nereikšminga (</w:t>
                  </w:r>
                  <w:r>
                    <w:rPr>
                      <w:i/>
                      <w:iCs/>
                      <w:color w:val="000000" w:themeColor="text1"/>
                    </w:rPr>
                    <w:t>de minimis</w:t>
                  </w:r>
                  <w:r>
                    <w:rPr>
                      <w:color w:val="000000" w:themeColor="text1"/>
                    </w:rPr>
                    <w:t>) pagalbos suma, priimant sprendimą dėl pagalbos suteikimo apskaičiuota pagalbos suma sumažinama tiek, kad pirmiau nurodyta riba nebūtų viršyta.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4a317d9c64fa40b4aa7b55212bd04e31"/>
                <w:lock w:val="sdtLocked"/>
                <w:richText/>
              </w:sdtPr>
              <w:sdtContent>
                <w:p>
                  <w:pPr>
                    <w:suppressAutoHyphens/>
                    <w:ind w:firstLine="284"/>
                    <w:jc w:val="both"/>
                    <w:textAlignment w:val="center"/>
                    <w:rPr>
                      <w:color w:val="000000"/>
                      <w:sz w:val="22"/>
                      <w:szCs w:val="22"/>
                    </w:rPr>
                  </w:pPr>
                  <w:sdt>
                    <w:sdtPr>
                      <w:alias w:val="Numeris"/>
                      <w:tag w:val="nr_4a317d9c64fa40b4aa7b55212bd04e31"/>
                      <w:lock w:val="sdtLocked"/>
                      <w:richText/>
                    </w:sdtPr>
                    <w:sdtContent>
                      <w:r>
                        <w:rPr>
                          <w:color w:val="000000"/>
                          <w:sz w:val="22"/>
                          <w:szCs w:val="22"/>
                          <w:lang w:eastAsia="lt-LT"/>
                        </w:rPr>
                        <w:t>65</w:t>
                      </w:r>
                    </w:sdtContent>
                  </w:sdt>
                  <w:r>
                    <w:rPr>
                      <w:color w:val="000000"/>
                      <w:sz w:val="22"/>
                      <w:szCs w:val="22"/>
                      <w:lang w:eastAsia="lt-LT"/>
                    </w:rPr>
                    <w:t>. Projektas gali būti tikslinamas iki želdinių ir žėlinių kokybės vertinimo, vėlesni pakeitimai negalimi (išskyrus atvejus, kai, atlikus įveisto miško ploto kadastrinius matavimus, tikslinamas įveisto miško plotas</w:t>
                  </w:r>
                  <w:r>
                    <w:rPr>
                      <w:color w:val="000000"/>
                      <w:sz w:val="22"/>
                      <w:szCs w:val="22"/>
                      <w:lang w:val="en-US" w:eastAsia="lt-LT"/>
                    </w:rPr>
                    <w:t xml:space="preserve"> </w:t>
                  </w:r>
                  <w:r>
                    <w:rPr>
                      <w:color w:val="000000"/>
                      <w:sz w:val="22"/>
                      <w:szCs w:val="22"/>
                      <w:lang w:eastAsia="lt-LT"/>
                    </w:rPr>
                    <w:t xml:space="preserve">arba tikslinamas projektas, VMT pareigūnams nustačius, kad projektuotos medžių rūšys negali augti dėl netinkamų augavietės sąlygų).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sz w:val="22"/>
                      <w:szCs w:val="22"/>
                      <w:lang w:eastAsia="lt-LT"/>
                    </w:rPr>
                    <w:t>force majeure</w:t>
                  </w:r>
                  <w:r>
                    <w:rPr>
                      <w:color w:val="000000"/>
                      <w:sz w:val="22"/>
                      <w:szCs w:val="22"/>
                      <w:lang w:eastAsia="lt-LT"/>
                    </w:rPr>
                    <w:t xml:space="preserve"> aplinkybių). Projektas ar jo patikslinti duomenys turi būti nustatyta tvarka patvirtinti VĮ Valstybinių miškų urėdijos regioninio padalinio vadovo</w:t>
                  </w:r>
                  <w:r>
                    <w:rPr>
                      <w:color w:val="000000"/>
                      <w:sz w:val="22"/>
                      <w:szCs w:val="22"/>
                      <w:lang w:val="en-US" w:eastAsia="lt-LT"/>
                    </w:rPr>
                    <w:t xml:space="preserve"> </w:t>
                  </w:r>
                  <w:r>
                    <w:rPr>
                      <w:color w:val="000000"/>
                      <w:sz w:val="22"/>
                      <w:szCs w:val="22"/>
                      <w:lang w:eastAsia="lt-LT"/>
                    </w:rPr>
                    <w:t>ar jo įgalioto valstybinio miškų pareigūno.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f3489688756f456aabe21492f67e926d"/>
                <w:lock w:val="sdtLocked"/>
                <w:richText/>
              </w:sdtPr>
              <w:sdtContent>
                <w:p>
                  <w:pPr>
                    <w:suppressAutoHyphens/>
                    <w:spacing w:line="278" w:lineRule="auto"/>
                    <w:ind w:firstLine="312"/>
                    <w:jc w:val="both"/>
                    <w:textAlignment w:val="center"/>
                    <w:rPr>
                      <w:szCs w:val="24"/>
                    </w:rPr>
                  </w:pPr>
                  <w:sdt>
                    <w:sdtPr>
                      <w:alias w:val="Numeris"/>
                      <w:tag w:val="nr_f3489688756f456aabe21492f67e926d"/>
                      <w:lock w:val="sdtLocked"/>
                      <w:richText/>
                    </w:sdtPr>
                    <w:sdtContent>
                      <w:r>
                        <w:rPr>
                          <w:szCs w:val="24"/>
                        </w:rPr>
                        <w:t>70</w:t>
                      </w:r>
                    </w:sdtContent>
                  </w:sdt>
                  <w:r>
                    <w:rPr>
                      <w:szCs w:val="24"/>
                    </w:rPr>
                    <w:t xml:space="preserve">. VMT Miškų ūkio priežiūros skyriaus valstybiniai miškų pareigūnai įveistame miške pagal Agentūros atliktą įveistų plotų atranką gali vykdyti šiuos patikrinimus: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c65fc6ce4a8b444ba18696fda97dc66e"/>
                    <w:lock w:val="sdtLocked"/>
                    <w:richText/>
                  </w:sdtPr>
                  <w:sdtContent>
                    <w:p>
                      <w:pPr>
                        <w:suppressAutoHyphens/>
                        <w:spacing w:line="278" w:lineRule="auto"/>
                        <w:ind w:firstLine="312"/>
                        <w:jc w:val="both"/>
                        <w:textAlignment w:val="center"/>
                        <w:rPr>
                          <w:szCs w:val="24"/>
                        </w:rPr>
                      </w:pPr>
                      <w:sdt>
                        <w:sdtPr>
                          <w:alias w:val="Numeris"/>
                          <w:tag w:val="nr_c65fc6ce4a8b444ba18696fda97dc66e"/>
                          <w:lock w:val="sdtLocked"/>
                          <w:richText/>
                        </w:sdtPr>
                        <w:sdtContent>
                          <w:r>
                            <w:rPr>
                              <w:szCs w:val="24"/>
                            </w:rPr>
                            <w:t>70.3</w:t>
                          </w:r>
                        </w:sdtContent>
                      </w:sdt>
                      <w:r>
                        <w:rPr>
                          <w:szCs w:val="24"/>
                        </w:rPr>
                        <w:t>. miško žėlinių, kuriuose papildomai želdinti nereikia,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a402773490f748b88d0c2038c2ca277e"/>
                <w:lock w:val="sdtLocked"/>
                <w:richText/>
              </w:sdtPr>
              <w:sdtContent>
                <w:p>
                  <w:pPr>
                    <w:overflowPunct w:val="0"/>
                    <w:ind w:firstLine="284"/>
                    <w:jc w:val="both"/>
                    <w:textAlignment w:val="baseline"/>
                    <w:rPr>
                      <w:spacing w:val="-1"/>
                      <w:szCs w:val="24"/>
                    </w:rPr>
                  </w:pPr>
                  <w:sdt>
                    <w:sdtPr>
                      <w:alias w:val="Numeris"/>
                      <w:tag w:val="nr_a402773490f748b88d0c2038c2ca277e"/>
                      <w:lock w:val="sdtLocked"/>
                      <w:richText/>
                    </w:sdtPr>
                    <w:sdtContent>
                      <w:r>
                        <w:rPr>
                          <w:szCs w:val="24"/>
                        </w:rPr>
                        <w:t>71</w:t>
                      </w:r>
                    </w:sdtContent>
                  </w:sdt>
                  <w:r>
                    <w:rPr>
                      <w:szCs w:val="24"/>
                    </w:rPr>
                    <w:t xml:space="preserve">. Septintaisiais miško želdinių augimo metais VMT Miškų ūkio priežiūros skyriaus valstybiniai miškų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36abe508d1e4bfb8c02b1f85f9f3349"/>
                    <w:lock w:val="sdtLocked"/>
                    <w:richText/>
                  </w:sdtPr>
                  <w:sdtContent>
                    <w:p>
                      <w:pPr>
                        <w:overflowPunct w:val="0"/>
                        <w:ind w:firstLine="284"/>
                        <w:jc w:val="both"/>
                        <w:textAlignment w:val="baseline"/>
                        <w:rPr>
                          <w:szCs w:val="24"/>
                        </w:rPr>
                      </w:pPr>
                      <w:sdt>
                        <w:sdtPr>
                          <w:alias w:val="Numeris"/>
                          <w:tag w:val="nr_736abe508d1e4bfb8c02b1f85f9f3349"/>
                          <w:lock w:val="sdtLocked"/>
                          <w:richText/>
                        </w:sdtPr>
                        <w:sdtContent>
                          <w:r>
                            <w:rPr>
                              <w:szCs w:val="24"/>
                            </w:rPr>
                            <w:t>72.6</w:t>
                          </w:r>
                        </w:sdtContent>
                      </w:sdt>
                      <w:r>
                        <w:rPr>
                          <w:szCs w:val="24"/>
                        </w:rPr>
                        <w:t>.</w:t>
                      </w:r>
                      <w:r>
                        <w:rPr>
                          <w:spacing w:val="-3"/>
                          <w:szCs w:val="24"/>
                        </w:rPr>
                        <w:t xml:space="preserve"> VMT Miškų ūkio priežiūros skyriaus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c4b175b850b74f1aafbff3fcc0531088"/>
                        <w:lock w:val="sdtLocked"/>
                        <w:richText/>
                      </w:sdtPr>
                      <w:sdtContent>
                        <w:p>
                          <w:pPr>
                            <w:overflowPunct w:val="0"/>
                            <w:ind w:firstLine="284"/>
                            <w:jc w:val="both"/>
                            <w:textAlignment w:val="baseline"/>
                            <w:rPr>
                              <w:szCs w:val="24"/>
                            </w:rPr>
                          </w:pPr>
                          <w:sdt>
                            <w:sdtPr>
                              <w:alias w:val="Numeris"/>
                              <w:tag w:val="nr_c4b175b850b74f1aafbff3fcc0531088"/>
                              <w:lock w:val="sdtLocked"/>
                              <w:richText/>
                            </w:sdtPr>
                            <w:sdtContent>
                              <w:r>
                                <w:rPr>
                                  <w:szCs w:val="24"/>
                                </w:rPr>
                                <w:t>72.7.1</w:t>
                              </w:r>
                            </w:sdtContent>
                          </w:sdt>
                          <w:r>
                            <w:rPr>
                              <w:szCs w:val="24"/>
                            </w:rPr>
                            <w:t xml:space="preserve">. jei VMT Miškų ūkio priežiūros skyriaus valstybiniai miškų pareigūnai želdinių ir žėlinių </w:t>
                          </w:r>
                          <w:r>
                            <w:rPr>
                              <w:spacing w:val="-2"/>
                              <w:szCs w:val="24"/>
                            </w:rPr>
                            <w:t>apskaitos</w:t>
                          </w:r>
                          <w:r>
                            <w:rPr>
                              <w:szCs w:val="24"/>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2 p."/>
                        <w:tag w:val="part_5ece4c22072345fc94568be66d8ba737"/>
                        <w:lock w:val="sdtLocked"/>
                        <w:richText/>
                      </w:sdtPr>
                      <w:sdtContent>
                        <w:p>
                          <w:pPr>
                            <w:overflowPunct w:val="0"/>
                            <w:ind w:firstLine="312"/>
                            <w:jc w:val="both"/>
                            <w:rPr>
                              <w:szCs w:val="24"/>
                            </w:rPr>
                          </w:pPr>
                          <w:sdt>
                            <w:sdtPr>
                              <w:alias w:val="Numeris"/>
                              <w:tag w:val="nr_5ece4c22072345fc94568be66d8ba737"/>
                              <w:lock w:val="sdtLocked"/>
                              <w:richText/>
                            </w:sdtPr>
                            <w:sdtContent>
                              <w:r>
                                <w:rPr>
                                  <w:color w:val="000000" w:themeColor="text1"/>
                                </w:rPr>
                                <w:t>72.7.2</w:t>
                              </w:r>
                            </w:sdtContent>
                          </w:sdt>
                          <w:r>
                            <w:rPr>
                              <w:color w:val="000000" w:themeColor="text1"/>
                            </w:rPr>
                            <w:t xml:space="preserve">. jei paramos gavėjas per tris artimiausius želdinimo sezonus nuo želdinių ir žėlinių apskaitos atlikimo dienos po to, kai buvo nustatyta, kad reikia atsodinti žuvusius želdinius ir (arba) žėlinius </w:t>
                          </w:r>
                          <w:r>
                            <w:rPr>
                              <w:color w:val="000000" w:themeColor="text1"/>
                              <w:szCs w:val="24"/>
                            </w:rPr>
                            <w:t>(kai apskaita atlikta pirmaisiais želdinių augimo metais), taip pat, jei paramos gavėjas iki metų, kuriais baigiasi Miško atkūrimo ir įveisimo nuostatų 21 punkte nustatytas želdinių ar žėlinių atsodinimo terminas, gruodžio 15 d. (kai apskaita atlikta trečiaisiais želdinių ir (arba) žėlinių augimo metais)</w:t>
                          </w:r>
                          <w:r>
                            <w:rPr>
                              <w:color w:val="000000" w:themeColor="text1"/>
                            </w:rPr>
                            <w:t>, neatsodino Pažymoje apie miško želdinių ir žėlinių apskaitą nurodytų žuvusių medelių ir šiose Taisyklėse numatyta tvarka nepateikė atsodinti panaudotų sodmenų Pagrindinių miško dauginamosios medžiagos kilmės sertifikatų </w:t>
                          </w:r>
                          <w:r>
                            <w:rPr>
                              <w:color w:val="000000" w:themeColor="text1"/>
                              <w:spacing w:val="-6"/>
                            </w:rPr>
                            <w:t>ar miško dauginamosios medžiagos savininko (pardavėjo) patvirtintų šių sertifikatų</w:t>
                          </w:r>
                          <w:r>
                            <w:rPr>
                              <w:color w:val="000000" w:themeColor="text1"/>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a61271012b674040a66bc663870649d4"/>
                        <w:lock w:val="sdtLocked"/>
                        <w:richText/>
                      </w:sdtPr>
                      <w:sdtContent>
                        <w:p>
                          <w:pPr>
                            <w:tabs>
                              <w:tab w:val="left" w:pos="426"/>
                            </w:tabs>
                            <w:overflowPunct w:val="0"/>
                            <w:ind w:firstLine="284"/>
                            <w:jc w:val="both"/>
                            <w:textAlignment w:val="baseline"/>
                            <w:rPr>
                              <w:szCs w:val="24"/>
                            </w:rPr>
                          </w:pPr>
                          <w:sdt>
                            <w:sdtPr>
                              <w:alias w:val="Numeris"/>
                              <w:tag w:val="nr_a61271012b674040a66bc663870649d4"/>
                              <w:lock w:val="sdtLocked"/>
                              <w:richText/>
                            </w:sdtPr>
                            <w:sdtContent>
                              <w:r>
                                <w:rPr>
                                  <w:szCs w:val="24"/>
                                </w:rPr>
                                <w:t>72.7.4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Miškų ūkio priežiūros skyriaus valstybiniai miškų pareigūnai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ūkio priežiūros skyriaus valstybinių miškų pareigūnų nustatytą miško želdinių ir (arba) žėlinių rūšinę sudėtį. Toliau miško priežiūros, apsaugos ir ugdymo išmokos mokamos pagal VMT Miškų ūkio priežiūros skyriaus valstybinių miškų pareigūnų nustatytą miško želdinių ir (arba) žėlinių rūšinę sudėtį, jei pagal tokią rūšinę sudėtį išmoka mažesnė;</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a42980b848d5424fbc980987e832e1b2"/>
                        <w:lock w:val="sdtLocked"/>
                        <w:richText/>
                      </w:sdtPr>
                      <w:sdtContent>
                        <w:p>
                          <w:pPr>
                            <w:overflowPunct w:val="0"/>
                            <w:ind w:firstLine="284"/>
                            <w:jc w:val="both"/>
                            <w:textAlignment w:val="baseline"/>
                            <w:rPr>
                              <w:szCs w:val="24"/>
                            </w:rPr>
                          </w:pPr>
                          <w:sdt>
                            <w:sdtPr>
                              <w:alias w:val="Numeris"/>
                              <w:tag w:val="nr_a42980b848d5424fbc980987e832e1b2"/>
                              <w:lock w:val="sdtLocked"/>
                              <w:richText/>
                            </w:sdtPr>
                            <w:sdtContent>
                              <w:r>
                                <w:rPr>
                                  <w:szCs w:val="24"/>
                                </w:rPr>
                                <w:t>72.8.1</w:t>
                              </w:r>
                            </w:sdtContent>
                          </w:sdt>
                          <w:r>
                            <w:rPr>
                              <w:szCs w:val="24"/>
                            </w:rPr>
                            <w:t>.</w:t>
                          </w:r>
                          <w:r>
                            <w:rPr>
                              <w:color w:val="000000"/>
                              <w:szCs w:val="24"/>
                              <w:lang w:eastAsia="lt-LT"/>
                            </w:rPr>
                            <w:t xml:space="preserve"> jei VMT Miškų ūkio priežiūros skyriaus valstybiniai miškų pareigūnai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Miškų ūkio priežiūros skyriaus valstybiniai miškų pareigūnai pateikia nurodymus projekte suprojektuotoms ir netinkamai atliktoms miško želdinių ir (arba) žėlinių apsaugos ir (arba) priežiūros priemonėms įvykdyti, privaloma grąžinti 10 proc. miško įveisimo išmokos;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2 p."/>
                        <w:tag w:val="part_5817e6e305bc45959855da1cdbd66c93"/>
                        <w:lock w:val="sdtLocked"/>
                        <w:richText/>
                      </w:sdtPr>
                      <w:sdtContent>
                        <w:p>
                          <w:pPr>
                            <w:overflowPunct w:val="0"/>
                            <w:ind w:firstLine="312"/>
                            <w:jc w:val="both"/>
                            <w:rPr>
                              <w:sz w:val="22"/>
                              <w:szCs w:val="22"/>
                            </w:rPr>
                          </w:pPr>
                          <w:sdt>
                            <w:sdtPr>
                              <w:alias w:val="Numeris"/>
                              <w:tag w:val="nr_5817e6e305bc45959855da1cdbd66c93"/>
                              <w:lock w:val="sdtLocked"/>
                              <w:richText/>
                            </w:sdtPr>
                            <w:sdtContent>
                              <w:r>
                                <w:rPr>
                                  <w:color w:val="000000" w:themeColor="text1"/>
                                  <w:szCs w:val="24"/>
                                </w:rPr>
                                <w:t>72.8.2</w:t>
                              </w:r>
                            </w:sdtContent>
                          </w:sdt>
                          <w:r>
                            <w:rPr>
                              <w:color w:val="000000" w:themeColor="text1"/>
                              <w:szCs w:val="24"/>
                            </w:rPr>
                            <w:t>. jei paramos gavėjas per tris artimiausius miško želdinimo sezonus nuo želdinių ir žėlinių apskaitos atlikimo dienos, kai buvo nustatyta, kad reikia atsodinti žuvusius želdinius (kai apskaita atlikta pirmaisiais želdinių augimo metais), taip pat, jei paramos gavėjas iki metų, kuriais baigiasi Miško atkūrimo ir įveisimo nuostatų 21 punkte</w:t>
                          </w:r>
                          <w:r>
                            <w:rPr>
                              <w:b/>
                              <w:bCs/>
                              <w:color w:val="000000" w:themeColor="text1"/>
                              <w:szCs w:val="24"/>
                            </w:rPr>
                            <w:t xml:space="preserve"> </w:t>
                          </w:r>
                          <w:r>
                            <w:rPr>
                              <w:color w:val="000000" w:themeColor="text1"/>
                              <w:szCs w:val="24"/>
                            </w:rPr>
                            <w:t xml:space="preserve">nustatytas želdinių ar žėlinių atsodinimo terminas, gruodžio 15 d. (kai apskaita atlikta trečiaisiais želdinių augimo metais), neatsodino Pažymoje apie miško želdinių ir žėlinių apskaitą nurodytų žuvusių medžių ir šiose Taisyklėse numatyta tvarka nepateikė sodmenų, kuriais atsodintas miškas, Pagrindinių miško dauginamosios medžiagos kilmės sertifikatų </w:t>
                          </w:r>
                          <w:r>
                            <w:rPr>
                              <w:color w:val="000000" w:themeColor="text1"/>
                              <w:spacing w:val="-6"/>
                              <w:szCs w:val="24"/>
                            </w:rPr>
                            <w:t>ar miško dauginamosios medžiagos savininko (pardavėjo) patvirtintų šių sertifikatų</w:t>
                          </w:r>
                          <w:r>
                            <w:rPr>
                              <w:color w:val="000000" w:themeColor="text1"/>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eed9a0c6f350469a98717c1e9cbf523a"/>
                        <w:lock w:val="sdtLocked"/>
                        <w:richText/>
                      </w:sdtPr>
                      <w:sdtContent>
                        <w:p>
                          <w:pPr>
                            <w:overflowPunct w:val="0"/>
                            <w:ind w:firstLine="284"/>
                            <w:jc w:val="both"/>
                            <w:textAlignment w:val="baseline"/>
                            <w:rPr>
                              <w:szCs w:val="24"/>
                            </w:rPr>
                          </w:pPr>
                          <w:sdt>
                            <w:sdtPr>
                              <w:alias w:val="Numeris"/>
                              <w:tag w:val="nr_eed9a0c6f350469a98717c1e9cbf523a"/>
                              <w:lock w:val="sdtLocked"/>
                              <w:richText/>
                            </w:sdtPr>
                            <w:sdtContent>
                              <w:r>
                                <w:rPr>
                                  <w:szCs w:val="24"/>
                                </w:rPr>
                                <w:t>72.8.4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Miškų ūkio priežiūros skyriaus valstybiniai miškų pareigūnai miško želdinių ir (arba) žėlinių rūšinę sudėtį įvertina „blogai“, paramos gavėjas turi sugrąžinti miško įveisimo išmokos skirtumą, kuris apskaičiuojamas iš paramos gavėjui išmokėtos miško įveisimo išmokos atėmus sumą, apskaičiuotą pagal VMT Miškų ūkio priežiūros skyriaus valstybinių miškų pareigūnų nustatytą miško želdinių ir (arba) žėlinių rūšinę sudėtį;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7a55af4a23d488fb57f06b70bb26bb0"/>
                    <w:lock w:val="sdtLocked"/>
                    <w:richText/>
                  </w:sdtPr>
                  <w:sdtContent>
                    <w:p>
                      <w:pPr>
                        <w:overflowPunct w:val="0"/>
                        <w:ind w:firstLine="284"/>
                        <w:jc w:val="both"/>
                        <w:textAlignment w:val="baseline"/>
                        <w:rPr>
                          <w:szCs w:val="24"/>
                        </w:rPr>
                      </w:pPr>
                      <w:sdt>
                        <w:sdtPr>
                          <w:alias w:val="Numeris"/>
                          <w:tag w:val="nr_97a55af4a23d488fb57f06b70bb26bb0"/>
                          <w:lock w:val="sdtLocked"/>
                          <w:richText/>
                        </w:sdtPr>
                        <w:sdtContent>
                          <w:r>
                            <w:rPr>
                              <w:szCs w:val="24"/>
                            </w:rPr>
                            <w:t>72.11</w:t>
                          </w:r>
                        </w:sdtContent>
                      </w:sdt>
                      <w:r>
                        <w:rPr>
                          <w:szCs w:val="24"/>
                        </w:rPr>
                        <w:t>.</w:t>
                      </w:r>
                      <w:r>
                        <w:rPr>
                          <w:color w:val="000000"/>
                          <w:szCs w:val="24"/>
                          <w:lang w:eastAsia="lt-LT"/>
                        </w:rPr>
                        <w:t xml:space="preserve"> </w:t>
                      </w:r>
                      <w:r>
                        <w:rPr>
                          <w:szCs w:val="24"/>
                        </w:rPr>
                        <w:t>jei VMT Miškų ūkio priežiūros skyriaus valstybiniai miškų pareigūnai teisės aktuose numatyta tvarka negali atlikti įveisto miško želdinimo darbų kokybės vertinimo, parama nemokama (</w:t>
                      </w:r>
                      <w:r>
                        <w:rPr>
                          <w:color w:val="000000"/>
                          <w:szCs w:val="24"/>
                        </w:rPr>
                        <w:t xml:space="preserve">paramos </w:t>
                      </w:r>
                      <w:r>
                        <w:rPr>
                          <w:szCs w:val="24"/>
                        </w:rPr>
                        <w:t xml:space="preserve">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60fa23ee701841d88ece37b9c2ed45d9"/>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Lietuvos kaimo plėtros 2014–2020 metų</w:t>
          </w:r>
        </w:p>
        <w:p>
          <w:pPr>
            <w:widowControl w:val="0"/>
            <w:spacing w:line="254" w:lineRule="auto"/>
            <w:ind w:left="4536"/>
            <w:rPr>
              <w:rFonts w:eastAsia="Calibri"/>
              <w:sz w:val="22"/>
              <w:szCs w:val="22"/>
            </w:rPr>
          </w:pPr>
          <w:r>
            <w:rPr>
              <w:rFonts w:eastAsia="Calibri"/>
              <w:sz w:val="22"/>
              <w:szCs w:val="22"/>
            </w:rPr>
            <w:t>programos priemonės „Investicijos į miško plotų</w:t>
          </w:r>
        </w:p>
        <w:p>
          <w:pPr>
            <w:widowControl w:val="0"/>
            <w:spacing w:line="254" w:lineRule="auto"/>
            <w:ind w:left="4536"/>
            <w:rPr>
              <w:rFonts w:eastAsia="Calibri"/>
              <w:sz w:val="22"/>
              <w:szCs w:val="22"/>
            </w:rPr>
          </w:pPr>
          <w:r>
            <w:rPr>
              <w:rFonts w:eastAsia="Calibri"/>
              <w:sz w:val="22"/>
              <w:szCs w:val="22"/>
            </w:rPr>
            <w:t>plėtrą ir miškų gyvybingumo gerinimą“ veiklos</w:t>
          </w:r>
        </w:p>
        <w:p>
          <w:pPr>
            <w:widowControl w:val="0"/>
            <w:spacing w:line="254" w:lineRule="auto"/>
            <w:ind w:left="4536"/>
            <w:rPr>
              <w:rFonts w:eastAsia="Calibri"/>
              <w:sz w:val="22"/>
              <w:szCs w:val="22"/>
            </w:rPr>
          </w:pPr>
          <w:r>
            <w:rPr>
              <w:rFonts w:eastAsia="Calibri"/>
              <w:sz w:val="22"/>
              <w:szCs w:val="22"/>
            </w:rPr>
            <w:t xml:space="preserve">srities „Miško veisimas“ įgyvendinimo taisyklių </w:t>
          </w:r>
        </w:p>
        <w:p>
          <w:pPr>
            <w:widowControl w:val="0"/>
            <w:spacing w:line="254" w:lineRule="auto"/>
            <w:ind w:left="4536"/>
            <w:rPr>
              <w:rFonts w:eastAsia="Calibri"/>
              <w:sz w:val="22"/>
              <w:szCs w:val="22"/>
            </w:rPr>
          </w:pPr>
          <w:sdt>
            <w:sdtPr>
              <w:alias w:val="Numeris"/>
              <w:tag w:val="nr_60fa23ee701841d88ece37b9c2ed45d9"/>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60fa23ee701841d88ece37b9c2ed45d9"/>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pPr>
                <w:r>
                  <w:rPr>
                    <w:caps/>
                    <w:color w:val="000000" w:themeColor="text1"/>
                    <w:lang w:val="en-GB"/>
                  </w:rPr>
                  <w:t>Žemės ūkio paramos departamentas</w:t>
                </w:r>
                <w:r>
                  <w:rPr>
                    <w:caps/>
                    <w:color w:val="000000" w:themeColor="text1"/>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spacing w:line="254" w:lineRule="auto"/>
                </w:pPr>
                <w:r>
                  <w:t>|_|_|_|_| |_|_| |_|_| |_|_|_|_|_|_|_|_|_|_|_|_|_|_|_|_|_|_|_|_|_|_|_|_|</w:t>
                </w:r>
              </w:p>
              <w:p>
                <w:pPr>
                  <w:spacing w:line="254" w:lineRule="auto"/>
                </w:pPr>
                <w: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spacing w:line="360" w:lineRule="auto"/>
                  <w:jc w:val="both"/>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spacing w:line="360" w:lineRule="auto"/>
                  <w:jc w:val="both"/>
                  <w:textAlignment w:val="baseline"/>
                  <w:rPr>
                    <w:rFonts w:eastAsia="Calibri"/>
                    <w:szCs w:val="24"/>
                  </w:rPr>
                </w:pPr>
              </w:p>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spacing w:line="360" w:lineRule="auto"/>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spacing w:line="360" w:lineRule="auto"/>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spacing w:line="360" w:lineRule="auto"/>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spacing w:line="360" w:lineRule="auto"/>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spacing w:line="360" w:lineRule="auto"/>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spacing w:line="360" w:lineRule="auto"/>
                  <w:jc w:val="both"/>
                  <w:textAlignment w:val="baseline"/>
                  <w:rPr>
                    <w:szCs w:val="24"/>
                  </w:rPr>
                </w:pPr>
              </w:p>
            </w:tc>
          </w:tr>
        </w:tbl>
        <w:p>
          <w:pPr>
            <w:rPr>
              <w:rFonts w:eastAsia="Calibri"/>
              <w:szCs w:val="14"/>
            </w:rPr>
          </w:pPr>
        </w:p>
        <w:p>
          <w:pPr>
            <w:widowControl w:val="0"/>
            <w:overflowPunct w:val="0"/>
            <w:spacing w:line="360" w:lineRule="auto"/>
            <w:jc w:val="center"/>
            <w:textAlignment w:val="baseline"/>
            <w:rPr>
              <w:szCs w:val="24"/>
            </w:rPr>
          </w:pPr>
          <w:r>
            <w:rPr>
              <w:szCs w:val="24"/>
            </w:rPr>
            <w:t>_________________________________</w:t>
          </w:r>
        </w:p>
        <w:p>
          <w:pPr>
            <w:widowControl w:val="0"/>
            <w:overflowPunct w:val="0"/>
            <w:spacing w:line="360" w:lineRule="auto"/>
            <w:jc w:val="center"/>
            <w:textAlignment w:val="baseline"/>
            <w:rPr>
              <w:szCs w:val="24"/>
            </w:rPr>
          </w:pPr>
          <w:r>
            <w:rPr>
              <w:szCs w:val="24"/>
            </w:rPr>
            <w:t>(dokumento sudarytojo pavadinimas)</w:t>
          </w:r>
        </w:p>
        <w:p>
          <w:pPr>
            <w:overflowPunct w:val="0"/>
            <w:spacing w:line="360" w:lineRule="auto"/>
            <w:jc w:val="both"/>
            <w:textAlignment w:val="baseline"/>
            <w:rPr>
              <w:rFonts w:eastAsia="Calibri"/>
              <w:szCs w:val="24"/>
            </w:rPr>
          </w:pPr>
        </w:p>
        <w:p>
          <w:pPr>
            <w:widowControl w:val="0"/>
            <w:overflowPunct w:val="0"/>
            <w:spacing w:line="360" w:lineRule="auto"/>
            <w:jc w:val="both"/>
            <w:textAlignment w:val="baseline"/>
            <w:rPr>
              <w:szCs w:val="24"/>
            </w:rPr>
          </w:pPr>
          <w:r>
            <w:rPr>
              <w:szCs w:val="24"/>
            </w:rPr>
            <w:t>Nacionalinės mokėjimo agentūros prie Žemės ūkio ministerijos</w:t>
          </w:r>
        </w:p>
        <w:p>
          <w:pPr>
            <w:widowControl w:val="0"/>
            <w:overflowPunct w:val="0"/>
            <w:spacing w:line="360" w:lineRule="auto"/>
            <w:jc w:val="both"/>
            <w:textAlignment w:val="baseline"/>
            <w:rPr>
              <w:szCs w:val="24"/>
            </w:rPr>
          </w:pPr>
          <w:r>
            <w:rPr>
              <w:color w:val="000000" w:themeColor="text1"/>
            </w:rPr>
            <w:t>Žemės ūkio paramos departamentui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overflowPunct w:val="0"/>
            <w:spacing w:line="254" w:lineRule="auto"/>
            <w:jc w:val="both"/>
            <w:textAlignment w:val="baseline"/>
            <w:rPr>
              <w:b/>
              <w:szCs w:val="24"/>
              <w:lang w:val="en-GB"/>
            </w:rPr>
          </w:pPr>
          <w:r>
            <w:rPr>
              <w:b/>
              <w:lang w:val="en-GB"/>
            </w:rPr>
            <w:t xml:space="preserve">I. </w:t>
          </w:r>
          <w:r>
            <w:rPr>
              <w:b/>
              <w:szCs w:val="24"/>
              <w:lang w:val="en-GB"/>
            </w:rPr>
            <w:t>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widowControl w:val="0"/>
                  <w:tabs>
                    <w:tab w:val="center" w:pos="4464"/>
                  </w:tabs>
                  <w:overflowPunct w:val="0"/>
                  <w:spacing w:line="254" w:lineRule="auto"/>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spacing w:line="254" w:lineRule="auto"/>
                  <w:jc w:val="both"/>
                  <w:textAlignment w:val="baseline"/>
                  <w:rPr>
                    <w:b/>
                    <w:szCs w:val="24"/>
                    <w:lang w:val="en-GB"/>
                  </w:rPr>
                </w:pPr>
                <w:r>
                  <w:rPr>
                    <w:b/>
                    <w:szCs w:val="24"/>
                    <w:lang w:val="en-GB"/>
                  </w:rPr>
                  <w:t>Gyvenamosios vietos adresas / buveinė:</w:t>
                </w:r>
              </w:p>
              <w:p>
                <w:pPr>
                  <w:widowControl w:val="0"/>
                  <w:overflowPunct w:val="0"/>
                  <w:spacing w:line="254" w:lineRule="auto"/>
                  <w:jc w:val="both"/>
                  <w:textAlignment w:val="baseline"/>
                  <w:rPr>
                    <w:i/>
                    <w:iCs/>
                    <w:szCs w:val="24"/>
                    <w:lang w:val="en-GB"/>
                  </w:rPr>
                </w:pPr>
              </w:p>
              <w:p>
                <w:pPr>
                  <w:widowControl w:val="0"/>
                  <w:overflowPunct w:val="0"/>
                  <w:spacing w:line="254" w:lineRule="auto"/>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spacing w:line="254" w:lineRule="auto"/>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 xml:space="preserve">prie Žemės ūkio ministerijos </w:t>
          </w:r>
          <w:r>
            <w:rPr>
              <w:color w:val="000000" w:themeColor="text1"/>
            </w:rPr>
            <w:t>Žemės ūkio paramos departamento</w:t>
          </w:r>
          <w:r>
            <w:rPr>
              <w:color w:val="000000" w:themeColor="text1"/>
              <w:szCs w:val="24"/>
            </w:rPr>
            <w:t xml:space="preserve">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spacing w:line="254" w:lineRule="auto"/>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spacing w:line="254" w:lineRule="auto"/>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1.1. Žemės ūkio valdos nustatymo kodas |_|_|_|_|_|_|_|_|_|_|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 xml:space="preserve">1.2. Žemės ūkio valdos adresas, jei skiriasi nuo gyvenamosios vietos (buveinės): </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szCs w:val="24"/>
                    <w:lang w:val="en-GB"/>
                  </w:rPr>
                  <w:t>|_|_|_|_|_|_|_|_|_|_|_|_|_|_|_|_|_|_|_|_|_|_|_|_|_|_|_|_|_|_|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spacing w:line="254" w:lineRule="auto"/>
                  <w:jc w:val="both"/>
                  <w:textAlignment w:val="baseline"/>
                  <w:rPr>
                    <w:szCs w:val="24"/>
                    <w:lang w:val="en-GB"/>
                  </w:rPr>
                </w:pPr>
                <w:r>
                  <w:rPr>
                    <w:szCs w:val="24"/>
                    <w:lang w:val="en-GB"/>
                  </w:rPr>
                  <w:t>2.1. Juridinio asmens kodas |_|_|_|_|_|_|_|_|_|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spacing w:line="254" w:lineRule="auto"/>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spacing w:line="254" w:lineRule="auto"/>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spacing w:line="254" w:lineRule="auto"/>
                  <w:jc w:val="both"/>
                  <w:textAlignment w:val="baseline"/>
                  <w:rPr>
                    <w:i/>
                    <w:szCs w:val="24"/>
                    <w:shd w:val="clear" w:color="auto" w:fill="FFFFFF"/>
                    <w:lang w:val="en-GB"/>
                  </w:rPr>
                </w:pPr>
                <w:r>
                  <w:rPr>
                    <w:b/>
                    <w:szCs w:val="24"/>
                    <w:lang w:val="en-GB"/>
                  </w:rPr>
                  <w:t>3. PAREIŠKĖJO BANKO REKVIZITAI</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color w:val="000000" w:themeColor="text1"/>
                    <w:szCs w:val="22"/>
                  </w:rPr>
                  <w:t xml:space="preserve">Ar daugiau nei 50 proc. ploto, kuriame veisiamas miškas, priskiriama prie vietovių, kuriose esama gamtinių ar kitų specifinių kliūčių, nustatytų </w:t>
                </w:r>
                <w:r>
                  <w:rPr>
                    <w:rFonts w:eastAsia="Calibri"/>
                    <w:color w:val="000000" w:themeColor="text1"/>
                    <w:szCs w:val="22"/>
                    <w:shd w:val="clear" w:color="auto" w:fill="FFFFFF"/>
                  </w:rPr>
                  <w:t xml:space="preserve">Lietuvos Respublikos </w:t>
                </w:r>
                <w:r>
                  <w:rPr>
                    <w:rFonts w:eastAsia="Calibri"/>
                    <w:color w:val="000000" w:themeColor="text1"/>
                    <w:szCs w:val="22"/>
                  </w:rPr>
                  <w:t>žemės ūkio ministro 2015 m. balandžio 1 d. įsakyme Nr. 3D-245 „D</w:t>
                </w:r>
                <w:r>
                  <w:rPr>
                    <w:rFonts w:eastAsia="Calibri"/>
                    <w:bCs/>
                    <w:color w:val="000000" w:themeColor="text1"/>
                    <w:szCs w:val="22"/>
                  </w:rPr>
                  <w:t>ėl Lietuvos kaimo plėtros 2014–2020 metų programos priemonės „Išmokos už vietoves, kuriose esama gamtinių ar kitų specifinių kliūčių</w:t>
                </w:r>
                <w:r>
                  <w:rPr>
                    <w:rFonts w:eastAsia="Calibri"/>
                    <w:color w:val="000000" w:themeColor="text1"/>
                    <w:szCs w:val="22"/>
                  </w:rPr>
                  <w:t>“ įgyvendinimo taisyklių patvirtinimo?</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overflowPunct w:val="0"/>
            <w:jc w:val="both"/>
            <w:textAlignment w:val="baseline"/>
            <w:rPr>
              <w:b/>
              <w:szCs w:val="24"/>
              <w:lang w:val="en-GB"/>
            </w:rPr>
          </w:pPr>
          <w:r>
            <w:rPr>
              <w:b/>
              <w:lang w:val="en-GB"/>
            </w:rPr>
            <w:t>V</w:t>
          </w:r>
          <w:r>
            <w:rPr>
              <w:b/>
              <w:szCs w:val="24"/>
              <w:lang w:val="en-GB"/>
            </w:rPr>
            <w:t>.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spacing w:line="254" w:lineRule="auto"/>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Leidimas įveisti mišką, išduotas Nacionalinės žemės tarnybos prie Žemės ūkio ministerijos teritorinio skyriaus</w:t>
                </w:r>
              </w:p>
              <w:p>
                <w:pPr>
                  <w:widowControl w:val="0"/>
                  <w:overflowPunct w:val="0"/>
                  <w:spacing w:line="254" w:lineRule="auto"/>
                  <w:jc w:val="both"/>
                  <w:textAlignment w:val="baseline"/>
                  <w:rPr>
                    <w:szCs w:val="24"/>
                    <w:lang w:val="en-GB"/>
                  </w:rPr>
                </w:pPr>
              </w:p>
              <w:p>
                <w:pPr>
                  <w:widowControl w:val="0"/>
                  <w:overflowPunct w:val="0"/>
                  <w:spacing w:line="254" w:lineRule="auto"/>
                  <w:jc w:val="both"/>
                  <w:textAlignment w:val="baseline"/>
                  <w:rPr>
                    <w:szCs w:val="24"/>
                    <w:lang w:val="en-GB"/>
                  </w:rPr>
                </w:pPr>
                <w:r>
                  <w:rPr>
                    <w:szCs w:val="24"/>
                    <w:lang w:val="en-GB"/>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Miško želdinimo ir žėlimo projektas, patvirtintas VĮ Valstybinių miškų urėdijos regioninio padalinio, kurio veiklos teritorijoje yra žemės sklypas, kuriame planuojama veisti mišką, vadovo ar jo įgalioto valstybinio miškų pareigūno,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Bendraturčių sutikimas (įgaliojimas), patvirtintas notaro</w:t>
                </w:r>
              </w:p>
              <w:p>
                <w:pPr>
                  <w:widowControl w:val="0"/>
                  <w:overflowPunct w:val="0"/>
                  <w:spacing w:line="254" w:lineRule="auto"/>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Įgaliojimas</w:t>
                </w:r>
              </w:p>
              <w:p>
                <w:pPr>
                  <w:widowControl w:val="0"/>
                  <w:overflowPunct w:val="0"/>
                  <w:spacing w:line="254" w:lineRule="auto"/>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Kiti dokumentai:</w:t>
                </w:r>
              </w:p>
              <w:p>
                <w:pPr>
                  <w:widowControl w:val="0"/>
                  <w:overflowPunct w:val="0"/>
                  <w:spacing w:line="254" w:lineRule="auto"/>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a) </w:t>
                </w:r>
                <w:r>
                  <w:rPr>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spacing w:line="254" w:lineRule="auto"/>
                  <w:rPr>
                    <w:rFonts w:eastAsia="Calibri"/>
                    <w:szCs w:val="24"/>
                  </w:rPr>
                </w:pPr>
              </w:p>
              <w:p>
                <w:pPr>
                  <w:widowControl w:val="0"/>
                  <w:tabs>
                    <w:tab w:val="left" w:pos="540"/>
                  </w:tabs>
                  <w:spacing w:line="254" w:lineRule="auto"/>
                  <w:jc w:val="both"/>
                  <w:rPr>
                    <w:szCs w:val="24"/>
                  </w:rPr>
                </w:pPr>
                <w:r>
                  <w:rPr>
                    <w:szCs w:val="24"/>
                  </w:rPr>
                  <w:t>1. Esu susipažinęs su paramos lėšų teikimo tvarka ir taisyklėmis.</w:t>
                </w:r>
              </w:p>
              <w:p>
                <w:pPr>
                  <w:spacing w:line="254" w:lineRule="auto"/>
                  <w:rPr>
                    <w:rFonts w:eastAsia="Calibri"/>
                    <w:szCs w:val="24"/>
                  </w:rPr>
                </w:pPr>
              </w:p>
              <w:p>
                <w:pPr>
                  <w:widowControl w:val="0"/>
                  <w:tabs>
                    <w:tab w:val="left" w:pos="540"/>
                  </w:tabs>
                  <w:spacing w:line="254" w:lineRule="auto"/>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spacing w:line="254" w:lineRule="auto"/>
                  <w:rPr>
                    <w:rFonts w:eastAsia="Calibri"/>
                    <w:szCs w:val="24"/>
                  </w:rPr>
                </w:pPr>
              </w:p>
              <w:p>
                <w:pPr>
                  <w:widowControl w:val="0"/>
                  <w:tabs>
                    <w:tab w:val="left" w:pos="540"/>
                  </w:tabs>
                  <w:spacing w:line="254" w:lineRule="auto"/>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24"/>
                  </w:rPr>
                </w:pPr>
              </w:p>
              <w:p>
                <w:pPr>
                  <w:widowControl w:val="0"/>
                  <w:tabs>
                    <w:tab w:val="left" w:pos="540"/>
                  </w:tabs>
                  <w:spacing w:line="254" w:lineRule="auto"/>
                  <w:jc w:val="both"/>
                  <w:rPr>
                    <w:szCs w:val="24"/>
                  </w:rPr>
                </w:pPr>
                <w:r>
                  <w:rPr>
                    <w:szCs w:val="24"/>
                  </w:rPr>
                  <w:t>4. Patvirtinu, kad deklaruoti duomenys sutampa su duomenimis, esančiais VĮ Žemės ūkio informacijos ir kaimo verslo centro tvarkomuose registruose.</w:t>
                </w:r>
              </w:p>
              <w:p>
                <w:pPr>
                  <w:spacing w:line="254" w:lineRule="auto"/>
                  <w:rPr>
                    <w:rFonts w:eastAsia="Calibri"/>
                    <w:szCs w:val="24"/>
                  </w:rPr>
                </w:pPr>
              </w:p>
              <w:p>
                <w:pPr>
                  <w:widowControl w:val="0"/>
                  <w:tabs>
                    <w:tab w:val="left" w:pos="540"/>
                  </w:tabs>
                  <w:spacing w:line="254" w:lineRule="auto"/>
                  <w:jc w:val="both"/>
                  <w:rPr>
                    <w:szCs w:val="24"/>
                  </w:rPr>
                </w:pPr>
                <w:r>
                  <w:rPr>
                    <w:szCs w:val="24"/>
                  </w:rPr>
                  <w:t>5. Nesu pažeidęs jokios kitos sutarties dėl paramos skyrimo iš Europos Sąjungos arba Lietuvos Respublikos biudžeto lėšų.</w:t>
                </w:r>
              </w:p>
              <w:p>
                <w:pPr>
                  <w:spacing w:line="254" w:lineRule="auto"/>
                  <w:rPr>
                    <w:rFonts w:eastAsia="Calibri"/>
                    <w:szCs w:val="24"/>
                  </w:rPr>
                </w:pPr>
              </w:p>
              <w:p>
                <w:pPr>
                  <w:widowControl w:val="0"/>
                  <w:tabs>
                    <w:tab w:val="left" w:pos="540"/>
                  </w:tabs>
                  <w:spacing w:line="254" w:lineRule="auto"/>
                  <w:jc w:val="both"/>
                  <w:rPr>
                    <w:szCs w:val="24"/>
                  </w:rPr>
                </w:pPr>
                <w:r>
                  <w:rPr>
                    <w:szCs w:val="24"/>
                  </w:rPr>
                  <w:t>6. Man neiškelta byla dėl bankroto, nesu likviduojamas.</w:t>
                </w:r>
              </w:p>
              <w:p>
                <w:pPr>
                  <w:spacing w:line="254" w:lineRule="auto"/>
                  <w:rPr>
                    <w:rFonts w:eastAsia="Calibri"/>
                    <w:szCs w:val="24"/>
                  </w:rPr>
                </w:pPr>
              </w:p>
              <w:p>
                <w:pPr>
                  <w:widowControl w:val="0"/>
                  <w:tabs>
                    <w:tab w:val="left" w:pos="540"/>
                  </w:tabs>
                  <w:spacing w:line="254" w:lineRule="auto"/>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24"/>
                  </w:rPr>
                </w:pPr>
              </w:p>
              <w:p>
                <w:pPr>
                  <w:widowControl w:val="0"/>
                  <w:tabs>
                    <w:tab w:val="left" w:pos="540"/>
                  </w:tabs>
                  <w:spacing w:line="254" w:lineRule="auto"/>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9. </w:t>
                </w:r>
                <w:r>
                  <w:rPr>
                    <w:color w:val="000000"/>
                    <w:szCs w:val="24"/>
                    <w:lang w:bidi="lt-LT"/>
                  </w:rPr>
                  <w:t>Esu informuotas (-a) ir sutinku, kad mano asmens duomenys yra saugomi iki išmokų mokėjimo, administravimo ir priežiūros laikotarpio pabaigos, vėliau šie duomenys archyvuojami bei perduodami valstybės archyvams.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10. Sutinku, kad mano tinkamumas gauti paramą bus vertinamas pagal mano pateiktus, atitinkamais dokumentais pagrįstus duomenis ir viešuosiuose registruose esančius duomenis.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11. Esu informuotas (-a) ir sutinku, kad informacija apie mano pateiktą paramos paraišką, nurodant pareiškėjo pavadinimą, paramos paraiškos kodą ir apskaičiuotą paramos sumą, būtų skelbiama įgyvendinančiosios ir tarpinės institucijų interneto svetainėse ir visa su šiuo projektu susijusi informacija būtų naudojama statistikos, vertinimo bei tyrimų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12. Sutinku, kad visa su šia paramos paraiška</w:t>
                </w:r>
                <w:r>
                  <w:rPr>
                    <w:szCs w:val="24"/>
                    <w:shd w:val="clear" w:color="auto" w:fill="FFFFFF"/>
                  </w:rPr>
                  <w:t xml:space="preserve"> </w:t>
                </w:r>
                <w:r>
                  <w:rPr>
                    <w:szCs w:val="24"/>
                  </w:rPr>
                  <w:t>susijusi informacija būtų naudojama statistikos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15. Įsipareigoju vykdyti projektą iki mano prisiimtų įsipareigojimų vykdymo pabaigos.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16. </w:t>
                </w:r>
                <w:r>
                  <w:rPr>
                    <w:rFonts w:eastAsia="Calibri"/>
                    <w:color w:val="000000" w:themeColor="text1"/>
                    <w:szCs w:val="24"/>
                  </w:rPr>
                  <w:t>Jeigu miško želdinių ar žėlinių apskaitos metais VMT Miškų ūkio priežiūros skyriaus valstybiniai miškų pareigūnai nustato, kad želdinių ar žėlinių tankis neatitinka Miško atkūrimo ir įveisimo nuostatų reikalavimų,</w:t>
                </w:r>
                <w:r>
                  <w:rPr>
                    <w:color w:val="000000" w:themeColor="text1"/>
                    <w:szCs w:val="24"/>
                  </w:rPr>
                  <w:t xml:space="preserve"> privalau atsodinti žuvusius želdinius ir (arba) žėlinius, kad būtų įvykdyti su Paramos paraiška</w:t>
                </w:r>
                <w:r>
                  <w:rPr>
                    <w:color w:val="000000" w:themeColor="text1"/>
                    <w:szCs w:val="24"/>
                    <w:shd w:val="clear" w:color="auto" w:fill="FFFFFF"/>
                  </w:rPr>
                  <w:t xml:space="preserve"> </w:t>
                </w:r>
                <w:r>
                  <w:rPr>
                    <w:color w:val="000000" w:themeColor="text1"/>
                    <w:szCs w:val="24"/>
                  </w:rPr>
                  <w:t>pateikto Miško želdinimo ir žėlimo projekto sprendiniai, nekeičiant paramos sumos, ir</w:t>
                </w:r>
                <w:r>
                  <w:rPr>
                    <w:rFonts w:eastAsia="Calibri"/>
                    <w:color w:val="000000" w:themeColor="text1"/>
                    <w:szCs w:val="24"/>
                  </w:rPr>
                  <w:t xml:space="preserve"> </w:t>
                </w:r>
                <w:r>
                  <w:rPr>
                    <w:color w:val="000000" w:themeColor="text1"/>
                    <w:szCs w:val="24"/>
                  </w:rPr>
                  <w:t xml:space="preserve">Agentūrai iki metų, kuriais baigiasi trečiasis miško želdinimo sezonas po miško atsodinimo (kai miško želdinių apskaita atlikta pirmaisiais miško augimo metais), bei iki metų, kuriais baigiasi Miško atkūrimo ir įveisimo nuostatų 21 punkte nustatytas želdinių ar žėlinių atsodinimo terminas (kai miško želdinių ar žėlinių apskaita atlikta trečiaisiais augimo metais), gruodžio 15 d. pristatyti želdinamų medžių rūšių Pagrindinius miško dauginamosios medžiagos kilmės sertifikatus </w:t>
                </w:r>
                <w:r>
                  <w:rPr>
                    <w:rFonts w:eastAsia="Calibri"/>
                    <w:color w:val="000000" w:themeColor="text1"/>
                    <w:spacing w:val="-6"/>
                    <w:szCs w:val="24"/>
                  </w:rPr>
                  <w:t>ar miško dauginamosios medžiagos savininko (pardavėjo) patvirtintas šių sertifikatų</w:t>
                </w:r>
                <w:r>
                  <w:rPr>
                    <w:color w:val="000000" w:themeColor="text1"/>
                    <w:szCs w:val="24"/>
                  </w:rPr>
                  <w:t xml:space="preserve"> kopijas ir želdinamų medžių įsigijimo dokumentus.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17. Žinau, kad miškui įveisti galiu naudoti tik vietinės kilmės (Lietuvos Respublikos teritorijos) miško dauginamąją medžiagą, o įveisęs mišką per 10 darbo dienų, </w:t>
                </w:r>
                <w:r>
                  <w:rPr>
                    <w:color w:val="000000"/>
                    <w:szCs w:val="24"/>
                  </w:rPr>
                  <w:t>tačiau ne vėliau nei iki einamųjų metų, kai buvo įveistas miškas, lapkričio 1 d.,</w:t>
                </w:r>
                <w:r>
                  <w:rPr>
                    <w:szCs w:val="24"/>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4"/>
                  </w:rPr>
                  <w:t xml:space="preserve"> krovinio važtaraštį ar perdavimo–priėmimo aktą</w:t>
                </w:r>
                <w:r>
                  <w:rPr>
                    <w:szCs w:val="24"/>
                  </w:rPr>
                  <w:t>.</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18. Žinau, kad įveisus mišką Valstybinės miškų tarnybos Miškų ūkio priežiūros skyriaus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24"/>
                  </w:rPr>
                </w:pPr>
              </w:p>
              <w:p>
                <w:pPr>
                  <w:widowControl w:val="0"/>
                  <w:tabs>
                    <w:tab w:val="left" w:pos="540"/>
                  </w:tabs>
                  <w:spacing w:line="254" w:lineRule="auto"/>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24"/>
                  </w:rPr>
                </w:pPr>
              </w:p>
              <w:p>
                <w:pPr>
                  <w:widowControl w:val="0"/>
                  <w:tabs>
                    <w:tab w:val="left" w:pos="540"/>
                  </w:tabs>
                  <w:spacing w:line="254" w:lineRule="auto"/>
                  <w:jc w:val="both"/>
                  <w:rPr>
                    <w:szCs w:val="24"/>
                  </w:rPr>
                </w:pPr>
                <w:r>
                  <w:rPr>
                    <w:szCs w:val="24"/>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24"/>
                  </w:rPr>
                </w:pPr>
              </w:p>
              <w:p>
                <w:pPr>
                  <w:widowControl w:val="0"/>
                  <w:tabs>
                    <w:tab w:val="left" w:pos="540"/>
                  </w:tabs>
                  <w:spacing w:line="254" w:lineRule="auto"/>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24"/>
                  </w:rPr>
                </w:pPr>
              </w:p>
              <w:p>
                <w:pPr>
                  <w:widowControl w:val="0"/>
                  <w:tabs>
                    <w:tab w:val="left" w:pos="540"/>
                  </w:tabs>
                  <w:spacing w:line="254" w:lineRule="auto"/>
                  <w:jc w:val="both"/>
                  <w:rPr>
                    <w:szCs w:val="24"/>
                  </w:rPr>
                </w:pPr>
                <w:r>
                  <w:rPr>
                    <w:szCs w:val="24"/>
                  </w:rPr>
                  <w:t>22. Žinau, kad, pažeidus įsipareigojimus, man bus taikomos numatytos sankcijos.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spacing w:line="254" w:lineRule="auto"/>
                  <w:rPr>
                    <w:rFonts w:eastAsia="Calibri"/>
                    <w:szCs w:val="24"/>
                  </w:rPr>
                </w:pPr>
              </w:p>
              <w:p>
                <w:pPr>
                  <w:widowControl w:val="0"/>
                  <w:tabs>
                    <w:tab w:val="left" w:pos="540"/>
                  </w:tabs>
                  <w:spacing w:line="254" w:lineRule="auto"/>
                  <w:jc w:val="both"/>
                  <w:rPr>
                    <w:szCs w:val="24"/>
                  </w:rPr>
                </w:pPr>
                <w:r>
                  <w:rPr>
                    <w:szCs w:val="24"/>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r>
                  <w:rPr>
                    <w:color w:val="000000"/>
                    <w:szCs w:val="24"/>
                    <w:lang w:val="en-GB" w:bidi="lt-LT"/>
                  </w:rPr>
                  <w:t xml:space="preserve"> Esu informuotas (-a) ir sutinku, kad Agentūra tikrins pateiktus duomenis kituose valstybės registruose ir duomenų bazėse. Esu informuotas (-a) ir sutinku, kad esu atsakingas (-a) už reikiamų dokumentų ir (arba) pažymų pateikimą Agentūrai laiku.</w:t>
                </w:r>
              </w:p>
              <w:p>
                <w:pPr>
                  <w:spacing w:line="254" w:lineRule="auto"/>
                  <w:rPr>
                    <w:rFonts w:eastAsia="Calibri"/>
                    <w:szCs w:val="24"/>
                  </w:rPr>
                </w:pPr>
              </w:p>
              <w:p>
                <w:pPr>
                  <w:widowControl w:val="0"/>
                  <w:tabs>
                    <w:tab w:val="left" w:pos="540"/>
                  </w:tabs>
                  <w:spacing w:line="254" w:lineRule="auto"/>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spacing w:line="254" w:lineRule="auto"/>
                  <w:jc w:val="both"/>
                  <w:rPr>
                    <w:szCs w:val="24"/>
                  </w:rPr>
                </w:pPr>
              </w:p>
              <w:p>
                <w:pPr>
                  <w:widowControl w:val="0"/>
                  <w:tabs>
                    <w:tab w:val="left" w:pos="540"/>
                  </w:tabs>
                  <w:spacing w:line="254" w:lineRule="auto"/>
                  <w:jc w:val="both"/>
                  <w:rPr>
                    <w:szCs w:val="24"/>
                  </w:rPr>
                </w:pPr>
                <w:r>
                  <w:rPr>
                    <w:szCs w:val="24"/>
                  </w:rPr>
                  <w:t>27. Esu informuotas (-a), kad duomenų valdytoja yra Agentūra.</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28. Paramos gavimo laikotarpiu, Agentūrai paprašius, įsipareigoju teikti papildomą informaciją, susijusią su paramos administravimu.</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spacing w:line="254" w:lineRule="auto"/>
                  <w:rPr>
                    <w:rFonts w:eastAsia="Calibri"/>
                    <w:szCs w:val="24"/>
                  </w:rPr>
                </w:pPr>
              </w:p>
              <w:p>
                <w:pPr>
                  <w:widowControl w:val="0"/>
                  <w:spacing w:line="254" w:lineRule="auto"/>
                  <w:jc w:val="both"/>
                  <w:rPr>
                    <w:b/>
                    <w:szCs w:val="24"/>
                  </w:rPr>
                </w:pPr>
                <w:r>
                  <w:rPr>
                    <w:szCs w:val="24"/>
                  </w:rPr>
                  <w:t>30. Žinau, kad Tiesioginių išmokų paraiškoje nedeklaravus įveisto miško ploto, už kurį skiriama miško priežiūros, apsaugos ir ugdymo išmoka, einamaisiais metais parama nemokama.</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spacing w:line="254" w:lineRule="auto"/>
                  <w:rPr>
                    <w:rFonts w:eastAsia="Calibri"/>
                    <w:szCs w:val="24"/>
                  </w:rPr>
                </w:pPr>
              </w:p>
              <w:p>
                <w:pPr>
                  <w:suppressAutoHyphens/>
                  <w:spacing w:line="254" w:lineRule="auto"/>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spacing w:line="254" w:lineRule="auto"/>
                  <w:rPr>
                    <w:rFonts w:eastAsia="Calibri"/>
                    <w:szCs w:val="24"/>
                  </w:rPr>
                </w:pPr>
              </w:p>
              <w:p>
                <w:pPr>
                  <w:widowControl w:val="0"/>
                  <w:tabs>
                    <w:tab w:val="left" w:pos="540"/>
                  </w:tabs>
                  <w:spacing w:line="254" w:lineRule="auto"/>
                  <w:jc w:val="both"/>
                  <w:rPr>
                    <w:szCs w:val="24"/>
                  </w:rPr>
                </w:pPr>
                <w:r>
                  <w:rPr>
                    <w:szCs w:val="24"/>
                  </w:rPr>
                  <w:t>33. Esu informuotas (-a) ir sutinku, kad duomenys apie mano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36. Žinau, kad išlaidos, susijusios su miško želdinimo ir žėlimo projekto įgyvendinimu, negali būti finansuojamos iš kitų nacionalinių programų ir Europos Sąjungos fondų.</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37. Esu informuotas (-a) ir sutinku, kad paramos paraiškoje ir kituose Agentūrai teikiamuose dokumentuose esantys mano asmens ir (arba) juridinio asmens, kuriam aš atstovauju, duomenys ir kiti duomenys būtų apdorojami ir saugomi paramos priemonių administravimo</w:t>
                </w:r>
                <w:r>
                  <w:rPr>
                    <w:b/>
                    <w:bCs/>
                    <w:szCs w:val="24"/>
                  </w:rPr>
                  <w:t xml:space="preserve"> </w:t>
                </w:r>
                <w:r>
                  <w:rPr>
                    <w:szCs w:val="24"/>
                  </w:rPr>
                  <w:t>informacinėse sistemose ir kad Agentūra gautų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38. Esu informuotas (-a) ir sutinku, kad Agentūros tvarkomi mano asmens duomenys (kategorijos) bei detalesnė informacija apie mano asmens duomenų tvarkymą yra nurodyta www.nma.lt skiltyje „Asmens duomenų apsauga“.</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39. Esu informuotas (-a) ir sutinku, kad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kuriuo panaikinamas Tarybos reglamentas (EB) Nr. 1698/2005 (OL 2013 L 347, p. 487), 2013 m. gruodžio 17 d. Europos Parlamento ir Tarybos reglamentą (ES) Nr. 1306/2013 dėl bendros žemės ūkio politikos finansavimo, valdymo ir stebėsenos,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 priemonės įgyvendinimo taisykles.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4"/>
                  </w:rPr>
                </w:pPr>
              </w:p>
              <w:p>
                <w:pPr>
                  <w:widowControl w:val="0"/>
                  <w:tabs>
                    <w:tab w:val="left" w:pos="540"/>
                    <w:tab w:val="left" w:pos="612"/>
                  </w:tabs>
                  <w:spacing w:line="254" w:lineRule="auto"/>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spacing w:line="254" w:lineRule="auto"/>
                  <w:jc w:val="both"/>
                  <w:textAlignment w:val="center"/>
                  <w:rPr>
                    <w:rFonts w:eastAsia="Calibri"/>
                    <w:szCs w:val="24"/>
                  </w:rPr>
                </w:pPr>
              </w:p>
              <w:p>
                <w:pPr>
                  <w:suppressAutoHyphens/>
                  <w:spacing w:line="254" w:lineRule="auto"/>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4"/>
                  </w:rPr>
                </w:pPr>
                <w:r>
                  <w:rPr>
                    <w:szCs w:val="24"/>
                  </w:rPr>
                  <w:t>_________________________ (pareiškėjo ar jo įgalioto asmens pareigų pavadinimas)</w:t>
                </w:r>
              </w:p>
            </w:tc>
            <w:tc>
              <w:tcPr>
                <w:tcW w:w="3208" w:type="dxa"/>
                <w:hideMark/>
              </w:tcPr>
              <w:p>
                <w:pPr>
                  <w:widowControl w:val="0"/>
                  <w:spacing w:line="254" w:lineRule="auto"/>
                  <w:jc w:val="center"/>
                  <w:rPr>
                    <w:szCs w:val="24"/>
                  </w:rPr>
                </w:pPr>
                <w:r>
                  <w:rPr>
                    <w:szCs w:val="24"/>
                  </w:rPr>
                  <w:t>__________</w:t>
                </w:r>
              </w:p>
              <w:p>
                <w:pPr>
                  <w:widowControl w:val="0"/>
                  <w:spacing w:line="254" w:lineRule="auto"/>
                  <w:jc w:val="center"/>
                  <w:rPr>
                    <w:szCs w:val="24"/>
                  </w:rPr>
                </w:pPr>
                <w:r>
                  <w:rPr>
                    <w:szCs w:val="24"/>
                  </w:rPr>
                  <w:t>(parašas)</w:t>
                </w:r>
              </w:p>
            </w:tc>
            <w:tc>
              <w:tcPr>
                <w:tcW w:w="3208" w:type="dxa"/>
                <w:hideMark/>
              </w:tcPr>
              <w:p>
                <w:pPr>
                  <w:widowControl w:val="0"/>
                  <w:spacing w:line="254" w:lineRule="auto"/>
                  <w:jc w:val="center"/>
                  <w:rPr>
                    <w:szCs w:val="24"/>
                  </w:rPr>
                </w:pPr>
                <w:r>
                  <w:rPr>
                    <w:szCs w:val="24"/>
                  </w:rPr>
                  <w:t>_______________</w:t>
                </w:r>
              </w:p>
              <w:p>
                <w:pPr>
                  <w:widowControl w:val="0"/>
                  <w:spacing w:line="254" w:lineRule="auto"/>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4"/>
                  </w:rPr>
                </w:pPr>
                <w:r>
                  <w:rPr>
                    <w:szCs w:val="24"/>
                  </w:rPr>
                  <w:t>Konsultanto vardas ir pavardė</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Institucijos pavadinimas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Telefono ir fakso Nr.</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Elektroninio pašto adresas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2"/>
            </w:rPr>
          </w:pPr>
          <w:r>
            <w:rPr>
              <w:b/>
              <w:szCs w:val="22"/>
            </w:rPr>
            <w:br w:type="page"/>
          </w: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 pr."/>
        <w:tag w:val="part_b4f3b0da98d140779e382409ea6563f3"/>
        <w:lock w:val="sdtLocked"/>
        <w:richText/>
      </w:sdtPr>
      <w:sdtContent>
        <w:p>
          <w:pPr>
            <w:widowControl w:val="0"/>
            <w:spacing w:line="252" w:lineRule="auto"/>
            <w:ind w:left="4536"/>
            <w:textAlignment w:val="baseline"/>
            <w:sectPr>
              <w:headerReference w:type="default" r:id="rId15"/>
              <w:pgSz w:w="11907" w:h="16840" w:code="9"/>
              <w:pgMar w:top="1134" w:right="1134" w:bottom="1134" w:left="1701" w:header="709" w:footer="709" w:gutter="0"/>
              <w:pgNumType w:start="1"/>
              <w:cols w:space="1296"/>
              <w:titlePg/>
              <w:docGrid w:linePitch="326"/>
            </w:sectPr>
          </w:pPr>
        </w:p>
        <w:p>
          <w:pPr>
            <w:widowControl w:val="0"/>
            <w:spacing w:line="252" w:lineRule="auto"/>
            <w:ind w:left="4536"/>
            <w:textAlignment w:val="baseline"/>
            <w:rPr>
              <w:rFonts w:eastAsia="Calibri"/>
              <w:sz w:val="22"/>
              <w:szCs w:val="22"/>
            </w:rPr>
          </w:pPr>
          <w:r>
            <w:rPr>
              <w:rFonts w:eastAsia="Calibri"/>
              <w:sz w:val="22"/>
              <w:szCs w:val="22"/>
            </w:rPr>
            <w:t>Lietuvos kaimo plėtros 2014–2020 metų</w:t>
          </w:r>
        </w:p>
        <w:p>
          <w:pPr>
            <w:widowControl w:val="0"/>
            <w:spacing w:line="252" w:lineRule="auto"/>
            <w:ind w:left="4536"/>
            <w:textAlignment w:val="baseline"/>
            <w:rPr>
              <w:rFonts w:eastAsia="Calibri"/>
              <w:sz w:val="22"/>
              <w:szCs w:val="22"/>
            </w:rPr>
          </w:pPr>
          <w:r>
            <w:rPr>
              <w:rFonts w:eastAsia="Calibri"/>
              <w:sz w:val="22"/>
              <w:szCs w:val="22"/>
            </w:rPr>
            <w:t>programos priemonės „Investicijos į miško plotų</w:t>
          </w:r>
        </w:p>
        <w:p>
          <w:pPr>
            <w:widowControl w:val="0"/>
            <w:spacing w:line="252" w:lineRule="auto"/>
            <w:ind w:left="4536"/>
            <w:textAlignment w:val="baseline"/>
            <w:rPr>
              <w:rFonts w:eastAsia="Calibri"/>
              <w:sz w:val="22"/>
              <w:szCs w:val="22"/>
            </w:rPr>
          </w:pPr>
          <w:r>
            <w:rPr>
              <w:rFonts w:eastAsia="Calibri"/>
              <w:sz w:val="22"/>
              <w:szCs w:val="22"/>
            </w:rPr>
            <w:t>plėtrą ir miškų gyvybingumo gerinimą“ veiklos</w:t>
          </w:r>
        </w:p>
        <w:p>
          <w:pPr>
            <w:widowControl w:val="0"/>
            <w:spacing w:line="252" w:lineRule="auto"/>
            <w:ind w:left="4536"/>
            <w:textAlignment w:val="baseline"/>
            <w:rPr>
              <w:rFonts w:eastAsia="Calibri"/>
              <w:sz w:val="22"/>
              <w:szCs w:val="22"/>
            </w:rPr>
          </w:pPr>
          <w:r>
            <w:rPr>
              <w:rFonts w:eastAsia="Calibri"/>
              <w:sz w:val="22"/>
              <w:szCs w:val="22"/>
            </w:rPr>
            <w:t xml:space="preserve">srities „Miško veisimas“ įgyvendinimo taisyklių </w:t>
          </w:r>
        </w:p>
        <w:p>
          <w:pPr>
            <w:widowControl w:val="0"/>
            <w:spacing w:line="252" w:lineRule="auto"/>
            <w:ind w:left="4536"/>
            <w:textAlignment w:val="baseline"/>
            <w:rPr>
              <w:rFonts w:eastAsia="Calibri"/>
              <w:sz w:val="22"/>
              <w:szCs w:val="22"/>
            </w:rPr>
          </w:pPr>
          <w:sdt>
            <w:sdtPr>
              <w:alias w:val="Numeris"/>
              <w:tag w:val="nr_b4f3b0da98d140779e382409ea6563f3"/>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2" w:lineRule="auto"/>
            <w:ind w:left="4536"/>
            <w:textAlignment w:val="baseline"/>
            <w:rPr>
              <w:rFonts w:eastAsia="Calibri"/>
              <w:sz w:val="22"/>
              <w:szCs w:val="22"/>
            </w:rPr>
          </w:pPr>
        </w:p>
        <w:p>
          <w:pPr>
            <w:widowControl w:val="0"/>
            <w:spacing w:line="252" w:lineRule="auto"/>
            <w:jc w:val="center"/>
            <w:textAlignment w:val="baseline"/>
            <w:rPr>
              <w:szCs w:val="22"/>
            </w:rPr>
          </w:pPr>
          <w:sdt>
            <w:sdtPr>
              <w:alias w:val="Pavadinimas"/>
              <w:tag w:val="title_b4f3b0da98d140779e382409ea6563f3"/>
              <w:lock w:val="sdtLocked"/>
              <w:richText/>
            </w:sdtPr>
            <w:sdtContent>
              <w:r>
                <w:rPr>
                  <w:b/>
                  <w:szCs w:val="22"/>
                </w:rPr>
                <w:t>MIŠKO ĮVEISIMO, ĮVEISTO MIŠKO PRIEŽIŪROS, APSAUGOS IR UGDYMO IŠMOKŲ APSKAIČIAVIMO TVARKOS APRAŠAS</w:t>
              </w:r>
            </w:sdtContent>
          </w:sdt>
        </w:p>
        <w:p>
          <w:pPr>
            <w:widowControl w:val="0"/>
            <w:spacing w:line="252" w:lineRule="auto"/>
            <w:jc w:val="center"/>
            <w:textAlignment w:val="baseline"/>
            <w:rPr>
              <w:szCs w:val="22"/>
            </w:rPr>
          </w:pPr>
        </w:p>
        <w:p>
          <w:pPr>
            <w:widowControl w:val="0"/>
            <w:spacing w:line="252" w:lineRule="auto"/>
            <w:jc w:val="center"/>
            <w:textAlignment w:val="baseline"/>
            <w:rPr>
              <w:rFonts w:eastAsia="Calibr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433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352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1254</w:t>
                </w:r>
                <w:r>
                  <w:rPr>
                    <w:rFonts w:eastAsia="Calibri"/>
                    <w:strike/>
                    <w:szCs w:val="22"/>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164</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163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281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302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240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317</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186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203</w:t>
                </w:r>
              </w:p>
            </w:tc>
          </w:tr>
        </w:tbl>
        <w:p>
          <w:pPr>
            <w:suppressAutoHyphens/>
            <w:jc w:val="both"/>
            <w:textAlignment w:val="center"/>
            <w:rPr>
              <w:szCs w:val="22"/>
            </w:rPr>
          </w:pPr>
        </w:p>
        <w:sdt>
          <w:sdtPr>
            <w:alias w:val="skirsnis"/>
            <w:tag w:val="part_13d3dc29694d4f0aa5ed5569751d3b9e"/>
            <w:lock w:val="sdtLocked"/>
            <w:richText/>
          </w:sdtPr>
          <w:sdtContent>
            <w:p>
              <w:pPr>
                <w:suppressAutoHyphens/>
                <w:jc w:val="both"/>
                <w:textAlignment w:val="center"/>
                <w:rPr>
                  <w:b/>
                  <w:iCs/>
                </w:rPr>
              </w:pPr>
              <w:sdt>
                <w:sdtPr>
                  <w:alias w:val="Pavadinimas"/>
                  <w:tag w:val="title_13d3dc29694d4f0aa5ed5569751d3b9e"/>
                  <w:lock w:val="sdtLocked"/>
                  <w:richText/>
                </w:sdtPr>
                <w:sdtContent>
                  <w:r>
                    <w:rPr>
                      <w:b/>
                      <w:iCs/>
                    </w:rPr>
                    <w:t>Pastabos:</w:t>
                  </w:r>
                </w:sdtContent>
              </w:sdt>
            </w:p>
            <w:sdt>
              <w:sdtPr>
                <w:alias w:val="2 pr. 1 p."/>
                <w:tag w:val="part_504fb264763f474a88691a39785de57e"/>
                <w:lock w:val="sdtLocked"/>
                <w:richText/>
              </w:sdtPr>
              <w:sdtContent>
                <w:p>
                  <w:pPr>
                    <w:suppressAutoHyphens/>
                    <w:jc w:val="both"/>
                    <w:textAlignment w:val="center"/>
                  </w:pPr>
                  <w:sdt>
                    <w:sdtPr>
                      <w:alias w:val="Numeris"/>
                      <w:tag w:val="nr_504fb264763f474a88691a39785de57e"/>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4029f360ad1c40798dd6a7fc0631d6c6"/>
                <w:lock w:val="sdtLocked"/>
                <w:richText/>
              </w:sdtPr>
              <w:sdtContent>
                <w:p>
                  <w:pPr>
                    <w:suppressAutoHyphens/>
                    <w:jc w:val="both"/>
                    <w:textAlignment w:val="center"/>
                  </w:pPr>
                  <w:sdt>
                    <w:sdtPr>
                      <w:alias w:val="Numeris"/>
                      <w:tag w:val="nr_4029f360ad1c40798dd6a7fc0631d6c6"/>
                      <w:lock w:val="sdtLocked"/>
                      <w:richText/>
                    </w:sdtPr>
                    <w:sdtContent>
                      <w:r>
                        <w:t>2</w:t>
                      </w:r>
                    </w:sdtContent>
                  </w:sdt>
                  <w:r>
                    <w:t xml:space="preserve">. Veisiant medžių rūšis, nenurodytas lentelėje, taikoma mažiausia miško įveisimo išmoka (1 246  Eur už 1 ha), įveisto miško priežiūros, apsaugos ir ugdymo išmoka (163 Eur už 1 ha).</w:t>
                  </w:r>
                </w:p>
              </w:sdtContent>
            </w:sdt>
            <w:sdt>
              <w:sdtPr>
                <w:alias w:val="2 pr. 3 p."/>
                <w:tag w:val="part_4ac46088b3ea483ba99c3d1a4d00b2bd"/>
                <w:lock w:val="sdtLocked"/>
                <w:richText/>
              </w:sdtPr>
              <w:sdtContent>
                <w:p>
                  <w:pPr>
                    <w:suppressAutoHyphens/>
                    <w:jc w:val="both"/>
                    <w:textAlignment w:val="center"/>
                  </w:pPr>
                  <w:sdt>
                    <w:sdtPr>
                      <w:alias w:val="Numeris"/>
                      <w:tag w:val="nr_4ac46088b3ea483ba99c3d1a4d00b2bd"/>
                      <w:lock w:val="sdtLocked"/>
                      <w:richText/>
                    </w:sdtPr>
                    <w:sdtContent>
                      <w:r>
                        <w:t>3</w:t>
                      </w:r>
                    </w:sdtContent>
                  </w:sdt>
                  <w:r>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Eur) + 30 proc. beržo miško įveisimo išmokos (376,2 Eur) = </w:t>
                  </w:r>
                  <w:r>
                    <w:rPr>
                      <w:bCs/>
                    </w:rPr>
                    <w:t>1 373,7</w:t>
                  </w:r>
                  <w:r>
                    <w:t xml:space="preserve">  Eur už ha; pagal formulę 7P3B vieno hektaro miško priežiūros, apsaugos ir ugdymo išmoka apskaičiuojama taip: 70 proc. paprastosios pušies miško priežiūros, apsaugos ir ugdymo išmokos (303,1 Eur) + 30 proc. beržo miško priežiūros, apsaugos ir ugdymo išmokos (49,2 Eur) = 352,3 Eur už ha.</w:t>
                  </w:r>
                </w:p>
              </w:sdtContent>
            </w:sdt>
            <w:sdt>
              <w:sdtPr>
                <w:alias w:val="2 pr. 4 p."/>
                <w:tag w:val="part_b7db554dff1b4eada0520ef6f69191ca"/>
                <w:lock w:val="sdtLocked"/>
                <w:richText/>
              </w:sdtPr>
              <w:sdtContent>
                <w:p>
                  <w:pPr>
                    <w:suppressAutoHyphens/>
                    <w:jc w:val="both"/>
                    <w:textAlignment w:val="center"/>
                  </w:pPr>
                  <w:sdt>
                    <w:sdtPr>
                      <w:alias w:val="Numeris"/>
                      <w:tag w:val="nr_b7db554dff1b4eada0520ef6f69191ca"/>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498,75 Eur, o pagal formulę 7P3B paskaičiuota bendra išmoka būtų: 70 proc. paprastosios pušies miško įveisimo išmoka esant 50 proc. paprastosios pušies savaiminukų (498,75 Eur) + 30 proc. beržo miško įveisimo išmokos (376,2 Eur) = 874,95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9d8e4eb383b3406ca3c56999e0f97cf5"/>
                <w:lock w:val="sdtLocked"/>
                <w:richText/>
              </w:sdtPr>
              <w:sdtContent>
                <w:p>
                  <w:pPr>
                    <w:suppressAutoHyphens/>
                    <w:jc w:val="both"/>
                    <w:textAlignment w:val="center"/>
                  </w:pPr>
                  <w:sdt>
                    <w:sdtPr>
                      <w:alias w:val="Numeris"/>
                      <w:tag w:val="nr_9d8e4eb383b3406ca3c56999e0f97cf5"/>
                      <w:lock w:val="sdtLocked"/>
                      <w:richText/>
                    </w:sdtPr>
                    <w:sdtContent>
                      <w:r>
                        <w:t>5</w:t>
                      </w:r>
                    </w:sdtContent>
                  </w:sdt>
                  <w:r>
                    <w:t xml:space="preserve">.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Eur parama (50 proc. paprastosios eglės miško įveisimo išmokos (1 283  Eur) ir 50 proc. juodalksnio įveisimo išmokos (1 246 Eur) suma padauginta iš 1,9 ha). Pažeistame miške reikia atsodinti 1 400 vnt. juodalksnio sodmenų. Pirmiausia apskaičiuojama, kad už 3 000 vnt. juodalksnių įveisimą buvo išmokėta  1 183,7 Eur parama (50 proc. juodalksnio įveisimo išmokos (1 246 Eur) dalis padauginta iš 1,9 ha). Proporcingai apskaičiuojama, kad už 1 400 vnt. juodalksnio sodmenų atsodinimą išmokos dydis turėtų būti 552,39 Eur (už juodalksnių įveisimą išmokėta paramos suma (1 183,7 Eur) padalinama iš pasodintų juodalksnių skaičiaus (3 000 vnt.) ir padauginama iš reikiamų atsodinti juodalksnių skaičiaus (1 400 vnt.).</w:t>
                  </w:r>
                </w:p>
                <w:p>
                  <w:pPr>
                    <w:suppressAutoHyphens/>
                    <w:jc w:val="both"/>
                    <w:textAlignment w:val="center"/>
                  </w:pPr>
                </w:p>
              </w:sdtContent>
            </w:sdt>
          </w:sdtContent>
        </w:sdt>
        <w:sdt>
          <w:sdtPr>
            <w:alias w:val="pabaiga"/>
            <w:tag w:val="part_e27d0aa543934a24b406b01bcdee6663"/>
            <w:lock w:val="sdtLocked"/>
            <w:richText/>
          </w:sdtPr>
          <w:sdtContent>
            <w:p>
              <w:pPr>
                <w:overflowPunct w:val="0"/>
                <w:jc w:val="center"/>
                <w:textAlignment w:val="baseline"/>
                <w:rPr>
                  <w:b/>
                  <w:sz w:val="22"/>
                  <w:szCs w:val="22"/>
                  <w:lang w:val="en-GB" w:eastAsia="lt-LT"/>
                </w:rPr>
              </w:pPr>
              <w:r>
                <w:rPr>
                  <w:b/>
                  <w:sz w:val="22"/>
                  <w:szCs w:val="22"/>
                  <w:lang w:val="en-GB" w:eastAsia="lt-LT"/>
                </w:rPr>
                <w:t>____________________</w:t>
              </w:r>
            </w:p>
            <w:p>
              <w:pPr>
                <w:widowControl w:val="0"/>
                <w:spacing w:line="252" w:lineRule="auto"/>
                <w:ind w:left="4536"/>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247" w:right="567" w:bottom="1134" w:left="1701"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t>2</w:t>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4:docId w14:val="6D11FC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header" Target="header3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ebe533f32dd643dca7f9ab9831990dc9"/>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44a7f617765440a28c0bf39056391b19">
    <Part Type="skyrius" Nr="1" Title="BENDROSIOS NUOSTATOS" DocPartId="b9628feca0c445748c198720d2f70e87" PartId="d0d116e67af042e5a763073b22e6b536">
      <Part Type="punktas" Nr="1" Abbr="1 p." DocPartId="4df9646d9ddc4fc09fa70418331b1842" PartId="30a4e9a152124bfe9960ff980d06007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e948ed160a9046118662392a946bf943"/>
      </Part>
    </Part>
    <Part Type="skyrius" Nr="5" Title="GALIMI PAREIŠKĖJAI" DocPartId="1fda1291014c4108ae60aa986ad5d78b" PartId="c2e910759aa043ec8b301ef759ce0dbc">
      <Part Type="punktas" Nr="9" Abbr="9 p." DocPartId="969af15f72414ffebd3563c9322c744e" PartId="db9d22dd79c346d3bb4d8d2ab250fe68"/>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851349bf452f4c059d039fc2dc4945c4">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8c9f2647f2594dbe92bb82c8cefed13a"/>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af22b3b7379348349dc823a0b0120999"/>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a545a6787f7f444ba7faa13d8a2e397b">
        <Part Type="papunktis" Nr="30.1" Abbr="30.1 pp." DocPartId="e00c2ecaa6c3404ba2ae633e9560b618" PartId="a91a86707a4f49eead13ca0253f681c1"/>
        <Part Type="papunktis" Nr="30.2" Abbr="30.2 pp." DocPartId="690f42b4f59f4a498dc1e0167f8181f5" PartId="99614be8f8dc46a6ab49722a7b49a36c"/>
      </Part>
      <Part Type="punktas" Nr="31" Abbr="31 p." DocPartId="58c727e24656464eabf988a0e80458cc" PartId="adf613fd85a148e4b94cb259204bec52"/>
      <Part Type="punktas" Nr="32" Abbr="32 p." DocPartId="d4b6e524cf654bdcbaf3a44d4f18a176" PartId="e8bc06dcbfb748fd91c6b3a865c9fac6"/>
      <Part Type="punktas" Nr="33" Abbr="33 p." DocPartId="c791c5d5f04e4d0bbffe0930d5447cc3" PartId="6e99e3d3592e44e4bfea10cf5faf1a41"/>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f20e8376cdde4c56aa902dcd7894179f"/>
      <Part Type="punktas" Nr="48" Abbr="48 p." DocPartId="1db6f6fd337246cfa5fe7175865d5695" PartId="3b584dcfabd54e0b81a48b8a8810855a"/>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9e0e11239eec481aac9d4bacb52e0e63"/>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8e083699f01245ddaee59d5e4e12e588"/>
        <Part Type="papunktis" Nr="54.2" Abbr="54.2 pp." DocPartId="0c6f734d0ab44222ab9ac5ee60e73a4f" PartId="b2803a713e15438084c3569479dd4ec5"/>
      </Part>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ab22620f30b44278fee8cd2d7beb8e7"/>
      <Part Type="punktas" Nr="58" Abbr="58 p." DocPartId="df2b0e8f6555478a962cd2e220ef23be" PartId="29f2f0918e164573b80c53933deaf147"/>
      <Part Type="punktas" Nr="59" Abbr="59 p." DocPartId="574eaafabffd43bb82067acb7c5d0089" PartId="3c92d1a23cd44b6c98b3414ecac438ab"/>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4a317d9c64fa40b4aa7b55212bd04e31"/>
      <Part Type="punktas" Nr="65-1" Abbr="65-1 p." DocPartId="d18dcb208529499e8d437c17fc9b1afe" PartId="5d5faa5e2c9d400cae646ba3a541fd0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f3489688756f456aabe21492f67e926d">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c65fc6ce4a8b444ba18696fda97dc66e"/>
        <Part Type="punktas" Nr="70.4" Abbr="70.4 p." DocPartId="fbcebebb78fc405aa9b0c4264e06d689" PartId="7732208b05ff4f58b4a577073ddf3cb4"/>
      </Part>
      <Part Type="punktas" Nr="71" Abbr="71 p." DocPartId="0208a899a6d24122840adf4a80e53a8b" PartId="a402773490f748b88d0c2038c2ca277e"/>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aaff0440afdb4d349dcda988fdd1b74e"/>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fbe5ca3f55b04b79ba13a84c8429be61"/>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736abe508d1e4bfb8c02b1f85f9f3349"/>
        <Part Type="punktas" Nr="72.7" Abbr="72.7 p." DocPartId="93bc8a0cea654e0cb9eaf2ef96afd997" PartId="a937667f626d4c368cbbb220bcdce0b7">
          <Part Type="punktas" Nr="72.7.1" Abbr="72.7.1 p." DocPartId="6058b31cf0cd45138ba14401bb4fac9d" PartId="c4b175b850b74f1aafbff3fcc0531088"/>
          <Part Type="punktas" Nr="72.7.2" Abbr="72.7.2 p." DocPartId="c5ab77b0633941cbaf9c31c8885f86f6" PartId="5ece4c22072345fc94568be66d8ba737"/>
          <Part Type="punktas" Nr="72.7.3" Abbr="72.7.3 p." DocPartId="c6dbbeae36a54eb383099face52ee542" PartId="23e2305227ed4ac186be9340197c5fc4"/>
          <Part Type="punktas" Nr="72.7.4" Abbr="72.7.4 p." DocPartId="8b081092c46e4c6b98c4ee6035d91a36" PartId="a61271012b674040a66bc663870649d4"/>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a42980b848d5424fbc980987e832e1b2"/>
          <Part Type="punktas" Nr="72.8.2" Abbr="72.8.2 p." DocPartId="1da555b530a248c483e49f28a6890d98" PartId="5817e6e305bc45959855da1cdbd66c93"/>
          <Part Type="punktas" Nr="72.8.3" Abbr="72.8.3 p." DocPartId="d46525c7e80b407c8967b90ec948e1d5" PartId="f06ee85e99ce421ba56049a4adfa0302"/>
          <Part Type="punktas" Nr="72.8.4" Abbr="72.8.4 p." DocPartId="c073aa8ac1454a409c1c3f214482de92" PartId="eed9a0c6f350469a98717c1e9cbf523a"/>
          <Part Type="punktas" Nr="72.8.5" Abbr="72.8.5 p." DocPartId="42a71e058bf5453abd4bdb5c03579351" PartId="5096ca2b2e664833b71bb6aaf38dac06"/>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7a55af4a23d488fb57f06b70bb26bb0"/>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daf057094e664a39921fc4d9f7d6cd14"/>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60fa23ee701841d88ece37b9c2ed45d9"/>
  <Part Type="priedas" Nr="2" Abbr="2 pr." Title="MIŠKO ĮVEISIMO, ĮVEISTO MIŠKO PRIEŽIŪROS, APSAUGOS IR UGDYMO IŠMOKŲ APSKAIČIAVIMO TVARKOS APRAŠAS" DocPartId="9fea77a6e0834fb3a5db48ed97607cdb" PartId="b4f3b0da98d140779e382409ea6563f3">
    <Part Type="skirsnis" Title="Pastabos:" DocPartId="0a1e41fe135a4e0caabcf0f34a34c709" PartId="13d3dc29694d4f0aa5ed5569751d3b9e">
      <Part Type="punktas" Nr="1" Abbr="2 pr. 1 p." DocPartId="da0d35d5ce5b4bc091f96ed8620e7f45" PartId="504fb264763f474a88691a39785de57e"/>
      <Part Type="punktas" Nr="2" Abbr="2 pr. 2 p." DocPartId="bb281f981cc34aac8c1d647b2f08355f" PartId="4029f360ad1c40798dd6a7fc0631d6c6"/>
      <Part Type="punktas" Nr="3" Abbr="2 pr. 3 p." DocPartId="b69f7fc4afe947b897bc1d71a22b9279" PartId="4ac46088b3ea483ba99c3d1a4d00b2bd"/>
      <Part Type="punktas" Nr="4" Abbr="2 pr. 4 p." DocPartId="f1b272c865e94c4f824b70192060789c" PartId="b7db554dff1b4eada0520ef6f69191ca"/>
      <Part Type="punktas" Nr="5" Abbr="2 pr. 5 p." DocPartId="818c24b7d2614d7c80923e9081b0ad4b" PartId="9d8e4eb383b3406ca3c56999e0f97cf5"/>
    </Part>
    <Part Type="pabaiga" DocPartId="6bca3e845c7a42c8b6b7bfc968627997" PartId="e27d0aa543934a24b406b01bcdee6663"/>
  </Part>
</Parts>
</file>

<file path=customXml/itemProps1.xml><?xml version="1.0" encoding="utf-8"?>
<ds:datastoreItem xmlns:ds="http://schemas.openxmlformats.org/officeDocument/2006/customXml" ds:itemID="{85934A6D-8915-4593-972D-8B5526A4E61D}">
  <ds:schemaRefs>
    <ds:schemaRef ds:uri="http://lrs.lt/TAIS/DocParts"/>
  </ds:schemaRefs>
</ds:datastoreItem>
</file>

<file path=docProps/app.xml><?xml version="1.0" encoding="utf-8"?>
<Properties xmlns="http://schemas.openxmlformats.org/officeDocument/2006/extended-properties">
  <Template>Normal.dotm</Template>
  <TotalTime>0</TotalTime>
  <Pages>62</Pages>
  <Words>21391</Words>
  <Characters>147981</Characters>
  <Application>Microsoft Office Word</Application>
  <DocSecurity>0</DocSecurity>
  <Lines>1233</Lines>
  <Paragraphs>338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169034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2023-03-12T11:54:00Z</dcterms:modified>
  <revision>1</revision>
</coreProperties>
</file>