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2018-02-27 iki 2019-02-22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ac360fc9d50d4b28996986c1993d8dcc"/>
        <w:lock w:val="sdtLocked"/>
        <w:richText/>
      </w:sdtPr>
      <w:sdtContent>
        <w:p>
          <w:pPr>
            <w:tabs>
              <w:tab w:val="left" w:pos="1304"/>
              <w:tab w:val="left" w:pos="1457"/>
              <w:tab w:val="left" w:pos="1604"/>
              <w:tab w:val="left" w:pos="1757"/>
            </w:tabs>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 w:val="20"/>
            </w:rPr>
          </w:pPr>
        </w:p>
        <w:p>
          <w:pPr>
            <w:suppressAutoHyphens/>
            <w:spacing w:line="298" w:lineRule="auto"/>
            <w:ind w:firstLine="312"/>
            <w:jc w:val="both"/>
            <w:textAlignment w:val="center"/>
            <w:rPr>
              <w:color w:val="000000"/>
              <w:sz w:val="22"/>
              <w:szCs w:val="22"/>
            </w:rPr>
          </w:pPr>
        </w:p>
        <w:p>
          <w:pPr>
            <w:keepLines/>
            <w:suppressAutoHyphens/>
            <w:spacing w:line="278" w:lineRule="auto"/>
            <w:jc w:val="center"/>
            <w:textAlignment w:val="center"/>
            <w:rPr>
              <w:b/>
              <w:bCs/>
              <w:caps/>
              <w:color w:val="000000"/>
              <w:sz w:val="22"/>
              <w:szCs w:val="22"/>
            </w:rPr>
          </w:pPr>
          <w:sdt>
            <w:sdtPr>
              <w:alias w:val="Pavadinimas"/>
              <w:tag w:val="title_ac360fc9d50d4b28996986c1993d8dcc"/>
              <w:lock w:val="sdtLocked"/>
              <w:richText/>
            </w:sdtPr>
            <w:sdtContent>
              <w:r>
                <w:rPr>
                  <w:b/>
                  <w:bCs/>
                  <w:caps/>
                  <w:color w:val="000000"/>
                  <w:sz w:val="22"/>
                  <w:szCs w:val="22"/>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 w:val="22"/>
              <w:szCs w:val="22"/>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537c332b4394442cb5e301b01f5cc1f4"/>
                    <w:lock w:val="sdtLocked"/>
                    <w:richText/>
                  </w:sdtPr>
                  <w:sdtContent>
                    <w:p>
                      <w:pPr>
                        <w:suppressAutoHyphens/>
                        <w:overflowPunct w:val="0"/>
                        <w:ind w:firstLine="284"/>
                        <w:jc w:val="both"/>
                        <w:textAlignment w:val="center"/>
                        <w:rPr>
                          <w:sz w:val="22"/>
                          <w:szCs w:val="22"/>
                        </w:rPr>
                      </w:pPr>
                      <w:sdt>
                        <w:sdtPr>
                          <w:alias w:val="Numeris"/>
                          <w:tag w:val="nr_537c332b4394442cb5e301b01f5cc1f4"/>
                          <w:lock w:val="sdtLocked"/>
                          <w:richText/>
                        </w:sdtPr>
                        <w:sdtContent>
                          <w:r>
                            <w:rPr>
                              <w:szCs w:val="24"/>
                            </w:rPr>
                            <w:t>3.15</w:t>
                          </w:r>
                        </w:sdtContent>
                      </w:sdt>
                      <w:r>
                        <w:rPr>
                          <w:szCs w:val="24"/>
                        </w:rPr>
                        <w:t xml:space="preserve">. </w:t>
                      </w:r>
                      <w:r>
                        <w:rPr>
                          <w:b/>
                          <w:bCs/>
                          <w:szCs w:val="22"/>
                        </w:rPr>
                        <w:t xml:space="preserve">Želdinamas ir (arba) želiantis miško plotas </w:t>
                      </w:r>
                      <w:r>
                        <w:rPr>
                          <w:szCs w:val="22"/>
                        </w:rPr>
                        <w:t>– plotas, kuriame sodinami sodmenys ir (arba) želia miškas.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e948ed160a9046118662392a946bf943"/>
                    <w:lock w:val="sdtLocked"/>
                    <w:richText/>
                  </w:sdtPr>
                  <w:sdtContent>
                    <w:p>
                      <w:pPr>
                        <w:overflowPunct w:val="0"/>
                        <w:ind w:firstLine="425"/>
                        <w:jc w:val="both"/>
                        <w:textAlignment w:val="baseline"/>
                        <w:rPr>
                          <w:color w:val="000000"/>
                          <w:sz w:val="22"/>
                          <w:szCs w:val="22"/>
                        </w:rPr>
                      </w:pPr>
                      <w:sdt>
                        <w:sdtPr>
                          <w:alias w:val="Numeris"/>
                          <w:tag w:val="nr_e948ed160a9046118662392a946bf943"/>
                          <w:lock w:val="sdtLocked"/>
                          <w:richText/>
                        </w:sdtPr>
                        <w:sdtContent>
                          <w:r>
                            <w:rPr>
                              <w:sz w:val="22"/>
                              <w:szCs w:val="22"/>
                            </w:rPr>
                            <w:t>8.2</w:t>
                          </w:r>
                        </w:sdtContent>
                      </w:sdt>
                      <w:r>
                        <w:rPr>
                          <w:sz w:val="22"/>
                          <w:szCs w:val="22"/>
                        </w:rPr>
                        <w:t xml:space="preserve">. įveisto miško priežiūra, apsauga ir ugdymas (12 metų mokama kasmetinė kompensacinė išmoka).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1fd00ea2d75d49af9530d58bb2367061"/>
                <w:lock w:val="sdtLocked"/>
                <w:richText/>
              </w:sdtPr>
              <w:sdtContent>
                <w:p>
                  <w:pPr>
                    <w:suppressAutoHyphens/>
                    <w:spacing w:line="278" w:lineRule="auto"/>
                    <w:ind w:firstLine="312"/>
                    <w:jc w:val="both"/>
                    <w:textAlignment w:val="center"/>
                    <w:rPr>
                      <w:color w:val="000000"/>
                      <w:sz w:val="22"/>
                      <w:szCs w:val="22"/>
                    </w:rPr>
                  </w:pPr>
                  <w:sdt>
                    <w:sdtPr>
                      <w:alias w:val="Numeris"/>
                      <w:tag w:val="nr_1fd00ea2d75d49af9530d58bb2367061"/>
                      <w:lock w:val="sdtLocked"/>
                      <w:richText/>
                    </w:sdtPr>
                    <w:sdtContent>
                      <w:r>
                        <w:rPr>
                          <w:color w:val="000000"/>
                          <w:sz w:val="22"/>
                          <w:szCs w:val="22"/>
                        </w:rPr>
                        <w:t>9</w:t>
                      </w:r>
                    </w:sdtContent>
                  </w:sdt>
                  <w:r>
                    <w:rPr>
                      <w:color w:val="000000"/>
                      <w:sz w:val="22"/>
                      <w:szCs w:val="22"/>
                    </w:rPr>
                    <w:t>. Juridiniai ir ne jaunesni kaip 18 metų amžiaus fiziniai asmenys,</w:t>
                  </w:r>
                  <w:r>
                    <w:rPr>
                      <w:color w:val="000000"/>
                      <w:sz w:val="22"/>
                      <w:szCs w:val="24"/>
                    </w:rPr>
                    <w:t xml:space="preserve"> </w:t>
                  </w:r>
                  <w:r>
                    <w:rPr>
                      <w:color w:val="000000"/>
                      <w:sz w:val="22"/>
                      <w:szCs w:val="22"/>
                    </w:rPr>
                    <w:t>kuriems želdintina žemė, planuojama apželdinti mišku, priklauso</w:t>
                  </w:r>
                  <w:r>
                    <w:rPr>
                      <w:color w:val="000000"/>
                      <w:sz w:val="22"/>
                      <w:szCs w:val="24"/>
                    </w:rPr>
                    <w:t xml:space="preserve"> nuosavybės teise</w:t>
                  </w:r>
                  <w:r>
                    <w:rPr>
                      <w:color w:val="000000"/>
                      <w:sz w:val="22"/>
                      <w:szCs w:val="22"/>
                    </w:rPr>
                    <w:t>,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018eca896cb04ed8b26ab2d97045de4c"/>
                <w:lock w:val="sdtLocked"/>
                <w:richText/>
              </w:sdtPr>
              <w:sdtContent>
                <w:p>
                  <w:pPr>
                    <w:widowControl w:val="0"/>
                    <w:spacing w:line="278" w:lineRule="auto"/>
                    <w:ind w:firstLine="312"/>
                    <w:jc w:val="both"/>
                    <w:rPr>
                      <w:sz w:val="22"/>
                      <w:szCs w:val="22"/>
                    </w:rPr>
                  </w:pPr>
                  <w:sdt>
                    <w:sdtPr>
                      <w:alias w:val="Numeris"/>
                      <w:tag w:val="nr_018eca896cb04ed8b26ab2d97045de4c"/>
                      <w:lock w:val="sdtLocked"/>
                      <w:richText/>
                    </w:sdtPr>
                    <w:sdtContent>
                      <w:r>
                        <w:rPr>
                          <w:sz w:val="22"/>
                          <w:szCs w:val="22"/>
                        </w:rPr>
                        <w:t>17</w:t>
                      </w:r>
                    </w:sdtContent>
                  </w:sdt>
                  <w:r>
                    <w:rPr>
                      <w:sz w:val="22"/>
                      <w:szCs w:val="22"/>
                    </w:rPr>
                    <w:t xml:space="preserve">. </w:t>
                  </w:r>
                  <w:r>
                    <w:rPr>
                      <w:color w:val="000000"/>
                      <w:spacing w:val="4"/>
                      <w:sz w:val="22"/>
                      <w:szCs w:val="22"/>
                      <w:lang w:eastAsia="lt-LT"/>
                    </w:rPr>
                    <w:t>Pareiškėjas laikomas tinkamu gauti paramą, jei atitinka šiame Taisyklių punkte išvardytas tinkamumo gauti paramą sąlygas ir reikalavimus ir surenka IX skyriuje nurodytą p</w:t>
                  </w:r>
                  <w:r>
                    <w:rPr>
                      <w:sz w:val="22"/>
                      <w:szCs w:val="22"/>
                    </w:rPr>
                    <w:t>rivalomą mažiausią paramos paraiškų atrankos balų skaičių.</w:t>
                  </w:r>
                  <w:r>
                    <w:rPr>
                      <w:sz w:val="22"/>
                      <w:szCs w:val="24"/>
                    </w:rPr>
                    <w:t xml:space="preserve"> </w:t>
                  </w:r>
                  <w:r>
                    <w:rPr>
                      <w:sz w:val="22"/>
                      <w:szCs w:val="22"/>
                      <w:lang w:eastAsia="lt-LT"/>
                    </w:rPr>
                    <w:t>Tinkamumo gauti paramą sąlygos ir reikalavimai yra šie</w:t>
                  </w:r>
                  <w:r>
                    <w:rPr>
                      <w:sz w:val="22"/>
                      <w:szCs w:val="22"/>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76f049096c5440187b0c2bb1618225d"/>
                    <w:lock w:val="sdtLocked"/>
                    <w:richText/>
                  </w:sdtPr>
                  <w:sdtContent>
                    <w:p>
                      <w:pPr>
                        <w:suppressAutoHyphens/>
                        <w:overflowPunct w:val="0"/>
                        <w:ind w:firstLine="284"/>
                        <w:jc w:val="both"/>
                        <w:textAlignment w:val="center"/>
                        <w:rPr>
                          <w:color w:val="000000"/>
                          <w:sz w:val="22"/>
                          <w:szCs w:val="22"/>
                        </w:rPr>
                      </w:pPr>
                      <w:sdt>
                        <w:sdtPr>
                          <w:alias w:val="Numeris"/>
                          <w:tag w:val="nr_276f049096c5440187b0c2bb1618225d"/>
                          <w:lock w:val="sdtLocked"/>
                          <w:richText/>
                        </w:sdt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 xml:space="preserve">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8c9f2647f2594dbe92bb82c8cefed13a"/>
                        <w:lock w:val="sdtLocked"/>
                        <w:richText/>
                      </w:sdtPr>
                      <w:sdtContent>
                        <w:p>
                          <w:pPr>
                            <w:suppressAutoHyphens/>
                            <w:ind w:firstLine="284"/>
                            <w:jc w:val="both"/>
                            <w:textAlignment w:val="center"/>
                            <w:rPr>
                              <w:color w:val="000000"/>
                              <w:sz w:val="22"/>
                              <w:szCs w:val="22"/>
                            </w:rPr>
                          </w:pPr>
                          <w:sdt>
                            <w:sdtPr>
                              <w:alias w:val="Numeris"/>
                              <w:tag w:val="nr_8c9f2647f2594dbe92bb82c8cefed13a"/>
                              <w:lock w:val="sdtLocked"/>
                              <w:richText/>
                            </w:sdtPr>
                            <w:sdtContent>
                              <w:r>
                                <w:rPr>
                                  <w:sz w:val="22"/>
                                  <w:szCs w:val="22"/>
                                  <w:lang w:eastAsia="lt-LT"/>
                                </w:rPr>
                                <w:t>17.10.2</w:t>
                              </w:r>
                            </w:sdtContent>
                          </w:sdt>
                          <w:r>
                            <w:rPr>
                              <w:sz w:val="22"/>
                              <w:szCs w:val="22"/>
                              <w:lang w:eastAsia="lt-LT"/>
                            </w:rPr>
                            <w:t>.</w:t>
                          </w:r>
                          <w:r>
                            <w:rPr>
                              <w:color w:val="000000"/>
                              <w:sz w:val="22"/>
                              <w:szCs w:val="22"/>
                              <w:lang w:val="en-US" w:eastAsia="lt-LT"/>
                            </w:rPr>
                            <w:t xml:space="preserve"> </w:t>
                          </w:r>
                          <w:r>
                            <w:rPr>
                              <w:sz w:val="22"/>
                              <w:szCs w:val="22"/>
                              <w:lang w:eastAsia="lt-LT"/>
                            </w:rPr>
                            <w:t xml:space="preserve">patvirtintas VĮ Valstybinių miškų urėdijos regioninio padalinio, kurio veiklos teritorijoje yra žemės plotas, kuriame planuojama veisti mišką, vadovo ar jo įgalioto valstybinio miškų pareigūno;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59e3fb8e34164043b62a087d210ca132"/>
                    <w:lock w:val="sdtLocked"/>
                    <w:richText/>
                  </w:sdtPr>
                  <w:sdtContent>
                    <w:p>
                      <w:pPr>
                        <w:suppressAutoHyphens/>
                        <w:ind w:firstLine="284"/>
                        <w:jc w:val="both"/>
                        <w:textAlignment w:val="center"/>
                        <w:rPr>
                          <w:color w:val="000000"/>
                          <w:sz w:val="22"/>
                          <w:szCs w:val="22"/>
                        </w:rPr>
                      </w:pPr>
                      <w:sdt>
                        <w:sdtPr>
                          <w:alias w:val="Numeris"/>
                          <w:tag w:val="nr_59e3fb8e34164043b62a087d210ca132"/>
                          <w:lock w:val="sdtLocked"/>
                          <w:richText/>
                        </w:sdtPr>
                        <w:sdtContent>
                          <w:r>
                            <w:rPr>
                              <w:sz w:val="22"/>
                              <w:szCs w:val="22"/>
                              <w:lang w:eastAsia="lt-LT"/>
                            </w:rPr>
                            <w:t>17.15</w:t>
                          </w:r>
                        </w:sdtContent>
                      </w:sdt>
                      <w:r>
                        <w:rPr>
                          <w:sz w:val="22"/>
                          <w:szCs w:val="22"/>
                          <w:lang w:eastAsia="lt-LT"/>
                        </w:rPr>
                        <w:t xml:space="preserve">. veisiant mišką </w:t>
                      </w:r>
                      <w:r>
                        <w:rPr>
                          <w:i/>
                          <w:sz w:val="22"/>
                          <w:szCs w:val="22"/>
                          <w:lang w:eastAsia="lt-LT"/>
                        </w:rPr>
                        <w:t>Natura 2000</w:t>
                      </w:r>
                      <w:r>
                        <w:rPr>
                          <w:sz w:val="22"/>
                          <w:szCs w:val="22"/>
                          <w:lang w:eastAsia="lt-LT"/>
                        </w:rPr>
                        <w:t xml:space="preserve"> teritorijose, pareiškėjas privalo pateikti išvadą / pažymą, išduotą saugomos teritorijos direkcijos pagal žemės sklypo buvimo vietą, kurioje nurodyta, kad galima veisti mišką </w:t>
                      </w:r>
                      <w:r>
                        <w:rPr>
                          <w:i/>
                          <w:sz w:val="22"/>
                          <w:szCs w:val="22"/>
                          <w:lang w:eastAsia="lt-LT"/>
                        </w:rPr>
                        <w:t>Natura 2000</w:t>
                      </w:r>
                      <w:r>
                        <w:rPr>
                          <w:sz w:val="22"/>
                          <w:szCs w:val="22"/>
                          <w:lang w:eastAsia="lt-LT"/>
                        </w:rPr>
                        <w:t xml:space="preserve"> teritorijoje (išvada / pažyma išduodama Valstybinės saugomų teritorijų tarnybos prie Aplinkos ministerijos nustatyta tvarka). Nacionalinių saugomų teritorijų ir </w:t>
                      </w:r>
                      <w:r>
                        <w:rPr>
                          <w:i/>
                          <w:sz w:val="22"/>
                          <w:szCs w:val="22"/>
                          <w:lang w:eastAsia="lt-LT"/>
                        </w:rPr>
                        <w:t>Natura 2000</w:t>
                      </w:r>
                      <w:r>
                        <w:rPr>
                          <w:sz w:val="22"/>
                          <w:szCs w:val="22"/>
                          <w:lang w:eastAsia="lt-LT"/>
                        </w:rPr>
                        <w:t xml:space="preserve"> tinklo teritorijų paskirstymas yra patvirtintas Valstybinės saugomų teritorijų tarnybos prie Aplinkos ministerijos direktoriaus 2016 m. gegužės 5 d. įsakymu Nr. V-91 „Dėl valstybės įsteigtų saugomų teritorijų, neturinčių direkcijų, ir Europos ekologinio tinklo „</w:t>
                      </w:r>
                      <w:r>
                        <w:rPr>
                          <w:i/>
                          <w:sz w:val="22"/>
                          <w:szCs w:val="22"/>
                          <w:lang w:eastAsia="lt-LT"/>
                        </w:rPr>
                        <w:t>Natura 2000</w:t>
                      </w:r>
                      <w:r>
                        <w:rPr>
                          <w:sz w:val="22"/>
                          <w:szCs w:val="22"/>
                          <w:lang w:eastAsia="lt-LT"/>
                        </w:rPr>
                        <w:t>“ teritorijų, nepatenkančių į valstybinius parkus, rezervatus ar biosferos rezervatą, priskyrimo saugomų teritorijų direkcijoms;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2b0b06a7836d40b6a8e4ba795873bd66"/>
                <w:lock w:val="sdtLocked"/>
                <w:richText/>
              </w:sdtPr>
              <w:sdtContent>
                <w:p>
                  <w:pPr>
                    <w:suppressAutoHyphens/>
                    <w:overflowPunct w:val="0"/>
                    <w:ind w:firstLine="284"/>
                    <w:jc w:val="both"/>
                    <w:textAlignment w:val="center"/>
                    <w:rPr>
                      <w:sz w:val="22"/>
                      <w:szCs w:val="22"/>
                    </w:rPr>
                  </w:pPr>
                  <w:sdt>
                    <w:sdtPr>
                      <w:alias w:val="Numeris"/>
                      <w:tag w:val="nr_2b0b06a7836d40b6a8e4ba795873bd66"/>
                      <w:lock w:val="sdtLocked"/>
                      <w:richText/>
                    </w:sdtPr>
                    <w:sdtContent>
                      <w:r>
                        <w:rPr>
                          <w:szCs w:val="24"/>
                        </w:rPr>
                        <w:t>21</w:t>
                      </w:r>
                    </w:sdtContent>
                  </w:sdt>
                  <w:r>
                    <w:rPr>
                      <w:szCs w:val="24"/>
                    </w:rPr>
                    <w:t>. Parama neteikiama, jei miškas jau buvo pradėtas veisti ar įveistas iki paramos paraiškos pateikimo, arba miškas veisiamas ne Lietuvos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bbdeadc7fccd41219af17601a6c2617b"/>
                <w:lock w:val="sdtLocked"/>
                <w:richText/>
              </w:sdtPr>
              <w:sdtContent>
                <w:p>
                  <w:pPr>
                    <w:suppressAutoHyphens/>
                    <w:ind w:firstLine="284"/>
                    <w:jc w:val="both"/>
                    <w:textAlignment w:val="center"/>
                    <w:rPr>
                      <w:color w:val="000000"/>
                      <w:sz w:val="22"/>
                      <w:szCs w:val="22"/>
                    </w:rPr>
                  </w:pPr>
                  <w:sdt>
                    <w:sdtPr>
                      <w:alias w:val="Numeris"/>
                      <w:tag w:val="nr_bbdeadc7fccd41219af17601a6c2617b"/>
                      <w:lock w:val="sdtLocked"/>
                      <w:richText/>
                    </w:sdtPr>
                    <w:sdtContent>
                      <w:r>
                        <w:rPr>
                          <w:color w:val="000000"/>
                          <w:szCs w:val="24"/>
                          <w:lang w:eastAsia="lt-LT"/>
                        </w:rPr>
                        <w:t>30</w:t>
                      </w:r>
                    </w:sdtContent>
                  </w:sdt>
                  <w:r>
                    <w:rPr>
                      <w:color w:val="000000"/>
                      <w:szCs w:val="24"/>
                      <w:lang w:eastAsia="lt-LT"/>
                    </w:rPr>
                    <w:t>. Jeigu miško želdinių ar žėlinių apskaitos metais VMT Miškų kontrolės skyriaus teritorinio poskyrio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 p."/>
                <w:tag w:val="part_aec1433c933f4db9af1d2521fdf4cd88"/>
                <w:lock w:val="sdtLocked"/>
                <w:richText/>
              </w:sdtPr>
              <w:sdtContent>
                <w:p>
                  <w:pPr>
                    <w:suppressAutoHyphens/>
                    <w:overflowPunct w:val="0"/>
                    <w:ind w:firstLine="284"/>
                    <w:jc w:val="both"/>
                    <w:textAlignment w:val="center"/>
                    <w:rPr>
                      <w:color w:val="000000"/>
                      <w:sz w:val="22"/>
                      <w:szCs w:val="22"/>
                    </w:rPr>
                  </w:pPr>
                  <w:sdt>
                    <w:sdtPr>
                      <w:alias w:val="Numeris"/>
                      <w:tag w:val="nr_aec1433c933f4db9af1d2521fdf4cd88"/>
                      <w:lock w:val="sdtLocked"/>
                      <w:richText/>
                    </w:sdtPr>
                    <w:sdtContent>
                      <w:r>
                        <w:rPr>
                          <w:szCs w:val="24"/>
                        </w:rPr>
                        <w:t>31</w:t>
                      </w:r>
                    </w:sdtContent>
                  </w:sdt>
                  <w:r>
                    <w:rPr>
                      <w:szCs w:val="24"/>
                    </w:rPr>
                    <w:t>.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fd19d34a4a0a40a8a613b4e1433331db"/>
                <w:lock w:val="sdtLocked"/>
                <w:richText/>
              </w:sdtPr>
              <w:sdtContent>
                <w:p>
                  <w:pPr>
                    <w:suppressAutoHyphens/>
                    <w:spacing w:line="278" w:lineRule="auto"/>
                    <w:ind w:firstLine="312"/>
                    <w:jc w:val="both"/>
                    <w:textAlignment w:val="center"/>
                    <w:rPr>
                      <w:sz w:val="22"/>
                      <w:szCs w:val="24"/>
                    </w:rPr>
                  </w:pPr>
                  <w:sdt>
                    <w:sdtPr>
                      <w:alias w:val="Numeris"/>
                      <w:tag w:val="nr_fd19d34a4a0a40a8a613b4e1433331db"/>
                      <w:lock w:val="sdtLocked"/>
                      <w:richText/>
                    </w:sdtPr>
                    <w:sdtContent>
                      <w:r>
                        <w:rPr>
                          <w:sz w:val="22"/>
                          <w:szCs w:val="22"/>
                        </w:rPr>
                        <w:t>33</w:t>
                      </w:r>
                    </w:sdtContent>
                  </w:sdt>
                  <w:r>
                    <w:rPr>
                      <w:sz w:val="22"/>
                      <w:szCs w:val="22"/>
                    </w:rPr>
                    <w:t>. Pareiškėjas / paramos gavėjas</w:t>
                  </w:r>
                  <w:r>
                    <w:rPr>
                      <w:color w:val="000000"/>
                      <w:sz w:val="22"/>
                      <w:szCs w:val="22"/>
                    </w:rPr>
                    <w:t xml:space="preserve"> įsipareigoja n</w:t>
                  </w:r>
                  <w:r>
                    <w:rPr>
                      <w:sz w:val="22"/>
                      <w:szCs w:val="22"/>
                    </w:rPr>
                    <w:t>uo</w:t>
                  </w:r>
                  <w:r>
                    <w:rPr>
                      <w:sz w:val="22"/>
                      <w:szCs w:val="24"/>
                    </w:rPr>
                    <w:t xml:space="preserve"> paramos paraiškos tinkamumo įvertinimo iki įsipareigojimų laikotarpio pabaigos, be rašytinio Agentūros sutikimo neparduoti ir kitaip neperleisti kitam asmeniui </w:t>
                  </w:r>
                  <w:r>
                    <w:rPr>
                      <w:sz w:val="22"/>
                      <w:szCs w:val="22"/>
                    </w:rPr>
                    <w:t>žemės sklypo ploto, kuriame už paramos lėšas įveistas miškas</w:t>
                  </w:r>
                  <w:r>
                    <w:rPr>
                      <w:sz w:val="22"/>
                      <w:szCs w:val="24"/>
                    </w:rPr>
                    <w:t xml:space="preserve">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b6fe1627053742919ecc703f466a4e4f"/>
                <w:lock w:val="sdtLocked"/>
                <w:richText/>
              </w:sdtPr>
              <w:sdtContent>
                <w:p>
                  <w:pPr>
                    <w:suppressAutoHyphens/>
                    <w:overflowPunct w:val="0"/>
                    <w:ind w:firstLine="284"/>
                    <w:jc w:val="both"/>
                    <w:textAlignment w:val="center"/>
                    <w:rPr>
                      <w:color w:val="000000"/>
                      <w:sz w:val="22"/>
                      <w:szCs w:val="22"/>
                    </w:rPr>
                  </w:pPr>
                  <w:sdt>
                    <w:sdtPr>
                      <w:alias w:val="Numeris"/>
                      <w:tag w:val="nr_b6fe1627053742919ecc703f466a4e4f"/>
                      <w:lock w:val="sdtLocked"/>
                      <w:richText/>
                    </w:sdtPr>
                    <w:sdtContent>
                      <w:r>
                        <w:rPr>
                          <w:szCs w:val="24"/>
                        </w:rPr>
                        <w:t>39</w:t>
                      </w:r>
                      <w:r>
                        <w:rPr>
                          <w:szCs w:val="24"/>
                          <w:vertAlign w:val="superscript"/>
                        </w:rPr>
                        <w:t>1</w:t>
                      </w:r>
                    </w:sdtContent>
                  </w:sdt>
                  <w:r>
                    <w:rPr>
                      <w:szCs w:val="24"/>
                    </w:rPr>
                    <w:t>. Paraiškoms taikomi administracinės atitikties reikalavimai automatiškai sutikrinami ŽŪMIS sistemoje, naudojant viešųjų registrų ir Agentūros vidinių administravimo sistemų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e59a2b83515d49069c25c48a24e426fe"/>
                <w:lock w:val="sdtLocked"/>
                <w:richText/>
              </w:sdtPr>
              <w:sdtContent>
                <w:p>
                  <w:pPr>
                    <w:suppressAutoHyphens/>
                    <w:overflowPunct w:val="0"/>
                    <w:ind w:firstLine="284"/>
                    <w:jc w:val="both"/>
                    <w:textAlignment w:val="center"/>
                  </w:pPr>
                  <w:sdt>
                    <w:sdtPr>
                      <w:alias w:val="Numeris"/>
                      <w:tag w:val="nr_e59a2b83515d49069c25c48a24e426fe"/>
                      <w:lock w:val="sdtLocked"/>
                      <w:richText/>
                    </w:sdtPr>
                    <w:sdtContent>
                      <w:r>
                        <w:rPr>
                          <w:szCs w:val="22"/>
                        </w:rPr>
                        <w:t>48</w:t>
                      </w:r>
                    </w:sdtContent>
                  </w:sdt>
                  <w:r>
                    <w:rPr>
                      <w:szCs w:val="22"/>
                    </w:rPr>
                    <w:t>.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75f6ebddf80c479fa5031295b61e05d3"/>
                <w:lock w:val="sdtLocked"/>
                <w:richText/>
              </w:sdtPr>
              <w:sdtContent>
                <w:p>
                  <w:pPr>
                    <w:suppressAutoHyphens/>
                    <w:ind w:firstLine="284"/>
                    <w:jc w:val="both"/>
                    <w:textAlignment w:val="center"/>
                    <w:rPr>
                      <w:color w:val="000000"/>
                      <w:szCs w:val="24"/>
                      <w:lang w:eastAsia="lt-LT"/>
                    </w:rPr>
                  </w:pPr>
                  <w:sdt>
                    <w:sdtPr>
                      <w:alias w:val="Numeris"/>
                      <w:tag w:val="nr_75f6ebddf80c479fa5031295b61e05d3"/>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w:t>
                  </w:r>
                  <w:r>
                    <w:rPr>
                      <w:color w:val="000000"/>
                      <w:sz w:val="20"/>
                      <w:lang w:eastAsia="lt-LT"/>
                    </w:rPr>
                    <w:t xml:space="preserve"> </w:t>
                  </w:r>
                  <w:r>
                    <w:rPr>
                      <w:color w:val="000000"/>
                      <w:szCs w:val="24"/>
                      <w:lang w:eastAsia="lt-LT"/>
                    </w:rPr>
                    <w:t>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4af9c21dc438486ebc9ffa631ebbc119"/>
                <w:lock w:val="sdtLocked"/>
                <w:richText/>
              </w:sdtPr>
              <w:sdtContent>
                <w:p>
                  <w:pPr>
                    <w:suppressAutoHyphens/>
                    <w:ind w:firstLine="284"/>
                    <w:jc w:val="both"/>
                    <w:textAlignment w:val="center"/>
                    <w:rPr>
                      <w:sz w:val="20"/>
                    </w:rPr>
                  </w:pPr>
                  <w:sdt>
                    <w:sdtPr>
                      <w:alias w:val="Numeris"/>
                      <w:tag w:val="nr_4af9c21dc438486ebc9ffa631ebbc119"/>
                      <w:lock w:val="sdtLocked"/>
                      <w:richText/>
                    </w:sdtPr>
                    <w:sdtContent>
                      <w:r>
                        <w:rPr>
                          <w:color w:val="000000"/>
                          <w:szCs w:val="24"/>
                          <w:lang w:eastAsia="lt-LT"/>
                        </w:rPr>
                        <w:t>54</w:t>
                      </w:r>
                    </w:sdtContent>
                  </w:sdt>
                  <w:r>
                    <w:rPr>
                      <w:color w:val="000000"/>
                      <w:szCs w:val="24"/>
                      <w:lang w:eastAsia="lt-LT"/>
                    </w:rPr>
                    <w:t>. 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ab22620f30b44278fee8cd2d7beb8e7"/>
                <w:lock w:val="sdtLocked"/>
                <w:richText/>
              </w:sdtPr>
              <w:sdtContent>
                <w:p>
                  <w:pPr>
                    <w:suppressAutoHyphens/>
                    <w:overflowPunct w:val="0"/>
                    <w:ind w:firstLine="426"/>
                    <w:jc w:val="both"/>
                    <w:textAlignment w:val="center"/>
                    <w:rPr>
                      <w:color w:val="000000"/>
                      <w:sz w:val="22"/>
                      <w:szCs w:val="22"/>
                    </w:rPr>
                  </w:pPr>
                  <w:sdt>
                    <w:sdtPr>
                      <w:alias w:val="Numeris"/>
                      <w:tag w:val="nr_0ab22620f30b44278fee8cd2d7beb8e7"/>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ef79c04c1935438ea024610f92314d95"/>
                <w:lock w:val="sdtLocked"/>
                <w:richText/>
              </w:sdtPr>
              <w:sdtContent>
                <w:p>
                  <w:pPr>
                    <w:suppressAutoHyphens/>
                    <w:overflowPunct w:val="0"/>
                    <w:ind w:firstLine="284"/>
                    <w:jc w:val="both"/>
                    <w:textAlignment w:val="center"/>
                    <w:rPr>
                      <w:color w:val="000000"/>
                      <w:sz w:val="22"/>
                      <w:szCs w:val="22"/>
                    </w:rPr>
                  </w:pPr>
                  <w:sdt>
                    <w:sdtPr>
                      <w:alias w:val="Numeris"/>
                      <w:tag w:val="nr_ef79c04c1935438ea024610f92314d95"/>
                      <w:lock w:val="sdtLocked"/>
                      <w:richText/>
                    </w:sdtPr>
                    <w:sdtContent>
                      <w:r>
                        <w:rPr>
                          <w:sz w:val="22"/>
                          <w:szCs w:val="22"/>
                        </w:rPr>
                        <w:t>58</w:t>
                      </w:r>
                    </w:sdtContent>
                  </w:sdt>
                  <w:r>
                    <w:rPr>
                      <w:sz w:val="22"/>
                      <w:szCs w:val="22"/>
                    </w:rPr>
                    <w:t xml:space="preserve">. Paramos gavėjui Agentūrai pateikus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9 p."/>
                <w:tag w:val="part_e2b35eb0e98e40389e385fa9ad7e23fa"/>
                <w:lock w:val="sdtLocked"/>
                <w:richText/>
              </w:sdtPr>
              <w:sdtContent>
                <w:p>
                  <w:pPr>
                    <w:suppressAutoHyphens/>
                    <w:spacing w:line="278" w:lineRule="auto"/>
                    <w:ind w:firstLine="312"/>
                    <w:jc w:val="both"/>
                    <w:textAlignment w:val="center"/>
                    <w:rPr>
                      <w:color w:val="000000"/>
                      <w:sz w:val="22"/>
                      <w:szCs w:val="22"/>
                    </w:rPr>
                  </w:pPr>
                  <w:sdt>
                    <w:sdtPr>
                      <w:alias w:val="Numeris"/>
                      <w:tag w:val="nr_e2b35eb0e98e40389e385fa9ad7e23fa"/>
                      <w:lock w:val="sdtLocked"/>
                      <w:richText/>
                    </w:sdtPr>
                    <w:sdtContent>
                      <w:r>
                        <w:rPr>
                          <w:color w:val="000000"/>
                          <w:sz w:val="22"/>
                          <w:szCs w:val="22"/>
                        </w:rPr>
                        <w:t>59</w:t>
                      </w:r>
                    </w:sdtContent>
                  </w:sdt>
                  <w:r>
                    <w:rPr>
                      <w:color w:val="000000"/>
                      <w:sz w:val="22"/>
                      <w:szCs w:val="22"/>
                    </w:rPr>
                    <w:t>. Parama skiriama nepažeidžiant valstybės pagalbos reikalavimų, vadovaujantis 2013 m. gruodžio 18 d. Komisijos reglamentu (ES) Nr. 1407/2013 dėl Sutarties veikimo 107 ir 108 straipsnių taikymo nereikšmingai (</w:t>
                  </w:r>
                  <w:r>
                    <w:rPr>
                      <w:i/>
                      <w:iCs/>
                      <w:color w:val="000000"/>
                      <w:sz w:val="22"/>
                      <w:szCs w:val="22"/>
                    </w:rPr>
                    <w:t>de minimis)</w:t>
                  </w:r>
                  <w:r>
                    <w:rPr>
                      <w:color w:val="000000"/>
                      <w:sz w:val="22"/>
                      <w:szCs w:val="22"/>
                    </w:rPr>
                    <w:t xml:space="preserve"> pagalbai. </w:t>
                  </w:r>
                  <w:r>
                    <w:rPr>
                      <w:bCs/>
                      <w:color w:val="000000"/>
                      <w:sz w:val="22"/>
                      <w:szCs w:val="22"/>
                    </w:rPr>
                    <w:t xml:space="preserve">Bendra pagalbos suma, skiriama tai pačiai įmonei, negali viršyti </w:t>
                  </w:r>
                  <w:r>
                    <w:rPr>
                      <w:color w:val="000000"/>
                      <w:sz w:val="22"/>
                      <w:szCs w:val="22"/>
                    </w:rPr>
                    <w:t>200 000 Eur (du šimtai tūkstančių eurų)</w:t>
                  </w:r>
                  <w:r>
                    <w:rPr>
                      <w:bCs/>
                      <w:color w:val="000000"/>
                      <w:sz w:val="22"/>
                      <w:szCs w:val="22"/>
                    </w:rPr>
                    <w:t xml:space="preserve"> per trejų fiskalinių metų laikotarpį.</w:t>
                  </w:r>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4a317d9c64fa40b4aa7b55212bd04e31"/>
                <w:lock w:val="sdtLocked"/>
                <w:richText/>
              </w:sdtPr>
              <w:sdtContent>
                <w:p>
                  <w:pPr>
                    <w:suppressAutoHyphens/>
                    <w:ind w:firstLine="284"/>
                    <w:jc w:val="both"/>
                    <w:textAlignment w:val="center"/>
                    <w:rPr>
                      <w:color w:val="000000"/>
                      <w:sz w:val="22"/>
                      <w:szCs w:val="22"/>
                    </w:rPr>
                  </w:pPr>
                  <w:sdt>
                    <w:sdtPr>
                      <w:alias w:val="Numeris"/>
                      <w:tag w:val="nr_4a317d9c64fa40b4aa7b55212bd04e31"/>
                      <w:lock w:val="sdtLocked"/>
                      <w:richText/>
                    </w:sdtPr>
                    <w:sdtContent>
                      <w:r>
                        <w:rPr>
                          <w:color w:val="000000"/>
                          <w:sz w:val="22"/>
                          <w:szCs w:val="22"/>
                          <w:lang w:eastAsia="lt-LT"/>
                        </w:rPr>
                        <w:t>65</w:t>
                      </w:r>
                    </w:sdtContent>
                  </w:sdt>
                  <w:r>
                    <w:rPr>
                      <w:color w:val="000000"/>
                      <w:sz w:val="22"/>
                      <w:szCs w:val="22"/>
                      <w:lang w:eastAsia="lt-LT"/>
                    </w:rPr>
                    <w:t>. Projektas gali būti tikslinamas iki želdinių ir žėlinių kokybės vertinimo, vėlesni pakeitimai negalimi (išskyrus atvejus, kai, atlikus įveisto miško ploto kadastrinius matavimus, tikslinamas įveisto miško plotas</w:t>
                  </w:r>
                  <w:r>
                    <w:rPr>
                      <w:color w:val="000000"/>
                      <w:sz w:val="22"/>
                      <w:szCs w:val="22"/>
                      <w:lang w:val="en-US" w:eastAsia="lt-LT"/>
                    </w:rPr>
                    <w:t xml:space="preserve"> </w:t>
                  </w:r>
                  <w:r>
                    <w:rPr>
                      <w:color w:val="000000"/>
                      <w:sz w:val="22"/>
                      <w:szCs w:val="22"/>
                      <w:lang w:eastAsia="lt-LT"/>
                    </w:rPr>
                    <w:t xml:space="preserve">arba tikslinamas projektas, VMT pareigūnams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sz w:val="22"/>
                      <w:szCs w:val="22"/>
                      <w:lang w:eastAsia="lt-LT"/>
                    </w:rPr>
                    <w:t>force majeure</w:t>
                  </w:r>
                  <w:r>
                    <w:rPr>
                      <w:color w:val="000000"/>
                      <w:sz w:val="22"/>
                      <w:szCs w:val="22"/>
                      <w:lang w:eastAsia="lt-LT"/>
                    </w:rPr>
                    <w:t xml:space="preserve"> aplinkybių). Projektas ar jo patikslinti duomenys turi būti nustatyta tvarka patvirtinti VĮ Valstybinių miškų urėdijos regioninio padalinio vadovo</w:t>
                  </w:r>
                  <w:r>
                    <w:rPr>
                      <w:color w:val="000000"/>
                      <w:sz w:val="22"/>
                      <w:szCs w:val="22"/>
                      <w:lang w:val="en-US" w:eastAsia="lt-LT"/>
                    </w:rPr>
                    <w:t xml:space="preserve"> </w:t>
                  </w:r>
                  <w:r>
                    <w:rPr>
                      <w:color w:val="000000"/>
                      <w:sz w:val="22"/>
                      <w:szCs w:val="22"/>
                      <w:lang w:eastAsia="lt-LT"/>
                    </w:rPr>
                    <w:t>ar jo įgalioto valstybinio miškų pareigūno.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0eaa387a9927493b9acccd3282725c38"/>
                <w:lock w:val="sdtLocked"/>
                <w:richText/>
              </w:sdtPr>
              <w:sdtContent>
                <w:p>
                  <w:pPr>
                    <w:suppressAutoHyphens/>
                    <w:spacing w:line="278" w:lineRule="auto"/>
                    <w:ind w:firstLine="312"/>
                    <w:jc w:val="both"/>
                    <w:textAlignment w:val="center"/>
                    <w:rPr>
                      <w:sz w:val="22"/>
                      <w:szCs w:val="22"/>
                    </w:rPr>
                  </w:pPr>
                  <w:sdt>
                    <w:sdtPr>
                      <w:alias w:val="Numeris"/>
                      <w:tag w:val="nr_0eaa387a9927493b9acccd3282725c38"/>
                      <w:lock w:val="sdtLocked"/>
                      <w:richText/>
                    </w:sdtPr>
                    <w:sdtContent>
                      <w:r>
                        <w:rPr>
                          <w:sz w:val="22"/>
                          <w:szCs w:val="22"/>
                        </w:rPr>
                        <w:t>70</w:t>
                      </w:r>
                    </w:sdtContent>
                  </w:sdt>
                  <w:r>
                    <w:rPr>
                      <w:sz w:val="22"/>
                      <w:szCs w:val="22"/>
                    </w:rPr>
                    <w:t>. VMT Miškų kontrolės skyriaus teritorinio poskyrio valstybiniai miškų pareigūnai įveistame miške pagal Agentūros atliktą įveistų plotų atranką gali vykdyti šiuos patikrinimus:</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77e8d3ee78ba4bd08efcbd9e4f4b7855"/>
                    <w:lock w:val="sdtLocked"/>
                    <w:richText/>
                  </w:sdtPr>
                  <w:sdtContent>
                    <w:p>
                      <w:pPr>
                        <w:suppressAutoHyphens/>
                        <w:spacing w:line="278" w:lineRule="auto"/>
                        <w:ind w:firstLine="312"/>
                        <w:jc w:val="both"/>
                        <w:textAlignment w:val="center"/>
                        <w:rPr>
                          <w:sz w:val="22"/>
                          <w:szCs w:val="22"/>
                        </w:rPr>
                      </w:pPr>
                      <w:sdt>
                        <w:sdtPr>
                          <w:alias w:val="Numeris"/>
                          <w:tag w:val="nr_77e8d3ee78ba4bd08efcbd9e4f4b7855"/>
                          <w:lock w:val="sdtLocked"/>
                          <w:richText/>
                        </w:sdtPr>
                        <w:sdtContent>
                          <w:r>
                            <w:rPr>
                              <w:sz w:val="22"/>
                              <w:szCs w:val="22"/>
                            </w:rPr>
                            <w:t>70.3</w:t>
                          </w:r>
                        </w:sdtContent>
                      </w:sdt>
                      <w:r>
                        <w:rPr>
                          <w:sz w:val="22"/>
                          <w:szCs w:val="22"/>
                        </w:rPr>
                        <w:t xml:space="preserve">. miško žėlinių, </w:t>
                      </w:r>
                      <w:r>
                        <w:rPr>
                          <w:sz w:val="22"/>
                          <w:szCs w:val="24"/>
                        </w:rPr>
                        <w:t>kuriuose papildomai želdinti nereikia,</w:t>
                      </w:r>
                      <w:r>
                        <w:rPr>
                          <w:sz w:val="22"/>
                          <w:szCs w:val="22"/>
                        </w:rPr>
                        <w:t xml:space="preserve">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2588bb4adbf248bfaaf2c436bc8fd040"/>
                <w:lock w:val="sdtLocked"/>
                <w:richText/>
              </w:sdtPr>
              <w:sdtContent>
                <w:p>
                  <w:pPr>
                    <w:suppressAutoHyphens/>
                    <w:overflowPunct w:val="0"/>
                    <w:ind w:firstLine="284"/>
                    <w:jc w:val="both"/>
                    <w:textAlignment w:val="center"/>
                    <w:rPr>
                      <w:spacing w:val="-1"/>
                      <w:sz w:val="22"/>
                      <w:szCs w:val="22"/>
                    </w:rPr>
                  </w:pPr>
                  <w:sdt>
                    <w:sdtPr>
                      <w:alias w:val="Numeris"/>
                      <w:tag w:val="nr_2588bb4adbf248bfaaf2c436bc8fd040"/>
                      <w:lock w:val="sdtLocked"/>
                      <w:richText/>
                    </w:sdtPr>
                    <w:sdtContent>
                      <w:r>
                        <w:rPr>
                          <w:sz w:val="22"/>
                          <w:szCs w:val="22"/>
                        </w:rPr>
                        <w:t>71</w:t>
                      </w:r>
                    </w:sdtContent>
                  </w:sdt>
                  <w:r>
                    <w:rPr>
                      <w:sz w:val="22"/>
                      <w:szCs w:val="22"/>
                    </w:rPr>
                    <w:t xml:space="preserve">. Septintaisiais miško želdinių augimo metais VMT Miškų kontrolės skyriaus teritorinio poskyrio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30586cd68392453b8169fc493a2bdfbf"/>
                    <w:lock w:val="sdtLocked"/>
                    <w:richText/>
                  </w:sdtPr>
                  <w:sdtContent>
                    <w:p>
                      <w:pPr>
                        <w:suppressAutoHyphens/>
                        <w:spacing w:line="278" w:lineRule="auto"/>
                        <w:ind w:firstLine="312"/>
                        <w:jc w:val="both"/>
                        <w:textAlignment w:val="center"/>
                        <w:rPr>
                          <w:sz w:val="22"/>
                          <w:szCs w:val="24"/>
                        </w:rPr>
                      </w:pPr>
                      <w:sdt>
                        <w:sdtPr>
                          <w:alias w:val="Numeris"/>
                          <w:tag w:val="nr_30586cd68392453b8169fc493a2bdfbf"/>
                          <w:lock w:val="sdtLocked"/>
                          <w:richText/>
                        </w:sdtPr>
                        <w:sdtContent>
                          <w:r>
                            <w:rPr>
                              <w:spacing w:val="-3"/>
                              <w:sz w:val="22"/>
                              <w:szCs w:val="22"/>
                            </w:rPr>
                            <w:t>7</w:t>
                          </w:r>
                          <w:r>
                            <w:rPr>
                              <w:sz w:val="22"/>
                              <w:szCs w:val="22"/>
                            </w:rPr>
                            <w:t>2.6</w:t>
                          </w:r>
                        </w:sdtContent>
                      </w:sdt>
                      <w:r>
                        <w:rPr>
                          <w:spacing w:val="-3"/>
                          <w:sz w:val="22"/>
                          <w:szCs w:val="22"/>
                        </w:rPr>
                        <w:t>. VMT Miškų kontrolės skyriaus teritorinio poskyrio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e875253111eb4c518ee302487037d428"/>
                        <w:lock w:val="sdtLocked"/>
                        <w:richText/>
                      </w:sdtPr>
                      <w:sdtContent>
                        <w:p>
                          <w:pPr>
                            <w:suppressAutoHyphens/>
                            <w:overflowPunct w:val="0"/>
                            <w:ind w:firstLine="284"/>
                            <w:jc w:val="both"/>
                            <w:textAlignment w:val="center"/>
                            <w:rPr>
                              <w:sz w:val="22"/>
                              <w:szCs w:val="22"/>
                            </w:rPr>
                          </w:pPr>
                          <w:sdt>
                            <w:sdtPr>
                              <w:alias w:val="Numeris"/>
                              <w:tag w:val="nr_e875253111eb4c518ee302487037d428"/>
                              <w:lock w:val="sdtLocked"/>
                              <w:richText/>
                            </w:sdtPr>
                            <w:sdtContent>
                              <w:r>
                                <w:rPr>
                                  <w:szCs w:val="22"/>
                                </w:rPr>
                                <w:t>72.7.1</w:t>
                              </w:r>
                            </w:sdtContent>
                          </w:sdt>
                          <w:r>
                            <w:rPr>
                              <w:szCs w:val="22"/>
                            </w:rPr>
                            <w:t xml:space="preserve">. jei VMT Miškų kontrolės skyriaus teritorinio poskyrio valstybiniai miškų pareigūnai želdinių ir žėlinių </w:t>
                          </w:r>
                          <w:r>
                            <w:rPr>
                              <w:spacing w:val="-2"/>
                              <w:szCs w:val="22"/>
                            </w:rPr>
                            <w:t>apskaitos</w:t>
                          </w:r>
                          <w:r>
                            <w:rPr>
                              <w:szCs w:val="22"/>
                            </w:rPr>
                            <w:t xml:space="preserve"> metais nustato, kad visos projekte numatytos priežiūros ir apsaugos priemonės neatliktos, miško priežiūros</w:t>
                          </w:r>
                          <w:r>
                            <w:rPr>
                              <w:szCs w:val="24"/>
                            </w:rPr>
                            <w:t>, apsaugos ir ugdymo išmoka</w:t>
                          </w:r>
                          <w:r>
                            <w:rPr>
                              <w:szCs w:val="22"/>
                            </w:rPr>
                            <w:t xml:space="preserve"> patikrinimo metais</w:t>
                          </w:r>
                          <w:r>
                            <w:rPr>
                              <w:szCs w:val="24"/>
                            </w:rPr>
                            <w:t xml:space="preserve"> nemokama</w:t>
                          </w:r>
                          <w:r>
                            <w:rPr>
                              <w:szCs w:val="22"/>
                            </w:rPr>
                            <w:t xml:space="preserve">. Jei Pažymoje apie miško želdinių ir žėlinių apskaitą pateikti nurodymai projekte suprojektuotoms ir netinkamai atliktoms miško želdinių ir (arba) žėlinių apsaugos ir (arba) priežiūros priemonėms įvykdyti, </w:t>
                          </w:r>
                          <w:r>
                            <w:rPr>
                              <w:szCs w:val="24"/>
                            </w:rPr>
                            <w:t>tokiu atveju miško priežiūros</w:t>
                          </w:r>
                          <w:r>
                            <w:rPr>
                              <w:szCs w:val="22"/>
                            </w:rPr>
                            <w:t>,</w:t>
                          </w:r>
                          <w:r>
                            <w:rPr>
                              <w:szCs w:val="24"/>
                            </w:rPr>
                            <w:t xml:space="preserve"> apsaugos ir ugdymo išmokos suma patikrinimo metais mažinama </w:t>
                          </w:r>
                          <w:r>
                            <w:rPr>
                              <w:szCs w:val="22"/>
                            </w:rPr>
                            <w:t xml:space="preserve">50 </w:t>
                          </w:r>
                          <w:r>
                            <w:rPr>
                              <w:szCs w:val="24"/>
                            </w:rPr>
                            <w:t>proc.</w:t>
                          </w:r>
                          <w:r>
                            <w:rPr>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7.2 p."/>
                        <w:tag w:val="part_24dc8a61536542128626dd29251b8501"/>
                        <w:lock w:val="sdtLocked"/>
                        <w:richText/>
                      </w:sdtPr>
                      <w:sdtContent>
                        <w:p>
                          <w:pPr>
                            <w:suppressAutoHyphens/>
                            <w:overflowPunct w:val="0"/>
                            <w:ind w:left="-142" w:firstLine="426"/>
                            <w:jc w:val="both"/>
                            <w:textAlignment w:val="center"/>
                            <w:rPr>
                              <w:sz w:val="22"/>
                              <w:szCs w:val="22"/>
                            </w:rPr>
                          </w:pPr>
                          <w:sdt>
                            <w:sdtPr>
                              <w:alias w:val="Numeris"/>
                              <w:tag w:val="nr_24dc8a61536542128626dd29251b8501"/>
                              <w:lock w:val="sdtLocked"/>
                              <w:richText/>
                            </w:sdtPr>
                            <w:sdtContent>
                              <w:r>
                                <w:rPr>
                                  <w:sz w:val="22"/>
                                  <w:szCs w:val="22"/>
                                </w:rPr>
                                <w:t>72.7.2</w:t>
                              </w:r>
                            </w:sdtContent>
                          </w:sdt>
                          <w:r>
                            <w:rPr>
                              <w:sz w:val="22"/>
                              <w:szCs w:val="22"/>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fcf3279e100841aa91adb8a537f21565"/>
                        <w:lock w:val="sdtLocked"/>
                        <w:richText/>
                      </w:sdtPr>
                      <w:sdtContent>
                        <w:p>
                          <w:pPr>
                            <w:suppressAutoHyphens/>
                            <w:ind w:firstLine="284"/>
                            <w:jc w:val="both"/>
                            <w:textAlignment w:val="center"/>
                            <w:rPr>
                              <w:sz w:val="22"/>
                              <w:szCs w:val="22"/>
                            </w:rPr>
                          </w:pPr>
                          <w:sdt>
                            <w:sdtPr>
                              <w:alias w:val="Numeris"/>
                              <w:tag w:val="nr_fcf3279e100841aa91adb8a537f21565"/>
                              <w:lock w:val="sdtLocked"/>
                              <w:richText/>
                            </w:sdtPr>
                            <w:sdtContent>
                              <w:r>
                                <w:rPr>
                                  <w:color w:val="000000"/>
                                  <w:szCs w:val="24"/>
                                  <w:lang w:eastAsia="lt-LT"/>
                                </w:rPr>
                                <w:t>72.7.4</w:t>
                              </w:r>
                            </w:sdtContent>
                          </w:sdt>
                          <w:r>
                            <w:rPr>
                              <w:color w:val="000000"/>
                              <w:szCs w:val="24"/>
                              <w:lang w:eastAsia="lt-LT"/>
                            </w:rPr>
                            <w:t>.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kontrolės skyriaus teritorinio poskyrio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kontrolės skyriaus teritorinio poskyrio valstybinių miškų pareigūnų nustatytą miško želdinių ir (arba) žėlinių rūšinę sudėtį.</w:t>
                          </w:r>
                          <w:r>
                            <w:rPr>
                              <w:color w:val="000000"/>
                              <w:sz w:val="20"/>
                              <w:lang w:eastAsia="lt-LT"/>
                            </w:rPr>
                            <w:t xml:space="preserve"> </w:t>
                          </w:r>
                          <w:r>
                            <w:rPr>
                              <w:color w:val="000000"/>
                              <w:szCs w:val="24"/>
                              <w:lang w:eastAsia="lt-LT"/>
                            </w:rPr>
                            <w:t>Toliau miško priežiūros, apsaugos ir ugdymo išmokos mokamos pagal VMT Miškų kontrolės skyriaus teritorinio poskyrio valstybinių miškų pareigūnų nustatytą miško želdinių ir (arba) žėlinių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c2aaea2b0d054ad89ddbea757c7dd6ed"/>
                        <w:lock w:val="sdtLocked"/>
                        <w:richText/>
                      </w:sdtPr>
                      <w:sdtContent>
                        <w:p>
                          <w:pPr>
                            <w:suppressAutoHyphens/>
                            <w:ind w:firstLine="284"/>
                            <w:jc w:val="both"/>
                            <w:textAlignment w:val="center"/>
                            <w:rPr>
                              <w:sz w:val="22"/>
                              <w:szCs w:val="22"/>
                            </w:rPr>
                          </w:pPr>
                          <w:sdt>
                            <w:sdtPr>
                              <w:alias w:val="Numeris"/>
                              <w:tag w:val="nr_c2aaea2b0d054ad89ddbea757c7dd6ed"/>
                              <w:lock w:val="sdtLocked"/>
                              <w:richText/>
                            </w:sdtPr>
                            <w:sdtContent>
                              <w:r>
                                <w:rPr>
                                  <w:color w:val="000000"/>
                                  <w:sz w:val="22"/>
                                  <w:szCs w:val="22"/>
                                  <w:lang w:eastAsia="lt-LT"/>
                                </w:rPr>
                                <w:t>72.8.1</w:t>
                              </w:r>
                            </w:sdtContent>
                          </w:sdt>
                          <w:r>
                            <w:rPr>
                              <w:color w:val="000000"/>
                              <w:sz w:val="22"/>
                              <w:szCs w:val="22"/>
                              <w:lang w:eastAsia="lt-LT"/>
                            </w:rPr>
                            <w:t>. jei VMT Miškų kontrolės skyriaus teritorinio poskyrio valstybiniai miškų pareigūnai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Miškų kontrolės skyriaus teritorinio poskyrio valstybiniai miškų pareigūnai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8.2 p."/>
                        <w:tag w:val="part_733269e938854c5ca8f73414f7aa77ec"/>
                        <w:lock w:val="sdtLocked"/>
                        <w:richText/>
                      </w:sdtPr>
                      <w:sdtContent>
                        <w:p>
                          <w:pPr>
                            <w:suppressAutoHyphens/>
                            <w:overflowPunct w:val="0"/>
                            <w:ind w:firstLine="284"/>
                            <w:jc w:val="both"/>
                            <w:textAlignment w:val="center"/>
                            <w:rPr>
                              <w:sz w:val="22"/>
                              <w:szCs w:val="22"/>
                            </w:rPr>
                          </w:pPr>
                          <w:sdt>
                            <w:sdtPr>
                              <w:alias w:val="Numeris"/>
                              <w:tag w:val="nr_733269e938854c5ca8f73414f7aa77ec"/>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c285c667b841406ba91fb4c812883ba8"/>
                        <w:lock w:val="sdtLocked"/>
                        <w:richText/>
                      </w:sdtPr>
                      <w:sdtContent>
                        <w:p>
                          <w:pPr>
                            <w:suppressAutoHyphens/>
                            <w:ind w:firstLine="284"/>
                            <w:jc w:val="both"/>
                            <w:textAlignment w:val="center"/>
                            <w:rPr>
                              <w:sz w:val="22"/>
                              <w:szCs w:val="22"/>
                            </w:rPr>
                          </w:pPr>
                          <w:sdt>
                            <w:sdtPr>
                              <w:alias w:val="Numeris"/>
                              <w:tag w:val="nr_c285c667b841406ba91fb4c812883ba8"/>
                              <w:lock w:val="sdtLocked"/>
                              <w:richText/>
                            </w:sdtPr>
                            <w:sdtContent>
                              <w:r>
                                <w:rPr>
                                  <w:color w:val="000000"/>
                                  <w:sz w:val="22"/>
                                  <w:szCs w:val="22"/>
                                  <w:lang w:eastAsia="lt-LT"/>
                                </w:rPr>
                                <w:t>72.8.4</w:t>
                              </w:r>
                            </w:sdtContent>
                          </w:sdt>
                          <w:r>
                            <w:rPr>
                              <w:color w:val="000000"/>
                              <w:sz w:val="22"/>
                              <w:szCs w:val="22"/>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Miškų kontrolės skyriaus teritorinio poskyrio valstybiniai miškų pareigūnai miško želdinių ir (arba) žėlinių rūšinę sudėtį įvertina „blogai“, paramos gavėjas turi sugrąžinti miško įveisimo išmokos skirtumą, kuris apskaičiuojamas iš paramos gavėjui išmokėtos miško įveisimo išmokos atėmus sumą, apskaičiuotą pagal VMT Miškų kontrolės skyriaus teritorinio poskyrio valstybinių miškų pareigūnų nustatytą miško želdinių ir (arba) žėlinių rūšinę sudėtį;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0029820cecc4e258434f5151167e552"/>
                    <w:lock w:val="sdtLocked"/>
                    <w:richText/>
                  </w:sdtPr>
                  <w:sdtContent>
                    <w:p>
                      <w:pPr>
                        <w:suppressAutoHyphens/>
                        <w:spacing w:line="278" w:lineRule="auto"/>
                        <w:ind w:firstLine="312"/>
                        <w:jc w:val="both"/>
                        <w:textAlignment w:val="center"/>
                        <w:rPr>
                          <w:sz w:val="22"/>
                          <w:szCs w:val="22"/>
                        </w:rPr>
                      </w:pPr>
                      <w:sdt>
                        <w:sdtPr>
                          <w:alias w:val="Numeris"/>
                          <w:tag w:val="nr_90029820cecc4e258434f5151167e552"/>
                          <w:lock w:val="sdtLocked"/>
                          <w:richText/>
                        </w:sdtPr>
                        <w:sdtContent>
                          <w:r>
                            <w:rPr>
                              <w:sz w:val="22"/>
                              <w:szCs w:val="22"/>
                            </w:rPr>
                            <w:t>72</w:t>
                          </w:r>
                          <w:r>
                            <w:rPr>
                              <w:spacing w:val="-3"/>
                              <w:sz w:val="22"/>
                              <w:szCs w:val="22"/>
                            </w:rPr>
                            <w:t>.11</w:t>
                          </w:r>
                        </w:sdtContent>
                      </w:sdt>
                      <w:r>
                        <w:rPr>
                          <w:spacing w:val="-3"/>
                          <w:sz w:val="22"/>
                          <w:szCs w:val="22"/>
                        </w:rPr>
                        <w:t xml:space="preserve">. </w:t>
                      </w:r>
                      <w:r>
                        <w:rPr>
                          <w:sz w:val="22"/>
                          <w:szCs w:val="22"/>
                        </w:rPr>
                        <w:t>jei VMT Miškų kontrolės skyriaus teritorinio poskyrio valstybiniai miškų pareigūnai teisės aktuose numatyta tvarka negali atlikti įveisto miško želdinimo darbų kokybės vertinimo, parama nemokama (</w:t>
                      </w:r>
                      <w:r>
                        <w:rPr>
                          <w:color w:val="000000"/>
                          <w:sz w:val="22"/>
                          <w:szCs w:val="22"/>
                        </w:rPr>
                        <w:t xml:space="preserve">paramos </w:t>
                      </w:r>
                      <w:r>
                        <w:rPr>
                          <w:sz w:val="22"/>
                          <w:szCs w:val="22"/>
                        </w:rPr>
                        <w:t>paraiška atmetama);</w:t>
                      </w:r>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029e30f4d6fa472cad0a8c99b0355738"/>
                <w:lock w:val="sdtLocked"/>
                <w:richText/>
              </w:sdtPr>
              <w:sdtContent>
                <w:p>
                  <w:pPr>
                    <w:suppressAutoHyphens/>
                    <w:ind w:firstLine="284"/>
                    <w:jc w:val="both"/>
                    <w:textAlignment w:val="center"/>
                    <w:rPr>
                      <w:sz w:val="22"/>
                      <w:szCs w:val="22"/>
                    </w:rPr>
                  </w:pPr>
                  <w:sdt>
                    <w:sdtPr>
                      <w:alias w:val="Numeris"/>
                      <w:tag w:val="nr_029e30f4d6fa472cad0a8c99b0355738"/>
                      <w:lock w:val="sdtLocked"/>
                      <w:richText/>
                    </w:sdtPr>
                    <w:sdtContent>
                      <w:r>
                        <w:rPr>
                          <w:color w:val="000000"/>
                          <w:szCs w:val="24"/>
                          <w:lang w:eastAsia="lt-LT"/>
                        </w:rPr>
                        <w:t>75</w:t>
                      </w:r>
                    </w:sdtContent>
                  </w:sdt>
                  <w:r>
                    <w:rPr>
                      <w:color w:val="000000"/>
                      <w:szCs w:val="24"/>
                      <w:lang w:eastAsia="lt-LT"/>
                    </w:rPr>
                    <w:t xml:space="preserve">. Tais atvejais, kai, pritaikius sankciją, yra reikalavimas grąžinti išmokėtas lėšas ir lėšos negrąžinamos per Agentūros nustatytą terminą, yra skaičiuojamos palūkanos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2a765ad2f010411581c9c3010c7fb094"/>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2a765ad2f010411581c9c3010c7fb094"/>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2a765ad2f010411581c9c3010c7fb094"/>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rPr>
                    <w:rFonts w:eastAsia="Calibri"/>
                  </w:rPr>
                </w:pPr>
              </w:p>
              <w:p>
                <w:pPr>
                  <w:spacing w:line="254" w:lineRule="auto"/>
                </w:pPr>
                <w:r>
                  <w:t xml:space="preserve">KAIMO PLĖTROS IR ŽUVININKYSTĖS PROGRAMŲ DEPARTAMENTO </w:t>
                </w:r>
              </w:p>
              <w:p>
                <w:pPr>
                  <w:spacing w:line="254"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3"/>
                    <w:shd w:val="clear" w:color="auto" w:fill="FFFFFF"/>
                  </w:rPr>
                </w:pPr>
                <w:r>
                  <w:rPr>
                    <w:szCs w:val="23"/>
                  </w:rPr>
                  <w:t>|_|_|_|_| |_|_| |_|_| |_|_|_|_|_|_|_|_|_|_|_|_|_|_|_|_|_|_|_|_|_|_|_|_|</w:t>
                </w:r>
              </w:p>
              <w:p>
                <w:pPr>
                  <w:widowControl w:val="0"/>
                  <w:spacing w:line="254"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4" w:lineRule="auto"/>
                  <w:rPr>
                    <w:szCs w:val="23"/>
                  </w:rPr>
                </w:pPr>
              </w:p>
              <w:p>
                <w:pPr>
                  <w:spacing w:line="254" w:lineRule="auto"/>
                  <w:rPr>
                    <w:rFonts w:eastAsia="Calibri"/>
                    <w:szCs w:val="14"/>
                  </w:rPr>
                </w:pPr>
              </w:p>
              <w:p>
                <w:pPr>
                  <w:widowControl w:val="0"/>
                  <w:tabs>
                    <w:tab w:val="left" w:pos="5520"/>
                  </w:tabs>
                  <w:spacing w:line="254"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4"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4"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4"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4"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4"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4"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spacing w:line="254" w:lineRule="auto"/>
            <w:rPr>
              <w:b/>
            </w:rPr>
          </w:pPr>
          <w:r>
            <w:rPr>
              <w: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spacing w:line="254" w:lineRule="auto"/>
                  <w:rPr>
                    <w:rFonts w:eastAsia="Calibri"/>
                    <w:szCs w:val="14"/>
                  </w:rPr>
                </w:pPr>
              </w:p>
              <w:p>
                <w:pPr>
                  <w:widowControl w:val="0"/>
                  <w:tabs>
                    <w:tab w:val="right" w:leader="dot" w:pos="8790"/>
                  </w:tabs>
                  <w:spacing w:line="254" w:lineRule="auto"/>
                  <w:rPr>
                    <w:b/>
                    <w:bCs/>
                    <w:szCs w:val="23"/>
                  </w:rPr>
                </w:pPr>
                <w:r>
                  <w:rPr>
                    <w:b/>
                    <w:bCs/>
                    <w:szCs w:val="23"/>
                  </w:rPr>
                  <w:t>...</w:t>
                  <w:tab/>
                </w:r>
              </w:p>
              <w:p>
                <w:pPr>
                  <w:spacing w:line="254" w:lineRule="auto"/>
                  <w:rPr>
                    <w:rFonts w:eastAsia="Calibri"/>
                    <w:szCs w:val="14"/>
                  </w:rPr>
                </w:pPr>
              </w:p>
              <w:p>
                <w:pPr>
                  <w:widowControl w:val="0"/>
                  <w:tabs>
                    <w:tab w:val="right" w:leader="dot" w:pos="8790"/>
                  </w:tabs>
                  <w:spacing w:line="254" w:lineRule="auto"/>
                  <w:rPr>
                    <w:b/>
                    <w:bCs/>
                    <w:szCs w:val="23"/>
                  </w:rPr>
                </w:pPr>
                <w:r>
                  <w:rPr>
                    <w:b/>
                    <w:bCs/>
                    <w:szCs w:val="23"/>
                  </w:rPr>
                  <w:t>...</w:t>
                  <w:tab/>
                </w:r>
              </w:p>
              <w:p>
                <w:pPr>
                  <w:widowControl w:val="0"/>
                  <w:tabs>
                    <w:tab w:val="center" w:pos="4464"/>
                  </w:tabs>
                  <w:spacing w:line="254" w:lineRule="auto"/>
                  <w:rPr>
                    <w:szCs w:val="23"/>
                  </w:rPr>
                </w:pPr>
                <w:r>
                  <w:rPr>
                    <w:szCs w:val="23"/>
                  </w:rPr>
                  <w:tab/>
                  <w:t>(pareiškėjo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4" w:lineRule="auto"/>
                  <w:rPr>
                    <w:b/>
                    <w:szCs w:val="23"/>
                  </w:rPr>
                </w:pPr>
                <w:r>
                  <w:rPr>
                    <w:b/>
                    <w:szCs w:val="23"/>
                  </w:rPr>
                  <w:t>Gyvenamosios vietos adresas / buveinė:</w:t>
                </w:r>
              </w:p>
              <w:p>
                <w:pPr>
                  <w:widowControl w:val="0"/>
                  <w:spacing w:line="254" w:lineRule="auto"/>
                  <w:rPr>
                    <w:i/>
                    <w:iCs/>
                    <w:szCs w:val="23"/>
                  </w:rPr>
                </w:pPr>
              </w:p>
              <w:p>
                <w:pPr>
                  <w:widowControl w:val="0"/>
                  <w:spacing w:line="254" w:lineRule="auto"/>
                  <w:rPr>
                    <w:b/>
                    <w:szCs w:val="23"/>
                  </w:rPr>
                </w:pPr>
                <w:r>
                  <w:rPr>
                    <w:i/>
                    <w:iCs/>
                    <w:szCs w:val="23"/>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Ar sutinkate</w:t>
                </w:r>
                <w:r>
                  <w:rPr>
                    <w:bCs/>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spacing w:line="254" w:lineRule="auto"/>
                  <w:jc w:val="center"/>
                  <w:rPr>
                    <w:szCs w:val="23"/>
                  </w:rPr>
                </w:pPr>
                <w:r>
                  <w:rPr>
                    <w:szCs w:val="23"/>
                  </w:rPr>
                  <w:t xml:space="preserve">Taip </w:t>
                </w:r>
                <w:r>
                  <w:rPr>
                    <w:szCs w:val="24"/>
                  </w:rPr>
                  <w:t>□</w:t>
                </w:r>
                <w:r>
                  <w:rPr>
                    <w:szCs w:val="23"/>
                  </w:rPr>
                  <w:t xml:space="preserve"> </w:t>
                  <w:tab/>
                  <w:t xml:space="preserve">Ne </w:t>
                </w:r>
                <w:r>
                  <w:rPr>
                    <w:szCs w:val="24"/>
                  </w:rPr>
                  <w:t>□</w:t>
                </w:r>
              </w:p>
            </w:tc>
          </w:tr>
        </w:tbl>
        <w:p>
          <w:pPr>
            <w:widowControl w:val="0"/>
            <w:jc w:val="both"/>
            <w:rPr>
              <w:szCs w:val="10"/>
            </w:rPr>
          </w:pPr>
          <w:r>
            <w:rPr>
              <w:szCs w:val="10"/>
            </w:rPr>
            <w:t>___________________</w:t>
          </w:r>
        </w:p>
        <w:p>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Kokiu būdu norite gauti informaciją apie paramos paraiškos</w:t>
                </w:r>
                <w:r>
                  <w:rPr>
                    <w:b/>
                    <w:szCs w:val="22"/>
                    <w:shd w:val="clear" w:color="auto" w:fill="FFFFFF"/>
                  </w:rPr>
                  <w:t xml:space="preserve"> </w:t>
                </w:r>
                <w:r>
                  <w:rPr>
                    <w:b/>
                    <w:szCs w:val="22"/>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1.1. Žemės ūkio valdos nustatymo kodas |_|_|_|_|_|_|_|_|_|_|</w:t>
                </w:r>
              </w:p>
              <w:p>
                <w:pPr>
                  <w:spacing w:line="254" w:lineRule="auto"/>
                  <w:rPr>
                    <w:rFonts w:eastAsia="Calibri"/>
                    <w:szCs w:val="14"/>
                  </w:rPr>
                </w:pPr>
              </w:p>
              <w:p>
                <w:pPr>
                  <w:widowControl w:val="0"/>
                  <w:spacing w:line="254" w:lineRule="auto"/>
                  <w:rPr>
                    <w:szCs w:val="22"/>
                  </w:rPr>
                </w:pPr>
                <w:r>
                  <w:rPr>
                    <w:i/>
                    <w:iCs/>
                    <w:szCs w:val="22"/>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 xml:space="preserve">1.2. Žemės ūkio valdos adresas, jei skiriasi nuo gyvenamosios vietos (buveinės): </w:t>
                </w:r>
              </w:p>
              <w:p>
                <w:pPr>
                  <w:spacing w:line="254" w:lineRule="auto"/>
                  <w:rPr>
                    <w:rFonts w:eastAsia="Calibri"/>
                    <w:szCs w:val="14"/>
                  </w:rPr>
                </w:pPr>
              </w:p>
              <w:p>
                <w:pPr>
                  <w:widowControl w:val="0"/>
                  <w:spacing w:line="254" w:lineRule="auto"/>
                  <w:rPr>
                    <w:szCs w:val="22"/>
                  </w:rPr>
                </w:pPr>
                <w:r>
                  <w:rPr>
                    <w:szCs w:val="22"/>
                  </w:rPr>
                  <w:t>|_|_|_|_|_|_|_|_|_|_|_|_|_|_|_|_|_|_|_|_|_|_|_|_|_|_|_|_|_|_|</w:t>
                </w:r>
              </w:p>
              <w:p>
                <w:pPr>
                  <w:spacing w:line="254" w:lineRule="auto"/>
                  <w:rPr>
                    <w:rFonts w:eastAsia="Calibri"/>
                    <w:szCs w:val="14"/>
                  </w:rPr>
                </w:pPr>
              </w:p>
              <w:p>
                <w:pPr>
                  <w:widowControl w:val="0"/>
                  <w:spacing w:line="254" w:lineRule="auto"/>
                  <w:rPr>
                    <w:b/>
                    <w:szCs w:val="22"/>
                  </w:rPr>
                </w:pPr>
                <w:r>
                  <w:rPr>
                    <w:i/>
                    <w:iCs/>
                    <w:szCs w:val="22"/>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b/>
                    <w:smallCaps/>
                    <w:szCs w:val="22"/>
                  </w:rPr>
                </w:pPr>
                <w:r>
                  <w:rPr>
                    <w:b/>
                    <w:szCs w:val="22"/>
                  </w:rPr>
                  <w:t>2</w:t>
                </w:r>
                <w:r>
                  <w:rPr>
                    <w:szCs w:val="22"/>
                  </w:rPr>
                  <w:t>.</w:t>
                </w:r>
                <w:r>
                  <w:rPr>
                    <w:b/>
                    <w:szCs w:val="22"/>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4" w:lineRule="auto"/>
                  <w:rPr>
                    <w:szCs w:val="22"/>
                  </w:rPr>
                </w:pPr>
                <w:r>
                  <w:rPr>
                    <w:szCs w:val="22"/>
                  </w:rPr>
                  <w:t>2.1. Juridinio asmens kodas |_|_|_|_|_|_|_|_|_|</w:t>
                </w:r>
              </w:p>
              <w:p>
                <w:pPr>
                  <w:spacing w:line="254" w:lineRule="auto"/>
                  <w:rPr>
                    <w:rFonts w:eastAsia="Calibri"/>
                    <w:szCs w:val="14"/>
                  </w:rPr>
                </w:pPr>
              </w:p>
              <w:p>
                <w:pPr>
                  <w:widowControl w:val="0"/>
                  <w:spacing w:line="254" w:lineRule="auto"/>
                  <w:rPr>
                    <w:szCs w:val="22"/>
                  </w:rPr>
                </w:pPr>
                <w:r>
                  <w:rPr>
                    <w:i/>
                    <w:iCs/>
                    <w:szCs w:val="22"/>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szCs w:val="22"/>
                  </w:rPr>
                </w:pPr>
                <w:r>
                  <w:rPr>
                    <w:szCs w:val="22"/>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szCs w:val="22"/>
                  </w:rPr>
                </w:pPr>
                <w:r>
                  <w:rPr>
                    <w:szCs w:val="22"/>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spacing w:line="254" w:lineRule="auto"/>
                  <w:jc w:val="center"/>
                  <w:rPr>
                    <w:szCs w:val="22"/>
                  </w:rPr>
                </w:pPr>
                <w:r>
                  <w:rPr>
                    <w:szCs w:val="24"/>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spacing w:line="254"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spacing w:line="254" w:lineRule="auto"/>
                  <w:jc w:val="center"/>
                  <w:rPr>
                    <w:szCs w:val="22"/>
                  </w:rPr>
                </w:pPr>
                <w:r>
                  <w:rPr>
                    <w:szCs w:val="24"/>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4" w:lineRule="auto"/>
                  <w:rPr>
                    <w:i/>
                    <w:szCs w:val="22"/>
                    <w:shd w:val="clear" w:color="auto" w:fill="FFFFFF"/>
                  </w:rPr>
                </w:pPr>
                <w:r>
                  <w:rPr>
                    <w:b/>
                    <w:szCs w:val="22"/>
                  </w:rPr>
                  <w:t>3. PAREIŠKĖJO BANKO REKVIZITAI</w:t>
                </w:r>
              </w:p>
              <w:p>
                <w:pPr>
                  <w:spacing w:line="254" w:lineRule="auto"/>
                  <w:rPr>
                    <w:rFonts w:eastAsia="Calibri"/>
                    <w:szCs w:val="14"/>
                  </w:rPr>
                </w:pPr>
              </w:p>
              <w:p>
                <w:pPr>
                  <w:widowControl w:val="0"/>
                  <w:spacing w:line="254" w:lineRule="auto"/>
                  <w:rPr>
                    <w:szCs w:val="22"/>
                  </w:rPr>
                </w:pPr>
                <w:r>
                  <w:rPr>
                    <w:i/>
                    <w:szCs w:val="22"/>
                    <w:shd w:val="clear" w:color="auto" w:fill="FFFFFF"/>
                  </w:rPr>
                  <w:t>(</w:t>
                </w:r>
                <w:r>
                  <w:rPr>
                    <w:i/>
                    <w:szCs w:val="22"/>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3.2. Banko kodas |_|_|_|_|_|_|_|_|_|_|_|_|_|_|_|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rPr>
              <w:b/>
            </w:rPr>
          </w:pPr>
          <w:r>
            <w:rPr>
              <w:b/>
            </w:rPr>
            <w:t>V. PATEIKIAMI DOKUMENTAI</w:t>
          </w:r>
        </w:p>
        <w:p>
          <w:pPr>
            <w:rPr>
              <w:rFonts w:eastAsia="Calibri"/>
              <w:sz w:val="22"/>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rFonts w:eastAsia="Calibri"/>
                    <w:sz w:val="22"/>
                    <w:szCs w:val="22"/>
                  </w:rPr>
                </w:pPr>
                <w:r>
                  <w:rPr>
                    <w:color w:val="000000"/>
                    <w:sz w:val="22"/>
                    <w:szCs w:val="22"/>
                  </w:rPr>
                  <w:t>Juridinio asmens kompetentingo organo (</w:t>
                </w:r>
                <w:r>
                  <w:rPr>
                    <w:sz w:val="22"/>
                    <w:szCs w:val="22"/>
                  </w:rPr>
                  <w:t>akcininkų (pajininkų), narių, bendrovės valdymo organų ar pan.) pritarimas dėl dalyvavimo priemonėje</w:t>
                </w:r>
              </w:p>
              <w:p>
                <w:pPr>
                  <w:widowControl w:val="0"/>
                  <w:spacing w:line="254" w:lineRule="auto"/>
                  <w:jc w:val="both"/>
                  <w:rPr>
                    <w:sz w:val="22"/>
                    <w:szCs w:val="22"/>
                  </w:rPr>
                </w:pPr>
                <w:r>
                  <w:rPr>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both"/>
                  <w:rPr>
                    <w:sz w:val="22"/>
                    <w:szCs w:val="22"/>
                  </w:rPr>
                </w:pPr>
                <w:r>
                  <w:rPr>
                    <w:sz w:val="22"/>
                    <w:szCs w:val="22"/>
                  </w:rPr>
                  <w:t>Leidimas įveisti mišką, išduotas Nacionalinės žemės tarnybos prie Žemės ūkio ministerijos teritorinio skyriaus.</w:t>
                </w:r>
              </w:p>
              <w:p>
                <w:pPr>
                  <w:widowControl w:val="0"/>
                  <w:spacing w:line="254" w:lineRule="auto"/>
                  <w:jc w:val="both"/>
                  <w:rPr>
                    <w:sz w:val="22"/>
                    <w:szCs w:val="22"/>
                  </w:rPr>
                </w:pPr>
              </w:p>
              <w:p>
                <w:pPr>
                  <w:widowControl w:val="0"/>
                  <w:spacing w:line="254" w:lineRule="auto"/>
                  <w:jc w:val="both"/>
                  <w:rPr>
                    <w:sz w:val="22"/>
                    <w:szCs w:val="22"/>
                  </w:rPr>
                </w:pPr>
                <w:r>
                  <w:rPr>
                    <w:sz w:val="22"/>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Miško želdinimo ir žėlimo projektas, patvirtintas VĮ Valstybinių miškų urėdijos regioninio padalinio, kurio veiklos teritorijoje yra žemės sklypas, kuriame planuojama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Bendraturčių sutikimas (įgaliojimas), patvirtintas notaro</w:t>
                </w:r>
              </w:p>
              <w:p>
                <w:pPr>
                  <w:widowControl w:val="0"/>
                  <w:spacing w:line="254" w:lineRule="auto"/>
                  <w:jc w:val="both"/>
                  <w:rPr>
                    <w:sz w:val="22"/>
                    <w:szCs w:val="22"/>
                  </w:rPr>
                </w:pPr>
                <w:r>
                  <w:rPr>
                    <w:i/>
                    <w:sz w:val="22"/>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Įgaliojimas</w:t>
                </w:r>
              </w:p>
              <w:p>
                <w:pPr>
                  <w:widowControl w:val="0"/>
                  <w:spacing w:line="254" w:lineRule="auto"/>
                  <w:jc w:val="both"/>
                  <w:rPr>
                    <w:i/>
                    <w:sz w:val="22"/>
                    <w:szCs w:val="22"/>
                  </w:rPr>
                </w:pPr>
                <w:r>
                  <w:rPr>
                    <w:i/>
                    <w:sz w:val="22"/>
                    <w:szCs w:val="22"/>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 xml:space="preserve">Jei miškas veisiamas </w:t>
                </w:r>
                <w:r>
                  <w:rPr>
                    <w:i/>
                    <w:iCs/>
                    <w:sz w:val="22"/>
                    <w:szCs w:val="22"/>
                  </w:rPr>
                  <w:t xml:space="preserve">Natura 2000 </w:t>
                </w:r>
                <w:r>
                  <w:rPr>
                    <w:sz w:val="22"/>
                    <w:szCs w:val="22"/>
                  </w:rPr>
                  <w:t>teritorijoje,</w:t>
                </w:r>
                <w:r>
                  <w:rPr>
                    <w:i/>
                    <w:iCs/>
                    <w:sz w:val="22"/>
                    <w:szCs w:val="22"/>
                  </w:rPr>
                  <w:t xml:space="preserve"> </w:t>
                </w:r>
                <w:r>
                  <w:rPr>
                    <w:sz w:val="22"/>
                    <w:szCs w:val="22"/>
                  </w:rPr>
                  <w:t>pateikiama išvada / pažyma, išduota saugomos teritorijos direkcijos pagal žemės valdos buvimo vietą, kurioje nurodyta, kad galima veisti mišką</w:t>
                </w:r>
                <w:r>
                  <w:rPr>
                    <w:i/>
                    <w:iCs/>
                    <w:sz w:val="22"/>
                    <w:szCs w:val="22"/>
                  </w:rPr>
                  <w:t xml:space="preserve"> Natura 2000</w:t>
                </w:r>
                <w:r>
                  <w:rPr>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both"/>
                  <w:rPr>
                    <w:sz w:val="22"/>
                    <w:szCs w:val="22"/>
                  </w:rPr>
                </w:pPr>
                <w:r>
                  <w:rPr>
                    <w:sz w:val="22"/>
                    <w:szCs w:val="22"/>
                  </w:rPr>
                  <w:t>Kiti dokumentai:</w:t>
                </w:r>
              </w:p>
              <w:p>
                <w:pPr>
                  <w:widowControl w:val="0"/>
                  <w:spacing w:line="254" w:lineRule="auto"/>
                  <w:jc w:val="both"/>
                  <w:rPr>
                    <w:sz w:val="22"/>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bl>
        <w:p>
          <w:pPr>
            <w:widowControl w:val="0"/>
            <w:rPr>
              <w:b/>
              <w:sz w:val="22"/>
              <w:szCs w:val="22"/>
            </w:rPr>
          </w:pPr>
        </w:p>
        <w:p>
          <w:pPr>
            <w:widowControl w:val="0"/>
            <w:rPr>
              <w:b/>
              <w:sz w:val="22"/>
              <w:szCs w:val="22"/>
            </w:rPr>
          </w:pPr>
          <w:r>
            <w:rPr>
              <w:b/>
              <w:sz w:val="22"/>
              <w:szCs w:val="22"/>
            </w:rPr>
            <w:t>Pastaba</w:t>
          </w:r>
          <w:r>
            <w:rPr>
              <w:sz w:val="22"/>
              <w:szCs w:val="22"/>
            </w:rPr>
            <w:t xml:space="preserve">. </w:t>
          </w:r>
          <w:r>
            <w:rPr>
              <w:i/>
              <w:iCs/>
              <w:sz w:val="22"/>
              <w:szCs w:val="22"/>
            </w:rPr>
            <w:t>Pareiškėjas privalo pateikti dokumentus lietuvių kalba arba kompetentingų institucijų, atliekančių vertimo paslaugas, patvirtintą vertimą į lietuvių kalbą.</w:t>
          </w:r>
          <w:r>
            <w:rPr>
              <w:iCs/>
              <w:sz w:val="22"/>
              <w:szCs w:val="22"/>
            </w:rPr>
            <w:t>“</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rPr>
          </w:pPr>
          <w:r>
            <w:rPr>
              <w:b/>
            </w:rPr>
            <w:t>VIII. PAREIŠKĖJO DEKLARACIJA</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2"/>
                  </w:rPr>
                </w:pPr>
                <w:r>
                  <w:rPr>
                    <w:szCs w:val="22"/>
                  </w:rPr>
                  <w:t xml:space="preserve">Aš, pareiškėjas, pretenduojantis gauti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pPr>
                  <w:spacing w:line="254" w:lineRule="auto"/>
                  <w:rPr>
                    <w:rFonts w:eastAsia="Calibri"/>
                    <w:szCs w:val="14"/>
                  </w:rPr>
                </w:pPr>
              </w:p>
              <w:p>
                <w:pPr>
                  <w:widowControl w:val="0"/>
                  <w:tabs>
                    <w:tab w:val="left" w:pos="540"/>
                  </w:tabs>
                  <w:spacing w:line="254" w:lineRule="auto"/>
                  <w:jc w:val="both"/>
                  <w:rPr>
                    <w:szCs w:val="22"/>
                  </w:rPr>
                </w:pPr>
                <w:r>
                  <w:rPr>
                    <w:szCs w:val="22"/>
                  </w:rPr>
                  <w:t>1. Esu susipažinęs su paramos lėšų teikimo tvarka ir taisyklėmis.</w:t>
                </w:r>
              </w:p>
              <w:p>
                <w:pPr>
                  <w:spacing w:line="254" w:lineRule="auto"/>
                  <w:rPr>
                    <w:rFonts w:eastAsia="Calibri"/>
                    <w:szCs w:val="14"/>
                  </w:rPr>
                </w:pPr>
              </w:p>
              <w:p>
                <w:pPr>
                  <w:widowControl w:val="0"/>
                  <w:tabs>
                    <w:tab w:val="left" w:pos="540"/>
                  </w:tabs>
                  <w:spacing w:line="254" w:lineRule="auto"/>
                  <w:jc w:val="both"/>
                  <w:rPr>
                    <w:szCs w:val="22"/>
                  </w:rPr>
                </w:pPr>
                <w:r>
                  <w:rPr>
                    <w:szCs w:val="22"/>
                  </w:rPr>
                  <w:t>2. Šioje paramos paraiškoje</w:t>
                </w:r>
                <w:r>
                  <w:rPr>
                    <w:szCs w:val="22"/>
                    <w:shd w:val="clear" w:color="auto" w:fill="FFFFFF"/>
                  </w:rPr>
                  <w:t xml:space="preserve"> </w:t>
                </w:r>
                <w:r>
                  <w:rPr>
                    <w:szCs w:val="22"/>
                  </w:rPr>
                  <w:t>ir prie jos pridėtuose dokumentuose pateikta informacija, mano žiniomis ir įsitikinimu, yra teisinga.</w:t>
                </w:r>
              </w:p>
              <w:p>
                <w:pPr>
                  <w:spacing w:line="254" w:lineRule="auto"/>
                  <w:rPr>
                    <w:rFonts w:eastAsia="Calibri"/>
                    <w:szCs w:val="14"/>
                  </w:rPr>
                </w:pPr>
              </w:p>
              <w:p>
                <w:pPr>
                  <w:widowControl w:val="0"/>
                  <w:tabs>
                    <w:tab w:val="left" w:pos="540"/>
                  </w:tabs>
                  <w:spacing w:line="254" w:lineRule="auto"/>
                  <w:jc w:val="both"/>
                  <w:rPr>
                    <w:szCs w:val="22"/>
                  </w:rPr>
                </w:pPr>
                <w:r>
                  <w:rPr>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14"/>
                  </w:rPr>
                </w:pPr>
              </w:p>
              <w:p>
                <w:pPr>
                  <w:widowControl w:val="0"/>
                  <w:tabs>
                    <w:tab w:val="left" w:pos="540"/>
                  </w:tabs>
                  <w:spacing w:line="254" w:lineRule="auto"/>
                  <w:jc w:val="both"/>
                  <w:rPr>
                    <w:szCs w:val="22"/>
                  </w:rPr>
                </w:pPr>
                <w:r>
                  <w:rPr>
                    <w:szCs w:val="22"/>
                  </w:rPr>
                  <w:t>4. Patvirtinu, kad deklaruoti duomenys sutampa su duomenimis, esančiais VĮ Žemės ūkio informacijos ir kaimo verslo centro tvarkomuose registruose.</w:t>
                </w:r>
              </w:p>
              <w:p>
                <w:pPr>
                  <w:spacing w:line="254" w:lineRule="auto"/>
                  <w:rPr>
                    <w:rFonts w:eastAsia="Calibri"/>
                    <w:szCs w:val="14"/>
                  </w:rPr>
                </w:pPr>
              </w:p>
              <w:p>
                <w:pPr>
                  <w:widowControl w:val="0"/>
                  <w:tabs>
                    <w:tab w:val="left" w:pos="540"/>
                  </w:tabs>
                  <w:spacing w:line="254" w:lineRule="auto"/>
                  <w:jc w:val="both"/>
                  <w:rPr>
                    <w:szCs w:val="22"/>
                  </w:rPr>
                </w:pPr>
                <w:r>
                  <w:rPr>
                    <w:szCs w:val="22"/>
                  </w:rPr>
                  <w:t>5. Nesu pažeidęs jokios kitos sutarties dėl paramos skyrimo iš Europos Sąjungos arba Lietuvos Respublikos biudžeto lėšų.</w:t>
                </w:r>
              </w:p>
              <w:p>
                <w:pPr>
                  <w:spacing w:line="254" w:lineRule="auto"/>
                  <w:rPr>
                    <w:rFonts w:eastAsia="Calibri"/>
                    <w:szCs w:val="14"/>
                  </w:rPr>
                </w:pPr>
              </w:p>
              <w:p>
                <w:pPr>
                  <w:widowControl w:val="0"/>
                  <w:tabs>
                    <w:tab w:val="left" w:pos="540"/>
                  </w:tabs>
                  <w:spacing w:line="254" w:lineRule="auto"/>
                  <w:jc w:val="both"/>
                  <w:rPr>
                    <w:szCs w:val="22"/>
                  </w:rPr>
                </w:pPr>
                <w:r>
                  <w:rPr>
                    <w:szCs w:val="22"/>
                  </w:rPr>
                  <w:t>6. Man neiškelta byla dėl bankroto, nesu likviduojamas.</w:t>
                </w:r>
              </w:p>
              <w:p>
                <w:pPr>
                  <w:spacing w:line="254" w:lineRule="auto"/>
                  <w:rPr>
                    <w:rFonts w:eastAsia="Calibri"/>
                    <w:szCs w:val="14"/>
                  </w:rPr>
                </w:pPr>
              </w:p>
              <w:p>
                <w:pPr>
                  <w:widowControl w:val="0"/>
                  <w:tabs>
                    <w:tab w:val="left" w:pos="540"/>
                  </w:tabs>
                  <w:spacing w:line="254" w:lineRule="auto"/>
                  <w:jc w:val="both"/>
                  <w:rPr>
                    <w:szCs w:val="22"/>
                  </w:rPr>
                </w:pPr>
                <w:r>
                  <w:rPr>
                    <w:szCs w:val="22"/>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14"/>
                  </w:rPr>
                </w:pPr>
              </w:p>
              <w:p>
                <w:pPr>
                  <w:widowControl w:val="0"/>
                  <w:tabs>
                    <w:tab w:val="left" w:pos="540"/>
                  </w:tabs>
                  <w:spacing w:line="254" w:lineRule="auto"/>
                  <w:jc w:val="both"/>
                  <w:rPr>
                    <w:szCs w:val="22"/>
                  </w:rPr>
                </w:pPr>
                <w:r>
                  <w:rPr>
                    <w:szCs w:val="22"/>
                  </w:rPr>
                  <w:t>8. Žinau, kad paramos paraiška</w:t>
                </w:r>
                <w:r>
                  <w:rPr>
                    <w:szCs w:val="22"/>
                    <w:shd w:val="clear" w:color="auto" w:fill="FFFFFF"/>
                  </w:rPr>
                  <w:t xml:space="preserve"> </w:t>
                </w:r>
                <w:r>
                  <w:rPr>
                    <w:szCs w:val="22"/>
                  </w:rPr>
                  <w:t>gali būti atmesta, jeigu joje pateikti ne visi prašomi duomenys (įskaitant šią deklaraciją).</w:t>
                </w:r>
              </w:p>
              <w:p>
                <w:pPr>
                  <w:spacing w:line="254" w:lineRule="auto"/>
                  <w:rPr>
                    <w:rFonts w:eastAsia="Calibri"/>
                    <w:szCs w:val="14"/>
                  </w:rPr>
                </w:pPr>
              </w:p>
              <w:p>
                <w:pPr>
                  <w:widowControl w:val="0"/>
                  <w:tabs>
                    <w:tab w:val="left" w:pos="540"/>
                  </w:tabs>
                  <w:spacing w:line="254"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10. Sutinku, kad mano tinkamumas gauti paramą bus vertinamas pagal mano pateiktus, atitinkamais dokumentais pagrįstus duomenis ir viešuosiuose registruose esančius duomenis.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11. Sutinku, kad informacija apie mano pateiktą paramos paraišką, nurodant pareiškėjo pavadinimą, paramos paraiškos kodą ir apskaičiuotą paramos sumą, būtų skelbiama įgyvendinančiosios ir tarpinės institucijų interneto svetainėse.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15. Įsipareigoju vykdyti projektą iki mano prisiimtų įsipareigojimų vykdymo pabaigos.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16. </w:t>
                </w:r>
                <w:r>
                  <w:rPr>
                    <w:rFonts w:eastAsia="Calibri"/>
                    <w:color w:val="000000"/>
                    <w:szCs w:val="22"/>
                  </w:rPr>
                  <w:t>Jeigu miško želdinių ar žėlinių apskaitos metais VMT Miškų kontrolės skyriaus teritorinio poskyrio valstybiniai miškų pareigūnai nustato, kad želdinių ar žėlinių tankis neatitinka Miško atkūrimo ir įveisimo nuostatų reikalavimų,</w:t>
                </w:r>
                <w:r>
                  <w:rPr>
                    <w:szCs w:val="22"/>
                  </w:rPr>
                  <w:t xml:space="preserve"> privalau atsodinti žuvusius želdinius ir (arba) žėlinius,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2"/>
                  </w:rPr>
                  <w:t xml:space="preserve"> kopijas ir želdinamų medžių įsigijimo dokumentus.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2"/>
                  </w:rPr>
                  <w:t xml:space="preserve"> krovinio važtaraštį ar perdavimo–priėmimo aktą</w:t>
                </w:r>
                <w:r>
                  <w:rPr>
                    <w:szCs w:val="22"/>
                  </w:rPr>
                  <w:t>.</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18. Žinau, kad įveisus mišką Valstybinės miškų tarnybos Miškų kontrolės skyriaus teritorinio poskyrio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14"/>
                  </w:rPr>
                </w:pPr>
              </w:p>
              <w:p>
                <w:pPr>
                  <w:widowControl w:val="0"/>
                  <w:tabs>
                    <w:tab w:val="left" w:pos="540"/>
                  </w:tabs>
                  <w:spacing w:line="254"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14"/>
                  </w:rPr>
                </w:pPr>
              </w:p>
              <w:p>
                <w:pPr>
                  <w:widowControl w:val="0"/>
                  <w:tabs>
                    <w:tab w:val="left" w:pos="540"/>
                  </w:tabs>
                  <w:spacing w:line="254"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14"/>
                  </w:rPr>
                </w:pPr>
              </w:p>
              <w:p>
                <w:pPr>
                  <w:widowControl w:val="0"/>
                  <w:tabs>
                    <w:tab w:val="left" w:pos="540"/>
                  </w:tabs>
                  <w:spacing w:line="254" w:lineRule="auto"/>
                  <w:jc w:val="both"/>
                  <w:rPr>
                    <w:szCs w:val="22"/>
                  </w:rPr>
                </w:pPr>
                <w:r>
                  <w:rPr>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14"/>
                  </w:rPr>
                </w:pPr>
              </w:p>
              <w:p>
                <w:pPr>
                  <w:widowControl w:val="0"/>
                  <w:tabs>
                    <w:tab w:val="left" w:pos="540"/>
                  </w:tabs>
                  <w:spacing w:line="254" w:lineRule="auto"/>
                  <w:jc w:val="both"/>
                  <w:rPr>
                    <w:szCs w:val="22"/>
                  </w:rPr>
                </w:pPr>
                <w:r>
                  <w:rPr>
                    <w:szCs w:val="22"/>
                  </w:rPr>
                  <w:t>22. Žinau, kad, pažeidus įsipareigojimus, man bus taikomos numatytos sankcijos.</w:t>
                </w:r>
              </w:p>
              <w:p>
                <w:pPr>
                  <w:spacing w:line="254" w:lineRule="auto"/>
                  <w:rPr>
                    <w:rFonts w:eastAsia="Calibri"/>
                    <w:szCs w:val="14"/>
                  </w:rPr>
                </w:pPr>
              </w:p>
              <w:p>
                <w:pPr>
                  <w:widowControl w:val="0"/>
                  <w:tabs>
                    <w:tab w:val="left" w:pos="540"/>
                  </w:tabs>
                  <w:spacing w:line="254"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14"/>
                  </w:rPr>
                </w:pPr>
              </w:p>
              <w:p>
                <w:pPr>
                  <w:widowControl w:val="0"/>
                  <w:tabs>
                    <w:tab w:val="left" w:pos="540"/>
                  </w:tabs>
                  <w:spacing w:line="254" w:lineRule="auto"/>
                  <w:jc w:val="both"/>
                  <w:rPr>
                    <w:szCs w:val="22"/>
                  </w:rPr>
                </w:pPr>
                <w:r>
                  <w:rPr>
                    <w:szCs w:val="22"/>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14"/>
                  </w:rPr>
                </w:pPr>
              </w:p>
              <w:p>
                <w:pPr>
                  <w:widowControl w:val="0"/>
                  <w:tabs>
                    <w:tab w:val="left" w:pos="540"/>
                  </w:tabs>
                  <w:spacing w:line="254"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pPr>
                  <w:spacing w:line="254" w:lineRule="auto"/>
                  <w:rPr>
                    <w:rFonts w:eastAsia="Calibri"/>
                    <w:szCs w:val="14"/>
                  </w:rPr>
                </w:pPr>
              </w:p>
              <w:p>
                <w:pPr>
                  <w:widowControl w:val="0"/>
                  <w:tabs>
                    <w:tab w:val="left" w:pos="540"/>
                  </w:tabs>
                  <w:spacing w:line="254" w:lineRule="auto"/>
                  <w:jc w:val="both"/>
                  <w:rPr>
                    <w:szCs w:val="22"/>
                  </w:rPr>
                </w:pPr>
                <w:r>
                  <w:rPr>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pPr>
                  <w:spacing w:line="254" w:lineRule="auto"/>
                  <w:rPr>
                    <w:rFonts w:eastAsia="Calibri"/>
                    <w:szCs w:val="14"/>
                  </w:rPr>
                </w:pPr>
              </w:p>
              <w:p>
                <w:pPr>
                  <w:widowControl w:val="0"/>
                  <w:tabs>
                    <w:tab w:val="left" w:pos="540"/>
                  </w:tabs>
                  <w:spacing w:line="254" w:lineRule="auto"/>
                  <w:jc w:val="both"/>
                  <w:rPr>
                    <w:szCs w:val="22"/>
                  </w:rPr>
                </w:pPr>
                <w:r>
                  <w:rPr>
                    <w:szCs w:val="22"/>
                  </w:rPr>
                  <w:t>27. Paramos gavimo laikotarpiu, Agentūrai paprašius, įsipareigoju teikti papildomą informaciją, susijusią su paramos administravimu.</w:t>
                </w:r>
              </w:p>
              <w:p>
                <w:pPr>
                  <w:spacing w:line="254" w:lineRule="auto"/>
                  <w:rPr>
                    <w:rFonts w:eastAsia="Calibri"/>
                    <w:szCs w:val="14"/>
                  </w:rPr>
                </w:pPr>
              </w:p>
              <w:p>
                <w:pPr>
                  <w:widowControl w:val="0"/>
                  <w:tabs>
                    <w:tab w:val="left" w:pos="540"/>
                  </w:tabs>
                  <w:spacing w:line="254" w:lineRule="auto"/>
                  <w:jc w:val="both"/>
                  <w:rPr>
                    <w:szCs w:val="22"/>
                  </w:rPr>
                </w:pPr>
                <w:r>
                  <w:rPr>
                    <w:szCs w:val="22"/>
                  </w:rPr>
                  <w:t>28. Įsipareigoju tuo metu vykstančiu arba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pPr>
                  <w:spacing w:line="254" w:lineRule="auto"/>
                  <w:rPr>
                    <w:rFonts w:eastAsia="Calibri"/>
                    <w:szCs w:val="14"/>
                  </w:rPr>
                </w:pPr>
              </w:p>
              <w:p>
                <w:pPr>
                  <w:widowControl w:val="0"/>
                  <w:spacing w:line="254"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pPr>
                  <w:spacing w:line="254" w:lineRule="auto"/>
                  <w:rPr>
                    <w:rFonts w:eastAsia="Calibri"/>
                    <w:szCs w:val="14"/>
                  </w:rPr>
                </w:pPr>
              </w:p>
              <w:p>
                <w:pPr>
                  <w:widowControl w:val="0"/>
                  <w:tabs>
                    <w:tab w:val="left" w:pos="540"/>
                  </w:tabs>
                  <w:spacing w:line="254" w:lineRule="auto"/>
                  <w:jc w:val="both"/>
                  <w:rPr>
                    <w:szCs w:val="22"/>
                  </w:rPr>
                </w:pPr>
                <w:r>
                  <w:rPr>
                    <w:szCs w:val="22"/>
                  </w:rPr>
                  <w:t xml:space="preserve">30.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2"/>
                  </w:rPr>
                  <w:t>.</w:t>
                </w:r>
              </w:p>
              <w:p>
                <w:pPr>
                  <w:spacing w:line="254" w:lineRule="auto"/>
                  <w:rPr>
                    <w:rFonts w:eastAsia="Calibri"/>
                    <w:szCs w:val="14"/>
                  </w:rPr>
                </w:pPr>
              </w:p>
              <w:p>
                <w:pPr>
                  <w:suppressAutoHyphens/>
                  <w:spacing w:line="254"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pPr>
                  <w:spacing w:line="254" w:lineRule="auto"/>
                  <w:rPr>
                    <w:rFonts w:eastAsia="Calibri"/>
                    <w:szCs w:val="14"/>
                  </w:rPr>
                </w:pPr>
              </w:p>
              <w:p>
                <w:pPr>
                  <w:widowControl w:val="0"/>
                  <w:tabs>
                    <w:tab w:val="left" w:pos="540"/>
                  </w:tabs>
                  <w:spacing w:line="254" w:lineRule="auto"/>
                  <w:jc w:val="both"/>
                  <w:rPr>
                    <w:szCs w:val="22"/>
                  </w:rPr>
                </w:pPr>
                <w:r>
                  <w:rPr>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33.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34.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35. Žinau, kad išlaidos, susijusios su miško želdinimo ir žėlimo projekto įgyvendinimu, negali būti finansuojamos iš kitų nacionalinių programų ir Europos Sąjungos fondų.</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36. Sutinku, kad paramos paraiškoje pateikti mano asmens / juridinio asmens, kuriam aš atstovauju, ir kiti duomenys būtų apdorojami ir saugomi paramos priemonių administravimo</w:t>
                </w:r>
                <w:r>
                  <w:rPr>
                    <w:b/>
                    <w:bCs/>
                    <w:szCs w:val="22"/>
                  </w:rPr>
                  <w:t xml:space="preserve"> </w:t>
                </w:r>
                <w:r>
                  <w:rPr>
                    <w:szCs w:val="22"/>
                  </w:rPr>
                  <w:t>informacinėse sistemose ir kad Agentūra gautų mano asmens / juridinio asmens, kuriam aš atstovauju, ir kitus duomenis iš kitų juridinių asmenų, registrų ar duomenų bazių paramos administravimo klausimais.</w:t>
                </w:r>
              </w:p>
              <w:p>
                <w:pPr>
                  <w:widowControl w:val="0"/>
                  <w:tabs>
                    <w:tab w:val="left" w:pos="540"/>
                    <w:tab w:val="left" w:pos="612"/>
                  </w:tabs>
                  <w:spacing w:line="254" w:lineRule="auto"/>
                  <w:jc w:val="both"/>
                  <w:rPr>
                    <w:szCs w:val="22"/>
                  </w:rPr>
                </w:pPr>
              </w:p>
              <w:p>
                <w:pPr>
                  <w:widowControl w:val="0"/>
                  <w:tabs>
                    <w:tab w:val="left" w:pos="540"/>
                    <w:tab w:val="left" w:pos="612"/>
                  </w:tabs>
                  <w:spacing w:line="254"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2"/>
                  </w:rPr>
                </w:pPr>
              </w:p>
              <w:p>
                <w:pPr>
                  <w:widowControl w:val="0"/>
                  <w:tabs>
                    <w:tab w:val="left" w:pos="540"/>
                    <w:tab w:val="left" w:pos="612"/>
                  </w:tabs>
                  <w:spacing w:line="254" w:lineRule="auto"/>
                  <w:jc w:val="both"/>
                  <w:rPr>
                    <w:spacing w:val="-2"/>
                    <w:szCs w:val="22"/>
                  </w:rPr>
                </w:pPr>
                <w:r>
                  <w:rPr>
                    <w:szCs w:val="22"/>
                  </w:rPr>
                  <w:t xml:space="preserve">38.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2"/>
                  </w:rPr>
                </w:pPr>
              </w:p>
              <w:p>
                <w:pPr>
                  <w:widowControl w:val="0"/>
                  <w:tabs>
                    <w:tab w:val="left" w:pos="540"/>
                    <w:tab w:val="left" w:pos="612"/>
                  </w:tabs>
                  <w:spacing w:line="254"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2"/>
                  </w:rPr>
                </w:pPr>
              </w:p>
              <w:p>
                <w:pPr>
                  <w:widowControl w:val="0"/>
                  <w:tabs>
                    <w:tab w:val="left" w:pos="540"/>
                    <w:tab w:val="left" w:pos="612"/>
                  </w:tabs>
                  <w:spacing w:line="254" w:lineRule="auto"/>
                  <w:jc w:val="both"/>
                  <w:rPr>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2"/>
                  </w:rPr>
                </w:pPr>
              </w:p>
              <w:p>
                <w:pPr>
                  <w:suppressAutoHyphens/>
                  <w:spacing w:line="254" w:lineRule="auto"/>
                  <w:jc w:val="both"/>
                  <w:textAlignment w:val="center"/>
                  <w:rPr>
                    <w:rFonts w:eastAsia="Calibri"/>
                    <w:color w:val="000000"/>
                    <w:spacing w:val="-5"/>
                    <w:szCs w:val="22"/>
                  </w:rPr>
                </w:pPr>
                <w:r>
                  <w:rPr>
                    <w:rFonts w:eastAsia="Calibri"/>
                    <w:color w:val="000000"/>
                    <w:spacing w:val="-5"/>
                    <w:szCs w:val="22"/>
                  </w:rPr>
                  <w:t xml:space="preserve">41.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2"/>
                  </w:rPr>
                </w:pPr>
              </w:p>
              <w:p>
                <w:pPr>
                  <w:suppressAutoHyphens/>
                  <w:spacing w:line="254"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2"/>
                  </w:rPr>
                </w:pPr>
              </w:p>
              <w:p>
                <w:pPr>
                  <w:widowControl w:val="0"/>
                  <w:tabs>
                    <w:tab w:val="left" w:pos="540"/>
                    <w:tab w:val="left" w:pos="612"/>
                  </w:tabs>
                  <w:spacing w:line="254" w:lineRule="auto"/>
                  <w:jc w:val="both"/>
                  <w:rPr>
                    <w:rFonts w:eastAsia="Calibri"/>
                    <w:szCs w:val="22"/>
                  </w:rPr>
                </w:pPr>
                <w:r>
                  <w:rPr>
                    <w:rFonts w:eastAsia="Calibri"/>
                    <w:spacing w:val="4"/>
                    <w:szCs w:val="22"/>
                  </w:rPr>
                  <w:t xml:space="preserve">43. Įsipareigoju viešinti paramą, </w:t>
                </w:r>
                <w:r>
                  <w:rPr>
                    <w:rFonts w:eastAsia="Calibri"/>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2"/>
                  </w:rPr>
                </w:pPr>
              </w:p>
              <w:p>
                <w:pPr>
                  <w:suppressAutoHyphens/>
                  <w:spacing w:line="254" w:lineRule="auto"/>
                  <w:jc w:val="both"/>
                  <w:textAlignment w:val="center"/>
                  <w:rPr>
                    <w:rFonts w:eastAsia="Calibri"/>
                    <w:color w:val="000000"/>
                    <w:spacing w:val="-5"/>
                    <w:szCs w:val="22"/>
                  </w:rPr>
                </w:pPr>
                <w:r>
                  <w:rPr>
                    <w:rFonts w:eastAsia="Calibri"/>
                    <w:color w:val="000000"/>
                    <w:spacing w:val="-5"/>
                    <w:szCs w:val="22"/>
                  </w:rPr>
                  <w:t>44.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2"/>
                  </w:rPr>
                </w:pPr>
              </w:p>
              <w:p>
                <w:pPr>
                  <w:suppressAutoHyphens/>
                  <w:spacing w:line="254" w:lineRule="auto"/>
                  <w:jc w:val="both"/>
                  <w:textAlignment w:val="center"/>
                  <w:rPr>
                    <w:rFonts w:eastAsia="Calibri"/>
                    <w:szCs w:val="22"/>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programos įgyvendinimo stebėsenai bei reikalingiems vertinimams atlikti.</w:t>
                </w:r>
              </w:p>
              <w:p>
                <w:pPr>
                  <w:suppressAutoHyphens/>
                  <w:spacing w:line="254" w:lineRule="auto"/>
                  <w:jc w:val="both"/>
                  <w:textAlignment w:val="center"/>
                  <w:rPr>
                    <w:rFonts w:eastAsia="Calibri"/>
                    <w:szCs w:val="22"/>
                  </w:rPr>
                </w:pPr>
              </w:p>
              <w:p>
                <w:pPr>
                  <w:suppressAutoHyphens/>
                  <w:spacing w:line="254" w:lineRule="auto"/>
                  <w:jc w:val="both"/>
                  <w:textAlignment w:val="center"/>
                  <w:rPr>
                    <w:rFonts w:eastAsia="Calibri"/>
                  </w:rPr>
                </w:pPr>
                <w:r>
                  <w:rPr>
                    <w:rFonts w:eastAsia="Calibri"/>
                    <w:szCs w:val="22"/>
                  </w:rPr>
                  <w:t xml:space="preserve">46. </w:t>
                </w:r>
                <w:r>
                  <w:rPr>
                    <w:color w:val="000000"/>
                    <w:szCs w:val="24"/>
                    <w:lang w:eastAsia="lt-LT"/>
                  </w:rPr>
                  <w:t>Žinau, kad privalau laikytis Lietuvos Respublikos miškų įstatyme ir jo įgyvendinamuosiuose teisės aktuose nustatytų reikalavimų.</w:t>
                </w:r>
              </w:p>
            </w:tc>
          </w:tr>
        </w:tbl>
        <w:p>
          <w:pPr>
            <w:widowControl w:val="0"/>
            <w:rPr>
              <w:szCs w:val="22"/>
            </w:rPr>
          </w:pPr>
          <w:r>
            <w:rPr>
              <w:szCs w:val="22"/>
            </w:rPr>
            <w:t>______________</w:t>
          </w:r>
        </w:p>
        <w:p>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2"/>
                  </w:rPr>
                </w:pPr>
                <w:r>
                  <w:rPr>
                    <w:szCs w:val="22"/>
                  </w:rPr>
                  <w:t>__________________________ (pareiškėjo ar jo įgalioto asmens pareigų pavadinimas)</w:t>
                </w:r>
              </w:p>
            </w:tc>
            <w:tc>
              <w:tcPr>
                <w:tcW w:w="3208" w:type="dxa"/>
                <w:hideMark/>
              </w:tcPr>
              <w:p>
                <w:pPr>
                  <w:widowControl w:val="0"/>
                  <w:spacing w:line="254" w:lineRule="auto"/>
                  <w:jc w:val="center"/>
                  <w:rPr>
                    <w:szCs w:val="22"/>
                  </w:rPr>
                </w:pPr>
                <w:r>
                  <w:rPr>
                    <w:szCs w:val="22"/>
                  </w:rPr>
                  <w:t>__________</w:t>
                </w:r>
              </w:p>
              <w:p>
                <w:pPr>
                  <w:widowControl w:val="0"/>
                  <w:spacing w:line="254" w:lineRule="auto"/>
                  <w:jc w:val="center"/>
                  <w:rPr>
                    <w:szCs w:val="22"/>
                  </w:rPr>
                </w:pPr>
                <w:r>
                  <w:rPr>
                    <w:szCs w:val="22"/>
                  </w:rPr>
                  <w:t>(parašas)</w:t>
                </w:r>
              </w:p>
            </w:tc>
            <w:tc>
              <w:tcPr>
                <w:tcW w:w="3208" w:type="dxa"/>
                <w:hideMark/>
              </w:tcPr>
              <w:p>
                <w:pPr>
                  <w:widowControl w:val="0"/>
                  <w:spacing w:line="254" w:lineRule="auto"/>
                  <w:jc w:val="center"/>
                  <w:rPr>
                    <w:szCs w:val="22"/>
                  </w:rPr>
                </w:pPr>
                <w:r>
                  <w:rPr>
                    <w:szCs w:val="22"/>
                  </w:rPr>
                  <w:t>_______________</w:t>
                </w:r>
              </w:p>
              <w:p>
                <w:pPr>
                  <w:widowControl w:val="0"/>
                  <w:spacing w:line="254" w:lineRule="auto"/>
                  <w:jc w:val="center"/>
                  <w:rPr>
                    <w:szCs w:val="22"/>
                  </w:rPr>
                </w:pPr>
                <w:r>
                  <w:rPr>
                    <w:szCs w:val="22"/>
                  </w:rPr>
                  <w:t>(vardas, pavardė)</w:t>
                </w:r>
              </w:p>
            </w:tc>
          </w:tr>
        </w:tbl>
        <w:p>
          <w:pPr>
            <w:widowControl w:val="0"/>
            <w:tabs>
              <w:tab w:val="left" w:pos="-426"/>
            </w:tabs>
            <w:jc w:val="both"/>
            <w:rPr>
              <w:szCs w:val="22"/>
            </w:rPr>
          </w:pPr>
        </w:p>
        <w:p>
          <w:pPr>
            <w:widowControl w:val="0"/>
            <w:tabs>
              <w:tab w:val="left" w:pos="-426"/>
            </w:tabs>
            <w:jc w:val="both"/>
            <w:rPr>
              <w:b/>
              <w:szCs w:val="22"/>
            </w:rPr>
          </w:pPr>
          <w:r>
            <w:rPr>
              <w:b/>
              <w:szCs w:val="22"/>
            </w:rPr>
            <w:t>Jei projektą parengė ir Paramos paraišką</w:t>
          </w:r>
          <w:r>
            <w:rPr>
              <w:b/>
              <w:szCs w:val="22"/>
              <w:shd w:val="clear" w:color="auto" w:fill="FFFFFF"/>
            </w:rPr>
            <w:t xml:space="preserve"> </w:t>
          </w:r>
          <w:r>
            <w:rPr>
              <w:b/>
              <w:szCs w:val="22"/>
            </w:rPr>
            <w:t>padėjo užpildyti konsultantas, nurodykite:</w:t>
          </w:r>
        </w:p>
        <w:p>
          <w:pPr>
            <w:jc w:val="both"/>
            <w:rPr>
              <w:rFonts w:eastAsia="Calibri"/>
              <w:szCs w:val="1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2"/>
                  </w:rPr>
                </w:pPr>
                <w:r>
                  <w:rPr>
                    <w:szCs w:val="22"/>
                  </w:rPr>
                  <w:t>Konsultanto vardas ir pavardė</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Institucijos pavadinimas</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Telefono ir fakso Nr.</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Elektroninio pašto adresas</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tc>
          </w:tr>
        </w:tbl>
        <w:p>
          <w:pPr>
            <w:widowControl w:val="0"/>
            <w:tabs>
              <w:tab w:val="left" w:pos="-426"/>
            </w:tabs>
            <w:jc w:val="both"/>
            <w:rPr>
              <w:b/>
              <w:szCs w:val="22"/>
            </w:rPr>
          </w:pPr>
        </w:p>
        <w:p>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jc w:val="center"/>
            <w:rPr>
              <w:rFonts w:eastAsia="Calibri"/>
              <w:szCs w:val="18"/>
            </w:rPr>
          </w:pPr>
        </w:p>
        <w:p>
          <w:pPr>
            <w:widowControl w:val="0"/>
            <w:jc w:val="center"/>
            <w:rPr>
              <w:b/>
              <w:szCs w:val="22"/>
            </w:rPr>
          </w:pP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2 pr."/>
        <w:tag w:val="part_8bc0b0e6aa7e459589baed5cbe2c8724"/>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8bc0b0e6aa7e459589baed5cbe2c8724"/>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spacing w:line="254" w:lineRule="auto"/>
            <w:jc w:val="center"/>
            <w:rPr>
              <w:szCs w:val="22"/>
            </w:rPr>
          </w:pPr>
          <w:sdt>
            <w:sdtPr>
              <w:alias w:val="Pavadinimas"/>
              <w:tag w:val="title_8bc0b0e6aa7e459589baed5cbe2c8724"/>
              <w:lock w:val="sdtLocked"/>
              <w:richText/>
            </w:sdtPr>
            <w:sdtContent>
              <w:r>
                <w:rPr>
                  <w:b/>
                  <w:szCs w:val="22"/>
                </w:rPr>
                <w:t>MIŠKO ĮVEISIMO, ĮVEISTO MIŠKO PRIEŽIŪROS, APSAUGOS IR UGDYMO IŠMOKŲ APSKAIČIAVIMO TVARKOS APRAŠAS</w:t>
              </w:r>
            </w:sdtContent>
          </w:sdt>
        </w:p>
        <w:p>
          <w:pPr>
            <w:widowControl w:val="0"/>
            <w:spacing w:line="254" w:lineRule="auto"/>
            <w:jc w:val="center"/>
            <w:rPr>
              <w:szCs w:val="22"/>
            </w:rPr>
          </w:pPr>
        </w:p>
        <w:p>
          <w:pPr>
            <w:widowControl w:val="0"/>
            <w:spacing w:line="254"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363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284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204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224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246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136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150</w:t>
                </w:r>
              </w:p>
            </w:tc>
          </w:tr>
        </w:tbl>
        <w:p>
          <w:pPr>
            <w:suppressAutoHyphens/>
            <w:jc w:val="both"/>
            <w:textAlignment w:val="center"/>
            <w:rPr>
              <w:szCs w:val="22"/>
            </w:rPr>
          </w:pPr>
        </w:p>
        <w:sdt>
          <w:sdtPr>
            <w:alias w:val="skirsnis"/>
            <w:tag w:val="part_fcbeef8ea01c4f578f6c3e4459f10165"/>
            <w:lock w:val="sdtLocked"/>
            <w:richText/>
          </w:sdtPr>
          <w:sdtContent>
            <w:p>
              <w:pPr>
                <w:suppressAutoHyphens/>
                <w:jc w:val="both"/>
                <w:textAlignment w:val="center"/>
                <w:rPr>
                  <w:b/>
                  <w:iCs/>
                </w:rPr>
              </w:pPr>
              <w:sdt>
                <w:sdtPr>
                  <w:alias w:val="Pavadinimas"/>
                  <w:tag w:val="title_fcbeef8ea01c4f578f6c3e4459f10165"/>
                  <w:lock w:val="sdtLocked"/>
                  <w:richText/>
                </w:sdtPr>
                <w:sdtContent>
                  <w:r>
                    <w:rPr>
                      <w:b/>
                      <w:iCs/>
                    </w:rPr>
                    <w:t>Pastabos:</w:t>
                  </w:r>
                </w:sdtContent>
              </w:sdt>
            </w:p>
            <w:sdt>
              <w:sdtPr>
                <w:alias w:val="2 pr. 1 p."/>
                <w:tag w:val="part_335393a5418e4d3cb7610c5613c520a7"/>
                <w:lock w:val="sdtLocked"/>
                <w:richText/>
              </w:sdtPr>
              <w:sdtContent>
                <w:p>
                  <w:pPr>
                    <w:suppressAutoHyphens/>
                    <w:jc w:val="both"/>
                    <w:textAlignment w:val="center"/>
                  </w:pPr>
                  <w:sdt>
                    <w:sdtPr>
                      <w:alias w:val="Numeris"/>
                      <w:tag w:val="nr_335393a5418e4d3cb7610c5613c520a7"/>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c81899e91c9044ae9df23e77543090fd"/>
                <w:lock w:val="sdtLocked"/>
                <w:richText/>
              </w:sdtPr>
              <w:sdtContent>
                <w:p>
                  <w:pPr>
                    <w:suppressAutoHyphens/>
                    <w:jc w:val="both"/>
                    <w:textAlignment w:val="center"/>
                  </w:pPr>
                  <w:sdt>
                    <w:sdtPr>
                      <w:alias w:val="Numeris"/>
                      <w:tag w:val="nr_c81899e91c9044ae9df23e77543090fd"/>
                      <w:lock w:val="sdtLocked"/>
                      <w:richText/>
                    </w:sdtPr>
                    <w:sdtContent>
                      <w:r>
                        <w:t>2</w:t>
                      </w:r>
                    </w:sdtContent>
                  </w:sdt>
                  <w:r>
                    <w:t>. Veisiant medžių rūšis, nenurodytas lentelėje, taikoma mažiausia miško įveisimo išmoka (988 Eur už 1 ha), įveisto miško priežiūros, apsaugos ir ugdymo išmoka (123 Eur už 1 ha).</w:t>
                  </w:r>
                </w:p>
              </w:sdtContent>
            </w:sdt>
            <w:sdt>
              <w:sdtPr>
                <w:alias w:val="2 pr. 3 p."/>
                <w:tag w:val="part_3eeb82d5739b4141b9b89f7949c1854c"/>
                <w:lock w:val="sdtLocked"/>
                <w:richText/>
              </w:sdtPr>
              <w:sdtContent>
                <w:p>
                  <w:pPr>
                    <w:suppressAutoHyphens/>
                    <w:jc w:val="both"/>
                    <w:textAlignment w:val="center"/>
                  </w:pPr>
                  <w:sdt>
                    <w:sdtPr>
                      <w:alias w:val="Numeris"/>
                      <w:tag w:val="nr_3eeb82d5739b4141b9b89f7949c1854c"/>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(767,9 Eur) + 30 proc. beržo miško įveisimo išmokos (300,6 Eur) = 1 068,5 Eur už ha; pagal formulę 7P3B vieno hektaro miško priežiūros, apsaugos ir ugdymo išmoka apskaičiuojama taip: 70 proc. paprastosios pušies miško priežiūros, apsaugos ir ugdymo išmokos (254,1 Eur) + 30 proc. beržo miško priežiūros, apsaugos ir ugdymo išmokos (36,9 Eur) = 291 Eur už ha.</w:t>
                  </w:r>
                </w:p>
              </w:sdtContent>
            </w:sdt>
            <w:sdt>
              <w:sdtPr>
                <w:alias w:val="2 pr. 4 p."/>
                <w:tag w:val="part_c40c53c605aa4ce79cc7a8ca33b11884"/>
                <w:lock w:val="sdtLocked"/>
                <w:richText/>
              </w:sdtPr>
              <w:sdtContent>
                <w:p>
                  <w:pPr>
                    <w:suppressAutoHyphens/>
                    <w:jc w:val="both"/>
                    <w:textAlignment w:val="center"/>
                  </w:pPr>
                  <w:sdt>
                    <w:sdtPr>
                      <w:alias w:val="Numeris"/>
                      <w:tag w:val="nr_c40c53c605aa4ce79cc7a8ca33b11884"/>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383,95 Eur, o pagal formulę 7P3B paskaičiuota bendra išmoka būtų: 70 proc. paprastosios pušies miško įveisimo išmoka esant 50 proc. paprastosios pušies savaiminukų (383,95 Eur) + 30 proc. beržo miško įveisimo išmokos (300,6 Eur) = 684,55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ae4fb7a917024a1eb65c6a99d2ac2864"/>
                <w:lock w:val="sdtLocked"/>
                <w:richText/>
              </w:sdtPr>
              <w:sdtContent>
                <w:p>
                  <w:pPr>
                    <w:suppressAutoHyphens/>
                    <w:jc w:val="both"/>
                    <w:textAlignment w:val="center"/>
                  </w:pPr>
                  <w:sdt>
                    <w:sdtPr>
                      <w:alias w:val="Numeris"/>
                      <w:tag w:val="nr_ae4fb7a917024a1eb65c6a99d2ac2864"/>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3000 vnt. paprastųjų eglių ir 3000 vnt. juodalksnių, želdinamas plotas 1,9 ha. Už tokio miško įveisimą paramos gavėjui buvo išmokėta 1 910,45 Eur parama (50 proc. paprastosios eglės miško įveisimo išmokos (988 Eur) ir 50 proc. juodalksnio įveisimo išmokos (1 023 Eur) suma padauginta iš 1,9 ha). Pažeistame miške reikia atsodinti 1400 vnt. juodalksnio sodmenų. Pirmiausia apskaičiuojama, kad už 3000 vnt. juodalksnių įveisimą buvo išmokėta 971,85 Eur parama (50 proc. juodalksnio įveisimo išmokos (1 023 Eur) dalis padauginta iš 1,9 ha). Proporcingai apskaičiuojama, kad už 1400 vnt. juodalksnio sodmenų atsodinimą, išmokos dydis turėtų būti 453,53 Eur (už juodalksnių įveisimą išmokėta paramos suma (971,84 Eur) padalinama iš pasodintų juodalksnių skaičiaus (3000 vnt.) ir padauginama iš reikiamų atsodinti juodalksnių skaičiaus (1400 vnt.).</w:t>
                  </w:r>
                </w:p>
                <w:p>
                  <w:pPr>
                    <w:widowControl w:val="0"/>
                    <w:spacing w:line="254" w:lineRule="auto"/>
                    <w:ind w:left="4536"/>
                    <w:rPr>
                      <w:rFonts w:eastAsia="Calibri"/>
                      <w:sz w:val="22"/>
                      <w:szCs w:val="22"/>
                    </w:rPr>
                  </w:pPr>
                </w:p>
              </w:sdtContent>
            </w:sdt>
          </w:sdtContent>
        </w:sdt>
        <w:sdt>
          <w:sdtPr>
            <w:alias w:val="pabaiga"/>
            <w:tag w:val="part_3133bc3d5d15408d9de6dd02ea0c5092"/>
            <w:lock w:val="sdtLocked"/>
            <w:richText/>
          </w:sdtPr>
          <w:sdtContent>
            <w:p>
              <w:pPr>
                <w:widowControl w:val="0"/>
                <w:spacing w:line="254" w:lineRule="auto"/>
                <w:ind w:firstLine="2480"/>
              </w:pPr>
              <w:r>
                <w:t>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38</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2C1F670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ac360fc9d50d4b28996986c1993d8dcc">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537c332b4394442cb5e301b01f5cc1f4"/>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e948ed160a9046118662392a946bf943"/>
      </Part>
    </Part>
    <Part Type="skyrius" Nr="5" Title="GALIMI PAREIŠKĖJAI" DocPartId="1fda1291014c4108ae60aa986ad5d78b" PartId="c2e910759aa043ec8b301ef759ce0dbc">
      <Part Type="punktas" Nr="9" Abbr="9 p." DocPartId="969af15f72414ffebd3563c9322c744e" PartId="1fd00ea2d75d49af9530d58bb2367061"/>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018eca896cb04ed8b26ab2d97045de4c">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76f049096c5440187b0c2bb1618225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8c9f2647f2594dbe92bb82c8cefed13a"/>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59e3fb8e34164043b62a087d210ca132"/>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2b0b06a7836d40b6a8e4ba795873bd66"/>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bbdeadc7fccd41219af17601a6c2617b"/>
      <Part Type="punktas" Nr="31" Abbr="31 p." DocPartId="58c727e24656464eabf988a0e80458cc" PartId="aec1433c933f4db9af1d2521fdf4cd88"/>
      <Part Type="punktas" Nr="32" Abbr="32 p." DocPartId="d4b6e524cf654bdcbaf3a44d4f18a176" PartId="e8bc06dcbfb748fd91c6b3a865c9fac6"/>
      <Part Type="punktas" Nr="33" Abbr="33 p." DocPartId="c791c5d5f04e4d0bbffe0930d5447cc3" PartId="fd19d34a4a0a40a8a613b4e1433331db"/>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b6fe1627053742919ecc703f466a4e4f"/>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e59a2b83515d49069c25c48a24e426fe"/>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75f6ebddf80c479fa5031295b61e05d3">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4af9c21dc438486ebc9ffa631ebbc119"/>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ab22620f30b44278fee8cd2d7beb8e7"/>
      <Part Type="punktas" Nr="58" Abbr="58 p." DocPartId="df2b0e8f6555478a962cd2e220ef23be" PartId="ef79c04c1935438ea024610f92314d95"/>
      <Part Type="punktas" Nr="59" Abbr="59 p." DocPartId="574eaafabffd43bb82067acb7c5d0089" PartId="e2b35eb0e98e40389e385fa9ad7e23fa"/>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4a317d9c64fa40b4aa7b55212bd04e31"/>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0eaa387a9927493b9acccd3282725c38">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77e8d3ee78ba4bd08efcbd9e4f4b7855"/>
        <Part Type="punktas" Nr="70.4" Abbr="70.4 p." DocPartId="fbcebebb78fc405aa9b0c4264e06d689" PartId="7732208b05ff4f58b4a577073ddf3cb4"/>
      </Part>
      <Part Type="punktas" Nr="71" Abbr="71 p." DocPartId="0208a899a6d24122840adf4a80e53a8b" PartId="2588bb4adbf248bfaaf2c436bc8fd040"/>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30586cd68392453b8169fc493a2bdfbf"/>
        <Part Type="punktas" Nr="72.7" Abbr="72.7 p." DocPartId="93bc8a0cea654e0cb9eaf2ef96afd997" PartId="a937667f626d4c368cbbb220bcdce0b7">
          <Part Type="punktas" Nr="72.7.1" Abbr="72.7.1 p." DocPartId="6058b31cf0cd45138ba14401bb4fac9d" PartId="e875253111eb4c518ee302487037d428"/>
          <Part Type="punktas" Nr="72.7.2" Abbr="72.7.2 p." DocPartId="c5ab77b0633941cbaf9c31c8885f86f6" PartId="24dc8a61536542128626dd29251b8501"/>
          <Part Type="punktas" Nr="72.7.3" Abbr="72.7.3 p." DocPartId="c6dbbeae36a54eb383099face52ee542" PartId="23e2305227ed4ac186be9340197c5fc4"/>
          <Part Type="punktas" Nr="72.7.4" Abbr="72.7.4 p." DocPartId="8b081092c46e4c6b98c4ee6035d91a36" PartId="fcf3279e100841aa91adb8a537f21565"/>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c2aaea2b0d054ad89ddbea757c7dd6ed"/>
          <Part Type="punktas" Nr="72.8.2" Abbr="72.8.2 p." DocPartId="1da555b530a248c483e49f28a6890d98" PartId="733269e938854c5ca8f73414f7aa77ec"/>
          <Part Type="punktas" Nr="72.8.3" Abbr="72.8.3 p." DocPartId="d46525c7e80b407c8967b90ec948e1d5" PartId="f06ee85e99ce421ba56049a4adfa0302"/>
          <Part Type="punktas" Nr="72.8.4" Abbr="72.8.4 p." DocPartId="c073aa8ac1454a409c1c3f214482de92" PartId="c285c667b841406ba91fb4c812883ba8"/>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0029820cecc4e258434f5151167e552"/>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029e30f4d6fa472cad0a8c99b0355738"/>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2a765ad2f010411581c9c3010c7fb094"/>
  <Part Type="priedas" Nr="2" Abbr="2 pr." Title="MIŠKO ĮVEISIMO, ĮVEISTO MIŠKO PRIEŽIŪROS, APSAUGOS IR UGDYMO IŠMOKŲ APSKAIČIAVIMO TVARKOS APRAŠAS" DocPartId="9fea77a6e0834fb3a5db48ed97607cdb" PartId="8bc0b0e6aa7e459589baed5cbe2c8724">
    <Part Type="skirsnis" Title="Pastabos:" DocPartId="65bca16b34db4e6aa17769a6751bcc20" PartId="fcbeef8ea01c4f578f6c3e4459f10165">
      <Part Type="punktas" Nr="1" Abbr="2 pr. 1 p." DocPartId="19c391325aa14f138c6002160f49c817" PartId="335393a5418e4d3cb7610c5613c520a7"/>
      <Part Type="punktas" Nr="2" Abbr="2 pr. 2 p." DocPartId="3ab122511a624f4b95a11481bef10a9b" PartId="c81899e91c9044ae9df23e77543090fd"/>
      <Part Type="punktas" Nr="3" Abbr="2 pr. 3 p." DocPartId="54822cd818a444569aebc63ffc0b891a" PartId="3eeb82d5739b4141b9b89f7949c1854c"/>
      <Part Type="punktas" Nr="4" Abbr="2 pr. 4 p." DocPartId="63085b9d831240968e04732f20d9355e" PartId="c40c53c605aa4ce79cc7a8ca33b11884"/>
      <Part Type="punktas" Nr="5" Abbr="2 pr. 5 p." DocPartId="ac1bc2b438084bb8ac7679e9fa471c53" PartId="ae4fb7a917024a1eb65c6a99d2ac2864"/>
    </Part>
    <Part Type="pabaiga" DocPartId="c3face2acf4843aba0927ddb5f47caa5" PartId="3133bc3d5d15408d9de6dd02ea0c5092"/>
  </Part>
</Parts>
</file>

<file path=customXml/itemProps1.xml><?xml version="1.0" encoding="utf-8"?>
<ds:datastoreItem xmlns:ds="http://schemas.openxmlformats.org/officeDocument/2006/customXml" ds:itemID="{B2DE4AD6-E6AB-4073-8EB3-909C7F4811CB}">
  <ds:schemaRefs>
    <ds:schemaRef ds:uri="http://lrs.lt/TAIS/DocParts"/>
  </ds:schemaRefs>
</ds:datastoreItem>
</file>

<file path=docProps/app.xml><?xml version="1.0" encoding="utf-8"?>
<Properties xmlns="http://schemas.openxmlformats.org/officeDocument/2006/extended-properties">
  <Template>Normal.dotm</Template>
  <TotalTime>0</TotalTime>
  <Pages>60</Pages>
  <Words>101761</Words>
  <Characters>58005</Characters>
  <Application>Microsoft Office Word</Application>
  <DocSecurity>0</DocSecurity>
  <Lines>483</Lines>
  <Paragraphs>318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159448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2018-02-27T06:58:00Z</dcterms:modified>
  <revision>1</revision>
</coreProperties>
</file>