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d9155c43bd0434789f0eb909f4f5184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2024-01-20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2023-11-15, i. k. 2023-21992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sz w:val="22"/>
              <w:szCs w:val="22"/>
              <w:lang w:eastAsia="lt-LT"/>
            </w:rPr>
            <w:drawing>
              <wp:inline distT="0" distB="0" distL="0" distR="0">
                <wp:extent cx="469265" cy="554990"/>
                <wp:effectExtent l="0" t="0" r="6985" b="0"/>
                <wp:docPr id="2" name="Paveikslėlis 1" descr="A black and white 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aveikslėlis 1" descr="A black and white logo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8"/>
              <w:szCs w:val="18"/>
            </w:rPr>
          </w:pPr>
        </w:p>
        <w:p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>
          <w:pPr>
            <w:tabs>
              <w:tab w:val="left" w:pos="0"/>
            </w:tabs>
            <w:jc w:val="center"/>
            <w:rPr>
              <w:szCs w:val="24"/>
            </w:rPr>
          </w:pPr>
        </w:p>
        <w:p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2023 m. lapkričio 15 d. Nr. </w:t>
          </w:r>
          <w:r>
            <w:rPr>
              <w:bCs/>
            </w:rPr>
            <w:t>V-1178</w:t>
          </w:r>
        </w:p>
        <w:p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1 p."/>
            <w:tag w:val="part_41f8505172ae4a15a4c254010089425e"/>
            <w:lock w:val="sdtLocked"/>
            <w:richText/>
          </w:sdtPr>
          <w:sdtContent>
            <w:p>
              <w:pPr>
                <w:tabs>
                  <w:tab w:val="left" w:pos="0"/>
                  <w:tab w:val="left" w:pos="142"/>
                  <w:tab w:val="left" w:pos="851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beforeLines="20" w:before="48" w:afterLines="20" w:after="48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1f8505172ae4a15a4c254010089425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Vairuotojų sveikatos tikrinimo reikalavimų ir tvarkos aprašą (7 priedas),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patvirtintą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 xml:space="preserve">ėl </w:t>
              </w:r>
              <w:r>
                <w:rPr>
                  <w:color w:val="000000"/>
                  <w:szCs w:val="24"/>
                </w:rPr>
                <w:t>profilaktinių sveikatos tikrinimų sveikatos priežiūros įstaigose“:</w:t>
              </w:r>
            </w:p>
            <w:p>
              <w:pPr>
                <w:rPr>
                  <w:sz w:val="4"/>
                  <w:szCs w:val="4"/>
                </w:rPr>
              </w:pPr>
            </w:p>
            <w:sdt>
              <w:sdtPr>
                <w:alias w:val="1.1 pp."/>
                <w:tag w:val="part_fe22025253954407b52f93b9084818dc"/>
                <w:lock w:val="sdtLocked"/>
                <w:richText/>
              </w:sdtPr>
              <w:sdtContent>
                <w:p>
                  <w:pPr>
                    <w:tabs>
                      <w:tab w:val="left" w:pos="142"/>
                      <w:tab w:val="left" w:pos="1134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e22025253954407b52f93b9084818d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 lentelės 1 punktą ir jį išdėstau taip:</w:t>
                  </w:r>
                </w:p>
                <w:p>
                  <w:pPr>
                    <w:rPr>
                      <w:sz w:val="4"/>
                      <w:szCs w:val="4"/>
                    </w:rPr>
                  </w:pP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40" w:type="dxa"/>
                      <w:right w:w="4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41"/>
                    <w:gridCol w:w="1546"/>
                    <w:gridCol w:w="1700"/>
                    <w:gridCol w:w="2279"/>
                    <w:gridCol w:w="2268"/>
                  </w:tblGrid>
                  <w:tr>
                    <w:trPr>
                      <w:trHeight w:val="1919"/>
                    </w:trPr>
                    <w:tc>
                      <w:tcPr>
                        <w:tcW w:w="955" w:type="pct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„1. 1 grupės:</w:t>
                        </w:r>
                      </w:p>
                    </w:tc>
                    <w:tc>
                      <w:tcPr>
                        <w:tcW w:w="802" w:type="pct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882" w:type="pct"/>
                        <w:vMerge w:val="restart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Šeimos gydytojas, psichiatras (pagal pasirinktą SPĮ) ar vidaus ligų gydytojas arba vaikų ligų gydytojas</w:t>
                        </w:r>
                      </w:p>
                    </w:tc>
                    <w:tc>
                      <w:tcPr>
                        <w:tcW w:w="1183" w:type="pct"/>
                        <w:vMerge w:val="restart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Oftalmologas, otorinolaringologas, neurologas, kai sveikatą tikrina vidaus ligų gydytojas ar vaikų ligų gydytojas, arba kuris nors iš jų šeimos gydytojo sprendimu. </w:t>
                        </w:r>
                      </w:p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Pulmonologas</w:t>
                        </w:r>
                        <w:r>
                          <w:rPr>
                            <w:szCs w:val="24"/>
                            <w:lang w:val="pt-BR"/>
                          </w:rPr>
                          <w:t>*</w:t>
                        </w:r>
                        <w:r>
                          <w:rPr>
                            <w:szCs w:val="24"/>
                          </w:rPr>
                          <w:t xml:space="preserve"> arba neurologas* tikrina, jei siunčia šeimos gydytojas, esant įtarimui dėl OMA. </w:t>
                        </w:r>
                      </w:p>
                    </w:tc>
                    <w:tc>
                      <w:tcPr>
                        <w:tcW w:w="1177" w:type="pct"/>
                        <w:vMerge w:val="restart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Regėjimo aštrumo, regėjimo lauko tyrimai, akispūdžio matavimas (asmenims nuo </w:t>
                        </w:r>
                        <w:smartTag w:uri="urn:schemas-microsoft-com:office:smarttags" w:element="metricconverter">
                          <w:smartTagPr>
                            <w:attr w:name="ProductID" w:val="40 m"/>
                          </w:smartTagPr>
                          <w:r>
                            <w:rPr>
                              <w:szCs w:val="24"/>
                            </w:rPr>
                            <w:t>40</w:t>
                          </w:r>
                          <w:r>
                            <w:rPr>
                              <w:i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m</w:t>
                          </w:r>
                        </w:smartTag>
                        <w:r>
                          <w:rPr>
                            <w:szCs w:val="24"/>
                          </w:rPr>
                          <w:t>.). Jei regėjimas neatitinka regėjimo lauko arba regėjimo aštrumo standarto – regėjimo prieblandoje, jautrumo ryškiai šviesai, kontrastinio jautrumo tyrimas.</w:t>
                        </w:r>
                      </w:p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Klausos</w:t>
                        </w:r>
                        <w:r>
                          <w:rPr>
                            <w:i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– šnabždesiu abipus, vestibulinės funkcijos tyrimai. EKG, psichologinės atrankos, reakcijos ir kiti tyrimai (gydytojui skyrus).</w:t>
                        </w:r>
                      </w:p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Viso nakties miego laikotarpio respiracinė poligrafija ir (ar) polisomnografija ir kiti tyrimai (pulmonologui ar neurologui skyrus).“</w:t>
                        </w:r>
                      </w:p>
                    </w:tc>
                  </w:tr>
                  <w:tr>
                    <w:trPr>
                      <w:trHeight w:val="20"/>
                    </w:trPr>
                    <w:tc>
                      <w:tcPr>
                        <w:tcW w:w="955" w:type="pct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1.1. asmenys iki  65 metų</w:t>
                        </w:r>
                      </w:p>
                    </w:tc>
                    <w:tc>
                      <w:tcPr>
                        <w:tcW w:w="802" w:type="pct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kartą per 10 metų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>**</w:t>
                        </w:r>
                      </w:p>
                    </w:tc>
                    <w:tc>
                      <w:tcPr>
                        <w:tcW w:w="882" w:type="pct"/>
                        <w:vMerge/>
                        <w:vAlign w:val="center"/>
                      </w:tcPr>
                      <w:p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83" w:type="pct"/>
                        <w:vMerge/>
                        <w:vAlign w:val="center"/>
                      </w:tcPr>
                      <w:p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77" w:type="pct"/>
                        <w:vMerge/>
                        <w:vAlign w:val="center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852"/>
                    </w:trPr>
                    <w:tc>
                      <w:tcPr>
                        <w:tcW w:w="955" w:type="pct"/>
                        <w:tcBorders>
                          <w:bottom w:val="single" w:sz="4" w:space="0" w:color="auto"/>
                        </w:tcBorders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1.2. asmenys nuo </w:t>
                        </w:r>
                        <w:r>
                          <w:rPr>
                            <w:strike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66 iki 79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metų</w:t>
                        </w:r>
                      </w:p>
                    </w:tc>
                    <w:tc>
                      <w:tcPr>
                        <w:tcW w:w="802" w:type="pct"/>
                        <w:tcBorders>
                          <w:bottom w:val="single" w:sz="4" w:space="0" w:color="auto"/>
                        </w:tcBorders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kartą per 5 metus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>**</w:t>
                        </w:r>
                      </w:p>
                    </w:tc>
                    <w:tc>
                      <w:tcPr>
                        <w:tcW w:w="882" w:type="pct"/>
                        <w:vMerge/>
                        <w:vAlign w:val="center"/>
                      </w:tcPr>
                      <w:p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83" w:type="pct"/>
                        <w:vMerge/>
                        <w:tcBorders>
                          <w:bottom w:val="single" w:sz="4" w:space="0" w:color="auto"/>
                        </w:tcBorders>
                        <w:vAlign w:val="center"/>
                      </w:tcPr>
                      <w:p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77" w:type="pct"/>
                        <w:vMerge/>
                        <w:tcBorders>
                          <w:bottom w:val="single" w:sz="4" w:space="0" w:color="auto"/>
                        </w:tcBorders>
                        <w:vAlign w:val="center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0"/>
                    </w:trPr>
                    <w:tc>
                      <w:tcPr>
                        <w:tcW w:w="955" w:type="pct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3. asmenys nuo 80 metų</w:t>
                        </w:r>
                      </w:p>
                    </w:tc>
                    <w:tc>
                      <w:tcPr>
                        <w:tcW w:w="802" w:type="pct"/>
                      </w:tcPr>
                      <w:p>
                        <w:pPr>
                          <w:spacing w:line="276" w:lineRule="auto"/>
                          <w:rPr>
                            <w:strike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kartą per 2 metus **</w:t>
                        </w:r>
                      </w:p>
                    </w:tc>
                    <w:tc>
                      <w:tcPr>
                        <w:tcW w:w="882" w:type="pct"/>
                        <w:vMerge/>
                        <w:vAlign w:val="center"/>
                      </w:tcPr>
                      <w:p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83" w:type="pct"/>
                        <w:vMerge/>
                        <w:vAlign w:val="center"/>
                      </w:tcPr>
                      <w:p>
                        <w:pPr>
                          <w:spacing w:line="276" w:lineRule="auto"/>
                          <w:jc w:val="center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77" w:type="pct"/>
                        <w:vMerge/>
                        <w:vAlign w:val="center"/>
                      </w:tcPr>
                      <w:p>
                        <w:pPr>
                          <w:spacing w:line="276" w:lineRule="auto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>
                  <w:pPr>
                    <w:rPr>
                      <w:sz w:val="4"/>
                      <w:szCs w:val="4"/>
                    </w:rPr>
                  </w:pPr>
                </w:p>
                <w:p>
                  <w:pPr>
                    <w:tabs>
                      <w:tab w:val="left" w:pos="0"/>
                      <w:tab w:val="left" w:pos="142"/>
                      <w:tab w:val="left" w:pos="1134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jc w:val="both"/>
                    <w:rPr>
                      <w:color w:val="000000"/>
                      <w:szCs w:val="24"/>
                    </w:rPr>
                  </w:pPr>
                </w:p>
                <w:p>
                  <w:pPr>
                    <w:rPr>
                      <w:sz w:val="4"/>
                      <w:szCs w:val="4"/>
                    </w:rPr>
                  </w:pPr>
                </w:p>
              </w:sdtContent>
            </w:sdt>
            <w:sdt>
              <w:sdtPr>
                <w:alias w:val="1.2 pp."/>
                <w:tag w:val="part_f05ded9d5b294870b050a039d082fb63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142"/>
                      <w:tab w:val="left" w:pos="851"/>
                      <w:tab w:val="left" w:pos="1560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356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beforeLines="20" w:before="48" w:afterLines="20" w:after="48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5ded9d5b294870b050a039d082fb6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</w:t>
                      </w:r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Papildau 1 lentelę pastaba:</w:t>
                  </w:r>
                </w:p>
                <w:p>
                  <w:pPr>
                    <w:rPr>
                      <w:sz w:val="4"/>
                      <w:szCs w:val="4"/>
                    </w:rPr>
                  </w:pPr>
                </w:p>
                <w:sdt>
                  <w:sdtPr>
                    <w:alias w:val="citata"/>
                    <w:tag w:val="part_b5ae87be661248e0b521efc97b199fd2"/>
                    <w:lock w:val="sdtLocked"/>
                    <w:richText/>
                  </w:sdtPr>
                  <w:sdtContent>
                    <w:sdt>
                      <w:sdtPr>
                        <w:alias w:val="pastraipa"/>
                        <w:tag w:val="part_e6397c8fce1145cca8f418cb2c3c6907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0"/>
                              <w:tab w:val="left" w:pos="142"/>
                              <w:tab w:val="left" w:pos="851"/>
                              <w:tab w:val="left" w:pos="1560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beforeLines="20" w:before="48" w:afterLines="20" w:after="48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„** Jeigu kandidatams į vairuotojus ar vairuotojams yra diagnozuotos ligos ar sveikatos problemos (dėl kurių gali būti ribojama teisė vairuoti transporto priemones), nurodytos Aprašo 3 lentelėje, atsižvelgiant į ligos ar sveikatos problemos progresavimą, už sveikatos patikrinimo išvadą atsakingo asmens, nurodyto Aprašo 19 punkte, sprendimu gali būti nustatytas ankstesnis kito sveikatos patikrinimo laikas.“</w:t>
                          </w:r>
                        </w:p>
                        <w:p>
                          <w:pPr>
                            <w:rPr>
                              <w:sz w:val="4"/>
                              <w:szCs w:val="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d59395644394a33b25960cbeb46c6e6"/>
            <w:lock w:val="sdtLocked"/>
            <w:richText/>
          </w:sdtPr>
          <w:sdtContent>
            <w:p>
              <w:pPr>
                <w:pStyle w:val="PlainText"/>
                <w:ind w:firstLine="567"/>
                <w:jc w:val="both"/>
                <w:rPr>
                  <w:rFonts w:ascii="Times New Roman" w:hAnsi="Times New Roman"/>
                  <w:b/>
                  <w:bCs/>
                  <w:sz w:val="22"/>
                </w:rPr>
              </w:pPr>
              <w:r>
                <w:rPr>
                  <w:rFonts w:ascii="Times New Roman" w:hAnsi="Times New Roman"/>
                  <w:sz w:val="22"/>
                </w:rPr>
                <w:t>2</w:t>
              </w:r>
              <w:r>
                <w:rPr>
                  <w:rFonts w:ascii="Times New Roman" w:hAnsi="Times New Roman"/>
                  <w:sz w:val="22"/>
                </w:rPr>
                <w:t>.</w:t>
              </w: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 Neteko galios nuo 2024-01-20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naikinimas: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aeeec50b68911eea5a28c81c82193a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V-62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2024-01-19,
paskelbta TAR 2024-01-19, i. k. 2024-00826        </w:t>
              </w:r>
            </w:p>
            <w:p/>
          </w:sdtContent>
        </w:sdt>
        <w:sdt>
          <w:sdtPr>
            <w:alias w:val="3 p."/>
            <w:tag w:val="part_474d1425ed7544f2ba203a4567af812b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474d1425ed7544f2ba203a4567af812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N u s t a t a u,  kad šis įsakymas įsigalioja 2023 m. lapkričio 20 d. </w:t>
              </w:r>
            </w:p>
          </w:sdtContent>
        </w:sdt>
        <w:sdt>
          <w:sdtPr>
            <w:alias w:val="signatura"/>
            <w:tag w:val="part_57e4fe0d8a6b40ecb296d1baa9ca4f8c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szCs w:val="24"/>
                </w:rPr>
                <w:t>Socialinės apsaugos ir darbo ministrė,</w:t>
              </w: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szCs w:val="24"/>
                </w:rPr>
                <w:t>pavaduojanti sveikatos apsaugos ministrą</w:t>
                <w:tab/>
                <w:t>Monika Navickienė</w:t>
              </w:r>
            </w:p>
            <w:p>
              <w:pPr>
                <w:tabs>
                  <w:tab w:val="left" w:pos="0"/>
                </w:tabs>
                <w:jc w:val="both"/>
                <w:rPr>
                  <w:szCs w:val="24"/>
                </w:rPr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eeec50b689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2024-01-19,
paskelbta TAR 2024-01-19, i. k. 2024-00826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2023 m. lapkričio 15 d. įsakymo Nr. V-1178 ,,Dėl Lietuvos Respublikos sveikatos apsaugos ministro 2000 m. gegužės 31 d. įsakymo Nr. 301 „Dėl profilaktinių sveikatos tikrinimų sveikatos priežiūros įstaigose“ pakeitimo“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134" w:right="567" w:bottom="1134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PAGE </w:instrText>
    </w:r>
    <w:r>
      <w:rPr>
        <w:sz w:val="22"/>
        <w:szCs w:val="22"/>
      </w:rPr>
      <w:instrText xml:space="preserve">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88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5:docId w15:val="{339D8548-7041-4D5C-8153-781D24C479E5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54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79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0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01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4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68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39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3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8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6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87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15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07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48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92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7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80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5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8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17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4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74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7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8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42f9aaae54184b0fb2216e950b7de977" PartId="8d9155c43bd0434789f0eb909f4f5184">
    <Part Type="punktas" Nr="1" Abbr="1 p." DocPartId="efa4314735b64bcda5318c9d08892ad9" PartId="41f8505172ae4a15a4c254010089425e">
      <Part Type="papunktis" Nr="1.1" Abbr="1.1 pp." DocPartId="8f209aebed2c4d0b83bcb36cae3a59cb" PartId="fe22025253954407b52f93b9084818dc"/>
      <Part Type="papunktis" Nr="1.2" Abbr="1.2 pp." DocPartId="6ae34b570d8a4663b0e7887a596c67f1" PartId="f05ded9d5b294870b050a039d082fb63">
        <Part Type="citata" DocPartId="82ce0a9576df4aeeb92959a39f18ac9d" PartId="b5ae87be661248e0b521efc97b199fd2">
          <Part Type="pastraipa" DocPartId="ef21a9f07817402fa938cdb4fc3a0cb8" PartId="e6397c8fce1145cca8f418cb2c3c6907"/>
        </Part>
      </Part>
    </Part>
    <Part Type="punktas" Nr="2" Abbr="2 p." DocPartId="2ff22f30352c4105b75df962a0073f22" PartId="6d59395644394a33b25960cbeb46c6e6"/>
    <Part Type="punktas" Nr="3" Abbr="3 p." DocPartId="6b52033a4eaf4178b543bad2c1af1ff9" PartId="474d1425ed7544f2ba203a4567af812b"/>
    <Part Type="signatura" DocPartId="419046f64ba949eb9d2eae403a01ff73" PartId="57e4fe0d8a6b40ecb296d1baa9ca4f8c"/>
  </Part>
</Parts>
</file>

<file path=customXml/item2.xml><?xml version="1.0" encoding="utf-8"?>
<b:Sources xmlns:b="http://schemas.openxmlformats.org/officeDocument/2006/bibliography" SelectedStyle="\TURABIAN.XSL" StyleName="Turabian"/>
</file>

<file path=customXml/item3.xml><?xml version="1.0" encoding="utf-8"?>
<b:Sources xmlns:b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74A82E57-EDBE-4E71-AC24-56F8FB4270D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E79D8B2-A8E9-472B-8101-6D33673F72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17C140E-7DE8-4331-A9E2-14DAC43BC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2</Pages>
  <Words>1776</Words>
  <Characters>1013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Sveikatos apsaugos ministerija</Company>
  <LinksUpToDate>false</LinksUpToDate>
  <CharactersWithSpaces>2784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2023-11-15T06:17:00Z</dcterms:created>
  <dc:creator>Danutė Spundzevičienė</dc:creator>
  <lastModifiedBy>TAMALIŪNIENĖ Vilija</lastModifiedBy>
  <lastPrinted>2019-05-08T10:59:00Z</lastPrinted>
  <dcterms:modified xsi:type="dcterms:W3CDTF">2024-02-23T12:26:00Z</dcterms:modified>
  <revision>5</revision>
</coreProperties>
</file>