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b3803698a428498d9ba19a21afb8c894"/>
        <w:lock w:val="sdtLocked"/>
        <w:richText/>
      </w:sdtPr>
      <w:sdtContent>
        <w:p>
          <w:pPr>
            <w:jc w:val="both"/>
            <w:rPr>
              <w:rFonts w:ascii="Times New Roman" w:hAnsi="Times New Roman"/>
            </w:rPr>
          </w:pPr>
          <w:r>
            <w:rPr>
              <w:rFonts w:ascii="Times New Roman" w:hAnsi="Times New Roman"/>
              <w:b/>
              <w:i/>
            </w:rPr>
            <w:t>Suvestinė redakcija nuo 2022-01-01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2021-04-07, i. k. 2021-07272</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10 IR 15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kovo</w:t>
          </w:r>
          <w:r>
            <w:rPr>
              <w:szCs w:val="24"/>
            </w:rPr>
            <w:t xml:space="preserve"> </w:t>
          </w:r>
          <w:r>
            <w:rPr>
              <w:szCs w:val="24"/>
              <w:lang w:val="en-US"/>
            </w:rPr>
            <w:t>30</w:t>
          </w:r>
          <w:r>
            <w:rPr>
              <w:szCs w:val="24"/>
            </w:rPr>
            <w:t xml:space="preserve"> d. Nr. </w:t>
          </w:r>
          <w:r>
            <w:rPr>
              <w:szCs w:val="24"/>
              <w:lang w:val="en-US"/>
            </w:rPr>
            <w:t>XIV-230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37bcb24f8e54f32912dd49c880941e1"/>
            <w:lock w:val="sdtLocked"/>
            <w:richText/>
          </w:sdtPr>
          <w:sdtContent>
            <w:p>
              <w:pPr>
                <w:spacing w:line="360" w:lineRule="auto"/>
                <w:ind w:firstLine="720"/>
                <w:jc w:val="both"/>
                <w:rPr>
                  <w:color w:val="000000"/>
                  <w:szCs w:val="24"/>
                  <w:lang w:eastAsia="lt-LT"/>
                </w:rPr>
              </w:pPr>
              <w:sdt>
                <w:sdtPr>
                  <w:alias w:val="Numeris"/>
                  <w:tag w:val="nr_a37bcb24f8e54f32912dd49c880941e1"/>
                  <w:lock w:val="sdtLocked"/>
                  <w:richText/>
                </w:sdtPr>
                <w:sdtContent>
                  <w:r>
                    <w:rPr>
                      <w:b/>
                      <w:color w:val="000000"/>
                      <w:szCs w:val="24"/>
                      <w:lang w:eastAsia="lt-LT"/>
                    </w:rPr>
                    <w:t>1</w:t>
                  </w:r>
                </w:sdtContent>
              </w:sdt>
              <w:r>
                <w:rPr>
                  <w:b/>
                  <w:color w:val="000000"/>
                  <w:szCs w:val="24"/>
                  <w:lang w:eastAsia="lt-LT"/>
                </w:rPr>
                <w:t xml:space="preserve"> straipsnis. </w:t>
              </w:r>
              <w:sdt>
                <w:sdtPr>
                  <w:alias w:val="Pavadinimas"/>
                  <w:tag w:val="title_a37bcb24f8e54f32912dd49c880941e1"/>
                  <w:lock w:val="sdtLocked"/>
                  <w:richText/>
                </w:sdtPr>
                <w:sdtContent>
                  <w:r>
                    <w:rPr>
                      <w:b/>
                      <w:color w:val="000000"/>
                      <w:szCs w:val="24"/>
                      <w:lang w:eastAsia="lt-LT"/>
                    </w:rPr>
                    <w:t>10 straipsnio pakeitimas</w:t>
                  </w:r>
                </w:sdtContent>
              </w:sdt>
            </w:p>
            <w:sdt>
              <w:sdtPr>
                <w:alias w:val="1 str. 1 d."/>
                <w:tag w:val="part_a5e3b1b62b494861a2a93a4795c7d92d"/>
                <w:lock w:val="sdtLocked"/>
                <w:richText/>
              </w:sdtPr>
              <w:sdtContent>
                <w:p>
                  <w:pPr>
                    <w:spacing w:line="360" w:lineRule="auto"/>
                    <w:ind w:firstLine="720"/>
                    <w:jc w:val="both"/>
                    <w:rPr>
                      <w:color w:val="000000"/>
                    </w:rPr>
                  </w:pPr>
                  <w:r>
                    <w:rPr>
                      <w:color w:val="000000"/>
                    </w:rPr>
                    <w:t>Pakeisti 10 straipsnio 2 dalį ir ją išdėstyti taip:</w:t>
                  </w:r>
                </w:p>
                <w:sdt>
                  <w:sdtPr>
                    <w:alias w:val="citata"/>
                    <w:tag w:val="part_08de4806cc274019b51caa2913e09149"/>
                    <w:lock w:val="sdtLocked"/>
                    <w:richText/>
                  </w:sdtPr>
                  <w:sdtContent>
                    <w:sdt>
                      <w:sdtPr>
                        <w:alias w:val="2 d."/>
                        <w:tag w:val="part_d6653fd363ee44c5b5aeef47b1c57589"/>
                        <w:lock w:val="sdtLocked"/>
                        <w:richText/>
                      </w:sdtPr>
                      <w:sdtContent>
                        <w:p>
                          <w:pPr>
                            <w:spacing w:line="360" w:lineRule="auto"/>
                            <w:ind w:firstLine="720"/>
                            <w:jc w:val="both"/>
                            <w:rPr>
                              <w:b/>
                              <w:bCs/>
                              <w:szCs w:val="24"/>
                              <w:lang w:eastAsia="lt-LT"/>
                            </w:rPr>
                          </w:pPr>
                          <w:r>
                            <w:rPr>
                              <w:color w:val="000000"/>
                              <w:szCs w:val="24"/>
                              <w:lang w:eastAsia="lt-LT"/>
                            </w:rPr>
                            <w:t>„</w:t>
                          </w:r>
                          <w:sdt>
                            <w:sdtPr>
                              <w:alias w:val="Numeris"/>
                              <w:tag w:val="nr_d6653fd363ee44c5b5aeef47b1c57589"/>
                              <w:lock w:val="sdtLocked"/>
                              <w:richText/>
                            </w:sdtPr>
                            <w:sdtContent>
                              <w:r>
                                <w:rPr>
                                  <w:color w:val="000000"/>
                                  <w:szCs w:val="24"/>
                                  <w:lang w:eastAsia="lt-LT"/>
                                </w:rPr>
                                <w:t>2</w:t>
                              </w:r>
                            </w:sdtContent>
                          </w:sdt>
                          <w:r>
                            <w:rPr>
                              <w:color w:val="000000"/>
                              <w:szCs w:val="24"/>
                              <w:lang w:eastAsia="lt-LT"/>
                            </w:rPr>
                            <w:t>. Asmeniui, turinčiam teisę gauti šalpos našlaičių pensiją, ši pensija skiriama ir mokama, nors šis asmuo turi teisę gauti socialinio draudimo netekto darbingumo (invalidumo) pensiją, socialinio draudimo senatvės pensiją, socialinio draudimo senatvės pensiją neįgaliajam, socialinio draudimo našlaičių pensiją, valstybinę našlaičių pensiją už mirusį kitą iš tėvų (įtėvių)</w:t>
                          </w:r>
                          <w:r>
                            <w:rPr>
                              <w:b/>
                              <w:bCs/>
                              <w:szCs w:val="24"/>
                            </w:rPr>
                            <w:t xml:space="preserve"> </w:t>
                          </w:r>
                          <w:r>
                            <w:rPr>
                              <w:bCs/>
                              <w:szCs w:val="24"/>
                            </w:rPr>
                            <w:t>ar vienišo asmens išmoką</w:t>
                          </w:r>
                          <w:r>
                            <w:rPr>
                              <w:color w:val="000000"/>
                              <w:szCs w:val="24"/>
                              <w:lang w:eastAsia="lt-LT"/>
                            </w:rPr>
                            <w:t>.“.</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ec280c8e111eba2bad9a0748ee64d">
                <w:r w:rsidRPr="00532B9F">
                  <w:rPr>
                    <w:rFonts w:ascii="Times New Roman" w:eastAsia="MS Mincho" w:hAnsi="Times New Roman"/>
                    <w:sz w:val="20"/>
                    <w:i/>
                    <w:iCs/>
                    <w:color w:val="0000FF" w:themeColor="hyperlink"/>
                    <w:u w:val="single"/>
                  </w:rPr>
                  <w:t>XIV-354</w:t>
                </w:r>
              </w:fldSimple>
              <w:r>
                <w:rPr>
                  <w:rFonts w:ascii="Times New Roman" w:eastAsia="MS Mincho" w:hAnsi="Times New Roman"/>
                  <w:sz w:val="20"/>
                  <w:i/>
                  <w:iCs/>
                </w:rPr>
                <w:t>,
2021-05-27,
paskelbta TAR 2021-06-09, i. k. 2021-13157            </w:t>
              </w:r>
            </w:p>
            <w:p/>
          </w:sdtContent>
        </w:sdt>
        <w:sdt>
          <w:sdtPr>
            <w:alias w:val="2 str."/>
            <w:tag w:val="part_2d79236ed15a4258b746e437a3f1a249"/>
            <w:lock w:val="sdtLocked"/>
            <w:richText/>
          </w:sdtPr>
          <w:sdtContent>
            <w:p>
              <w:pPr>
                <w:spacing w:line="360" w:lineRule="auto"/>
                <w:ind w:firstLine="720"/>
                <w:jc w:val="both"/>
                <w:rPr>
                  <w:b/>
                  <w:bCs/>
                  <w:szCs w:val="24"/>
                  <w:lang w:eastAsia="lt-LT"/>
                </w:rPr>
              </w:pPr>
              <w:sdt>
                <w:sdtPr>
                  <w:alias w:val="Numeris"/>
                  <w:tag w:val="nr_2d79236ed15a4258b746e437a3f1a249"/>
                  <w:lock w:val="sdtLocked"/>
                  <w:richText/>
                </w:sdtPr>
                <w:sdtContent>
                  <w:r>
                    <w:rPr>
                      <w:b/>
                      <w:bCs/>
                      <w:szCs w:val="24"/>
                      <w:lang w:eastAsia="lt-LT"/>
                    </w:rPr>
                    <w:t>2</w:t>
                  </w:r>
                </w:sdtContent>
              </w:sdt>
              <w:r>
                <w:rPr>
                  <w:b/>
                  <w:bCs/>
                  <w:szCs w:val="24"/>
                  <w:lang w:eastAsia="lt-LT"/>
                </w:rPr>
                <w:t xml:space="preserve"> straipsnis. </w:t>
              </w:r>
              <w:sdt>
                <w:sdtPr>
                  <w:alias w:val="Pavadinimas"/>
                  <w:tag w:val="title_2d79236ed15a4258b746e437a3f1a249"/>
                  <w:lock w:val="sdtLocked"/>
                  <w:richText/>
                </w:sdtPr>
                <w:sdtContent>
                  <w:r>
                    <w:rPr>
                      <w:b/>
                      <w:bCs/>
                      <w:szCs w:val="24"/>
                      <w:lang w:eastAsia="lt-LT"/>
                    </w:rPr>
                    <w:t>15 straipsnio pakeitimas</w:t>
                  </w:r>
                </w:sdtContent>
              </w:sdt>
            </w:p>
            <w:sdt>
              <w:sdtPr>
                <w:alias w:val="2 str. 1 d."/>
                <w:tag w:val="part_bd3a2916d0f642ecb789da479c3dad32"/>
                <w:lock w:val="sdtLocked"/>
                <w:richText/>
              </w:sdtPr>
              <w:sdtContent>
                <w:p>
                  <w:pPr>
                    <w:spacing w:line="360" w:lineRule="auto"/>
                    <w:ind w:firstLine="720"/>
                    <w:jc w:val="both"/>
                    <w:rPr>
                      <w:b/>
                      <w:bCs/>
                      <w:szCs w:val="24"/>
                      <w:lang w:eastAsia="lt-LT"/>
                    </w:rPr>
                  </w:pPr>
                  <w:sdt>
                    <w:sdtPr>
                      <w:alias w:val="Numeris"/>
                      <w:tag w:val="nr_bd3a2916d0f642ecb789da479c3dad32"/>
                      <w:lock w:val="sdtLocked"/>
                      <w:richText/>
                    </w:sdtPr>
                    <w:sdtContent>
                      <w:r>
                        <w:rPr>
                          <w:bCs/>
                          <w:szCs w:val="24"/>
                          <w:lang w:eastAsia="lt-LT"/>
                        </w:rPr>
                        <w:t>1</w:t>
                      </w:r>
                    </w:sdtContent>
                  </w:sdt>
                  <w:r>
                    <w:rPr>
                      <w:bCs/>
                      <w:szCs w:val="24"/>
                      <w:lang w:eastAsia="lt-LT"/>
                    </w:rPr>
                    <w:t>. Pakeisti 15 straipsnio 6 dalį ir ją išdėstyti taip:</w:t>
                  </w:r>
                </w:p>
                <w:sdt>
                  <w:sdtPr>
                    <w:alias w:val="citata"/>
                    <w:tag w:val="part_54c23b8c41b8490ca72e88404054a00f"/>
                    <w:lock w:val="sdtLocked"/>
                    <w:richText/>
                  </w:sdtPr>
                  <w:sdtContent>
                    <w:sdt>
                      <w:sdtPr>
                        <w:alias w:val="6 d."/>
                        <w:tag w:val="part_68a2ecda9ef6456fbae41125fe61f581"/>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68a2ecda9ef6456fbae41125fe61f581"/>
                              <w:lock w:val="sdtLocked"/>
                              <w:richText/>
                            </w:sdtPr>
                            <w:sdtContent>
                              <w:r>
                                <w:rPr>
                                  <w:bCs/>
                                  <w:szCs w:val="24"/>
                                  <w:lang w:eastAsia="lt-LT"/>
                                </w:rPr>
                                <w:t>6</w:t>
                              </w:r>
                            </w:sdtContent>
                          </w:sdt>
                          <w:r>
                            <w:rPr>
                              <w:bCs/>
                              <w:szCs w:val="24"/>
                              <w:lang w:eastAsia="lt-LT"/>
                            </w:rPr>
                            <w:t xml:space="preserve">. </w:t>
                          </w:r>
                          <w:r>
                            <w:rPr>
                              <w:szCs w:val="24"/>
                              <w:lang w:eastAsia="lt-LT"/>
                            </w:rPr>
                            <w:t xml:space="preserve">Asmenims, turintiems teisę gauti šalpos neįgalumo pensiją ir šalpos senatvės pensiją arba šalpos neįgalumo ar šalpos senatvės pensiją ir šalpos kompensaciją, jų pasirinkimu mokama tik viena iš šių šalpos išmokų. Kai šio įstatymo 5 straipsnio 3 ir 4 punktuose nurodyti asmenys, kuriems yra skiriamos ir mokamos šalpos neįgalumo pensijos, sukanka senatvės pensijos amžių, be atskiro jų prašymo jiems yra skiriama ir mokama atitinkamai šio įstatymo 8 straipsnio 5 dalies 1 ir 2 punktuose nurodyto dydžio šalpos senatvės pensija.“ </w:t>
                          </w:r>
                        </w:p>
                      </w:sdtContent>
                    </w:sdt>
                  </w:sdtContent>
                </w:sdt>
              </w:sdtContent>
            </w:sdt>
            <w:sdt>
              <w:sdtPr>
                <w:alias w:val="2 str. 2 d."/>
                <w:tag w:val="part_4def916f31e6458f93a303768b03224b"/>
                <w:lock w:val="sdtLocked"/>
                <w:richText/>
              </w:sdtPr>
              <w:sdtContent>
                <w:p>
                  <w:pPr>
                    <w:spacing w:line="360" w:lineRule="auto"/>
                    <w:ind w:firstLine="720"/>
                    <w:jc w:val="both"/>
                    <w:rPr>
                      <w:b/>
                      <w:bCs/>
                      <w:szCs w:val="24"/>
                      <w:lang w:eastAsia="lt-LT"/>
                    </w:rPr>
                  </w:pPr>
                  <w:sdt>
                    <w:sdtPr>
                      <w:alias w:val="Numeris"/>
                      <w:tag w:val="nr_4def916f31e6458f93a303768b03224b"/>
                      <w:lock w:val="sdtLocked"/>
                      <w:richText/>
                    </w:sdtPr>
                    <w:sdtContent>
                      <w:r>
                        <w:rPr>
                          <w:bCs/>
                          <w:szCs w:val="24"/>
                          <w:lang w:eastAsia="lt-LT"/>
                        </w:rPr>
                        <w:t>2</w:t>
                      </w:r>
                    </w:sdtContent>
                  </w:sdt>
                  <w:r>
                    <w:rPr>
                      <w:bCs/>
                      <w:szCs w:val="24"/>
                      <w:lang w:eastAsia="lt-LT"/>
                    </w:rPr>
                    <w:t>. Pakeisti 15 straipsnio 13 dalį ir ją išdėstyti taip:</w:t>
                  </w:r>
                </w:p>
                <w:sdt>
                  <w:sdtPr>
                    <w:alias w:val="citata"/>
                    <w:tag w:val="part_5541964675e245168a665d3c67d52952"/>
                    <w:lock w:val="sdtLocked"/>
                    <w:richText/>
                  </w:sdtPr>
                  <w:sdtContent>
                    <w:sdt>
                      <w:sdtPr>
                        <w:alias w:val="13 d."/>
                        <w:tag w:val="part_4d4f511c2f18446d8d08cf293a070efe"/>
                        <w:lock w:val="sdtLocked"/>
                        <w:richText/>
                      </w:sdtPr>
                      <w:sdtContent>
                        <w:p>
                          <w:pPr>
                            <w:tabs>
                              <w:tab w:val="left" w:pos="2694"/>
                            </w:tabs>
                            <w:spacing w:line="360" w:lineRule="auto"/>
                            <w:ind w:firstLine="720"/>
                            <w:jc w:val="both"/>
                            <w:rPr>
                              <w:b/>
                              <w:bCs/>
                              <w:szCs w:val="24"/>
                              <w:lang w:eastAsia="lt-LT"/>
                            </w:rPr>
                          </w:pPr>
                          <w:r>
                            <w:rPr>
                              <w:bCs/>
                              <w:szCs w:val="24"/>
                              <w:lang w:eastAsia="lt-LT"/>
                            </w:rPr>
                            <w:t>„</w:t>
                          </w:r>
                          <w:sdt>
                            <w:sdtPr>
                              <w:alias w:val="Numeris"/>
                              <w:tag w:val="nr_4d4f511c2f18446d8d08cf293a070efe"/>
                              <w:lock w:val="sdtLocked"/>
                              <w:richText/>
                            </w:sdtPr>
                            <w:sdtContent>
                              <w:r>
                                <w:rPr>
                                  <w:bCs/>
                                  <w:szCs w:val="24"/>
                                  <w:lang w:eastAsia="lt-LT"/>
                                </w:rPr>
                                <w:t>13</w:t>
                              </w:r>
                            </w:sdtContent>
                          </w:sdt>
                          <w:r>
                            <w:rPr>
                              <w:bCs/>
                              <w:szCs w:val="24"/>
                              <w:lang w:eastAsia="lt-LT"/>
                            </w:rPr>
                            <w:t>. Asmeniui, kuriam paskirta 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dalies 1 ir 2 punktuose, 10 straipsnio 2 dalyje nustatytus atvejus, šalpos išmokos mokėjimas nutraukiamas </w:t>
                          </w:r>
                          <w:r>
                            <w:rPr>
                              <w:szCs w:val="24"/>
                              <w:lang w:eastAsia="lt-LT"/>
                            </w:rPr>
                            <w:t>n</w:t>
                          </w:r>
                          <w:r>
                            <w:rPr>
                              <w:bCs/>
                              <w:szCs w:val="24"/>
                              <w:lang w:eastAsia="lt-LT"/>
                            </w:rPr>
                            <w:t>uo kito mėnesio, einančio po mėnesio, kurį jam paskirta pensija ar pensijų išmoka, kuri (jeigu asmeniui paskirta daugiau negu viena pensija ar pensijų išmoka – bendra jų suma) yra didesnė arba tokio paties dydžio kaip šalpos išmoka, pirmos dienos</w:t>
                          </w:r>
                          <w:r>
                            <w:rPr>
                              <w:szCs w:val="24"/>
                              <w:lang w:eastAsia="lt-LT"/>
                            </w:rPr>
                            <w:t>, išskyrus šio straipsnio 15</w:t>
                          </w:r>
                          <w:r>
                            <w:rPr>
                              <w:szCs w:val="24"/>
                              <w:vertAlign w:val="superscript"/>
                              <w:lang w:eastAsia="lt-LT"/>
                            </w:rPr>
                            <w:t>1 </w:t>
                          </w:r>
                          <w:r>
                            <w:rPr>
                              <w:szCs w:val="24"/>
                              <w:lang w:eastAsia="lt-LT"/>
                            </w:rPr>
                            <w:t xml:space="preserve"> dalies 1 punkte nustatytą atvejį, kai šalpos išmokos mokėjimas nutraukiamas nuo </w:t>
                          </w:r>
                          <w:r>
                            <w:rPr>
                              <w:bCs/>
                              <w:szCs w:val="24"/>
                              <w:lang w:eastAsia="lt-LT"/>
                            </w:rPr>
                            <w:t xml:space="preserve">kito mėnesio, einančio po mėnesio, kurį gauta informacija ir (ar) duomenys apie užsienio valstybių pensijas ir pensijų išmokas. </w:t>
                          </w:r>
                          <w:r>
                            <w:rPr>
                              <w:szCs w:val="24"/>
                              <w:lang w:eastAsia="lt-LT"/>
                            </w:rPr>
                            <w:t>Asmeniui, gaunančiam</w:t>
                          </w:r>
                          <w:r>
                            <w:rPr>
                              <w:bCs/>
                              <w:szCs w:val="24"/>
                              <w:lang w:eastAsia="lt-LT"/>
                            </w:rPr>
                            <w:t xml:space="preserve"> pensiją </w:t>
                          </w:r>
                          <w:r>
                            <w:rPr>
                              <w:szCs w:val="24"/>
                              <w:lang w:eastAsia="lt-LT"/>
                            </w:rPr>
                            <w:t xml:space="preserve"> </w:t>
                          </w:r>
                          <w:r>
                            <w:rPr>
                              <w:bCs/>
                              <w:szCs w:val="24"/>
                              <w:lang w:eastAsia="lt-LT"/>
                            </w:rPr>
                            <w:t xml:space="preserve">ar pensijų išmoką, kuri (jeigu asmuo gauna daugiau negu vieną pensiją ar pensijų išmoką – bendra jų suma) yra mažesnė už šalpos neįgalumo, šalpos senatvės pensiją, šalpos našlaičių pensiją ar šalpos kompensaciją arba bendrą jų sumą, jeigu asmuo gauna daugiau negu vieną iš šių šalpos išmokų, šios šalpos išmokos skiriamos ir mokamos nuo tos dienos, nuo kurios nutrauktas pensijos ar pensijų išmokos mokėjimas, išskyrus šio straipsnio </w:t>
                          </w:r>
                          <w:r>
                            <w:rPr>
                              <w:szCs w:val="24"/>
                              <w:lang w:eastAsia="lt-LT"/>
                            </w:rPr>
                            <w:t>13</w:t>
                          </w:r>
                          <w:r>
                            <w:rPr>
                              <w:szCs w:val="24"/>
                              <w:vertAlign w:val="superscript"/>
                              <w:lang w:eastAsia="lt-LT"/>
                            </w:rPr>
                            <w:t>1</w:t>
                          </w:r>
                          <w:r>
                            <w:rPr>
                              <w:bCs/>
                              <w:szCs w:val="24"/>
                              <w:lang w:eastAsia="lt-LT"/>
                            </w:rPr>
                            <w:t xml:space="preserve"> dalyje ir </w:t>
                          </w:r>
                          <w:r>
                            <w:rPr>
                              <w:szCs w:val="24"/>
                              <w:lang w:eastAsia="lt-LT"/>
                            </w:rPr>
                            <w:t>šio įstatymo</w:t>
                          </w:r>
                          <w:r>
                            <w:rPr>
                              <w:bCs/>
                              <w:szCs w:val="24"/>
                              <w:lang w:eastAsia="lt-LT"/>
                            </w:rPr>
                            <w:t xml:space="preserve"> 10 straipsnio 2 dalyje nustatytus atvejus.“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f9e550e46a11eb9f09e7df20500045">
                    <w:r w:rsidRPr="00532B9F">
                      <w:rPr>
                        <w:rFonts w:ascii="Times New Roman" w:eastAsia="MS Mincho" w:hAnsi="Times New Roman"/>
                        <w:sz w:val="20"/>
                        <w:i/>
                        <w:iCs/>
                        <w:color w:val="0000FF" w:themeColor="hyperlink"/>
                        <w:u w:val="single"/>
                      </w:rPr>
                      <w:t>XIV-480</w:t>
                    </w:r>
                  </w:fldSimple>
                  <w:r>
                    <w:rPr>
                      <w:rFonts w:ascii="Times New Roman" w:eastAsia="MS Mincho" w:hAnsi="Times New Roman"/>
                      <w:sz w:val="20"/>
                      <w:i/>
                      <w:iCs/>
                    </w:rPr>
                    <w:t>,
2021-06-30,
paskelbta TAR 2021-07-14, i. k. 2021-15859            </w:t>
                  </w:r>
                </w:p>
                <w:p/>
              </w:sdtContent>
            </w:sdt>
          </w:sdtContent>
        </w:sdt>
        <w:sdt>
          <w:sdtPr>
            <w:alias w:val="3 str."/>
            <w:tag w:val="part_bdddef9fae0843448053b90c1e10b91e"/>
            <w:lock w:val="sdtLocked"/>
            <w:richText/>
          </w:sdtPr>
          <w:sdtContent>
            <w:p>
              <w:pPr>
                <w:spacing w:line="360" w:lineRule="auto"/>
                <w:ind w:firstLine="720"/>
                <w:jc w:val="both"/>
                <w:rPr>
                  <w:b/>
                  <w:bCs/>
                  <w:szCs w:val="24"/>
                  <w:lang w:eastAsia="lt-LT"/>
                </w:rPr>
              </w:pPr>
              <w:sdt>
                <w:sdtPr>
                  <w:alias w:val="Numeris"/>
                  <w:tag w:val="nr_bdddef9fae0843448053b90c1e10b91e"/>
                  <w:lock w:val="sdtLocked"/>
                  <w:richText/>
                </w:sdtPr>
                <w:sdtContent>
                  <w:r>
                    <w:rPr>
                      <w:b/>
                      <w:bCs/>
                      <w:szCs w:val="24"/>
                      <w:lang w:eastAsia="lt-LT"/>
                    </w:rPr>
                    <w:t>3</w:t>
                  </w:r>
                </w:sdtContent>
              </w:sdt>
              <w:r>
                <w:rPr>
                  <w:b/>
                  <w:bCs/>
                  <w:szCs w:val="24"/>
                  <w:lang w:eastAsia="lt-LT"/>
                </w:rPr>
                <w:t xml:space="preserve"> straipsnis. </w:t>
              </w:r>
              <w:sdt>
                <w:sdtPr>
                  <w:alias w:val="Pavadinimas"/>
                  <w:tag w:val="title_bdddef9fae0843448053b90c1e10b91e"/>
                  <w:lock w:val="sdtLocked"/>
                  <w:richText/>
                </w:sdtPr>
                <w:sdtContent>
                  <w:r>
                    <w:rPr>
                      <w:b/>
                      <w:bCs/>
                      <w:szCs w:val="24"/>
                      <w:lang w:eastAsia="lt-LT"/>
                    </w:rPr>
                    <w:t>Įstatymo įsigaliojimas</w:t>
                  </w:r>
                </w:sdtContent>
              </w:sdt>
            </w:p>
            <w:sdt>
              <w:sdtPr>
                <w:alias w:val="3 str. 1 d."/>
                <w:tag w:val="part_c6080a411ed046948cbdc818ee82021f"/>
                <w:lock w:val="sdtLocked"/>
                <w:richText/>
              </w:sdtPr>
              <w:sdtContent>
                <w:p>
                  <w:pPr>
                    <w:spacing w:line="360" w:lineRule="auto"/>
                    <w:ind w:firstLine="720"/>
                    <w:jc w:val="both"/>
                    <w:rPr>
                      <w:b/>
                      <w:bCs/>
                      <w:szCs w:val="24"/>
                      <w:lang w:eastAsia="lt-LT"/>
                    </w:rPr>
                  </w:pPr>
                  <w:r>
                    <w:rPr>
                      <w:szCs w:val="24"/>
                      <w:lang w:eastAsia="lt-LT"/>
                    </w:rPr>
                    <w:t>Šis įstatymas įsigalioja 2022 m. sausio 1 d.</w:t>
                  </w:r>
                </w:p>
                <w:p>
                  <w:pPr>
                    <w:spacing w:line="360" w:lineRule="auto"/>
                    <w:ind w:firstLine="720"/>
                    <w:jc w:val="both"/>
                    <w:rPr>
                      <w:i/>
                      <w:szCs w:val="24"/>
                    </w:rPr>
                  </w:pPr>
                </w:p>
              </w:sdtContent>
            </w:sdt>
          </w:sdtContent>
        </w:sdt>
        <w:sdt>
          <w:sdtPr>
            <w:alias w:val="signatura"/>
            <w:tag w:val="part_2fca9c5c66e44ad79e0495726a5e64e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ec280c8e111eba2bad9a0748ee64d">
            <w:r w:rsidRPr="00532B9F">
              <w:rPr>
                <w:rFonts w:ascii="Times New Roman" w:eastAsia="MS Mincho" w:hAnsi="Times New Roman"/>
                <w:sz w:val="20"/>
                <w:iCs/>
                <w:color w:val="0000FF" w:themeColor="hyperlink"/>
                <w:u w:val="single"/>
              </w:rPr>
              <w:t>XIV-354</w:t>
            </w:r>
          </w:fldSimple>
          <w:r>
            <w:rPr>
              <w:rFonts w:ascii="Times New Roman" w:eastAsia="MS Mincho" w:hAnsi="Times New Roman"/>
              <w:sz w:val="20"/>
              <w:iCs/>
            </w:rPr>
            <w:t>,
2021-05-27,
paskelbta TAR 2021-06-09, i. k. 2021-13157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f9e550e46a11eb9f09e7df20500045">
            <w:r w:rsidRPr="00532B9F">
              <w:rPr>
                <w:rFonts w:ascii="Times New Roman" w:eastAsia="MS Mincho" w:hAnsi="Times New Roman"/>
                <w:sz w:val="20"/>
                <w:iCs/>
                <w:color w:val="0000FF" w:themeColor="hyperlink"/>
                <w:u w:val="single"/>
              </w:rPr>
              <w:t>XIV-480</w:t>
            </w:r>
          </w:fldSimple>
          <w:r>
            <w:rPr>
              <w:rFonts w:ascii="Times New Roman" w:eastAsia="MS Mincho" w:hAnsi="Times New Roman"/>
              <w:sz w:val="20"/>
              <w:iCs/>
            </w:rPr>
            <w:t>,
2021-06-30,
paskelbta TAR 2021-07-14, i. k. 2021-15859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D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60cdfc1f364209a2061285a0eee032" PartId="b3803698a428498d9ba19a21afb8c894">
    <Part Type="straipsnis" Nr="1" Abbr="1 str." Title="10 straipsnio pakeitimas" DocPartId="c261ecf360ca4341a974a03b9e702451" PartId="a37bcb24f8e54f32912dd49c880941e1">
      <Part Type="strDalis" Nr="1" Abbr="1 str. 1 d." DocPartId="0d9ecb4200e241c1836255168a1cafd8" PartId="a5e3b1b62b494861a2a93a4795c7d92d">
        <Part Type="citata" DocPartId="b7ca2aba881f4bdfb9d03d99f52d48a1" PartId="08de4806cc274019b51caa2913e09149">
          <Part Type="strDalis" Nr="2" Abbr="2 d." DocPartId="dbc8f40b61b2455e978adee6b5515eba" PartId="d6653fd363ee44c5b5aeef47b1c57589"/>
        </Part>
      </Part>
    </Part>
    <Part Type="straipsnis" Nr="2" Abbr="2 str." Title="15 straipsnio pakeitimas" DocPartId="f96451f33f4b49e8ace257b4875dda84" PartId="2d79236ed15a4258b746e437a3f1a249">
      <Part Type="strDalis" Nr="1" Abbr="2 str. 1 d." DocPartId="f35798f3b2c04f168742026a9dfafa29" PartId="bd3a2916d0f642ecb789da479c3dad32">
        <Part Type="citata" DocPartId="4a0ba5280a8e47159ab5d7e9b6af5839" PartId="54c23b8c41b8490ca72e88404054a00f">
          <Part Type="strDalis" Nr="6" Abbr="6 d." DocPartId="44c2e4e0f4ce4e7b869b586553c1cc6b" PartId="68a2ecda9ef6456fbae41125fe61f581"/>
        </Part>
      </Part>
      <Part Type="strDalis" Nr="2" Abbr="2 str. 2 d." DocPartId="6a8928e33d3d4f51bb31ebc67bb9d923" PartId="4def916f31e6458f93a303768b03224b">
        <Part Type="citata" DocPartId="a63d74566ed84de39ce78230b4305fee" PartId="5541964675e245168a665d3c67d52952">
          <Part Type="strDalis" Nr="13" Abbr="13 d." DocPartId="65f2e12717614064b7791117837a1ee8" PartId="4d4f511c2f18446d8d08cf293a070efe"/>
        </Part>
      </Part>
    </Part>
    <Part Type="straipsnis" Nr="3" Abbr="3 str." Title="Įstatymo įsigaliojimas" DocPartId="6f0e0e5b33104d7da701ad7f620b619c" PartId="bdddef9fae0843448053b90c1e10b91e">
      <Part Type="strDalis" Nr="1" Abbr="3 str. 1 d." DocPartId="a3142485a27547bdb6501db660e7fe35" PartId="c6080a411ed046948cbdc818ee82021f"/>
    </Part>
    <Part Type="signatura" DocPartId="0c1d0ebca8dc4b94b29f3ab1832f13bb" PartId="2fca9c5c66e44ad79e0495726a5e64e8"/>
  </Part>
</Parts>
</file>

<file path=customXml/itemProps1.xml><?xml version="1.0" encoding="utf-8"?>
<ds:datastoreItem xmlns:ds="http://schemas.openxmlformats.org/officeDocument/2006/customXml" ds:itemID="{1CBC0E05-AC5B-473A-A7C4-FFB03799E4F2}">
  <ds:schemaRefs>
    <ds:schemaRef ds:uri="http://lrs.lt/TAIS/DocParts"/>
  </ds:schemaRefs>
</ds:datastoreItem>
</file>

<file path=docProps/app.xml><?xml version="1.0" encoding="utf-8"?>
<Properties xmlns="http://schemas.openxmlformats.org/officeDocument/2006/extended-properties">
  <Template>Normal.dotm</Template>
  <TotalTime>0</TotalTime>
  <Pages>2</Pages>
  <Words>551</Words>
  <Characters>3296</Characters>
  <Application>Microsoft Office Word</Application>
  <DocSecurity>0</DocSecurity>
  <Lines>27</Lines>
  <Paragraphs>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3840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2021-04-07T12:19:00Z</dcterms:created>
  <dc:creator>MOZERIENĖ Dainora</dc:creator>
  <lastModifiedBy>TRAPINSKIENĖ Aušrinė</lastModifiedBy>
  <lastPrinted>2021-03-30T09:50:00Z</lastPrinted>
  <dcterms:modified xsi:type="dcterms:W3CDTF">2021-07-21T09:50:00Z</dcterms:modified>
  <revision>4</revision>
</coreProperties>
</file>