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9f110c0088748f0a1efc1f47898dcf3"/>
        <w:lock w:val="sdtLocked"/>
        <w:richText/>
      </w:sdtPr>
      <w:sdtContent>
        <w:p>
          <w:pPr>
            <w:jc w:val="both"/>
            <w:rPr>
              <w:rFonts w:ascii="Times New Roman" w:hAnsi="Times New Roman"/>
            </w:rPr>
          </w:pPr>
          <w:r>
            <w:rPr>
              <w:rFonts w:ascii="Times New Roman" w:hAnsi="Times New Roman"/>
              <w:b/>
              <w:i/>
            </w:rPr>
            <w:t>Suvestinė redakcija nuo 2024-04-13 iki 2026-02-27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2023-04-25, i. k. 2023-07950</w:t>
          </w:r>
        </w:p>
        <w:p>
          <w:pPr>
            <w:jc w:val="both"/>
            <w:rPr>
              <w:rFonts w:ascii="Times New Roman" w:hAnsi="Times New Roman"/>
              <w:sz w:val="20"/>
            </w:rPr>
          </w:pPr>
        </w:p>
        <w:p>
          <w:pPr>
            <w:jc w:val="center"/>
            <w:rPr>
              <w:sz w:val="14"/>
              <w:szCs w:val="14"/>
            </w:rP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b/>
              <w:caps/>
              <w:lang w:eastAsia="lt-LT"/>
            </w:rPr>
          </w:pPr>
          <w:r>
            <w:rPr>
              <w:b/>
              <w:caps/>
              <w:lang w:eastAsia="lt-LT"/>
            </w:rPr>
            <w:t>Valstybinė energetikos reguliavimo taryba</w:t>
          </w:r>
        </w:p>
        <w:p>
          <w:pPr>
            <w:jc w:val="center"/>
            <w:rPr>
              <w:b/>
              <w:caps/>
              <w:lang w:eastAsia="lt-LT"/>
            </w:rPr>
          </w:pPr>
        </w:p>
        <w:p>
          <w:pPr>
            <w:spacing w:line="276" w:lineRule="auto"/>
            <w:jc w:val="center"/>
            <w:rPr>
              <w:rFonts w:eastAsia="Calibri"/>
              <w:b/>
              <w:bCs/>
              <w:szCs w:val="24"/>
              <w:lang w:eastAsia="lt-LT"/>
            </w:rPr>
          </w:pPr>
          <w:r>
            <w:rPr>
              <w:rFonts w:eastAsia="Calibri"/>
              <w:b/>
              <w:bCs/>
              <w:szCs w:val="24"/>
              <w:lang w:eastAsia="lt-LT"/>
            </w:rPr>
            <w:t>NUTARIMAS</w:t>
          </w:r>
        </w:p>
        <w:p>
          <w:pPr>
            <w:jc w:val="center"/>
            <w:rPr>
              <w:b/>
              <w:caps/>
              <w:lang w:eastAsia="lt-LT"/>
            </w:rPr>
          </w:pPr>
          <w:r>
            <w:rPr>
              <w:b/>
              <w:caps/>
              <w:lang w:eastAsia="lt-LT"/>
            </w:rPr>
            <w:t>Dėl AB „energijos skirstymo operatorius“ ELEKTROS ENERGIJOS PERSIUNTIMO IR TIEKIMO NUTRAUKIMO, APRIBOJIMO, ATNAUJINIMO ĮKAINIŲ DERINIMO</w:t>
          </w:r>
        </w:p>
        <w:p>
          <w:pPr>
            <w:jc w:val="center"/>
            <w:rPr>
              <w:b/>
              <w:bCs/>
              <w:caps/>
              <w:lang w:eastAsia="lt-LT"/>
            </w:rPr>
          </w:pPr>
        </w:p>
        <w:p>
          <w:pPr>
            <w:jc w:val="center"/>
          </w:pPr>
          <w:r>
            <w:t>2023 m. balandžio 25 d. Nr. O3E-472</w:t>
          </w:r>
        </w:p>
        <w:p>
          <w:pPr>
            <w:jc w:val="center"/>
            <w:rPr>
              <w:lang w:eastAsia="lt-LT"/>
            </w:rPr>
          </w:pPr>
          <w:r>
            <w:rPr>
              <w:lang w:eastAsia="lt-LT"/>
            </w:rPr>
            <w:t>Vilnius</w:t>
          </w:r>
        </w:p>
        <w:p>
          <w:pPr>
            <w:jc w:val="center"/>
            <w:rPr>
              <w:lang w:eastAsia="lt-LT"/>
            </w:rPr>
          </w:pPr>
        </w:p>
        <w:sdt>
          <w:sdtPr>
            <w:alias w:val="preambule"/>
            <w:tag w:val="part_95b5430cc95b4bce9445b60ec05fb01f"/>
            <w:lock w:val="sdtLocked"/>
            <w:richText/>
          </w:sdtPr>
          <w:sdtContent>
            <w:p>
              <w:pPr>
                <w:spacing w:line="276" w:lineRule="auto"/>
                <w:ind w:firstLine="720"/>
                <w:jc w:val="both"/>
                <w:rPr>
                  <w:lang w:eastAsia="lt-LT"/>
                </w:rPr>
              </w:pPr>
              <w:r>
                <w:rPr>
                  <w:lang w:eastAsia="lt-LT"/>
                </w:rPr>
                <w:t>Vadovaudamasi Lietuvos Respublikos elektros energetikos įstatymo 9 straipsnio 3 dalies 20 punktu ir Elektros energijos tiekimo ir naudojimo taisyklių, patvirtintų Lietuvos Respublikos energetikos ministro 2010 m. vasario 11 d. įsakymu Nr. 1-38 „Dėl Elektros energijos tiekimo ir naudojimo taisyklių patvirtinimo“ , 143, 143</w:t>
              </w:r>
              <w:r>
                <w:rPr>
                  <w:vertAlign w:val="superscript"/>
                  <w:lang w:eastAsia="lt-LT"/>
                </w:rPr>
                <w:t>1</w:t>
              </w:r>
              <w:r>
                <w:rPr>
                  <w:lang w:eastAsia="lt-LT"/>
                </w:rPr>
                <w:t>, 143</w:t>
              </w:r>
              <w:r>
                <w:rPr>
                  <w:vertAlign w:val="superscript"/>
                  <w:lang w:eastAsia="lt-LT"/>
                </w:rPr>
                <w:t>3</w:t>
              </w:r>
              <w:r>
                <w:rPr>
                  <w:lang w:eastAsia="lt-LT"/>
                </w:rPr>
                <w:t>, 143</w:t>
              </w:r>
              <w:r>
                <w:rPr>
                  <w:vertAlign w:val="superscript"/>
                  <w:lang w:eastAsia="lt-LT"/>
                </w:rPr>
                <w:t>4</w:t>
              </w:r>
              <w:r>
                <w:rPr>
                  <w:lang w:eastAsia="lt-LT"/>
                </w:rPr>
                <w:t xml:space="preserve"> ir 146 punktais, AB „Energijos skirstymo operatorius“ (toliau – Operatorius) papildomų reguliuojamos veiklos paslaugų įkainių nustatymo metodika, patvirtinta Valstybinės energetikos reguliavimo tarybos (toliau – Taryba) 2019 m. liepos 25 d. nutarimu Nr. O3E-277 „Dėl akcinės bendrovės „Energijos skirstymo operatorius“ papildomų reguliuojamos veiklos paslaugų įkainių nustatymo metodikos derinimo“, ir atsižvelgdama į Tarybos Dujų ir elektros departamento Elektros skyriaus 2023 m. balandžio 18 d. pažymą Nr. O5E-324 „Dėl AB „Energijos skirstymo operatorius“ elektros energijos persiuntimo ir tiekimo nutraukimo, apribojimo, atnaujinimo įkainių derinimo“ Taryba n u t a r i a: </w:t>
              </w:r>
            </w:p>
          </w:sdtContent>
        </w:sdt>
        <w:sdt>
          <w:sdtPr>
            <w:alias w:val="1 p."/>
            <w:tag w:val="part_9c01c9de84c34398bb0935849df0f92c"/>
            <w:lock w:val="sdtLocked"/>
            <w:richText/>
          </w:sdtPr>
          <w:sdtContent>
            <w:p>
              <w:pPr>
                <w:suppressAutoHyphens/>
                <w:spacing w:line="276" w:lineRule="auto"/>
                <w:ind w:firstLine="720"/>
                <w:jc w:val="both"/>
                <w:rPr>
                  <w:rFonts w:eastAsia="Aptos"/>
                  <w:color w:val="000000"/>
                  <w:szCs w:val="24"/>
                </w:rPr>
              </w:pPr>
              <w:sdt>
                <w:sdtPr>
                  <w:alias w:val="Numeris"/>
                  <w:tag w:val="nr_9c01c9de84c34398bb0935849df0f92c"/>
                  <w:lock w:val="sdtLocked"/>
                  <w:richText/>
                </w:sdtPr>
                <w:sdtContent>
                  <w:r>
                    <w:rPr>
                      <w:rFonts w:eastAsia="Aptos"/>
                      <w:color w:val="000000"/>
                      <w:szCs w:val="24"/>
                    </w:rPr>
                    <w:t>1</w:t>
                  </w:r>
                </w:sdtContent>
              </w:sdt>
              <w:r>
                <w:rPr>
                  <w:rFonts w:eastAsia="Aptos"/>
                  <w:color w:val="000000"/>
                  <w:szCs w:val="24"/>
                </w:rPr>
                <w:t>. Derinti Operatoriaus teikiamus elektros energijos persiuntimo ir (ar) tiekimo nutraukimo, apribojimo, atnaujinimo ir elektros apskaitos prietaiso rodmenų nuskaitymo paslaugų įkainius ir jų taikymo sąlygas:</w:t>
              </w:r>
            </w:p>
            <w:p>
              <w:pPr>
                <w:suppressAutoHyphens/>
                <w:rPr>
                  <w:szCs w:val="24"/>
                </w:rPr>
              </w:pPr>
            </w:p>
            <w:tbl>
              <w:tblPr>
                <w:tblW w:w="9163" w:type="dxa"/>
                <w:tblLayout w:type="fixed"/>
                <w:tblLook w:val="00A0" w:firstRow="1" w:lastRow="0" w:firstColumn="1" w:lastColumn="0" w:noHBand="0" w:noVBand="0"/>
              </w:tblPr>
              <w:tblGrid>
                <w:gridCol w:w="5594"/>
                <w:gridCol w:w="3569"/>
              </w:tblGrid>
              <w:tr>
                <w:trPr>
                  <w:trHeight w:val="531"/>
                </w:trPr>
                <w:tc>
                  <w:tcPr>
                    <w:tcW w:w="5594" w:type="dxa"/>
                    <w:tcBorders>
                      <w:top w:val="single" w:sz="4" w:space="0" w:color="000000"/>
                      <w:left w:val="single" w:sz="4" w:space="0" w:color="000000"/>
                      <w:bottom w:val="single" w:sz="4" w:space="0" w:color="000000"/>
                      <w:right w:val="single" w:sz="4" w:space="0" w:color="000000"/>
                    </w:tcBorders>
                    <w:vAlign w:val="center"/>
                  </w:tcPr>
                  <w:p>
                    <w:pPr>
                      <w:widowControl w:val="0"/>
                      <w:tabs>
                        <w:tab w:val="left" w:pos="709"/>
                      </w:tabs>
                      <w:suppressAutoHyphens/>
                      <w:ind w:firstLine="312"/>
                      <w:jc w:val="center"/>
                      <w:rPr>
                        <w:color w:val="000000"/>
                        <w:szCs w:val="24"/>
                      </w:rPr>
                    </w:pPr>
                    <w:r>
                      <w:rPr>
                        <w:color w:val="000000"/>
                        <w:szCs w:val="24"/>
                      </w:rPr>
                      <w:t>Paslaugos pavadinimas</w:t>
                    </w:r>
                  </w:p>
                </w:tc>
                <w:tc>
                  <w:tcPr>
                    <w:tcW w:w="3569" w:type="dxa"/>
                    <w:tcBorders>
                      <w:top w:val="single" w:sz="4" w:space="0" w:color="000000"/>
                      <w:left w:val="single" w:sz="4" w:space="0" w:color="000000"/>
                      <w:bottom w:val="single" w:sz="4" w:space="0" w:color="000000"/>
                      <w:right w:val="single" w:sz="4" w:space="0" w:color="000000"/>
                    </w:tcBorders>
                    <w:vAlign w:val="center"/>
                  </w:tcPr>
                  <w:p>
                    <w:pPr>
                      <w:widowControl w:val="0"/>
                      <w:tabs>
                        <w:tab w:val="left" w:pos="709"/>
                      </w:tabs>
                      <w:suppressAutoHyphens/>
                      <w:jc w:val="center"/>
                      <w:rPr>
                        <w:color w:val="000000"/>
                        <w:szCs w:val="24"/>
                      </w:rPr>
                    </w:pPr>
                    <w:r>
                      <w:rPr>
                        <w:color w:val="000000"/>
                        <w:szCs w:val="24"/>
                      </w:rPr>
                      <w:t>Fiksuotas įkainis, Eur be PVM</w:t>
                    </w:r>
                  </w:p>
                </w:tc>
              </w:tr>
              <w:tr>
                <w:trPr>
                  <w:trHeight w:val="287"/>
                </w:trPr>
                <w:tc>
                  <w:tcPr>
                    <w:tcW w:w="5594" w:type="dxa"/>
                    <w:tcBorders>
                      <w:top w:val="single" w:sz="4" w:space="0" w:color="000000"/>
                      <w:left w:val="single" w:sz="4" w:space="0" w:color="000000"/>
                      <w:bottom w:val="single" w:sz="4" w:space="0" w:color="000000"/>
                      <w:right w:val="single" w:sz="4" w:space="0" w:color="000000"/>
                    </w:tcBorders>
                  </w:tcPr>
                  <w:p>
                    <w:pPr>
                      <w:widowControl w:val="0"/>
                      <w:tabs>
                        <w:tab w:val="left" w:pos="709"/>
                      </w:tabs>
                      <w:suppressAutoHyphens/>
                      <w:spacing w:line="276" w:lineRule="auto"/>
                      <w:jc w:val="both"/>
                      <w:rPr>
                        <w:color w:val="000000"/>
                        <w:szCs w:val="24"/>
                      </w:rPr>
                    </w:pPr>
                    <w:r>
                      <w:rPr>
                        <w:szCs w:val="24"/>
                        <w:lang w:eastAsia="lt-LT"/>
                      </w:rPr>
                      <w:t>Elektros energijos persiuntimo / tiekimo nutraukimo, apribojimo arba atnaujinimo paslaugos fiziniams ir juridiniams asmenims įkainis (nuo skaitiklio)</w:t>
                    </w:r>
                  </w:p>
                </w:tc>
                <w:tc>
                  <w:tcPr>
                    <w:tcW w:w="3569" w:type="dxa"/>
                    <w:tcBorders>
                      <w:top w:val="single" w:sz="4" w:space="0" w:color="000000"/>
                      <w:left w:val="single" w:sz="4" w:space="0" w:color="000000"/>
                      <w:bottom w:val="single" w:sz="4" w:space="0" w:color="000000"/>
                      <w:right w:val="single" w:sz="4" w:space="0" w:color="000000"/>
                    </w:tcBorders>
                    <w:vAlign w:val="center"/>
                  </w:tcPr>
                  <w:p>
                    <w:pPr>
                      <w:widowControl w:val="0"/>
                      <w:tabs>
                        <w:tab w:val="left" w:pos="709"/>
                      </w:tabs>
                      <w:suppressAutoHyphens/>
                      <w:spacing w:line="276" w:lineRule="auto"/>
                      <w:jc w:val="center"/>
                      <w:rPr>
                        <w:bCs/>
                        <w:color w:val="000000"/>
                        <w:szCs w:val="24"/>
                      </w:rPr>
                    </w:pPr>
                    <w:r>
                      <w:rPr>
                        <w:bCs/>
                        <w:color w:val="000000"/>
                        <w:szCs w:val="24"/>
                      </w:rPr>
                      <w:t>25,03</w:t>
                    </w:r>
                  </w:p>
                </w:tc>
              </w:tr>
              <w:tr>
                <w:trPr>
                  <w:trHeight w:val="287"/>
                </w:trPr>
                <w:tc>
                  <w:tcPr>
                    <w:tcW w:w="5594" w:type="dxa"/>
                    <w:tcBorders>
                      <w:top w:val="single" w:sz="4" w:space="0" w:color="000000"/>
                      <w:left w:val="single" w:sz="4" w:space="0" w:color="000000"/>
                      <w:bottom w:val="single" w:sz="4" w:space="0" w:color="000000"/>
                      <w:right w:val="single" w:sz="4" w:space="0" w:color="000000"/>
                    </w:tcBorders>
                  </w:tcPr>
                  <w:p>
                    <w:pPr>
                      <w:widowControl w:val="0"/>
                      <w:tabs>
                        <w:tab w:val="left" w:pos="709"/>
                      </w:tabs>
                      <w:suppressAutoHyphens/>
                      <w:spacing w:line="276" w:lineRule="auto"/>
                      <w:jc w:val="both"/>
                      <w:rPr>
                        <w:i/>
                        <w:iCs/>
                        <w:color w:val="000000"/>
                        <w:szCs w:val="24"/>
                      </w:rPr>
                    </w:pPr>
                    <w:r>
                      <w:rPr>
                        <w:szCs w:val="24"/>
                        <w:lang w:eastAsia="lt-LT"/>
                      </w:rPr>
                      <w:t>Elektros energijos persiuntimo / tiekimo nutraukimo, apribojimo arba atnaujinimo paslaugos įkainis (Fiziniam ir juridiniam asmenims, nuo tranzitinės dėžės arba transformatorinės arba atjungiant nuo atramos, nenaudojant automobilio su pakėlimo aikštele)</w:t>
                    </w:r>
                  </w:p>
                </w:tc>
                <w:tc>
                  <w:tcPr>
                    <w:tcW w:w="3569" w:type="dxa"/>
                    <w:tcBorders>
                      <w:top w:val="single" w:sz="4" w:space="0" w:color="000000"/>
                      <w:left w:val="single" w:sz="4" w:space="0" w:color="000000"/>
                      <w:bottom w:val="single" w:sz="4" w:space="0" w:color="000000"/>
                      <w:right w:val="single" w:sz="4" w:space="0" w:color="000000"/>
                    </w:tcBorders>
                    <w:vAlign w:val="center"/>
                  </w:tcPr>
                  <w:p>
                    <w:pPr>
                      <w:widowControl w:val="0"/>
                      <w:tabs>
                        <w:tab w:val="left" w:pos="709"/>
                      </w:tabs>
                      <w:suppressAutoHyphens/>
                      <w:spacing w:line="276" w:lineRule="auto"/>
                      <w:jc w:val="center"/>
                      <w:rPr>
                        <w:bCs/>
                        <w:color w:val="000000"/>
                        <w:szCs w:val="24"/>
                      </w:rPr>
                    </w:pPr>
                    <w:r>
                      <w:rPr>
                        <w:bCs/>
                        <w:color w:val="000000"/>
                        <w:szCs w:val="24"/>
                      </w:rPr>
                      <w:t>79,26</w:t>
                    </w:r>
                  </w:p>
                </w:tc>
              </w:tr>
              <w:tr>
                <w:trPr>
                  <w:trHeight w:val="287"/>
                </w:trPr>
                <w:tc>
                  <w:tcPr>
                    <w:tcW w:w="5594" w:type="dxa"/>
                    <w:tcBorders>
                      <w:top w:val="single" w:sz="4" w:space="0" w:color="000000"/>
                      <w:left w:val="single" w:sz="4" w:space="0" w:color="000000"/>
                      <w:bottom w:val="single" w:sz="4" w:space="0" w:color="000000"/>
                      <w:right w:val="single" w:sz="4" w:space="0" w:color="000000"/>
                    </w:tcBorders>
                  </w:tcPr>
                  <w:p>
                    <w:pPr>
                      <w:widowControl w:val="0"/>
                      <w:tabs>
                        <w:tab w:val="left" w:pos="709"/>
                      </w:tabs>
                      <w:suppressAutoHyphens/>
                      <w:spacing w:line="276" w:lineRule="auto"/>
                      <w:jc w:val="both"/>
                      <w:rPr>
                        <w:i/>
                        <w:iCs/>
                        <w:color w:val="000000"/>
                        <w:szCs w:val="24"/>
                      </w:rPr>
                    </w:pPr>
                    <w:r>
                      <w:rPr>
                        <w:szCs w:val="24"/>
                        <w:lang w:eastAsia="lt-LT"/>
                      </w:rPr>
                      <w:t>Elektros energijos persiuntimo / tiekimo nutraukimo, apribojimo arba atnaujinimo paslaugos įkainis (Fiziniam ir juridiniam asmenims, panaudojant automobilį su pakėlimo aikštele) (toliau ‒ Įkainis su pakėlimo aikštele)</w:t>
                    </w:r>
                  </w:p>
                </w:tc>
                <w:tc>
                  <w:tcPr>
                    <w:tcW w:w="3569" w:type="dxa"/>
                    <w:tcBorders>
                      <w:top w:val="single" w:sz="4" w:space="0" w:color="000000"/>
                      <w:left w:val="single" w:sz="4" w:space="0" w:color="000000"/>
                      <w:bottom w:val="single" w:sz="4" w:space="0" w:color="000000"/>
                      <w:right w:val="single" w:sz="4" w:space="0" w:color="000000"/>
                    </w:tcBorders>
                    <w:vAlign w:val="center"/>
                  </w:tcPr>
                  <w:p>
                    <w:pPr>
                      <w:widowControl w:val="0"/>
                      <w:tabs>
                        <w:tab w:val="left" w:pos="709"/>
                      </w:tabs>
                      <w:suppressAutoHyphens/>
                      <w:spacing w:line="276" w:lineRule="auto"/>
                      <w:jc w:val="center"/>
                      <w:rPr>
                        <w:bCs/>
                        <w:color w:val="000000"/>
                        <w:szCs w:val="24"/>
                      </w:rPr>
                    </w:pPr>
                    <w:r>
                      <w:rPr>
                        <w:bCs/>
                        <w:color w:val="000000"/>
                        <w:szCs w:val="24"/>
                      </w:rPr>
                      <w:t>119,63</w:t>
                    </w:r>
                  </w:p>
                </w:tc>
              </w:tr>
              <w:tr>
                <w:trPr>
                  <w:trHeight w:val="651"/>
                </w:trPr>
                <w:tc>
                  <w:tcPr>
                    <w:tcW w:w="9163" w:type="dxa"/>
                    <w:gridSpan w:val="2"/>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ind w:firstLine="455"/>
                      <w:rPr>
                        <w:szCs w:val="24"/>
                      </w:rPr>
                    </w:pPr>
                    <w:r>
                      <w:rPr>
                        <w:szCs w:val="24"/>
                      </w:rPr>
                      <w:t>Įkainiai taikomi:</w:t>
                    </w:r>
                  </w:p>
                  <w:p>
                    <w:pPr>
                      <w:widowControl w:val="0"/>
                      <w:suppressAutoHyphens/>
                      <w:spacing w:line="276" w:lineRule="auto"/>
                      <w:ind w:firstLine="455"/>
                      <w:rPr>
                        <w:szCs w:val="24"/>
                      </w:rPr>
                    </w:pPr>
                    <w:r>
                      <w:rPr>
                        <w:szCs w:val="24"/>
                      </w:rPr>
                      <w:t>1) kai vartotojui elektros energijos persiuntimas / tiekimas yra nutraukiamas / apribojamas dėl jo skolos už suvartotą elektros energiją, suteiktą elektros energijos persiuntimo ar už kitas su tuo susijusias paslaugas;</w:t>
                    </w:r>
                  </w:p>
                  <w:p>
                    <w:pPr>
                      <w:widowControl w:val="0"/>
                      <w:suppressAutoHyphens/>
                      <w:spacing w:line="276" w:lineRule="auto"/>
                      <w:ind w:firstLine="455"/>
                      <w:rPr>
                        <w:szCs w:val="24"/>
                      </w:rPr>
                    </w:pPr>
                    <w:r>
                      <w:rPr>
                        <w:szCs w:val="24"/>
                      </w:rPr>
                      <w:t>2) kai vartotojui elektros energijos persiuntimas / tiekimas yra nutraukiamas / apribojamas dėl nesudarytos sutarties dėl elektros energijos pirkimo‒pardavimo ir (ar) persiuntimo paslaugos teikimo;</w:t>
                    </w:r>
                  </w:p>
                  <w:p>
                    <w:pPr>
                      <w:widowControl w:val="0"/>
                      <w:suppressAutoHyphens/>
                      <w:spacing w:line="276" w:lineRule="auto"/>
                      <w:ind w:firstLine="455"/>
                      <w:rPr>
                        <w:szCs w:val="24"/>
                      </w:rPr>
                    </w:pPr>
                    <w:r>
                      <w:rPr>
                        <w:szCs w:val="24"/>
                      </w:rPr>
                      <w:t xml:space="preserve">3) kai vartotojui elektros energijos persiuntimas / tiekimas yra nutraukiamas / apribojamas dėl sutartyje dėl elektros energijos pirkimo–pardavimo ir (ar) persiuntimo paslaugos teikimo numatytų prievolių nevykdymo ar netinkamo vykdymo; </w:t>
                    </w:r>
                  </w:p>
                  <w:p>
                    <w:pPr>
                      <w:widowControl w:val="0"/>
                      <w:suppressAutoHyphens/>
                      <w:spacing w:line="276" w:lineRule="auto"/>
                      <w:ind w:firstLine="455"/>
                      <w:rPr>
                        <w:szCs w:val="24"/>
                      </w:rPr>
                    </w:pPr>
                    <w:r>
                      <w:rPr>
                        <w:szCs w:val="24"/>
                      </w:rPr>
                      <w:t xml:space="preserve">4) atnaujinant vartotojui elektros energijos persiuntimą / tiekimą, kuriam elektros energijos persiuntimas / tiekimas buvo nutraukiamas / apribojamas; </w:t>
                    </w:r>
                  </w:p>
                  <w:p>
                    <w:pPr>
                      <w:widowControl w:val="0"/>
                      <w:suppressAutoHyphens/>
                      <w:spacing w:line="276" w:lineRule="auto"/>
                      <w:ind w:firstLine="455"/>
                      <w:rPr>
                        <w:szCs w:val="24"/>
                      </w:rPr>
                    </w:pPr>
                    <w:r>
                      <w:rPr>
                        <w:szCs w:val="24"/>
                      </w:rPr>
                      <w:t xml:space="preserve">5) tiekėjui ar vartotojui </w:t>
                    </w:r>
                    <w:r>
                      <w:rPr>
                        <w:color w:val="000000"/>
                        <w:szCs w:val="24"/>
                      </w:rPr>
                      <w:t>Elektros energijos tiekimo ir naudojimo taisyklėse</w:t>
                    </w:r>
                    <w:r>
                      <w:rPr>
                        <w:szCs w:val="24"/>
                      </w:rPr>
                      <w:t xml:space="preserve"> numatytais atvejais prašant nutraukti / apriboti / atnaujinti elektros energijos persiuntimą / tiekimą; </w:t>
                    </w:r>
                  </w:p>
                  <w:p>
                    <w:pPr>
                      <w:widowControl w:val="0"/>
                      <w:suppressAutoHyphens/>
                      <w:spacing w:line="276" w:lineRule="auto"/>
                      <w:ind w:firstLine="455"/>
                      <w:rPr>
                        <w:szCs w:val="24"/>
                      </w:rPr>
                    </w:pPr>
                    <w:r>
                      <w:rPr>
                        <w:szCs w:val="24"/>
                      </w:rPr>
                      <w:t xml:space="preserve">6) siekiant užkirsti kelią neteisėtiems vartotojo veiksmams (neveikimui); </w:t>
                    </w:r>
                  </w:p>
                  <w:p>
                    <w:pPr>
                      <w:widowControl w:val="0"/>
                      <w:suppressAutoHyphens/>
                      <w:spacing w:line="276" w:lineRule="auto"/>
                      <w:ind w:firstLine="455"/>
                      <w:rPr>
                        <w:szCs w:val="24"/>
                      </w:rPr>
                    </w:pPr>
                    <w:r>
                      <w:rPr>
                        <w:szCs w:val="24"/>
                      </w:rPr>
                      <w:t xml:space="preserve">7) kai vartotojui elektros energijos persiuntimas / tiekimas yra nutraukiamas / apribojamas kitais </w:t>
                    </w:r>
                    <w:r>
                      <w:rPr>
                        <w:color w:val="000000"/>
                        <w:szCs w:val="24"/>
                      </w:rPr>
                      <w:t>Elektros energijos tiekimo ir naudojimo taisyklėse</w:t>
                    </w:r>
                    <w:r>
                      <w:rPr>
                        <w:szCs w:val="24"/>
                      </w:rPr>
                      <w:t xml:space="preserve"> nustatytais pagrindais, kuriems esant taikomas su Taryba suderintas įkainis;</w:t>
                    </w:r>
                  </w:p>
                  <w:p>
                    <w:pPr>
                      <w:widowControl w:val="0"/>
                      <w:suppressAutoHyphens/>
                      <w:spacing w:line="276" w:lineRule="auto"/>
                      <w:ind w:firstLine="455"/>
                      <w:rPr>
                        <w:szCs w:val="24"/>
                      </w:rPr>
                    </w:pPr>
                    <w:r>
                      <w:rPr>
                        <w:szCs w:val="24"/>
                      </w:rPr>
                      <w:t>8) atskirai tiek nutraukiant / apribojant, tiek atnaujinant elektros energijos persiuntimą / tiekimą;</w:t>
                    </w:r>
                  </w:p>
                  <w:p>
                    <w:pPr>
                      <w:widowControl w:val="0"/>
                      <w:suppressAutoHyphens/>
                      <w:spacing w:line="276" w:lineRule="auto"/>
                      <w:ind w:firstLine="455"/>
                      <w:rPr>
                        <w:szCs w:val="24"/>
                      </w:rPr>
                    </w:pPr>
                    <w:r>
                      <w:rPr>
                        <w:szCs w:val="24"/>
                      </w:rPr>
                      <w:t>9) kiekvienam vartotojo objektui, nepriklausomai nuo objekte įrengtų elektros apskaitos prietaisų skaičiaus;</w:t>
                    </w:r>
                  </w:p>
                  <w:p>
                    <w:pPr>
                      <w:widowControl w:val="0"/>
                      <w:suppressAutoHyphens/>
                      <w:spacing w:line="276" w:lineRule="auto"/>
                      <w:ind w:firstLine="455"/>
                      <w:rPr>
                        <w:szCs w:val="24"/>
                      </w:rPr>
                    </w:pPr>
                    <w:r>
                      <w:rPr>
                        <w:szCs w:val="24"/>
                      </w:rPr>
                      <w:t xml:space="preserve">10) vartotojui arba tiekėjui, kaip tai numatyta </w:t>
                    </w:r>
                    <w:r>
                      <w:rPr>
                        <w:color w:val="000000"/>
                        <w:szCs w:val="24"/>
                      </w:rPr>
                      <w:t>Elektros energijos tiekimo ir naudojimo taisyklėse</w:t>
                    </w:r>
                    <w:r>
                      <w:rPr>
                        <w:szCs w:val="24"/>
                      </w:rPr>
                      <w:t>.</w:t>
                    </w:r>
                  </w:p>
                </w:tc>
              </w:tr>
              <w:tr>
                <w:trPr>
                  <w:trHeight w:val="300"/>
                </w:trPr>
                <w:tc>
                  <w:tcPr>
                    <w:tcW w:w="5594" w:type="dxa"/>
                    <w:tcBorders>
                      <w:top w:val="single" w:sz="4" w:space="0" w:color="000000"/>
                      <w:left w:val="single" w:sz="4" w:space="0" w:color="000000"/>
                      <w:bottom w:val="single" w:sz="4" w:space="0" w:color="000000"/>
                      <w:right w:val="single" w:sz="4" w:space="0" w:color="000000"/>
                    </w:tcBorders>
                  </w:tcPr>
                  <w:p>
                    <w:pPr>
                      <w:widowControl w:val="0"/>
                      <w:tabs>
                        <w:tab w:val="left" w:pos="709"/>
                      </w:tabs>
                      <w:suppressAutoHyphens/>
                      <w:spacing w:line="276" w:lineRule="auto"/>
                      <w:jc w:val="both"/>
                      <w:rPr>
                        <w:color w:val="000000"/>
                        <w:szCs w:val="24"/>
                      </w:rPr>
                    </w:pPr>
                    <w:r>
                      <w:rPr>
                        <w:color w:val="000000"/>
                        <w:szCs w:val="24"/>
                      </w:rPr>
                      <w:t>Elektros apskaitos prietaiso rodmenų nuskaitymas</w:t>
                    </w:r>
                  </w:p>
                </w:tc>
                <w:tc>
                  <w:tcPr>
                    <w:tcW w:w="3569" w:type="dxa"/>
                    <w:tcBorders>
                      <w:top w:val="single" w:sz="4" w:space="0" w:color="000000"/>
                      <w:left w:val="single" w:sz="4" w:space="0" w:color="000000"/>
                      <w:bottom w:val="single" w:sz="4" w:space="0" w:color="000000"/>
                      <w:right w:val="single" w:sz="4" w:space="0" w:color="000000"/>
                    </w:tcBorders>
                  </w:tcPr>
                  <w:p>
                    <w:pPr>
                      <w:widowControl w:val="0"/>
                      <w:tabs>
                        <w:tab w:val="left" w:pos="709"/>
                      </w:tabs>
                      <w:suppressAutoHyphens/>
                      <w:spacing w:line="276" w:lineRule="auto"/>
                      <w:jc w:val="center"/>
                      <w:rPr>
                        <w:bCs/>
                        <w:color w:val="000000"/>
                        <w:szCs w:val="24"/>
                      </w:rPr>
                    </w:pPr>
                    <w:r>
                      <w:rPr>
                        <w:bCs/>
                        <w:color w:val="000000"/>
                        <w:szCs w:val="24"/>
                      </w:rPr>
                      <w:t>17,98</w:t>
                    </w:r>
                  </w:p>
                </w:tc>
              </w:tr>
              <w:tr>
                <w:trPr>
                  <w:trHeight w:val="623"/>
                </w:trPr>
                <w:tc>
                  <w:tcPr>
                    <w:tcW w:w="9163" w:type="dxa"/>
                    <w:gridSpan w:val="2"/>
                    <w:tcBorders>
                      <w:top w:val="single" w:sz="4" w:space="0" w:color="000000"/>
                      <w:left w:val="single" w:sz="4" w:space="0" w:color="000000"/>
                      <w:bottom w:val="single" w:sz="4" w:space="0" w:color="000000"/>
                      <w:right w:val="single" w:sz="4" w:space="0" w:color="000000"/>
                    </w:tcBorders>
                  </w:tcPr>
                  <w:p>
                    <w:pPr>
                      <w:widowControl w:val="0"/>
                      <w:tabs>
                        <w:tab w:val="left" w:pos="709"/>
                      </w:tabs>
                      <w:suppressAutoHyphens/>
                      <w:spacing w:line="276" w:lineRule="auto"/>
                      <w:ind w:firstLine="312"/>
                      <w:jc w:val="both"/>
                      <w:rPr>
                        <w:color w:val="000000"/>
                        <w:szCs w:val="24"/>
                      </w:rPr>
                    </w:pPr>
                    <w:r>
                      <w:rPr>
                        <w:color w:val="000000"/>
                        <w:szCs w:val="24"/>
                      </w:rPr>
                      <w:t xml:space="preserve">Įkainis taikomas: </w:t>
                    </w:r>
                  </w:p>
                  <w:p>
                    <w:pPr>
                      <w:widowControl w:val="0"/>
                      <w:tabs>
                        <w:tab w:val="left" w:pos="709"/>
                      </w:tabs>
                      <w:suppressAutoHyphens/>
                      <w:spacing w:line="276" w:lineRule="auto"/>
                      <w:ind w:firstLine="312"/>
                      <w:jc w:val="both"/>
                      <w:rPr>
                        <w:color w:val="000000"/>
                        <w:szCs w:val="24"/>
                      </w:rPr>
                    </w:pPr>
                    <w:r>
                      <w:rPr>
                        <w:color w:val="000000"/>
                        <w:szCs w:val="24"/>
                      </w:rPr>
                      <w:t>a)</w:t>
                      <w:tab/>
                      <w:t>kiekvienam vartotojo objektui, kai elektros apskaitos prietaisų rodmenų nurašymas vykdomas elektros energijos tiekėjo prašymu, tokiame prašyme nurodyta apimtimi ir terminais;</w:t>
                    </w:r>
                  </w:p>
                  <w:p>
                    <w:pPr>
                      <w:widowControl w:val="0"/>
                      <w:tabs>
                        <w:tab w:val="left" w:pos="709"/>
                      </w:tabs>
                      <w:suppressAutoHyphens/>
                      <w:spacing w:line="276" w:lineRule="auto"/>
                      <w:ind w:firstLine="312"/>
                      <w:jc w:val="both"/>
                      <w:rPr>
                        <w:color w:val="000000"/>
                        <w:szCs w:val="24"/>
                      </w:rPr>
                    </w:pPr>
                    <w:r>
                      <w:rPr>
                        <w:color w:val="000000"/>
                        <w:szCs w:val="24"/>
                      </w:rPr>
                      <w:t>b)</w:t>
                      <w:tab/>
                      <w:t xml:space="preserve">kiekvienam vartotojo objektui, kai vartotojas ilgiau kaip vienus kalendorinius metus yra nepateikęs duomenų apie elektros apskaitos prietaisų rodmenis, faktinis suvartotas elektros energijos kiekis nėra paaiškėjęs vykdant elektros energijos tiekėjo prašymą nurašyti elektros apskaitos prietaisų rodmenis arba Operatoriui atliekant elektros energijos kiekio perskaičiavimą, sutrikus elektros apskaitos prietaisui*; </w:t>
                    </w:r>
                  </w:p>
                  <w:p>
                    <w:pPr>
                      <w:widowControl w:val="0"/>
                      <w:tabs>
                        <w:tab w:val="left" w:pos="709"/>
                      </w:tabs>
                      <w:suppressAutoHyphens/>
                      <w:spacing w:line="276" w:lineRule="auto"/>
                      <w:ind w:firstLine="312"/>
                      <w:jc w:val="both"/>
                      <w:rPr>
                        <w:color w:val="000000"/>
                        <w:szCs w:val="24"/>
                      </w:rPr>
                    </w:pPr>
                    <w:r>
                      <w:rPr>
                        <w:color w:val="000000"/>
                        <w:szCs w:val="24"/>
                      </w:rPr>
                      <w:t>c)</w:t>
                      <w:tab/>
                      <w:t>kiekvienam vartotojo objektui, nepriklausomai nuo objekte įrengtų elektros apskaitos prietaisų skaičiaus.</w:t>
                    </w:r>
                  </w:p>
                  <w:p>
                    <w:pPr>
                      <w:widowControl w:val="0"/>
                      <w:tabs>
                        <w:tab w:val="left" w:pos="709"/>
                      </w:tabs>
                      <w:suppressAutoHyphens/>
                      <w:spacing w:line="276" w:lineRule="auto"/>
                      <w:ind w:firstLine="312"/>
                      <w:jc w:val="both"/>
                      <w:rPr>
                        <w:color w:val="000000"/>
                        <w:szCs w:val="24"/>
                      </w:rPr>
                    </w:pPr>
                  </w:p>
                  <w:p>
                    <w:pPr>
                      <w:widowControl w:val="0"/>
                      <w:tabs>
                        <w:tab w:val="left" w:pos="709"/>
                      </w:tabs>
                      <w:suppressAutoHyphens/>
                      <w:spacing w:line="276" w:lineRule="auto"/>
                      <w:jc w:val="both"/>
                      <w:rPr>
                        <w:color w:val="000000"/>
                        <w:szCs w:val="24"/>
                      </w:rPr>
                    </w:pPr>
                    <w:r>
                      <w:rPr>
                        <w:color w:val="000000"/>
                        <w:szCs w:val="24"/>
                      </w:rPr>
                      <w:t>*Pastaba: vienų kalendorinių metų terminas pradedamas skaičiuoti nuo 2024 m. vasario 10 d.</w:t>
                    </w:r>
                  </w:p>
                </w:tc>
              </w:tr>
            </w:tbl>
            <w:p>
              <w:pPr>
                <w:suppressAutoHyphens/>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05070f8b411eeb15a8086c0c045d4">
                <w:r w:rsidRPr="00532B9F">
                  <w:rPr>
                    <w:rFonts w:ascii="Times New Roman" w:eastAsia="MS Mincho" w:hAnsi="Times New Roman"/>
                    <w:sz w:val="20"/>
                    <w:i/>
                    <w:iCs/>
                    <w:color w:val="0000FF" w:themeColor="hyperlink"/>
                    <w:u w:val="single"/>
                  </w:rPr>
                  <w:t>O3E-572</w:t>
                </w:r>
              </w:fldSimple>
              <w:r>
                <w:rPr>
                  <w:rFonts w:ascii="Times New Roman" w:eastAsia="MS Mincho" w:hAnsi="Times New Roman"/>
                  <w:sz w:val="20"/>
                  <w:i/>
                  <w:iCs/>
                </w:rPr>
                <w:t>,
2024-04-12,
paskelbta TAR 2024-04-12, i. k. 2024-06862            </w:t>
              </w:r>
            </w:p>
            <w:p/>
          </w:sdtContent>
        </w:sdt>
        <w:sdt>
          <w:sdtPr>
            <w:alias w:val="2 p."/>
            <w:tag w:val="part_3d50baa723394ebda5b3ff6affd8fdba"/>
            <w:lock w:val="sdtLocked"/>
            <w:richText/>
          </w:sdtPr>
          <w:sdtContent>
            <w:p>
              <w:pPr>
                <w:tabs>
                  <w:tab w:val="left" w:pos="851"/>
                  <w:tab w:val="left" w:pos="993"/>
                </w:tabs>
                <w:spacing w:line="276" w:lineRule="auto"/>
                <w:ind w:firstLine="720"/>
                <w:jc w:val="both"/>
                <w:rPr>
                  <w:color w:val="000000"/>
                  <w:lang w:eastAsia="lt-LT"/>
                </w:rPr>
              </w:pPr>
              <w:sdt>
                <w:sdtPr>
                  <w:alias w:val="Numeris"/>
                  <w:tag w:val="nr_3d50baa723394ebda5b3ff6affd8fdba"/>
                  <w:lock w:val="sdtLocked"/>
                  <w:richText/>
                </w:sdtPr>
                <w:sdtContent>
                  <w:r>
                    <w:rPr>
                      <w:color w:val="000000"/>
                      <w:lang w:eastAsia="lt-LT"/>
                    </w:rPr>
                    <w:t>2</w:t>
                  </w:r>
                </w:sdtContent>
              </w:sdt>
              <w:r>
                <w:rPr>
                  <w:color w:val="000000"/>
                  <w:lang w:eastAsia="lt-LT"/>
                </w:rPr>
                <w:t xml:space="preserve">. Konstatuoti, kad Operatorius iš dalies įgyvendino Tarybos </w:t>
              </w:r>
              <w:r>
                <w:rPr>
                  <w:spacing w:val="-2"/>
                  <w:lang w:eastAsia="lt-LT"/>
                </w:rPr>
                <w:t xml:space="preserve">2021 m. liepos 23 d. nutarimo Nr. O3E-855 „Dėl naujų AB „Energijos skirstymo operatorius“ elektros energijos persiuntimo / tiekimo nutraukimo, apribojimo ir atnaujinimo paslaugų įkainių nederinimo ir Valstybinės kainų ir energetikos kontrolės komisijos 2018 m. liepos 20 d. nutarimo Nr. O3E-230 „Dėl AB „Energijos skirstymo operatorius“ elektros energijos persiuntimo ir tiekimo nutraukimo, apribojimo, atnaujinimo ir elektros apskaitos prietaiso rodmenų nuskaitymo įkainių derinimo“ pakeitimo“ (toliau – Nutarimas) 4 punkte numatytą </w:t>
              </w:r>
              <w:r>
                <w:rPr>
                  <w:color w:val="000000"/>
                  <w:lang w:eastAsia="lt-LT"/>
                </w:rPr>
                <w:t>įpareigojimą:</w:t>
              </w:r>
            </w:p>
            <w:sdt>
              <w:sdtPr>
                <w:alias w:val="2.1 pp."/>
                <w:tag w:val="part_042c6a838b9243b5bd94e0fe5941b204"/>
                <w:lock w:val="sdtLocked"/>
                <w:richText/>
              </w:sdtPr>
              <w:sdtContent>
                <w:p>
                  <w:pPr>
                    <w:tabs>
                      <w:tab w:val="left" w:pos="851"/>
                      <w:tab w:val="left" w:pos="993"/>
                    </w:tabs>
                    <w:spacing w:line="276" w:lineRule="auto"/>
                    <w:ind w:firstLine="720"/>
                    <w:jc w:val="both"/>
                    <w:rPr>
                      <w:color w:val="000000"/>
                      <w:lang w:eastAsia="lt-LT"/>
                    </w:rPr>
                  </w:pPr>
                  <w:sdt>
                    <w:sdtPr>
                      <w:alias w:val="Numeris"/>
                      <w:tag w:val="nr_042c6a838b9243b5bd94e0fe5941b204"/>
                      <w:lock w:val="sdtLocked"/>
                      <w:richText/>
                    </w:sdtPr>
                    <w:sdtContent>
                      <w:r>
                        <w:rPr>
                          <w:color w:val="000000"/>
                          <w:lang w:eastAsia="lt-LT"/>
                        </w:rPr>
                        <w:t>2.1</w:t>
                      </w:r>
                    </w:sdtContent>
                  </w:sdt>
                  <w:r>
                    <w:rPr>
                      <w:color w:val="000000"/>
                      <w:lang w:eastAsia="lt-LT"/>
                    </w:rPr>
                    <w:t xml:space="preserve">.  nustatytais terminais pateikė Tarybai informaciją apie optimalias priemones, kurios ateityje turėtų užtikrinti efektyvų paslaugų teikimo procesą, eliminuojant dvigubą vykimą į paslaugų teikimo vietą;</w:t>
                  </w:r>
                </w:p>
              </w:sdtContent>
            </w:sdt>
            <w:sdt>
              <w:sdtPr>
                <w:alias w:val="2.2 pp."/>
                <w:tag w:val="part_db16ee8ae68b45f1824e78e4646bf11e"/>
                <w:lock w:val="sdtLocked"/>
                <w:richText/>
              </w:sdtPr>
              <w:sdtContent>
                <w:p>
                  <w:pPr>
                    <w:tabs>
                      <w:tab w:val="left" w:pos="851"/>
                      <w:tab w:val="left" w:pos="993"/>
                    </w:tabs>
                    <w:spacing w:line="276" w:lineRule="auto"/>
                    <w:ind w:firstLine="720"/>
                    <w:jc w:val="both"/>
                    <w:rPr>
                      <w:color w:val="000000"/>
                      <w:lang w:eastAsia="lt-LT"/>
                    </w:rPr>
                  </w:pPr>
                  <w:sdt>
                    <w:sdtPr>
                      <w:alias w:val="Numeris"/>
                      <w:tag w:val="nr_db16ee8ae68b45f1824e78e4646bf11e"/>
                      <w:lock w:val="sdtLocked"/>
                      <w:richText/>
                    </w:sdtPr>
                    <w:sdtContent>
                      <w:r>
                        <w:rPr>
                          <w:color w:val="000000"/>
                          <w:lang w:eastAsia="lt-LT"/>
                        </w:rPr>
                        <w:t>2.2</w:t>
                      </w:r>
                    </w:sdtContent>
                  </w:sdt>
                  <w:r>
                    <w:rPr>
                      <w:color w:val="000000"/>
                      <w:lang w:eastAsia="lt-LT"/>
                    </w:rPr>
                    <w:t>. nustatytais terminais Operatorius nepateikė metinių papildomų sąnaudų, patiriamų dėl pakartotinio vykimo, kai paslaugų teikimo metu nustatomas kitas, nei manyta, paslaugos tipas, apimties.</w:t>
                  </w:r>
                </w:p>
              </w:sdtContent>
            </w:sdt>
          </w:sdtContent>
        </w:sdt>
        <w:sdt>
          <w:sdtPr>
            <w:alias w:val="3 p."/>
            <w:tag w:val="part_b5a766b02a62488f87b04bf29ecc3f6a"/>
            <w:lock w:val="sdtLocked"/>
            <w:richText/>
          </w:sdtPr>
          <w:sdtContent>
            <w:p>
              <w:pPr>
                <w:tabs>
                  <w:tab w:val="left" w:pos="851"/>
                  <w:tab w:val="left" w:pos="993"/>
                </w:tabs>
                <w:spacing w:line="276" w:lineRule="auto"/>
                <w:ind w:firstLine="720"/>
                <w:jc w:val="both"/>
                <w:rPr>
                  <w:color w:val="000000"/>
                  <w:lang w:eastAsia="lt-LT"/>
                </w:rPr>
              </w:pPr>
              <w:sdt>
                <w:sdtPr>
                  <w:alias w:val="Numeris"/>
                  <w:tag w:val="nr_b5a766b02a62488f87b04bf29ecc3f6a"/>
                  <w:lock w:val="sdtLocked"/>
                  <w:richText/>
                </w:sdtPr>
                <w:sdtContent>
                  <w:r>
                    <w:rPr>
                      <w:color w:val="000000"/>
                      <w:lang w:eastAsia="lt-LT"/>
                    </w:rPr>
                    <w:t>3</w:t>
                  </w:r>
                </w:sdtContent>
              </w:sdt>
              <w:r>
                <w:rPr>
                  <w:color w:val="000000"/>
                  <w:lang w:eastAsia="lt-LT"/>
                </w:rPr>
                <w:t xml:space="preserve">. Pripažinti netekusiu galios Tarybos </w:t>
              </w:r>
              <w:r>
                <w:rPr>
                  <w:spacing w:val="-2"/>
                  <w:lang w:eastAsia="lt-LT"/>
                </w:rPr>
                <w:t>20</w:t>
              </w:r>
              <w:r>
                <w:rPr>
                  <w:spacing w:val="-2"/>
                  <w:lang w:val="en-US" w:eastAsia="lt-LT"/>
                </w:rPr>
                <w:t>18</w:t>
              </w:r>
              <w:r>
                <w:rPr>
                  <w:spacing w:val="-2"/>
                  <w:lang w:eastAsia="lt-LT"/>
                </w:rPr>
                <w:t xml:space="preserve"> m. liepos 20 d. nutarimą Nr. O3E-230 „</w:t>
              </w:r>
              <w:r>
                <w:rPr>
                  <w:color w:val="000000"/>
                  <w:lang w:eastAsia="lt-LT"/>
                </w:rPr>
                <w:t>Dėl AB „Energijos skirstymo operatorius“ elektros energijos persiuntimo ir tiekimo nutraukimo, apribojimo, atnaujinimo ir elektros apskaitos prietaiso rodmenų nuskaitymo įkainių derinimo</w:t>
              </w:r>
              <w:r>
                <w:rPr>
                  <w:spacing w:val="-2"/>
                  <w:lang w:eastAsia="lt-LT"/>
                </w:rPr>
                <w:t>“ su visais papildymais ir pakeitimais</w:t>
              </w:r>
              <w:r>
                <w:rPr>
                  <w:color w:val="000000"/>
                  <w:lang w:eastAsia="lt-LT"/>
                </w:rPr>
                <w:t xml:space="preserve">. </w:t>
              </w:r>
            </w:p>
          </w:sdtContent>
        </w:sdt>
        <w:sdt>
          <w:sdtPr>
            <w:alias w:val="4 p."/>
            <w:tag w:val="part_f66c74d5b33d4c2e9bccd591727a2530"/>
            <w:lock w:val="sdtLocked"/>
            <w:richText/>
          </w:sdtPr>
          <w:sdtContent>
            <w:p>
              <w:pPr>
                <w:spacing w:line="276" w:lineRule="auto"/>
                <w:ind w:firstLine="720"/>
                <w:jc w:val="both"/>
                <w:rPr>
                  <w:lang w:eastAsia="lt-LT"/>
                </w:rPr>
              </w:pPr>
              <w:sdt>
                <w:sdtPr>
                  <w:alias w:val="Numeris"/>
                  <w:tag w:val="nr_f66c74d5b33d4c2e9bccd591727a2530"/>
                  <w:lock w:val="sdtLocked"/>
                  <w:richText/>
                </w:sdtPr>
                <w:sdtContent>
                  <w:r>
                    <w:rPr>
                      <w:lang w:eastAsia="lt-LT"/>
                    </w:rPr>
                    <w:t>4</w:t>
                  </w:r>
                </w:sdtContent>
              </w:sdt>
              <w:r>
                <w:rPr>
                  <w:lang w:eastAsia="lt-LT"/>
                </w:rPr>
                <w:t>. Nustatyti, kad šis nutarimas įsigalioja 2023 m. birželio 1 d.</w:t>
              </w:r>
            </w:p>
          </w:sdtContent>
        </w:sdt>
        <w:sdt>
          <w:sdtPr>
            <w:alias w:val="pastraipa"/>
            <w:tag w:val="part_204ec684888c4648844e89ce7c196487"/>
            <w:lock w:val="sdtLocked"/>
            <w:richText/>
          </w:sdtPr>
          <w:sdtContent>
            <w:p>
              <w:pPr>
                <w:spacing w:line="276" w:lineRule="auto"/>
                <w:ind w:firstLine="709"/>
                <w:jc w:val="both"/>
                <w:rPr>
                  <w:iCs/>
                  <w:color w:val="000000"/>
                  <w:lang w:eastAsia="lt-LT"/>
                </w:rPr>
              </w:pPr>
              <w:r>
                <w:rPr>
                  <w:iCs/>
                  <w:color w:val="000000"/>
                  <w:lang w:eastAsia="lt-LT"/>
                </w:rPr>
                <w:t>Šis nutarimas gali būti skundžiamas Lietuvos Respublikos administracinių bylų teisenos įstatymo nustatyta tvarka ir sąlygomis.</w:t>
              </w:r>
            </w:p>
            <w:p>
              <w:pPr>
                <w:spacing w:line="276" w:lineRule="auto"/>
                <w:ind w:firstLine="720"/>
                <w:jc w:val="both"/>
                <w:rPr>
                  <w:szCs w:val="24"/>
                  <w:lang w:eastAsia="lt-LT"/>
                </w:rPr>
              </w:pPr>
            </w:p>
            <w:p>
              <w:pPr>
                <w:spacing w:line="276" w:lineRule="auto"/>
                <w:ind w:firstLine="720"/>
                <w:jc w:val="both"/>
                <w:rPr>
                  <w:szCs w:val="24"/>
                  <w:lang w:eastAsia="lt-LT"/>
                </w:rPr>
              </w:pPr>
            </w:p>
            <w:p>
              <w:pPr>
                <w:spacing w:line="360" w:lineRule="auto"/>
                <w:ind w:firstLine="720"/>
                <w:jc w:val="both"/>
                <w:rPr>
                  <w:szCs w:val="24"/>
                  <w:lang w:eastAsia="lt-LT"/>
                </w:rPr>
              </w:pPr>
            </w:p>
          </w:sdtContent>
        </w:sdt>
        <w:sdt>
          <w:sdtPr>
            <w:alias w:val="signatura"/>
            <w:tag w:val="part_6fcec8bd5d9d46d9bf6032c6f32b1d68"/>
            <w:lock w:val="sdtLocked"/>
            <w:richText/>
          </w:sdtPr>
          <w:sdtContent>
            <w:p>
              <w:pPr>
                <w:jc w:val="both"/>
                <w:rPr>
                  <w:szCs w:val="24"/>
                  <w:lang w:eastAsia="lt-LT"/>
                </w:rPr>
              </w:pPr>
              <w:r>
                <w:rPr>
                  <w:szCs w:val="24"/>
                  <w:lang w:eastAsia="lt-LT"/>
                </w:rPr>
                <w:t>Tarybos pirmininkas</w:t>
                <w:tab/>
                <w:tab/>
                <w:tab/>
                <w:tab/>
                <w:tab/>
                <w:t xml:space="preserve">      Renatas Pocius</w:t>
              </w:r>
            </w:p>
            <w:p>
              <w:pPr>
                <w:jc w:val="both"/>
                <w:rPr>
                  <w:szCs w:val="24"/>
                  <w:lang w:eastAsia="lt-LT"/>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a605070f8b411eeb15a8086c0c045d4">
            <w:r w:rsidRPr="00532B9F">
              <w:rPr>
                <w:rFonts w:ascii="Times New Roman" w:eastAsia="MS Mincho" w:hAnsi="Times New Roman"/>
                <w:sz w:val="20"/>
                <w:iCs/>
                <w:color w:val="0000FF" w:themeColor="hyperlink"/>
                <w:u w:val="single"/>
              </w:rPr>
              <w:t>O3E-572</w:t>
            </w:r>
          </w:fldSimple>
          <w:r>
            <w:rPr>
              <w:rFonts w:ascii="Times New Roman" w:eastAsia="MS Mincho" w:hAnsi="Times New Roman"/>
              <w:sz w:val="20"/>
              <w:iCs/>
            </w:rPr>
            <w:t>,
2024-04-12,
paskelbta TAR 2024-04-12, i. k. 2024-06862                </w:t>
          </w:r>
        </w:p>
        <w:p>
          <w:pPr>
            <w:jc w:val="both"/>
            <w:rPr>
              <w:rFonts w:ascii="Times New Roman" w:hAnsi="Times New Roman"/>
            </w:rPr>
          </w:pPr>
          <w:r>
            <w:rPr>
              <w:rFonts w:ascii="Times New Roman" w:hAnsi="Times New Roman"/>
              <w:sz w:val="20"/>
            </w:rPr>
            <w:t>Dėl Valstybinės energetikos reguliavimo tarybos 2023 m. balandžio 25 d. nutarimo Nr. O3E-472 „Dėl AB „Energijos skirstymo operatorius“ elektros energijos persiuntimo ir tiekimo nutraukimo, apribojimo, atnaujinimo įkainių derinimo“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w:altName w:val="Arial"/>
    <w:charset w:val="00"/>
    <w:family w:val="swiss"/>
    <w:pitch w:val="variable"/>
    <w:sig w:usb0="00000001" w:usb1="00000003"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5E6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8826DD"/>
  <w15:chartTrackingRefBased/>
  <w15:docId w15:val="{1AE795C6-C63D-4BB5-AFDA-6C2342155C6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57019BF-EB2B-4A87-A7CE-1EAEF5C9BDDF}"/>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A63"/>
    <w:rsid w:val="00C16A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16A63"/>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0f0c61b3509423896c6df16a8594482" PartId="d9f110c0088748f0a1efc1f47898dcf3">
    <Part Type="preambule" DocPartId="84d92400d65e4e12b66ec84bdc493d6c" PartId="95b5430cc95b4bce9445b60ec05fb01f"/>
    <Part Type="punktas" Nr="1" Abbr="1 p." DocPartId="be7f6d4e25764405b71a529f4c247a31" PartId="9c01c9de84c34398bb0935849df0f92c"/>
    <Part Type="punktas" Nr="2" Abbr="2 p." DocPartId="d6b3f0f10e104df2b02bc417a39e1dfa" PartId="3d50baa723394ebda5b3ff6affd8fdba">
      <Part Type="papunktis" Nr="2.1" Abbr="2.1 pp." DocPartId="3f4f285253fa4b0aa75ba3c4a5b15b24" PartId="042c6a838b9243b5bd94e0fe5941b204"/>
      <Part Type="papunktis" Nr="2.2" Abbr="2.2 pp." DocPartId="a82c08975da64f7d8ac6a7b31cdaa1e4" PartId="db16ee8ae68b45f1824e78e4646bf11e"/>
    </Part>
    <Part Type="punktas" Nr="3" Abbr="3 p." DocPartId="6a42e5f751a1409f9c85101e50ede4a5" PartId="b5a766b02a62488f87b04bf29ecc3f6a"/>
    <Part Type="punktas" Nr="4" Abbr="4 p." DocPartId="6dbd96e5f91b4942ae4a8370e827e162" PartId="f66c74d5b33d4c2e9bccd591727a2530"/>
    <Part Type="pastraipa" DocPartId="558e8a1d976b4d12a8d2257358b4bf68" PartId="204ec684888c4648844e89ce7c196487"/>
    <Part Type="signatura" DocPartId="86845e9287fe4030892aa2cd228087b8" PartId="6fcec8bd5d9d46d9bf6032c6f32b1d68"/>
  </Part>
</Parts>
</file>

<file path=customXml/itemProps1.xml><?xml version="1.0" encoding="utf-8"?>
<ds:datastoreItem xmlns:ds="http://schemas.openxmlformats.org/officeDocument/2006/customXml" ds:itemID="{00CFDB03-AEB8-4273-AC04-350AB3BBBA10}">
  <ds:schemaRefs>
    <ds:schemaRef ds:uri="http://lrs.lt/TAIS/DocParts"/>
  </ds:schemaRefs>
</ds:datastoreItem>
</file>

<file path=docProps/app.xml><?xml version="1.0" encoding="utf-8"?>
<Properties xmlns="http://schemas.openxmlformats.org/officeDocument/2006/extended-properties">
  <Template>Normal.dotm</Template>
  <TotalTime>2</TotalTime>
  <Pages>4</Pages>
  <Words>5849</Words>
  <Characters>3335</Characters>
  <Application>Microsoft Office Word</Application>
  <DocSecurity>0</DocSecurity>
  <Lines>27</Lines>
  <Paragraphs>18</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9166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2023-04-25T17:13:00Z</dcterms:created>
  <dc:creator>Inesa Zubovienė</dc:creator>
  <lastModifiedBy>ŠAULYTĖ SKAIRIENĖ Dalia</lastModifiedBy>
  <dcterms:modified xsi:type="dcterms:W3CDTF">2024-04-15T10:21:00Z</dcterms:modified>
  <revision>23</revision>
</coreProperties>
</file>