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832b237df464a2b822f9f774875694c"/>
        <w:lock w:val="sdtLocked"/>
        <w:richText/>
      </w:sdtPr>
      <w:sdtContent>
        <w:p>
          <w:pPr>
            <w:jc w:val="both"/>
            <w:rPr>
              <w:rFonts w:ascii="Times New Roman" w:hAnsi="Times New Roman"/>
            </w:rPr>
          </w:pPr>
          <w:r>
            <w:rPr>
              <w:rFonts w:ascii="Times New Roman" w:hAnsi="Times New Roman"/>
              <w:b/>
              <w:i/>
            </w:rPr>
            <w:t>Suvestinė redakcija nuo 2022-07-14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2018-12-22, i. k. 2018-21306</w:t>
          </w:r>
        </w:p>
        <w:p>
          <w:pPr>
            <w:jc w:val="both"/>
            <w:rPr>
              <w:rFonts w:ascii="Times New Roman" w:hAnsi="Times New Roman"/>
              <w:sz w:val="20"/>
            </w:rPr>
          </w:pPr>
        </w:p>
        <w:p>
          <w:pPr>
            <w:keepLines/>
            <w:widowControl w:val="0"/>
            <w:suppressAutoHyphens/>
            <w:jc w:val="center"/>
            <w:rPr>
              <w:b/>
              <w:caps/>
              <w:color w:val="000000"/>
              <w:szCs w:val="24"/>
            </w:rPr>
          </w:pPr>
          <w:r>
            <w:rPr>
              <w:b/>
              <w:caps/>
              <w:color w:val="000000"/>
              <w:szCs w:val="24"/>
              <w:lang w:eastAsia="ko-KR"/>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keepLines/>
            <w:widowControl w:val="0"/>
            <w:suppressAutoHyphens/>
            <w:jc w:val="center"/>
            <w:rPr>
              <w:b/>
              <w:caps/>
              <w:color w:val="000000"/>
              <w:szCs w:val="24"/>
            </w:rPr>
          </w:pPr>
        </w:p>
        <w:p>
          <w:pPr>
            <w:keepLines/>
            <w:widowControl w:val="0"/>
            <w:suppressAutoHyphens/>
            <w:jc w:val="center"/>
            <w:rPr>
              <w:b/>
              <w:caps/>
              <w:color w:val="000000"/>
              <w:szCs w:val="24"/>
            </w:rPr>
          </w:pPr>
          <w:r>
            <w:rPr>
              <w:b/>
              <w:caps/>
              <w:color w:val="000000"/>
              <w:szCs w:val="24"/>
            </w:rPr>
            <w:t>LIETUVOS RESPUBLIKOS ENERGETIKOS MINISTRas</w:t>
          </w:r>
        </w:p>
        <w:p>
          <w:pPr>
            <w:keepLines/>
            <w:widowControl w:val="0"/>
            <w:suppressAutoHyphens/>
            <w:jc w:val="center"/>
            <w:rPr>
              <w:b/>
              <w:color w:val="000000"/>
              <w:szCs w:val="24"/>
            </w:rPr>
          </w:pPr>
        </w:p>
        <w:p>
          <w:pPr>
            <w:keepLines/>
            <w:widowControl w:val="0"/>
            <w:suppressAutoHyphens/>
            <w:jc w:val="center"/>
            <w:rPr>
              <w:b/>
              <w:bCs/>
              <w:caps/>
              <w:color w:val="000000"/>
              <w:szCs w:val="24"/>
            </w:rPr>
          </w:pPr>
          <w:r>
            <w:rPr>
              <w:b/>
              <w:color w:val="000000"/>
              <w:szCs w:val="24"/>
            </w:rPr>
            <w:t>ĮSAKYMAS</w:t>
          </w:r>
        </w:p>
        <w:p>
          <w:pPr>
            <w:keepLines/>
            <w:widowControl w:val="0"/>
            <w:suppressAutoHyphens/>
            <w:jc w:val="center"/>
            <w:rPr>
              <w:b/>
              <w:bCs/>
              <w:caps/>
              <w:color w:val="000000"/>
              <w:szCs w:val="24"/>
            </w:rPr>
          </w:pPr>
          <w:r>
            <w:rPr>
              <w:b/>
              <w:color w:val="000000"/>
              <w:szCs w:val="24"/>
            </w:rPr>
            <w:t xml:space="preserve">DĖL </w:t>
          </w:r>
          <w:r>
            <w:rPr>
              <w:b/>
              <w:bCs/>
              <w:caps/>
              <w:color w:val="000000"/>
              <w:szCs w:val="24"/>
            </w:rPr>
            <w:t>DAUGIABUČIO NAMO ŠILDYMO IR KARŠTO VANDENS SISTEMOS PRIVALOMųjų REIKALAVIMų patvirtinimo</w:t>
          </w:r>
        </w:p>
        <w:p>
          <w:pPr>
            <w:keepLines/>
            <w:widowControl w:val="0"/>
            <w:suppressAutoHyphens/>
            <w:jc w:val="center"/>
            <w:rPr>
              <w:color w:val="000000"/>
              <w:szCs w:val="24"/>
            </w:rPr>
          </w:pPr>
        </w:p>
        <w:p>
          <w:pPr>
            <w:keepLines/>
            <w:widowControl w:val="0"/>
            <w:suppressAutoHyphens/>
            <w:jc w:val="center"/>
            <w:rPr>
              <w:color w:val="000000"/>
              <w:szCs w:val="24"/>
            </w:rPr>
          </w:pPr>
          <w:r>
            <w:rPr>
              <w:color w:val="000000"/>
              <w:szCs w:val="24"/>
            </w:rPr>
            <w:t>2018 m. gruodžio 18 d. Nr. 1-348</w:t>
          </w:r>
        </w:p>
        <w:p>
          <w:pPr>
            <w:keepLines/>
            <w:widowControl w:val="0"/>
            <w:suppressAutoHyphens/>
            <w:jc w:val="center"/>
            <w:rPr>
              <w:color w:val="000000"/>
              <w:szCs w:val="24"/>
            </w:rPr>
          </w:pPr>
          <w:r>
            <w:rPr>
              <w:color w:val="000000"/>
              <w:szCs w:val="24"/>
            </w:rPr>
            <w:t>Vilnius</w:t>
          </w:r>
        </w:p>
        <w:p>
          <w:pPr>
            <w:ind w:firstLine="567"/>
            <w:jc w:val="both"/>
            <w:rPr>
              <w:szCs w:val="24"/>
            </w:rPr>
          </w:pPr>
        </w:p>
        <w:p>
          <w:pPr>
            <w:ind w:firstLine="567"/>
            <w:jc w:val="both"/>
            <w:rPr>
              <w:szCs w:val="24"/>
            </w:rPr>
          </w:pPr>
        </w:p>
        <w:sdt>
          <w:sdtPr>
            <w:alias w:val="preambule"/>
            <w:tag w:val="part_1d2dba1770054b2f8de6d063e1e849e9"/>
            <w:lock w:val="sdtLocked"/>
            <w:richText/>
          </w:sdtPr>
          <w:sdtContent>
            <w:p>
              <w:pPr>
                <w:ind w:firstLine="567"/>
                <w:jc w:val="both"/>
                <w:rPr>
                  <w:szCs w:val="24"/>
                </w:rPr>
              </w:pPr>
              <w:r>
                <w:rPr>
                  <w:szCs w:val="24"/>
                </w:rPr>
                <w:t>Vadovaudamasis Lietuvos Respublikos šilumos ūkio įstatymo 23 straipsnio 1 dalimi ir Lietuvos Respublikos Vyriausybės 2003 m. birželio 17 d. nutarimo Nr. 765 „Dėl įgaliojimų suteikimo įgyvendinant Lietuvos Respublikos šilumos ūkio įstatymą“ 1.9 papunkčiu:</w:t>
              </w:r>
            </w:p>
          </w:sdtContent>
        </w:sdt>
        <w:sdt>
          <w:sdtPr>
            <w:alias w:val="1 p."/>
            <w:tag w:val="part_d56d314c980e4946843603463c8b76e2"/>
            <w:lock w:val="sdtLocked"/>
            <w:richText/>
          </w:sdtPr>
          <w:sdtContent>
            <w:p>
              <w:pPr>
                <w:spacing w:line="252" w:lineRule="auto"/>
                <w:ind w:firstLine="567"/>
                <w:jc w:val="both"/>
                <w:rPr>
                  <w:sz w:val="22"/>
                  <w:szCs w:val="24"/>
                </w:rPr>
              </w:pPr>
              <w:sdt>
                <w:sdtPr>
                  <w:alias w:val="Numeris"/>
                  <w:tag w:val="nr_d56d314c980e4946843603463c8b76e2"/>
                  <w:lock w:val="sdtLocked"/>
                  <w:richText/>
                </w:sdtPr>
                <w:sdtContent>
                  <w:r>
                    <w:rPr>
                      <w:szCs w:val="24"/>
                    </w:rPr>
                    <w:t>1</w:t>
                  </w:r>
                </w:sdtContent>
              </w:sdt>
              <w:r>
                <w:rPr>
                  <w:szCs w:val="24"/>
                </w:rPr>
                <w:t>.</w:t>
                <w:tab/>
              </w:r>
              <w:r>
                <w:rPr>
                  <w:sz w:val="22"/>
                  <w:szCs w:val="24"/>
                </w:rPr>
                <w:t xml:space="preserve">T v i r t i n u  Daugiabučio namo šildymo ir karšto vandens sistemos privalomuosius reikalavimus (pridedama).</w:t>
              </w:r>
            </w:p>
            <w:p>
              <w:pPr>
                <w:rPr>
                  <w:sz w:val="14"/>
                  <w:szCs w:val="14"/>
                </w:rPr>
              </w:pPr>
            </w:p>
          </w:sdtContent>
        </w:sdt>
        <w:sdt>
          <w:sdtPr>
            <w:alias w:val="2 p."/>
            <w:tag w:val="part_c8f2221dce6947898b91851a7b1967e6"/>
            <w:lock w:val="sdtLocked"/>
            <w:richText/>
          </w:sdtPr>
          <w:sdtContent>
            <w:p>
              <w:pPr>
                <w:spacing w:line="252" w:lineRule="auto"/>
                <w:ind w:left="927" w:hanging="360"/>
                <w:jc w:val="both"/>
                <w:rPr>
                  <w:sz w:val="22"/>
                  <w:szCs w:val="24"/>
                </w:rPr>
              </w:pPr>
              <w:sdt>
                <w:sdtPr>
                  <w:alias w:val="Numeris"/>
                  <w:tag w:val="nr_c8f2221dce6947898b91851a7b1967e6"/>
                  <w:lock w:val="sdtLocked"/>
                  <w:richText/>
                </w:sdtPr>
                <w:sdtContent>
                  <w:r>
                    <w:rPr>
                      <w:szCs w:val="24"/>
                    </w:rPr>
                    <w:t>2</w:t>
                  </w:r>
                </w:sdtContent>
              </w:sdt>
              <w:r>
                <w:rPr>
                  <w:szCs w:val="24"/>
                </w:rPr>
                <w:t>.</w:t>
                <w:tab/>
              </w:r>
              <w:r>
                <w:rPr>
                  <w:sz w:val="22"/>
                  <w:szCs w:val="24"/>
                </w:rPr>
                <w:tab/>
                <w:t>N u s t a t a u, kad šis įsakymas įsigalioja nuo 2019 m. sausio 1 d.</w:t>
              </w:r>
            </w:p>
          </w:sdtContent>
        </w:sdt>
        <w:sdt>
          <w:sdtPr>
            <w:alias w:val="signatura"/>
            <w:tag w:val="part_16623b74bc0145719479f1835180f45e"/>
            <w:lock w:val="sdtLocked"/>
            <w:richText/>
          </w:sdtPr>
          <w:sdtContent>
            <w:p>
              <w:pPr>
                <w:ind w:firstLine="567"/>
                <w:jc w:val="both"/>
                <w:rPr>
                  <w:szCs w:val="24"/>
                </w:rPr>
              </w:pPr>
            </w:p>
            <w:p>
              <w:pPr>
                <w:ind w:firstLine="567"/>
                <w:jc w:val="both"/>
                <w:rPr>
                  <w:szCs w:val="24"/>
                </w:rPr>
              </w:pPr>
            </w:p>
            <w:p>
              <w:pPr>
                <w:ind w:firstLine="567"/>
                <w:jc w:val="both"/>
                <w:rPr>
                  <w:szCs w:val="24"/>
                </w:rPr>
              </w:pPr>
            </w:p>
            <w:p>
              <w:pPr>
                <w:ind w:firstLine="567"/>
                <w:jc w:val="both"/>
                <w:rPr>
                  <w:szCs w:val="24"/>
                </w:rPr>
              </w:pPr>
            </w:p>
            <w:p>
              <w:pPr>
                <w:ind w:firstLine="567"/>
                <w:jc w:val="both"/>
                <w:rPr>
                  <w:szCs w:val="24"/>
                </w:rPr>
              </w:pPr>
              <w:r>
                <w:rPr>
                  <w:szCs w:val="24"/>
                </w:rPr>
                <w:t>Energetikos ministras</w:t>
                <w:tab/>
                <w:tab/>
                <w:tab/>
                <w:t>Žygimantas Vaičiūnas</w:t>
              </w:r>
            </w:p>
            <w:p>
              <w:pPr>
                <w:ind w:firstLine="567"/>
                <w:jc w:val="both"/>
                <w:rPr>
                  <w:szCs w:val="24"/>
                </w:rPr>
              </w:pPr>
            </w:p>
          </w:sdtContent>
        </w:sdt>
      </w:sdtContent>
    </w:sdt>
    <w:sdt>
      <w:sdtPr>
        <w:alias w:val="patvirtinta"/>
        <w:tag w:val="part_2ca640e088894d899342f586e3bdd3cb"/>
        <w:lock w:val="sdtLocked"/>
        <w:richText/>
      </w:sdtPr>
      <w:sdtContent>
        <w:p>
          <w:pPr>
            <w:ind w:left="4536"/>
            <w:jc w:val="both"/>
            <w:sectPr>
              <w:headerReference w:type="even" r:id="rId10"/>
              <w:headerReference w:type="default" r:id="rId11"/>
              <w:footerReference w:type="even" r:id="rId12"/>
              <w:footerReference w:type="default" r:id="rId13"/>
              <w:headerReference w:type="first" r:id="rId14"/>
              <w:footerReference w:type="first" r:id="rId15"/>
              <w:pgSz w:w="11906" w:h="16838"/>
              <w:pgMar w:top="1276" w:right="567" w:bottom="709" w:left="1701" w:header="567" w:footer="567" w:gutter="0"/>
              <w:pgNumType w:start="1"/>
              <w:cols w:space="1296"/>
              <w:titlePg/>
              <w:docGrid w:linePitch="360"/>
            </w:sectPr>
          </w:pPr>
        </w:p>
        <w:p>
          <w:pPr>
            <w:ind w:left="4536"/>
            <w:jc w:val="both"/>
            <w:rPr>
              <w:szCs w:val="24"/>
            </w:rPr>
          </w:pPr>
          <w:r>
            <w:rPr>
              <w:szCs w:val="24"/>
            </w:rPr>
            <w:t>PATVIRTINTA</w:t>
          </w:r>
        </w:p>
        <w:p>
          <w:pPr>
            <w:ind w:left="4536"/>
            <w:jc w:val="both"/>
            <w:rPr>
              <w:szCs w:val="24"/>
            </w:rPr>
          </w:pPr>
          <w:r>
            <w:rPr>
              <w:szCs w:val="24"/>
            </w:rPr>
            <w:t>Lietuvos Respublikos energetikos ministro</w:t>
          </w:r>
        </w:p>
        <w:p>
          <w:pPr>
            <w:ind w:left="4536"/>
            <w:jc w:val="both"/>
            <w:rPr>
              <w:szCs w:val="24"/>
            </w:rPr>
          </w:pPr>
          <w:r>
            <w:rPr>
              <w:szCs w:val="24"/>
            </w:rPr>
            <w:t>2018 m. gruodžio 18 d. įsakymu Nr. 1-348</w:t>
          </w:r>
        </w:p>
        <w:p>
          <w:pPr>
            <w:ind w:left="4536"/>
            <w:jc w:val="both"/>
            <w:rPr>
              <w:szCs w:val="24"/>
            </w:rPr>
          </w:pPr>
          <w:r>
            <w:rPr>
              <w:szCs w:val="24"/>
            </w:rPr>
            <w:t xml:space="preserve">(Lietuvos Respublikos energetikos ministro </w:t>
          </w:r>
        </w:p>
        <w:p>
          <w:pPr>
            <w:ind w:left="4536"/>
            <w:jc w:val="both"/>
            <w:rPr>
              <w:szCs w:val="24"/>
            </w:rPr>
          </w:pPr>
          <w:r>
            <w:rPr>
              <w:szCs w:val="24"/>
            </w:rPr>
            <w:t>2022 m. liepos 5 d. įsakymu Nr. 1-212)</w:t>
          </w:r>
        </w:p>
        <w:p>
          <w:pPr>
            <w:ind w:left="4536"/>
            <w:jc w:val="both"/>
            <w:rPr>
              <w:szCs w:val="24"/>
            </w:rPr>
          </w:pPr>
        </w:p>
        <w:p>
          <w:pPr>
            <w:ind w:firstLine="2880"/>
            <w:jc w:val="both"/>
            <w:rPr>
              <w:szCs w:val="24"/>
            </w:rPr>
          </w:pPr>
        </w:p>
        <w:p>
          <w:pPr>
            <w:ind w:firstLine="567"/>
            <w:jc w:val="center"/>
            <w:rPr>
              <w:b/>
              <w:szCs w:val="24"/>
            </w:rPr>
          </w:pPr>
          <w:sdt>
            <w:sdtPr>
              <w:alias w:val="Pavadinimas"/>
              <w:tag w:val="title_2ca640e088894d899342f586e3bdd3cb"/>
              <w:lock w:val="sdtLocked"/>
              <w:richText/>
            </w:sdtPr>
            <w:sdtContent>
              <w:r>
                <w:rPr>
                  <w:b/>
                  <w:szCs w:val="24"/>
                </w:rPr>
                <w:t>DAUGIABUČIO NAMO ŠILDYMO IR KARŠTO VANDENS SISTEMOS PRIVALOMIEJI REIKALAVIMAI</w:t>
              </w:r>
            </w:sdtContent>
          </w:sdt>
        </w:p>
        <w:p>
          <w:pPr>
            <w:ind w:firstLine="567"/>
            <w:jc w:val="both"/>
            <w:rPr>
              <w:szCs w:val="24"/>
            </w:rPr>
          </w:pPr>
        </w:p>
        <w:sdt>
          <w:sdtPr>
            <w:alias w:val="1 p."/>
            <w:tag w:val="part_55fbacdaf99849e8a86a9b06914a1923"/>
            <w:lock w:val="sdtLocked"/>
            <w:richText/>
          </w:sdtPr>
          <w:sdtContent>
            <w:p>
              <w:pPr>
                <w:ind w:firstLine="567"/>
                <w:jc w:val="both"/>
                <w:rPr>
                  <w:szCs w:val="24"/>
                </w:rPr>
              </w:pPr>
              <w:sdt>
                <w:sdtPr>
                  <w:alias w:val="Numeris"/>
                  <w:tag w:val="nr_55fbacdaf99849e8a86a9b06914a1923"/>
                  <w:lock w:val="sdtLocked"/>
                  <w:richText/>
                </w:sdtPr>
                <w:sdtContent>
                  <w:r>
                    <w:rPr>
                      <w:szCs w:val="24"/>
                    </w:rPr>
                    <w:t>1</w:t>
                  </w:r>
                </w:sdtContent>
              </w:sdt>
              <w:r>
                <w:rPr>
                  <w:szCs w:val="24"/>
                </w:rPr>
                <w:t xml:space="preserve">. Daugiabučio namo šildymo ir karšto vandens sistemos privalomieji reikalavimai (toliau – Privalomieji reikalavimai) nustatomi daugiabučių namų šildymo ir karšto vandens sistemoms </w:t>
                <w:br/>
                <w:t>(toliau – sistemos).</w:t>
              </w:r>
            </w:p>
          </w:sdtContent>
        </w:sdt>
        <w:sdt>
          <w:sdtPr>
            <w:alias w:val="2 p."/>
            <w:tag w:val="part_82f0bd9f895949bdbf41ef1891005691"/>
            <w:lock w:val="sdtLocked"/>
            <w:richText/>
          </w:sdtPr>
          <w:sdtContent>
            <w:p>
              <w:pPr>
                <w:ind w:firstLine="567"/>
                <w:jc w:val="both"/>
                <w:rPr>
                  <w:szCs w:val="24"/>
                </w:rPr>
              </w:pPr>
              <w:sdt>
                <w:sdtPr>
                  <w:alias w:val="Numeris"/>
                  <w:tag w:val="nr_82f0bd9f895949bdbf41ef1891005691"/>
                  <w:lock w:val="sdtLocked"/>
                  <w:richText/>
                </w:sdtPr>
                <w:sdtContent>
                  <w:r>
                    <w:rPr>
                      <w:szCs w:val="24"/>
                    </w:rPr>
                    <w:t>2</w:t>
                  </w:r>
                </w:sdtContent>
              </w:sdt>
              <w:r>
                <w:rPr>
                  <w:szCs w:val="24"/>
                </w:rPr>
                <w:t>. Sistemos, gaunančios šilumą iš aprūpinimo šiluma sistemų, privalo atitikti Statybos techninio reglamento STR 2.09.02:2005 „Šildymas, vėdinimas ir oro kondicionavimas“, patvirtinto Lietuvos Respublikos aplinkos ministro 2005 m. birželio 9 d. įsakymu Nr. D1-289 „Dėl</w:t>
              </w:r>
              <w:r>
                <w:rPr>
                  <w:sz w:val="22"/>
                  <w:szCs w:val="22"/>
                </w:rPr>
                <w:t xml:space="preserve"> </w:t>
              </w:r>
              <w:r>
                <w:rPr>
                  <w:szCs w:val="24"/>
                </w:rPr>
                <w:t>statybos techninio reglamento STR 2.09.02:2005 „Šildymas, vėdinimas ir oro kondicionavimas“ patvirtinimo“, Šilumos tiekimo tinklų ir šilumos punktų įrengimo taisyklių, patvirtintų Lietuvos Respublikos energetikos ministro 2011 m. birželio 17 d. įsakymu Nr. 1-160</w:t>
              </w:r>
              <w:r>
                <w:rPr>
                  <w:sz w:val="22"/>
                  <w:szCs w:val="22"/>
                </w:rPr>
                <w:t xml:space="preserve"> </w:t>
              </w:r>
              <w:r>
                <w:rPr>
                  <w:szCs w:val="24"/>
                </w:rPr>
                <w:t xml:space="preserve">„Dėl Šilumos tiekimo tinklų ir šilumos punktų įrengimo taisyklių patvirtinimo“, ir Pastatų karšto vandens sistemų įrengimo taisyklių, patvirtintų Lietuvos Respublikos energetikos ministro 2017 m. liepos 19 d. įsakymu Nr. 1-196 „Dėl pastatų karšto vandens sistemų įrengimo taisyklių patvirtinimo“, reikalavimus ir (ar) daugiabučių namų projektiniuose dokumentuose nustatytus reikalavimus šildymo prietaisų galiai, šilumnešio debitų paskirstymui, vamzdynų šiluminei izoliacijai. </w:t>
              </w:r>
            </w:p>
          </w:sdtContent>
        </w:sdt>
        <w:sdt>
          <w:sdtPr>
            <w:alias w:val="3 p."/>
            <w:tag w:val="part_198d0beae27d40c1b633484fc5214746"/>
            <w:lock w:val="sdtLocked"/>
            <w:richText/>
          </w:sdtPr>
          <w:sdtContent>
            <w:p>
              <w:pPr>
                <w:ind w:firstLine="567"/>
                <w:jc w:val="both"/>
                <w:rPr>
                  <w:szCs w:val="24"/>
                </w:rPr>
              </w:pPr>
              <w:sdt>
                <w:sdtPr>
                  <w:alias w:val="Numeris"/>
                  <w:tag w:val="nr_198d0beae27d40c1b633484fc5214746"/>
                  <w:lock w:val="sdtLocked"/>
                  <w:richText/>
                </w:sdtPr>
                <w:sdtContent>
                  <w:r>
                    <w:t>3</w:t>
                  </w:r>
                </w:sdtContent>
              </w:sdt>
              <w:r>
                <w:t>. S</w:t>
              </w:r>
              <w:r>
                <w:rPr>
                  <w:szCs w:val="24"/>
                </w:rPr>
                <w:t xml:space="preserve">istemose turi būti įrengti automatiniai šilumos punktai su galimybe reguliuoti šilumos suvartojimą pastate, priklausomai nuo lauko oro ir pastato šildomų patalpų temperatūrų pokyčio. </w:t>
              </w:r>
              <w:r>
                <w:t>Šilumos tiekėjas, įvertinęs šilumos tiekimo tinklų ir vartotojų sistemos techninius ir ekonominius parametrus, gali priimti sprendimą, kad vartotojų sistemos gali būti priklausomosios, tačiau modernizuotos pagal šilumos tiekėjo išduotas technines sąlygas.</w:t>
              </w:r>
            </w:p>
          </w:sdtContent>
        </w:sdt>
        <w:sdt>
          <w:sdtPr>
            <w:alias w:val="4 p."/>
            <w:tag w:val="part_b73a5b86068f45948bf2aab706d12703"/>
            <w:lock w:val="sdtLocked"/>
            <w:richText/>
          </w:sdtPr>
          <w:sdtContent>
            <w:p>
              <w:pPr>
                <w:ind w:firstLine="567"/>
                <w:jc w:val="both"/>
                <w:rPr>
                  <w:szCs w:val="24"/>
                </w:rPr>
              </w:pPr>
              <w:sdt>
                <w:sdtPr>
                  <w:alias w:val="Numeris"/>
                  <w:tag w:val="nr_b73a5b86068f45948bf2aab706d12703"/>
                  <w:lock w:val="sdtLocked"/>
                  <w:richText/>
                </w:sdtPr>
                <w:sdtContent>
                  <w:r>
                    <w:rPr>
                      <w:szCs w:val="24"/>
                    </w:rPr>
                    <w:t>4</w:t>
                  </w:r>
                </w:sdtContent>
              </w:sdt>
              <w:r>
                <w:rPr>
                  <w:szCs w:val="24"/>
                </w:rPr>
                <w:t>. Sistemose turi būti įrengti atsiskaitomieji šilumos apskaitos prietaisai, daugiabučiame name apskaitos prietaisai geriamojo vandens karštam vandeniui ruošti kiekiui nustatyti bei daugiabučio namo kiekviename bute (ar kitoje patalpoje) sunaudoto karšto vandens kiekiui nustatyti atsiskaitomieji karšto vandens apskaitos prietaisai, jeigu daugiabučiame name ruošiamas karštas vanduo. Apskaitos prietaisų rodmenys gali būtų nuskaitomi nuotoliniu būdu.</w:t>
              </w:r>
            </w:p>
          </w:sdtContent>
        </w:sdt>
        <w:sdt>
          <w:sdtPr>
            <w:alias w:val="5 p."/>
            <w:tag w:val="part_02ce9cb6a3264e18ac69e7080181fc35"/>
            <w:lock w:val="sdtLocked"/>
            <w:richText/>
          </w:sdtPr>
          <w:sdtContent>
            <w:p>
              <w:pPr>
                <w:ind w:firstLine="567"/>
                <w:jc w:val="both"/>
                <w:rPr>
                  <w:szCs w:val="24"/>
                </w:rPr>
              </w:pPr>
              <w:sdt>
                <w:sdtPr>
                  <w:alias w:val="Numeris"/>
                  <w:tag w:val="nr_02ce9cb6a3264e18ac69e7080181fc35"/>
                  <w:lock w:val="sdtLocked"/>
                  <w:richText/>
                </w:sdtPr>
                <w:sdtContent>
                  <w:r>
                    <w:rPr>
                      <w:szCs w:val="24"/>
                    </w:rPr>
                    <w:t>5</w:t>
                  </w:r>
                </w:sdtContent>
              </w:sdt>
              <w:r>
                <w:rPr>
                  <w:szCs w:val="24"/>
                </w:rPr>
                <w:t>. Sistemų įranga turi sudaryti sąlygas užtikrinti vienodą pastato vidaus patalpų temperatūrą visose šildomose pastato patalpose, jei nėra techninės galimybės vartotojams atskirai reguliuoti savo patalpų šildymo.</w:t>
              </w:r>
            </w:p>
          </w:sdtContent>
        </w:sdt>
        <w:sdt>
          <w:sdtPr>
            <w:alias w:val="6 p."/>
            <w:tag w:val="part_7bc60908c9f34787883c42a495f89e2a"/>
            <w:lock w:val="sdtLocked"/>
            <w:richText/>
          </w:sdtPr>
          <w:sdtContent>
            <w:p>
              <w:pPr>
                <w:ind w:firstLine="567"/>
                <w:jc w:val="both"/>
                <w:rPr>
                  <w:szCs w:val="24"/>
                </w:rPr>
              </w:pPr>
              <w:sdt>
                <w:sdtPr>
                  <w:alias w:val="Numeris"/>
                  <w:tag w:val="nr_7bc60908c9f34787883c42a495f89e2a"/>
                  <w:lock w:val="sdtLocked"/>
                  <w:richText/>
                </w:sdtPr>
                <w:sdtContent>
                  <w:r>
                    <w:rPr>
                      <w:szCs w:val="24"/>
                    </w:rPr>
                    <w:t>6</w:t>
                  </w:r>
                </w:sdtContent>
              </w:sdt>
              <w:r>
                <w:rPr>
                  <w:szCs w:val="24"/>
                </w:rPr>
                <w:t>. Rekonstruojamos, atnaujinamos (modernizuojamos) sistemos turi atitikti Privalomųjų reikalavimų 2 punkte nurodytuose teisės aktuose nustatytus reikalavimus.</w:t>
              </w:r>
            </w:p>
          </w:sdtContent>
        </w:sdt>
        <w:sdt>
          <w:sdtPr>
            <w:alias w:val="7 p."/>
            <w:tag w:val="part_e3959039669b45f992344f4f1a826601"/>
            <w:lock w:val="sdtLocked"/>
            <w:richText/>
          </w:sdtPr>
          <w:sdtContent>
            <w:p>
              <w:pPr>
                <w:ind w:firstLine="567"/>
                <w:jc w:val="both"/>
                <w:rPr>
                  <w:szCs w:val="24"/>
                </w:rPr>
              </w:pPr>
              <w:sdt>
                <w:sdtPr>
                  <w:alias w:val="Numeris"/>
                  <w:tag w:val="nr_e3959039669b45f992344f4f1a826601"/>
                  <w:lock w:val="sdtLocked"/>
                  <w:richText/>
                </w:sdtPr>
                <w:sdtContent>
                  <w:r>
                    <w:rPr>
                      <w:szCs w:val="24"/>
                    </w:rPr>
                    <w:t>7</w:t>
                  </w:r>
                </w:sdtContent>
              </w:sdt>
              <w:r>
                <w:rPr>
                  <w:szCs w:val="24"/>
                </w:rPr>
                <w:t>. Rekonstruojamose, atnaujinamose (modernizuojamose) sistemose turi būti:</w:t>
              </w:r>
            </w:p>
            <w:sdt>
              <w:sdtPr>
                <w:alias w:val="7.1 pp."/>
                <w:tag w:val="part_1061ea40c7a14672bb8f9d5ecba404c6"/>
                <w:lock w:val="sdtLocked"/>
                <w:richText/>
              </w:sdtPr>
              <w:sdtContent>
                <w:p>
                  <w:pPr>
                    <w:ind w:firstLine="567"/>
                    <w:jc w:val="both"/>
                    <w:rPr>
                      <w:szCs w:val="24"/>
                    </w:rPr>
                  </w:pPr>
                  <w:sdt>
                    <w:sdtPr>
                      <w:alias w:val="Numeris"/>
                      <w:tag w:val="nr_1061ea40c7a14672bb8f9d5ecba404c6"/>
                      <w:lock w:val="sdtLocked"/>
                      <w:richText/>
                    </w:sdtPr>
                    <w:sdtContent>
                      <w:r>
                        <w:rPr>
                          <w:szCs w:val="24"/>
                        </w:rPr>
                        <w:t>7.1</w:t>
                      </w:r>
                    </w:sdtContent>
                  </w:sdt>
                  <w:r>
                    <w:rPr>
                      <w:szCs w:val="24"/>
                    </w:rPr>
                    <w:t xml:space="preserve">. automatinės hidraulinio balansavimo priemonės; </w:t>
                  </w:r>
                </w:p>
              </w:sdtContent>
            </w:sdt>
            <w:sdt>
              <w:sdtPr>
                <w:alias w:val="7.2 pp."/>
                <w:tag w:val="part_498ebc3099444844b503e1599ef4e55f"/>
                <w:lock w:val="sdtLocked"/>
                <w:richText/>
              </w:sdtPr>
              <w:sdtContent>
                <w:p>
                  <w:pPr>
                    <w:ind w:firstLine="567"/>
                    <w:jc w:val="both"/>
                    <w:rPr>
                      <w:szCs w:val="24"/>
                    </w:rPr>
                  </w:pPr>
                  <w:sdt>
                    <w:sdtPr>
                      <w:alias w:val="Numeris"/>
                      <w:tag w:val="nr_498ebc3099444844b503e1599ef4e55f"/>
                      <w:lock w:val="sdtLocked"/>
                      <w:richText/>
                    </w:sdtPr>
                    <w:sdtContent>
                      <w:r>
                        <w:rPr>
                          <w:szCs w:val="24"/>
                        </w:rPr>
                        <w:t>7.2</w:t>
                      </w:r>
                    </w:sdtContent>
                  </w:sdt>
                  <w:r>
                    <w:rPr>
                      <w:szCs w:val="24"/>
                    </w:rPr>
                    <w:t>. įrenginiai reguliuoti šilumos suvartojimą pastate, atitinkantys Statybos techniniame reglamente STR 2.09.02:2005 „Šildymas, vėdinimas ir oro kondicionavimas“ nustatytus reikalavimus;</w:t>
                  </w:r>
                </w:p>
              </w:sdtContent>
            </w:sdt>
            <w:sdt>
              <w:sdtPr>
                <w:alias w:val="7.3 pp."/>
                <w:tag w:val="part_7b0cf0ef7c994637b9440aa87aeb5614"/>
                <w:lock w:val="sdtLocked"/>
                <w:richText/>
              </w:sdtPr>
              <w:sdtContent>
                <w:p>
                  <w:pPr>
                    <w:ind w:firstLine="567"/>
                    <w:jc w:val="both"/>
                    <w:rPr>
                      <w:szCs w:val="24"/>
                    </w:rPr>
                  </w:pPr>
                  <w:sdt>
                    <w:sdtPr>
                      <w:alias w:val="Numeris"/>
                      <w:tag w:val="nr_7b0cf0ef7c994637b9440aa87aeb5614"/>
                      <w:lock w:val="sdtLocked"/>
                      <w:richText/>
                    </w:sdtPr>
                    <w:sdtContent>
                      <w:r>
                        <w:rPr>
                          <w:szCs w:val="24"/>
                        </w:rPr>
                        <w:t>7.3</w:t>
                      </w:r>
                    </w:sdtContent>
                  </w:sdt>
                  <w:r>
                    <w:rPr>
                      <w:szCs w:val="24"/>
                    </w:rPr>
                    <w:t>. atsiskaitomieji šilumos apskaitos prietaisai, daugiabučiame name apskaitos prietaisai sunaudotam geriamojo vandens karštam vandeniui ruošti kiekiui nustatyti bei atsiskaitomieji karšto vandens apskaitos prietaisai daugiabučio namo kiekviename bute (ar kitoje patalpoje) sunaudoto karšto vandens kiekiui nustatyti, jeigu daugiabučiame name ruošiamas karštas vanduo.</w:t>
                  </w:r>
                </w:p>
              </w:sdtContent>
            </w:sdt>
          </w:sdtContent>
        </w:sdt>
        <w:sdt>
          <w:sdtPr>
            <w:alias w:val="pabaiga"/>
            <w:tag w:val="part_83d9b915e3d64ac395b2611d23359633"/>
            <w:lock w:val="sdtLocked"/>
            <w:richText/>
          </w:sdtPr>
          <w:sdtContent>
            <w:p>
              <w:pPr>
                <w:ind w:firstLine="567"/>
                <w:jc w:val="center"/>
                <w:rPr>
                  <w:szCs w:val="24"/>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97e40fc6311ec8fa7d02a65c371ad">
            <w:r w:rsidRPr="00532B9F">
              <w:rPr>
                <w:rFonts w:ascii="Times New Roman" w:eastAsia="MS Mincho" w:hAnsi="Times New Roman"/>
                <w:sz w:val="20"/>
                <w:i/>
                <w:iCs/>
                <w:color w:val="0000FF" w:themeColor="hyperlink"/>
                <w:u w:val="single"/>
              </w:rPr>
              <w:t>1-212</w:t>
            </w:r>
          </w:fldSimple>
          <w:r>
            <w:rPr>
              <w:rFonts w:ascii="Times New Roman" w:eastAsia="MS Mincho" w:hAnsi="Times New Roman"/>
              <w:sz w:val="20"/>
              <w:i/>
              <w:iCs/>
            </w:rPr>
            <w:t>,
2022-07-05,
paskelbta TAR 2022-07-05, i. k. 2022-14703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297e40fc6311ec8fa7d02a65c371ad">
            <w:r w:rsidRPr="00532B9F">
              <w:rPr>
                <w:rFonts w:ascii="Times New Roman" w:eastAsia="MS Mincho" w:hAnsi="Times New Roman"/>
                <w:sz w:val="20"/>
                <w:iCs/>
                <w:color w:val="0000FF" w:themeColor="hyperlink"/>
                <w:u w:val="single"/>
              </w:rPr>
              <w:t>1-212</w:t>
            </w:r>
          </w:fldSimple>
          <w:r>
            <w:rPr>
              <w:rFonts w:ascii="Times New Roman" w:eastAsia="MS Mincho" w:hAnsi="Times New Roman"/>
              <w:sz w:val="20"/>
              <w:iCs/>
            </w:rPr>
            <w:t>,
2022-07-05,
paskelbta TAR 2022-07-05, i. k. 2022-14703                </w:t>
          </w:r>
        </w:p>
        <w:p>
          <w:pPr>
            <w:jc w:val="both"/>
            <w:rPr>
              <w:rFonts w:ascii="Times New Roman" w:hAnsi="Times New Roman"/>
            </w:rPr>
          </w:pPr>
          <w:r>
            <w:rPr>
              <w:rFonts w:ascii="Times New Roman" w:hAnsi="Times New Roman"/>
              <w:sz w:val="20"/>
            </w:rPr>
            <w:t>Dėl Lietuvos Respublikos energetikos ministro 2018 m. gruodžio 18 d. įsakymo Nr. 1-348 „Dėl Daugiabučio namo šildymo ir karšto vandens sistemos privalomųjų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709"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05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5D9EC2-6A0E-4DB3-93BD-625E3CC7E52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914503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xml"/>
  <Relationship Id="rId11" Type="http://schemas.openxmlformats.org/officeDocument/2006/relationships/header" Target="header4.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5.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header" Target="header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50A0FE91-6AE1-4C35-846E-FF27692011A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55D9"/>
    <w:rsid w:val="00124269"/>
    <w:rsid w:val="008255D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55D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a58f8267bc45f4a575524b05cea24e" PartId="4832b237df464a2b822f9f774875694c">
    <Part Type="preambule" DocPartId="cacdb444ecd444c1959f4411f34844c9" PartId="1d2dba1770054b2f8de6d063e1e849e9"/>
    <Part Type="punktas" Nr="1" Abbr="1 p." DocPartId="10236d63e6da4c7383c6f4a444ad70bc" PartId="d56d314c980e4946843603463c8b76e2"/>
    <Part Type="punktas" Nr="2" Abbr="2 p." DocPartId="524c980fcdac463fae21cc49c2c5ea36" PartId="c8f2221dce6947898b91851a7b1967e6"/>
    <Part Type="signatura" DocPartId="deaa898b5d664b71a2a7e1c510dc8fa2" PartId="16623b74bc0145719479f1835180f45e"/>
  </Part>
  <Part Type="patvirtinta" Title="DAUGIABUČIO NAMO ŠILDYMO IR KARŠTO VANDENS SISTEMOS PRIVALOMIEJI REIKALAVIMAI" DocPartId="24812b892a2346e6a71c20e45e342e45" PartId="2ca640e088894d899342f586e3bdd3cb">
    <Part Type="punktas" Nr="1" Abbr="1 p." DocPartId="1829bbf5600247b581e46b15f3cee30c" PartId="55fbacdaf99849e8a86a9b06914a1923"/>
    <Part Type="punktas" Nr="2" Abbr="2 p." DocPartId="e96b5c49e3b8415db78a377bbd94c6d6" PartId="82f0bd9f895949bdbf41ef1891005691"/>
    <Part Type="punktas" Nr="3" Abbr="3 p." DocPartId="a39f1bd2639e42ed9b1bc40454cee9c7" PartId="198d0beae27d40c1b633484fc5214746"/>
    <Part Type="punktas" Nr="4" Abbr="4 p." DocPartId="bdd7901ad80d478bb55ad3d68c6e0c2b" PartId="b73a5b86068f45948bf2aab706d12703"/>
    <Part Type="punktas" Nr="5" Abbr="5 p." DocPartId="3abbb4b68ffe4a76a2ce4e2e85eaee80" PartId="02ce9cb6a3264e18ac69e7080181fc35"/>
    <Part Type="punktas" Nr="6" Abbr="6 p." DocPartId="72c16a9ed10e49bda3af0768a812e5fb" PartId="7bc60908c9f34787883c42a495f89e2a"/>
    <Part Type="punktas" Nr="7" Abbr="7 p." DocPartId="258dfd38651246139b74013487aecc26" PartId="e3959039669b45f992344f4f1a826601">
      <Part Type="papunktis" Nr="7.1" Abbr="7.1 pp." DocPartId="8c57f253c5854b7c937970c146b761a4" PartId="1061ea40c7a14672bb8f9d5ecba404c6"/>
      <Part Type="papunktis" Nr="7.2" Abbr="7.2 pp." DocPartId="667d007de24a48488bb2d8f6ed82fa1b" PartId="498ebc3099444844b503e1599ef4e55f"/>
      <Part Type="papunktis" Nr="7.3" Abbr="7.3 pp." DocPartId="097352c08b6548138e1cb5e110e0f037" PartId="7b0cf0ef7c994637b9440aa87aeb5614"/>
    </Part>
    <Part Type="pabaiga" DocPartId="eed8b2c529b74f4ca006f04d71d30753" PartId="83d9b915e3d64ac395b2611d23359633"/>
  </Part>
</Parts>
</file>

<file path=customXml/itemProps1.xml><?xml version="1.0" encoding="utf-8"?>
<ds:datastoreItem xmlns:ds="http://schemas.openxmlformats.org/officeDocument/2006/customXml" ds:itemID="{330F3D95-838C-4AF8-BCA9-309D091FA3AB}">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4753</Words>
  <Characters>2710</Characters>
  <Application>Microsoft Office Word</Application>
  <DocSecurity>0</DocSecurity>
  <Lines>22</Lines>
  <Paragraphs>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7449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2018-12-21T18:51:00Z</dcterms:created>
  <dc:creator>Vytautas</dc:creator>
  <lastModifiedBy>ŠAULYTĖ SKAIRIENĖ Dalia</lastModifiedBy>
  <lastPrinted>2018-12-04T07:32:00Z</lastPrinted>
  <dcterms:modified xsi:type="dcterms:W3CDTF">2022-07-08T04:31:00Z</dcterms:modified>
  <revision>5</revision>
</coreProperties>
</file>