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df573f742a491a8e23b28f9f5d06db"/>
        <w:lock w:val="sdtLocked"/>
        <w:richText/>
      </w:sdtPr>
      <w:sdtContent>
        <w:p>
          <w:pPr>
            <w:jc w:val="both"/>
            <w:rPr>
              <w:rFonts w:ascii="Times New Roman" w:hAnsi="Times New Roman"/>
            </w:rPr>
          </w:pPr>
          <w:r>
            <w:rPr>
              <w:rFonts w:ascii="Times New Roman" w:hAnsi="Times New Roman"/>
              <w:b/>
              <w:i/>
            </w:rPr>
            <w:t>Suvestinė redakcija nuo 2019-05-25 iki 2019-12-20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tabs>
              <w:tab w:val="center" w:pos="4153"/>
              <w:tab w:val="right" w:pos="8306"/>
            </w:tabs>
            <w:jc w:val="center"/>
            <w:rPr>
              <w:rFonts w:ascii="TimesLT" w:hAnsi="TimesLT" w:cs="Arial"/>
              <w:sz w:val="20"/>
            </w:rPr>
          </w:pPr>
          <w:r>
            <w:rPr>
              <w:lang w:eastAsia="lt-LT"/>
            </w:rPr>
            <w:drawing>
              <wp:inline distT="0" distB="0" distL="0" distR="0">
                <wp:extent cx="542290" cy="597535"/>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suppressAutoHyphens/>
            <w:jc w:val="center"/>
            <w:rPr>
              <w:b/>
              <w:color w:val="00000A"/>
              <w:szCs w:val="24"/>
            </w:rPr>
          </w:pPr>
          <w:r>
            <w:rPr>
              <w:b/>
              <w:color w:val="00000A"/>
              <w:szCs w:val="24"/>
            </w:rPr>
            <w:t>VALSTYBINĖ KAINŲ IR ENERGETIKOS KONTROLĖS KOMISIJA</w:t>
          </w:r>
        </w:p>
        <w:p>
          <w:pPr>
            <w:suppressAutoHyphens/>
            <w:jc w:val="center"/>
            <w:rPr>
              <w:b/>
              <w:color w:val="00000A"/>
              <w:szCs w:val="24"/>
            </w:rPr>
          </w:pPr>
        </w:p>
        <w:p>
          <w:pPr>
            <w:widowControl w:val="0"/>
            <w:jc w:val="center"/>
            <w:rPr>
              <w:b/>
              <w:szCs w:val="24"/>
              <w:lang w:eastAsia="lt-LT"/>
            </w:rPr>
          </w:pPr>
          <w:r>
            <w:rPr>
              <w:b/>
              <w:szCs w:val="24"/>
              <w:lang w:eastAsia="lt-LT"/>
            </w:rPr>
            <w:t>NUTARIMAS</w:t>
          </w:r>
        </w:p>
        <w:p>
          <w:pPr>
            <w:widowControl w:val="0"/>
            <w:jc w:val="center"/>
            <w:rPr>
              <w:b/>
              <w:szCs w:val="24"/>
              <w:lang w:eastAsia="lt-LT"/>
            </w:rPr>
          </w:pPr>
          <w:r>
            <w:rPr>
              <w:b/>
              <w:szCs w:val="24"/>
              <w:lang w:eastAsia="lt-LT"/>
            </w:rPr>
            <w:t>DĖL ŠILUMOS SEKTORIAUS ĮMONIŲ APSKAITOS ATSKYRIMO IR SĄNAUDŲ PASKIRSTYMO REIKALAVIMŲ APRAŠO PATVIRTINIMO</w:t>
          </w:r>
        </w:p>
        <w:p>
          <w:pPr>
            <w:suppressAutoHyphens/>
            <w:jc w:val="center"/>
            <w:rPr>
              <w:b/>
              <w:color w:val="00000A"/>
              <w:szCs w:val="24"/>
            </w:rPr>
          </w:pPr>
        </w:p>
        <w:p>
          <w:pPr>
            <w:suppressAutoHyphens/>
            <w:jc w:val="center"/>
            <w:rPr>
              <w:color w:val="00000A"/>
              <w:szCs w:val="24"/>
            </w:rPr>
          </w:pPr>
          <w:r>
            <w:rPr>
              <w:color w:val="00000A"/>
              <w:szCs w:val="24"/>
            </w:rPr>
            <w:t>2018 m. gruodžio 31 d. d. Nr. O3E-470</w:t>
          </w:r>
        </w:p>
        <w:p>
          <w:pPr>
            <w:suppressAutoHyphens/>
            <w:jc w:val="center"/>
            <w:rPr>
              <w:color w:val="00000A"/>
              <w:szCs w:val="24"/>
            </w:rPr>
          </w:pPr>
          <w:r>
            <w:rPr>
              <w:color w:val="00000A"/>
              <w:szCs w:val="24"/>
            </w:rPr>
            <w:t>Vilnius</w:t>
          </w:r>
        </w:p>
        <w:p>
          <w:pPr>
            <w:suppressAutoHyphens/>
            <w:jc w:val="center"/>
            <w:rPr>
              <w:color w:val="00000A"/>
              <w:szCs w:val="24"/>
            </w:rPr>
          </w:pPr>
        </w:p>
        <w:p>
          <w:pPr>
            <w:suppressAutoHyphens/>
            <w:jc w:val="center"/>
            <w:rPr>
              <w:color w:val="00000A"/>
              <w:szCs w:val="24"/>
            </w:rPr>
          </w:pPr>
        </w:p>
        <w:sdt>
          <w:sdtPr>
            <w:alias w:val="preambule"/>
            <w:tag w:val="part_87acd564ec7b49e188eb08be849eea73"/>
            <w:lock w:val="sdtLocked"/>
            <w:richText/>
          </w:sdtPr>
          <w:sdtContent>
            <w:p>
              <w:pPr>
                <w:widowControl w:val="0"/>
                <w:ind w:firstLine="720"/>
                <w:jc w:val="both"/>
                <w:rPr>
                  <w:szCs w:val="24"/>
                  <w:lang w:eastAsia="lt-LT"/>
                </w:rPr>
              </w:pPr>
              <w:r>
                <w:rPr>
                  <w:szCs w:val="24"/>
                  <w:lang w:eastAsia="lt-LT"/>
                </w:rPr>
                <w:t xml:space="preserve">Vadovaudamasi Lietuvos Respublikos energetikos įstatymo 8 straipsnio 9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w:t>
              </w:r>
              <w:r>
                <w:rPr>
                  <w:szCs w:val="24"/>
                </w:rPr>
                <w:t>bei susijusių teisės aktų pakeitimo</w:t>
              </w:r>
              <w:r>
                <w:rPr>
                  <w:szCs w:val="24"/>
                  <w:lang w:eastAsia="lt-LT"/>
                </w:rPr>
                <w:t>“ Komisija n u t a r i a:</w:t>
              </w:r>
            </w:p>
          </w:sdtContent>
        </w:sdt>
        <w:sdt>
          <w:sdtPr>
            <w:alias w:val="1 p."/>
            <w:tag w:val="part_d93429770cb44207b5bd06c2b294080e"/>
            <w:lock w:val="sdtLocked"/>
            <w:richText/>
          </w:sdtPr>
          <w:sdtContent>
            <w:p>
              <w:pPr>
                <w:widowControl w:val="0"/>
                <w:ind w:firstLine="720"/>
                <w:jc w:val="both"/>
                <w:rPr>
                  <w:szCs w:val="24"/>
                  <w:lang w:eastAsia="lt-LT"/>
                </w:rPr>
              </w:pPr>
              <w:sdt>
                <w:sdtPr>
                  <w:alias w:val="Numeris"/>
                  <w:tag w:val="nr_d93429770cb44207b5bd06c2b294080e"/>
                  <w:lock w:val="sdtLocked"/>
                  <w:richText/>
                </w:sdtPr>
                <w:sdtContent>
                  <w:r>
                    <w:rPr>
                      <w:szCs w:val="24"/>
                      <w:lang w:eastAsia="lt-LT"/>
                    </w:rPr>
                    <w:t>1</w:t>
                  </w:r>
                </w:sdtContent>
              </w:sdt>
              <w:r>
                <w:rPr>
                  <w:szCs w:val="24"/>
                  <w:lang w:eastAsia="lt-LT"/>
                </w:rPr>
                <w:t>. Patvirtinti Šilumos sektoriaus įmonių apskaitos atskyrimo ir sąnaudų paskirstymo reikalavimų aprašą (toliau – Aprašas) (pridedama).</w:t>
              </w:r>
            </w:p>
          </w:sdtContent>
        </w:sdt>
        <w:sdt>
          <w:sdtPr>
            <w:alias w:val="2 p."/>
            <w:tag w:val="part_977997290946425ab5a97e761ce8c007"/>
            <w:lock w:val="sdtLocked"/>
            <w:richText/>
          </w:sdtPr>
          <w:sdtContent>
            <w:p>
              <w:pPr>
                <w:widowControl w:val="0"/>
                <w:ind w:firstLine="720"/>
                <w:jc w:val="both"/>
                <w:rPr>
                  <w:szCs w:val="24"/>
                  <w:lang w:eastAsia="lt-LT"/>
                </w:rPr>
              </w:pPr>
              <w:sdt>
                <w:sdtPr>
                  <w:alias w:val="Numeris"/>
                  <w:tag w:val="nr_977997290946425ab5a97e761ce8c007"/>
                  <w:lock w:val="sdtLocked"/>
                  <w:richText/>
                </w:sdtPr>
                <w:sdtContent>
                  <w:r>
                    <w:rPr>
                      <w:szCs w:val="24"/>
                      <w:lang w:eastAsia="lt-LT"/>
                    </w:rPr>
                    <w:t>2</w:t>
                  </w:r>
                </w:sdtContent>
              </w:sdt>
              <w:r>
                <w:rPr>
                  <w:szCs w:val="24"/>
                  <w:lang w:eastAsia="lt-LT"/>
                </w:rPr>
                <w:t>. Nustatyti, kad:</w:t>
              </w:r>
            </w:p>
            <w:sdt>
              <w:sdtPr>
                <w:alias w:val="2.1 pp."/>
                <w:tag w:val="part_eb78390c1054403797d0fd538f39b72e"/>
                <w:lock w:val="sdtLocked"/>
                <w:richText/>
              </w:sdtPr>
              <w:sdtContent>
                <w:p>
                  <w:pPr>
                    <w:ind w:firstLine="720"/>
                    <w:jc w:val="both"/>
                    <w:rPr>
                      <w:szCs w:val="24"/>
                      <w:lang w:val="en-US" w:eastAsia="lt-LT"/>
                    </w:rPr>
                  </w:pPr>
                  <w:sdt>
                    <w:sdtPr>
                      <w:alias w:val="Numeris"/>
                      <w:tag w:val="nr_eb78390c1054403797d0fd538f39b72e"/>
                      <w:lock w:val="sdtLocked"/>
                      <w:richText/>
                    </w:sdtPr>
                    <w:sdtContent>
                      <w:r>
                        <w:rPr>
                          <w:szCs w:val="24"/>
                          <w:lang w:eastAsia="lt-LT"/>
                        </w:rPr>
                        <w:t>2.1</w:t>
                      </w:r>
                    </w:sdtContent>
                  </w:sdt>
                  <w:r>
                    <w:rPr>
                      <w:szCs w:val="24"/>
                      <w:lang w:eastAsia="lt-LT"/>
                    </w:rPr>
                    <w:t>. Aprašas:</w:t>
                  </w:r>
                </w:p>
                <w:sdt>
                  <w:sdtPr>
                    <w:alias w:val="2.1.1 pp."/>
                    <w:tag w:val="part_ab082c17190947ec8ac6252083450908"/>
                    <w:lock w:val="sdtLocked"/>
                    <w:richText/>
                  </w:sdtPr>
                  <w:sdtContent>
                    <w:p>
                      <w:pPr>
                        <w:widowControl w:val="0"/>
                        <w:ind w:firstLine="720"/>
                        <w:jc w:val="both"/>
                        <w:rPr>
                          <w:szCs w:val="24"/>
                          <w:lang w:eastAsia="lt-LT"/>
                        </w:rPr>
                      </w:pPr>
                      <w:sdt>
                        <w:sdtPr>
                          <w:alias w:val="Numeris"/>
                          <w:tag w:val="nr_ab082c17190947ec8ac6252083450908"/>
                          <w:lock w:val="sdtLocked"/>
                          <w:richText/>
                        </w:sdtPr>
                        <w:sdtContent>
                          <w:r>
                            <w:rPr>
                              <w:szCs w:val="24"/>
                              <w:lang w:eastAsia="lt-LT"/>
                            </w:rPr>
                            <w:t>2.1.1</w:t>
                          </w:r>
                        </w:sdtContent>
                      </w:sdt>
                      <w:r>
                        <w:rPr>
                          <w:szCs w:val="24"/>
                          <w:lang w:eastAsia="lt-LT"/>
                        </w:rPr>
                        <w:t>. įsigalioja 2019 m. sausio 1 d.;</w:t>
                      </w:r>
                    </w:p>
                  </w:sdtContent>
                </w:sdt>
                <w:sdt>
                  <w:sdtPr>
                    <w:alias w:val="2.1.2 pp."/>
                    <w:tag w:val="part_5eb5fb40751443f69989becaf7d40029"/>
                    <w:lock w:val="sdtLocked"/>
                    <w:richText/>
                  </w:sdtPr>
                  <w:sdtContent>
                    <w:p>
                      <w:pPr>
                        <w:widowControl w:val="0"/>
                        <w:ind w:firstLine="720"/>
                        <w:jc w:val="both"/>
                        <w:rPr>
                          <w:szCs w:val="24"/>
                          <w:lang w:eastAsia="lt-LT"/>
                        </w:rPr>
                      </w:pPr>
                      <w:sdt>
                        <w:sdtPr>
                          <w:alias w:val="Numeris"/>
                          <w:tag w:val="nr_5eb5fb40751443f69989becaf7d40029"/>
                          <w:lock w:val="sdtLocked"/>
                          <w:richText/>
                        </w:sdtPr>
                        <w:sdtContent>
                          <w:r>
                            <w:rPr>
                              <w:szCs w:val="24"/>
                              <w:lang w:eastAsia="lt-LT"/>
                            </w:rPr>
                            <w:t>2.1.2</w:t>
                          </w:r>
                        </w:sdtContent>
                      </w:sdt>
                      <w:r>
                        <w:rPr>
                          <w:szCs w:val="24"/>
                          <w:lang w:eastAsia="lt-LT"/>
                        </w:rPr>
                        <w:t>.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Content>
            </w:sdt>
            <w:sdt>
              <w:sdtPr>
                <w:alias w:val="2.2 pp."/>
                <w:tag w:val="part_941413351c8c490da256c3405eeff99c"/>
                <w:lock w:val="sdtLocked"/>
                <w:richText/>
              </w:sdtPr>
              <w:sdtContent>
                <w:p>
                  <w:pPr>
                    <w:widowControl w:val="0"/>
                    <w:ind w:firstLine="709"/>
                    <w:jc w:val="both"/>
                    <w:rPr>
                      <w:color w:val="000000"/>
                    </w:rPr>
                  </w:pPr>
                  <w:sdt>
                    <w:sdtPr>
                      <w:alias w:val="Numeris"/>
                      <w:tag w:val="nr_941413351c8c490da256c3405eeff99c"/>
                      <w:lock w:val="sdtLocked"/>
                      <w:richText/>
                    </w:sdtPr>
                    <w:sdtContent>
                      <w:r>
                        <w:rPr>
                          <w:lang w:eastAsia="lt-LT"/>
                        </w:rPr>
                        <w:t>2.2</w:t>
                      </w:r>
                    </w:sdtContent>
                  </w:sdt>
                  <w:r>
                    <w:rPr>
                      <w:lang w:eastAsia="lt-LT"/>
                    </w:rPr>
                    <w:t xml:space="preserve">. </w:t>
                  </w:r>
                  <w:r>
                    <w:rPr>
                      <w:color w:val="000000"/>
                    </w:rPr>
                    <w:t>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5df39e74fd3546eaa2e47d6a2ac1e7f8"/>
                <w:lock w:val="sdtLocked"/>
                <w:richText/>
              </w:sdtPr>
              <w:sdtContent>
                <w:p>
                  <w:pPr>
                    <w:widowControl w:val="0"/>
                    <w:ind w:firstLine="720"/>
                    <w:jc w:val="both"/>
                    <w:rPr>
                      <w:lang w:eastAsia="lt-LT"/>
                    </w:rPr>
                  </w:pPr>
                  <w:sdt>
                    <w:sdtPr>
                      <w:alias w:val="Numeris"/>
                      <w:tag w:val="nr_5df39e74fd3546eaa2e47d6a2ac1e7f8"/>
                      <w:lock w:val="sdtLocked"/>
                      <w:richText/>
                    </w:sdtPr>
                    <w:sdtContent>
                      <w:r>
                        <w:rPr>
                          <w:lang w:eastAsia="lt-LT"/>
                        </w:rPr>
                        <w:t>2.3</w:t>
                      </w:r>
                    </w:sdtContent>
                  </w:sdt>
                  <w:r>
                    <w:rPr>
                      <w:lang w:eastAsia="lt-LT"/>
                    </w:rPr>
                    <w:t xml:space="preserve">. šiuo nutarimu patvirtinto Aprašo 30.3 papunktis taikomas investicijoms, įvykdytoms po 2019 m. sausio 1 d. Iki 2019 m. sausio 1 d. įvykdytoms investicijoms </w:t>
                  </w:r>
                  <w:r>
                    <w:t>nusidėvėjimas (amortizacija) pradedamas skaičiuoti nuo šilumos kainos (kainos dedamųjų), į kurią įskaičiuotos to turto vieneto nusidėvėjimo sąnaudos, taikymo pradžios;</w:t>
                  </w:r>
                </w:p>
              </w:sdtContent>
            </w:sdt>
            <w:sdt>
              <w:sdtPr>
                <w:alias w:val="2.4 pp."/>
                <w:tag w:val="part_265fbf51ad75402fbd9d3635750d2fc4"/>
                <w:lock w:val="sdtLocked"/>
                <w:richText/>
              </w:sdtPr>
              <w:sdtContent>
                <w:p>
                  <w:pPr>
                    <w:widowControl w:val="0"/>
                    <w:ind w:firstLine="720"/>
                    <w:jc w:val="both"/>
                    <w:rPr>
                      <w:lang w:eastAsia="lt-LT"/>
                    </w:rPr>
                  </w:pPr>
                  <w:sdt>
                    <w:sdtPr>
                      <w:alias w:val="Numeris"/>
                      <w:tag w:val="nr_265fbf51ad75402fbd9d3635750d2fc4"/>
                      <w:lock w:val="sdtLocked"/>
                      <w:richText/>
                    </w:sdtPr>
                    <w:sdtContent>
                      <w:r>
                        <w:rPr>
                          <w:lang w:eastAsia="lt-LT"/>
                        </w:rPr>
                        <w:t>2.4</w:t>
                      </w:r>
                    </w:sdtContent>
                  </w:sdt>
                  <w:r>
                    <w:rPr>
                      <w:lang w:eastAsia="lt-LT"/>
                    </w:rPr>
                    <w:t xml:space="preserve">. </w:t>
                  </w:r>
                  <w:r>
                    <w:t>nurašyto į sąnaudas ilgalaikio turto vertė</w:t>
                  </w:r>
                  <w:r>
                    <w:rPr>
                      <w:lang w:eastAsia="lt-LT"/>
                    </w:rPr>
                    <w:t>, susidariusi dėl Aprašo 4 priede pakeistų nusidėvėjimo (amortizacijos) laikotarpių, pripažįstama paskirstomosiomis sąnaudomis;</w:t>
                  </w:r>
                </w:p>
              </w:sdtContent>
            </w:sdt>
            <w:sdt>
              <w:sdtPr>
                <w:alias w:val="2.5 pp."/>
                <w:tag w:val="part_f2c3810fede54421b450348fbd125598"/>
                <w:lock w:val="sdtLocked"/>
                <w:richText/>
              </w:sdtPr>
              <w:sdtContent>
                <w:p>
                  <w:pPr>
                    <w:widowControl w:val="0"/>
                    <w:ind w:firstLine="720"/>
                    <w:jc w:val="both"/>
                    <w:rPr>
                      <w:szCs w:val="24"/>
                      <w:lang w:eastAsia="lt-LT"/>
                    </w:rPr>
                  </w:pPr>
                  <w:sdt>
                    <w:sdtPr>
                      <w:alias w:val="Numeris"/>
                      <w:tag w:val="nr_f2c3810fede54421b450348fbd125598"/>
                      <w:lock w:val="sdtLocked"/>
                      <w:richText/>
                    </w:sdtPr>
                    <w:sdtContent>
                      <w:r>
                        <w:rPr>
                          <w:lang w:eastAsia="lt-LT"/>
                        </w:rPr>
                        <w:t>2.5</w:t>
                      </w:r>
                    </w:sdtContent>
                  </w:sdt>
                  <w:r>
                    <w:rPr>
                      <w:lang w:eastAsia="lt-LT"/>
                    </w:rPr>
                    <w:t xml:space="preserve">. šilumos sektoriaus įmonės Komisijai </w:t>
                  </w:r>
                  <w:r>
                    <w:rPr>
                      <w:color w:val="000000"/>
                    </w:rPr>
                    <w:t xml:space="preserve">pateikia pagal šiuo nutarimu patvirtintą Aprašą </w:t>
                  </w:r>
                  <w:r>
                    <w:rPr>
                      <w:lang w:eastAsia="lt-LT"/>
                    </w:rPr>
                    <w:t>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ad5c3c66ee184809b2fe48d07fd24b68"/>
                <w:lock w:val="sdtLocked"/>
                <w:richText/>
              </w:sdtPr>
              <w:sdtContent>
                <w:p>
                  <w:pPr>
                    <w:widowControl w:val="0"/>
                    <w:ind w:firstLine="720"/>
                    <w:jc w:val="both"/>
                    <w:rPr>
                      <w:lang w:eastAsia="lt-LT"/>
                    </w:rPr>
                  </w:pPr>
                  <w:sdt>
                    <w:sdtPr>
                      <w:alias w:val="Numeris"/>
                      <w:tag w:val="nr_ad5c3c66ee184809b2fe48d07fd24b68"/>
                      <w:lock w:val="sdtLocked"/>
                      <w:richText/>
                    </w:sdtPr>
                    <w:sdtContent>
                      <w:r>
                        <w:rPr>
                          <w:lang w:eastAsia="lt-LT"/>
                        </w:rPr>
                        <w:t>2.6</w:t>
                      </w:r>
                    </w:sdtContent>
                  </w:sdt>
                  <w:r>
                    <w:rPr>
                      <w:lang w:eastAsia="lt-LT"/>
                    </w:rPr>
                    <w:t>. nuo 2019 m. gegužės 1 d. įsigalioja tokia šiuo nutarimu patvirtinto Aprašo 57 punkto redakcija:</w:t>
                  </w:r>
                </w:p>
                <w:sdt>
                  <w:sdtPr>
                    <w:alias w:val="citata"/>
                    <w:tag w:val="part_095e7f7b8ad741d8874e073b68314f14"/>
                    <w:lock w:val="sdtLocked"/>
                    <w:richText/>
                  </w:sdtPr>
                  <w:sdtContent>
                    <w:sdt>
                      <w:sdtPr>
                        <w:alias w:val="57 p."/>
                        <w:tag w:val="part_16cf8f9f75194872b0ea28115cb500a9"/>
                        <w:lock w:val="sdtLocked"/>
                        <w:richText/>
                      </w:sdtPr>
                      <w:sdtContent>
                        <w:p>
                          <w:pPr>
                            <w:widowControl w:val="0"/>
                            <w:tabs>
                              <w:tab w:val="left" w:pos="1134"/>
                            </w:tabs>
                            <w:ind w:firstLine="720"/>
                            <w:jc w:val="both"/>
                            <w:rPr>
                              <w:szCs w:val="24"/>
                            </w:rPr>
                          </w:pPr>
                          <w:r>
                            <w:t>„</w:t>
                          </w:r>
                          <w:sdt>
                            <w:sdtPr>
                              <w:alias w:val="Numeris"/>
                              <w:tag w:val="nr_16cf8f9f75194872b0ea28115cb500a9"/>
                              <w:lock w:val="sdtLocked"/>
                              <w:richText/>
                            </w:sdtPr>
                            <w:sdtContent>
                              <w:r>
                                <w:t>57</w:t>
                              </w:r>
                            </w:sdtContent>
                          </w:sdt>
                          <w:r>
                            <w:t xml:space="preserve">. Paaiškėjus, kad pagal Aprašo </w:t>
                          </w:r>
                          <w:r>
                            <w:rPr>
                              <w:szCs w:val="24"/>
                            </w:rPr>
                            <w:t>51</w:t>
                          </w:r>
                          <w:r>
                            <w:t xml:space="preserve">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Auditoriaus įvertinimo ir pakartotinės reguliuojamosios veiklos ataskaitų patikros nereikia, jeigu duomenys reguliuojamosios veiklos ataskaitose koreguojami gavus Komisijos pastabas dėl duomenų tikslinimo.“</w:t>
                          </w:r>
                        </w:p>
                      </w:sdtContent>
                    </w:sdt>
                  </w:sdtContent>
                </w:sdt>
              </w:sdtContent>
            </w:sdt>
            <w:sdt>
              <w:sdtPr>
                <w:alias w:val="2.7 pp."/>
                <w:tag w:val="part_19c0fe036fd240429e5a33406eee97cf"/>
                <w:lock w:val="sdtLocked"/>
                <w:richText/>
              </w:sdtPr>
              <w:sdtContent>
                <w:p>
                  <w:pPr>
                    <w:widowControl w:val="0"/>
                    <w:ind w:firstLine="720"/>
                    <w:jc w:val="both"/>
                    <w:rPr>
                      <w:lang w:eastAsia="lt-LT"/>
                    </w:rPr>
                  </w:pPr>
                  <w:sdt>
                    <w:sdtPr>
                      <w:alias w:val="Numeris"/>
                      <w:tag w:val="nr_19c0fe036fd240429e5a33406eee97cf"/>
                      <w:lock w:val="sdtLocked"/>
                      <w:richText/>
                    </w:sdtPr>
                    <w:sdtContent>
                      <w:r>
                        <w:t>2.7</w:t>
                      </w:r>
                    </w:sdtContent>
                  </w:sdt>
                  <w:r>
                    <w:t>. nuo 2019 m. gegužės 1 d. įsigalioja tokia šiuo nutarimu patvirtinto Aprašo 58 punkto redakcija:</w:t>
                  </w:r>
                </w:p>
                <w:sdt>
                  <w:sdtPr>
                    <w:alias w:val="citata"/>
                    <w:tag w:val="part_31eb0531f0bb4429a4d90bdc62d3a7fc"/>
                    <w:lock w:val="sdtLocked"/>
                    <w:richText/>
                  </w:sdtPr>
                  <w:sdtContent>
                    <w:sdt>
                      <w:sdtPr>
                        <w:alias w:val="58 p."/>
                        <w:tag w:val="part_a8ed9b6c284546f6b97504253bbbe60b"/>
                        <w:lock w:val="sdtLocked"/>
                        <w:richText/>
                      </w:sdtPr>
                      <w:sdtContent>
                        <w:p>
                          <w:pPr>
                            <w:ind w:firstLine="720"/>
                            <w:jc w:val="both"/>
                            <w:rPr>
                              <w:szCs w:val="24"/>
                            </w:rPr>
                          </w:pPr>
                          <w:r>
                            <w:t>„</w:t>
                          </w:r>
                          <w:sdt>
                            <w:sdtPr>
                              <w:alias w:val="Numeris"/>
                              <w:tag w:val="nr_a8ed9b6c284546f6b97504253bbbe60b"/>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sdtContent>
                    </w:sdt>
                  </w:sdtContent>
                </w:sdt>
              </w:sdtContent>
            </w:sdt>
            <w:sdt>
              <w:sdtPr>
                <w:alias w:val="2.8 pp."/>
                <w:tag w:val="part_1dcb02d5054e44859cfe19cf88365ea7"/>
                <w:lock w:val="sdtLocked"/>
                <w:richText/>
              </w:sdtPr>
              <w:sdtContent>
                <w:p>
                  <w:pPr>
                    <w:ind w:firstLine="720"/>
                    <w:jc w:val="both"/>
                    <w:rPr>
                      <w:szCs w:val="24"/>
                    </w:rPr>
                  </w:pPr>
                  <w:sdt>
                    <w:sdtPr>
                      <w:alias w:val="Numeris"/>
                      <w:tag w:val="nr_1dcb02d5054e44859cfe19cf88365ea7"/>
                      <w:lock w:val="sdtLocked"/>
                      <w:richText/>
                    </w:sdtPr>
                    <w:sdtContent>
                      <w:r>
                        <w:t>2.8</w:t>
                      </w:r>
                    </w:sdtContent>
                  </w:sdt>
                  <w:r>
                    <w:t>. nuo 2019 m. gegužės 1 d. įsigalioja tokia šiuo nutarimu patvirtinto Aprašo 59 punkto redakcija:</w:t>
                  </w:r>
                </w:p>
                <w:sdt>
                  <w:sdtPr>
                    <w:alias w:val="citata"/>
                    <w:tag w:val="part_29e05e37b05e45eeb5c5e13b8fabbadd"/>
                    <w:lock w:val="sdtLocked"/>
                    <w:richText/>
                  </w:sdtPr>
                  <w:sdtContent>
                    <w:sdt>
                      <w:sdtPr>
                        <w:alias w:val="59 p."/>
                        <w:tag w:val="part_178b634394e64fc7b2adfa23d1e2910e"/>
                        <w:lock w:val="sdtLocked"/>
                        <w:richText/>
                      </w:sdtPr>
                      <w:sdtContent>
                        <w:p>
                          <w:pPr>
                            <w:ind w:firstLine="720"/>
                            <w:jc w:val="both"/>
                            <w:rPr>
                              <w:szCs w:val="24"/>
                            </w:rPr>
                          </w:pPr>
                          <w:r>
                            <w:t>„</w:t>
                          </w:r>
                          <w:sdt>
                            <w:sdtPr>
                              <w:alias w:val="Numeris"/>
                              <w:tag w:val="nr_178b634394e64fc7b2adfa23d1e2910e"/>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Content>
                </w:sdt>
              </w:sdtContent>
            </w:sdt>
            <w:sdt>
              <w:sdtPr>
                <w:alias w:val="2.9 pp."/>
                <w:tag w:val="part_b673751d08684041936878621859c6cb"/>
                <w:lock w:val="sdtLocked"/>
                <w:richText/>
              </w:sdtPr>
              <w:sdtContent>
                <w:p>
                  <w:pPr>
                    <w:ind w:firstLine="720"/>
                    <w:jc w:val="both"/>
                  </w:pPr>
                  <w:sdt>
                    <w:sdtPr>
                      <w:alias w:val="Numeris"/>
                      <w:tag w:val="nr_b673751d08684041936878621859c6cb"/>
                      <w:lock w:val="sdtLocked"/>
                      <w:richText/>
                    </w:sdtPr>
                    <w:sdtContent>
                      <w:r>
                        <w:t>2.9</w:t>
                      </w:r>
                    </w:sdtContent>
                  </w:sdt>
                  <w:r>
                    <w:t>. nuo 2019 m. gegužės 1 d. šiuo nutarimu patvirtinto Aprašo 3.5 ir 3.6 papunkčiai netenka galios;</w:t>
                  </w:r>
                </w:p>
              </w:sdtContent>
            </w:sdt>
            <w:sdt>
              <w:sdtPr>
                <w:alias w:val="2.10 pp."/>
                <w:tag w:val="part_939fc485d35f4a0c8fd6a8c1a4546ca4"/>
                <w:lock w:val="sdtLocked"/>
                <w:richText/>
              </w:sdtPr>
              <w:sdtContent>
                <w:p>
                  <w:pPr>
                    <w:widowControl w:val="0"/>
                    <w:tabs>
                      <w:tab w:val="left" w:pos="851"/>
                      <w:tab w:val="left" w:pos="1134"/>
                    </w:tabs>
                    <w:ind w:firstLine="720"/>
                    <w:jc w:val="both"/>
                    <w:rPr>
                      <w:color w:val="00000A"/>
                      <w:szCs w:val="24"/>
                    </w:rPr>
                  </w:pPr>
                  <w:sdt>
                    <w:sdtPr>
                      <w:alias w:val="Numeris"/>
                      <w:tag w:val="nr_939fc485d35f4a0c8fd6a8c1a4546ca4"/>
                      <w:lock w:val="sdtLocked"/>
                      <w:richText/>
                    </w:sdtPr>
                    <w:sdtContent>
                      <w:r>
                        <w:rPr>
                          <w:szCs w:val="24"/>
                          <w:lang w:eastAsia="lt-LT"/>
                        </w:rPr>
                        <w:t>2.10</w:t>
                      </w:r>
                    </w:sdtContent>
                  </w:sdt>
                  <w:r>
                    <w:rPr>
                      <w:szCs w:val="24"/>
                      <w:lang w:eastAsia="lt-LT"/>
                    </w:rPr>
                    <w:t>. iki šiuo nutarimu patvirtinto Aprašo įsigaliojimo Komisijos atskiru nutarimu suderinti Ūkio subjektų ilgalaikio turto grupių, numatytų šiuo nutarimu patvirtinto Aprašo 4 priede, nusidėvėjimo (amortizacijos) laikotarpiai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signatura"/>
            <w:tag w:val="part_d421cc9efb724aac809d7439b3268de3"/>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sdtContent>
    </w:sdt>
    <w:sdt>
      <w:sdtPr>
        <w:alias w:val="patvirtinta"/>
        <w:tag w:val="part_abac46cf20814c2ab8887f05b2b8f98e"/>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abac46cf20814c2ab8887f05b2b8f98e"/>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c6224f24e00f49d6b5276d9297fa20b2"/>
                    <w:lock w:val="sdtLocked"/>
                    <w:richText/>
                  </w:sdtPr>
                  <w:sdtContent>
                    <w:p>
                      <w:pPr>
                        <w:widowControl w:val="0"/>
                        <w:tabs>
                          <w:tab w:val="left" w:pos="1134"/>
                        </w:tabs>
                        <w:ind w:firstLine="720"/>
                        <w:jc w:val="both"/>
                        <w:rPr>
                          <w:szCs w:val="24"/>
                          <w:lang w:eastAsia="lt-LT"/>
                        </w:rPr>
                      </w:pPr>
                      <w:sdt>
                        <w:sdtPr>
                          <w:alias w:val="Numeris"/>
                          <w:tag w:val="nr_c6224f24e00f49d6b5276d9297fa20b2"/>
                          <w:lock w:val="sdtLocked"/>
                          <w:richText/>
                        </w:sdtPr>
                        <w:sdtContent>
                          <w:r>
                            <w:rPr>
                              <w:szCs w:val="24"/>
                              <w:lang w:eastAsia="lt-LT"/>
                            </w:rPr>
                            <w:t>2.2</w:t>
                          </w:r>
                        </w:sdtContent>
                      </w:sdt>
                      <w:r>
                        <w:rPr>
                          <w:szCs w:val="24"/>
                          <w:lang w:eastAsia="lt-LT"/>
                        </w:rPr>
                        <w:t>. Valstybinė kainų ir energetikos kontrolės komisija (toliau – Komisija), užtikrindama tinkamą Ūkio subjektų apskaitos atskyrimo ir sąnaudų paskirstymo įgyvendinimą bei nustatydama šilumos kainas (kainų dedamąsias) ir karšto vandens kainas (kainų dedamąsias) Įstatymo nustatytais atvejais ir tvarka.</w:t>
                      </w:r>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3fba32c3e8ef4880a30c6a61888a5b7b"/>
                <w:lock w:val="sdtLocked"/>
                <w:richText/>
              </w:sdtPr>
              <w:sdtContent>
                <w:p>
                  <w:pPr>
                    <w:widowControl w:val="0"/>
                    <w:tabs>
                      <w:tab w:val="left" w:pos="851"/>
                    </w:tabs>
                    <w:ind w:firstLine="720"/>
                    <w:jc w:val="both"/>
                    <w:rPr>
                      <w:szCs w:val="24"/>
                    </w:rPr>
                  </w:pPr>
                  <w:sdt>
                    <w:sdtPr>
                      <w:alias w:val="Numeris"/>
                      <w:tag w:val="nr_3fba32c3e8ef4880a30c6a61888a5b7b"/>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Šilumos kainų nustatymo metodikos principų apraše, patvirtintame Lietuvos Respublikos Vyriausybės 2011 m. liepos 13 d. nutarimu Nr. 889, Šilumos kainų nustatymo metodikoje, patvirtintoje Komisijos 2009 m. liepos 8 d. nutarimu Nr. O3-96 „Dėl Šilumos kainų nustatymo metodikos“, Šilumos gamybos ir (ar) supirkimo tvarkos ir sąlygų apraše, patvirtintame Komisijos 2010 m. spalio 4 d. nutarimu Nr. O3-202 „Dėl Šilumos gamybos ir (ar) supirkimo tvarkos ir sąlygų aprašo patvirtinimo“, Verslo apskaitos standartuose bei Tarptautiniuose apskaitos standartuose.</w:t>
                  </w:r>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1c810e64e7ed42cb8e23ee9fac1ab95a"/>
                    <w:lock w:val="sdtLocked"/>
                    <w:richText/>
                  </w:sdtPr>
                  <w:sdtContent>
                    <w:p>
                      <w:pPr>
                        <w:widowControl w:val="0"/>
                        <w:tabs>
                          <w:tab w:val="left" w:pos="1134"/>
                          <w:tab w:val="left" w:pos="1701"/>
                        </w:tabs>
                        <w:ind w:firstLine="720"/>
                        <w:jc w:val="both"/>
                        <w:rPr>
                          <w:szCs w:val="24"/>
                        </w:rPr>
                      </w:pPr>
                      <w:sdt>
                        <w:sdtPr>
                          <w:alias w:val="Numeris"/>
                          <w:tag w:val="nr_1c810e64e7ed42cb8e23ee9fac1ab95a"/>
                          <w:lock w:val="sdtLocked"/>
                          <w:richText/>
                        </w:sdtPr>
                        <w:sdtContent>
                          <w:r>
                            <w:rPr>
                              <w:szCs w:val="24"/>
                            </w:rPr>
                            <w:t>12.1</w:t>
                          </w:r>
                        </w:sdtContent>
                      </w:sdt>
                      <w:r>
                        <w:rPr>
                          <w:szCs w:val="24"/>
                        </w:rPr>
                        <w:t>. jei Ūkio subjekto centralizuoto šilumos tiekimo sistemoje</w:t>
                      </w:r>
                      <w:r>
                        <w:rPr>
                          <w:b/>
                          <w:szCs w:val="24"/>
                        </w:rPr>
                        <w:t xml:space="preserve"> </w:t>
                      </w:r>
                      <w:r>
                        <w:rPr>
                          <w:szCs w:val="24"/>
                        </w:rPr>
                        <w:t>veikia nepriklausomi šilumos gamintojai, ilgalaikį turtą ir sąnaudas Ūkio subjektas turi paskirstyti tokia tvarka:</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1f40f0084ab4ffe8adc7bee74ec806f"/>
                        <w:lock w:val="sdtLocked"/>
                        <w:richText/>
                      </w:sdtPr>
                      <w:sdtContent>
                        <w:p>
                          <w:pPr>
                            <w:widowControl w:val="0"/>
                            <w:tabs>
                              <w:tab w:val="left" w:pos="1134"/>
                              <w:tab w:val="left" w:pos="1701"/>
                            </w:tabs>
                            <w:ind w:firstLine="720"/>
                            <w:jc w:val="both"/>
                            <w:rPr>
                              <w:lang w:eastAsia="lt-LT"/>
                            </w:rPr>
                          </w:pPr>
                          <w:sdt>
                            <w:sdtPr>
                              <w:alias w:val="Numeris"/>
                              <w:tag w:val="nr_61f40f0084ab4ffe8adc7bee74ec806f"/>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atskiriamos Aprašo 13, 24.6 ir 39 punktuose numatyta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63f2dd1a8b58490eabffce0c932fbd96"/>
                    <w:lock w:val="sdtLocked"/>
                    <w:richText/>
                  </w:sdtPr>
                  <w:sdtContent>
                    <w:p>
                      <w:pPr>
                        <w:widowControl w:val="0"/>
                        <w:tabs>
                          <w:tab w:val="left" w:pos="1134"/>
                          <w:tab w:val="left" w:pos="1701"/>
                        </w:tabs>
                        <w:ind w:firstLine="720"/>
                        <w:jc w:val="both"/>
                        <w:rPr>
                          <w:szCs w:val="24"/>
                          <w:lang w:eastAsia="lt-LT"/>
                        </w:rPr>
                      </w:pPr>
                      <w:sdt>
                        <w:sdtPr>
                          <w:alias w:val="Numeris"/>
                          <w:tag w:val="nr_63f2dd1a8b58490eabffce0c932fbd96"/>
                          <w:lock w:val="sdtLocked"/>
                          <w:richText/>
                        </w:sdtPr>
                        <w:sdtContent>
                          <w:r>
                            <w:rPr>
                              <w:szCs w:val="24"/>
                            </w:rPr>
                            <w:t>12.2</w:t>
                          </w:r>
                        </w:sdtContent>
                      </w:sdt>
                      <w:r>
                        <w:rPr>
                          <w:szCs w:val="24"/>
                        </w:rPr>
                        <w:t>. jei Ūkio subjekto centralizuoto šilumos tiekimo sistemoje nepriklausomi šilumos gamintojai neveikia, tuomet Ūkio subjektui netaikomas reikalavimas Šilumos gamybos (įskaitant perkamą šilumą) veiklos verslo vieneto (Aprašo 10.1 papunktis) sąnaudas ir ilgalaikį turtą išskaidyti į priskirtinas Šilumos (produkto) gamybos (Aprašo 10.1.1 papunktis) ir Šilumos poreikio piko pajėgumų ir rezervinės galios užtikrinimo (Aprašo 10.1.2 papunktis) paslaugoms, tačiau yra taikomi Aprašo 24.4.7 ir 41.21 punktuose nustatyti ribojimai. Šilumos gamybos (įskaitant perkamą šilumą) veiklos verslo vieneto (Aprašo 10.1 papunktis) sąnaudas ir ilgalaikį turtą Ūkio subjektas nurodo Šilumos (produkto) gamybos paslaugoje (Aprašo 10.1.1 papunktis).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3 p."/>
                <w:tag w:val="part_63552eba40ad453f80a6737536f3b09d"/>
                <w:lock w:val="sdtLocked"/>
                <w:richText/>
              </w:sdtPr>
              <w:sdtContent>
                <w:p>
                  <w:pPr>
                    <w:widowControl w:val="0"/>
                    <w:tabs>
                      <w:tab w:val="left" w:pos="1134"/>
                      <w:tab w:val="left" w:pos="1701"/>
                    </w:tabs>
                    <w:ind w:firstLine="720"/>
                    <w:jc w:val="both"/>
                    <w:rPr>
                      <w:szCs w:val="24"/>
                    </w:rPr>
                  </w:pPr>
                  <w:sdt>
                    <w:sdtPr>
                      <w:alias w:val="Numeris"/>
                      <w:tag w:val="nr_63552eba40ad453f80a6737536f3b09d"/>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Komisijos 2009 m. liepos 22 d. nutarimu Nr. O3-107 „Dėl Kogeneracinių jėgainių šilumos ir elektros energijos sąnaudų atskyrimo metodikos“.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95b6840656c0473da4a1e6dd6c6eacf6"/>
                <w:lock w:val="sdtLocked"/>
                <w:richText/>
              </w:sdtPr>
              <w:sdtContent>
                <w:p>
                  <w:pPr>
                    <w:spacing w:line="276" w:lineRule="atLeast"/>
                    <w:ind w:firstLine="720"/>
                    <w:jc w:val="both"/>
                    <w:rPr>
                      <w:color w:val="000000"/>
                      <w:szCs w:val="24"/>
                      <w:lang w:eastAsia="lt-LT"/>
                    </w:rPr>
                  </w:pPr>
                  <w:sdt>
                    <w:sdtPr>
                      <w:alias w:val="Numeris"/>
                      <w:tag w:val="nr_95b6840656c0473da4a1e6dd6c6eacf6"/>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50 proc. nuomos pajamų, kurias gauna dėl išnuomoto turto, turi priskirti Ūkio subjekto teikiamoms reguliuojamosioms paslaugoms, kurioms priskiriamas šis turtas. Likusi nuomos pajamų dalis priskiriama nereguliuojamosios veiklos verslo vienetui.</w:t>
                  </w:r>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5a5ef466d81d4b418436897eff20aeaa"/>
                        <w:lock w:val="sdtLocked"/>
                        <w:richText/>
                      </w:sdtPr>
                      <w:sdtContent>
                        <w:p>
                          <w:pPr>
                            <w:ind w:firstLine="720"/>
                            <w:jc w:val="both"/>
                            <w:rPr>
                              <w:color w:val="000000"/>
                              <w:szCs w:val="24"/>
                              <w:lang w:eastAsia="lt-LT"/>
                            </w:rPr>
                          </w:pPr>
                          <w:sdt>
                            <w:sdtPr>
                              <w:alias w:val="Numeris"/>
                              <w:tag w:val="nr_5a5ef466d81d4b418436897eff20aeaa"/>
                              <w:lock w:val="sdtLocked"/>
                              <w:richText/>
                            </w:sdtPr>
                            <w:sdtContent>
                              <w:r>
                                <w:rPr>
                                  <w:color w:val="000000"/>
                                  <w:szCs w:val="24"/>
                                  <w:lang w:eastAsia="lt-LT"/>
                                </w:rPr>
                                <w:t>24.4.6</w:t>
                              </w:r>
                            </w:sdtContent>
                          </w:sdt>
                          <w:r>
                            <w:rPr>
                              <w:color w:val="000000"/>
                              <w:szCs w:val="24"/>
                              <w:lang w:eastAsia="lt-LT"/>
                            </w:rPr>
                            <w:t>. tyrimų, studijų ir panašaus pobūdžio nematerialaus turto vertę;</w:t>
                          </w:r>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a7dd29a38ab441a6b1c787afc6b22148"/>
                        <w:lock w:val="sdtLocked"/>
                        <w:richText/>
                      </w:sdtPr>
                      <w:sdtContent>
                        <w:p>
                          <w:pPr>
                            <w:ind w:firstLine="720"/>
                            <w:jc w:val="both"/>
                            <w:rPr>
                              <w:color w:val="000000"/>
                              <w:szCs w:val="24"/>
                              <w:lang w:eastAsia="lt-LT"/>
                            </w:rPr>
                          </w:pPr>
                          <w:sdt>
                            <w:sdtPr>
                              <w:alias w:val="Numeris"/>
                              <w:tag w:val="nr_a7dd29a38ab441a6b1c787afc6b22148"/>
                              <w:lock w:val="sdtLocked"/>
                              <w:richText/>
                            </w:sdtPr>
                            <w:sdtContent>
                              <w:r>
                                <w:rPr>
                                  <w:color w:val="000000"/>
                                  <w:szCs w:val="24"/>
                                  <w:lang w:eastAsia="lt-LT"/>
                                </w:rPr>
                                <w:t>24.4.9</w:t>
                              </w:r>
                            </w:sdtContent>
                          </w:sdt>
                          <w:r>
                            <w:rPr>
                              <w:color w:val="000000"/>
                              <w:szCs w:val="24"/>
                              <w:lang w:eastAsia="lt-LT"/>
                            </w:rPr>
                            <w:t>. ilgalaikio turto (ar jo dalies), sukurto įvykdžius investicinius projektus, teisės aktų nustatyta tvarka nesuderintus su atitinkamos savivaldybės taryba ir (arba) Komisija, vertę;</w:t>
                          </w:r>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419d5ac317e649a59003dae5983168b5"/>
                        <w:lock w:val="sdtLocked"/>
                        <w:richText/>
                      </w:sdtPr>
                      <w:sdtContent>
                        <w:p>
                          <w:pPr>
                            <w:ind w:firstLine="720"/>
                            <w:jc w:val="both"/>
                            <w:rPr>
                              <w:color w:val="000000"/>
                              <w:szCs w:val="24"/>
                              <w:lang w:eastAsia="lt-LT"/>
                            </w:rPr>
                          </w:pPr>
                          <w:sdt>
                            <w:sdtPr>
                              <w:alias w:val="Numeris"/>
                              <w:tag w:val="nr_419d5ac317e649a59003dae5983168b5"/>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w:t>
                          </w:r>
                        </w:p>
                      </w:sdtContent>
                    </w:sdt>
                    <w:sdt>
                      <w:sdtPr>
                        <w:alias w:val="24.4.14 pp."/>
                        <w:tag w:val="part_9b592f1cf4c6449cb3eb368f3fbaff8c"/>
                        <w:lock w:val="sdtLocked"/>
                        <w:richText/>
                      </w:sdtPr>
                      <w:sdtContent>
                        <w:p>
                          <w:pPr>
                            <w:ind w:firstLine="720"/>
                            <w:jc w:val="both"/>
                            <w:rPr>
                              <w:color w:val="000000"/>
                              <w:szCs w:val="24"/>
                              <w:lang w:eastAsia="lt-LT"/>
                            </w:rPr>
                          </w:pPr>
                          <w:sdt>
                            <w:sdtPr>
                              <w:alias w:val="Numeris"/>
                              <w:tag w:val="nr_9b592f1cf4c6449cb3eb368f3fbaff8c"/>
                              <w:lock w:val="sdtLocked"/>
                              <w:richText/>
                            </w:sdtPr>
                            <w:sdtContent>
                              <w:r>
                                <w:rPr>
                                  <w:color w:val="000000"/>
                                  <w:szCs w:val="24"/>
                                  <w:lang w:eastAsia="lt-LT"/>
                                </w:rPr>
                                <w:t>24.4.14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savivaldybės taryba ir (arba) Komisija priima atskirą sprendimą dėl tokio ilgalaikio turto likutinės vertės pripažinimo ekonomiškai pagrįsta investicijų derinimo metu.</w:t>
                          </w:r>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1b55d5a431bf4238a899707277417731"/>
                    <w:lock w:val="sdtLocked"/>
                    <w:richText/>
                  </w:sdtPr>
                  <w:sdtContent>
                    <w:p>
                      <w:pPr>
                        <w:widowControl w:val="0"/>
                        <w:tabs>
                          <w:tab w:val="left" w:pos="1134"/>
                        </w:tabs>
                        <w:ind w:firstLine="720"/>
                        <w:jc w:val="both"/>
                        <w:rPr>
                          <w:szCs w:val="24"/>
                          <w:lang w:eastAsia="lt-LT"/>
                        </w:rPr>
                      </w:pPr>
                      <w:sdt>
                        <w:sdtPr>
                          <w:alias w:val="Numeris"/>
                          <w:tag w:val="nr_1b55d5a431bf4238a899707277417731"/>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 xml:space="preserve">gamybos kogeneracinėse jėgainėse (Aprašo </w:t>
                        <w:br/>
                        <w:t>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vienetui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87f8063220e6478a8eb17902bb22f84f"/>
                    <w:lock w:val="sdtLocked"/>
                    <w:richText/>
                  </w:sdtPr>
                  <w:sdtContent>
                    <w:p>
                      <w:pPr>
                        <w:widowControl w:val="0"/>
                        <w:tabs>
                          <w:tab w:val="left" w:pos="1134"/>
                        </w:tabs>
                        <w:ind w:firstLine="720"/>
                        <w:jc w:val="both"/>
                        <w:rPr>
                          <w:szCs w:val="24"/>
                          <w:lang w:eastAsia="lt-LT"/>
                        </w:rPr>
                      </w:pPr>
                      <w:sdt>
                        <w:sdtPr>
                          <w:alias w:val="Numeris"/>
                          <w:tag w:val="nr_87f8063220e6478a8eb17902bb22f84f"/>
                          <w:lock w:val="sdtLocked"/>
                          <w:richText/>
                        </w:sdtPr>
                        <w:sdtContent>
                          <w:r>
                            <w:rPr>
                              <w:szCs w:val="24"/>
                              <w:lang w:eastAsia="lt-LT"/>
                            </w:rPr>
                            <w:t>30.1</w:t>
                          </w:r>
                        </w:sdtContent>
                      </w:sdt>
                      <w:r>
                        <w:rPr>
                          <w:szCs w:val="24"/>
                          <w:lang w:eastAsia="lt-LT"/>
                        </w:rPr>
                        <w:t>. Ūkio subjektas privalo taikyti Komisijos nustatytą ilgalaikio turto nusidėvėjimo (amortizacijos) skaičiavimo laikotarpį (Aprašo 4 priedas), išskyrus 30.2 papunktyje nurodytą atvejį, ir tiesiogiai proporcingą nusidėvėjimo (amortizacijos) skaičiavimo metodą;</w:t>
                      </w:r>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12aa20a90a0846a184a0680d33ee9189"/>
                    <w:lock w:val="sdtLocked"/>
                    <w:richText/>
                  </w:sdtPr>
                  <w:sdtContent>
                    <w:p>
                      <w:pPr>
                        <w:widowControl w:val="0"/>
                        <w:tabs>
                          <w:tab w:val="left" w:pos="851"/>
                          <w:tab w:val="left" w:pos="1134"/>
                        </w:tabs>
                        <w:ind w:firstLine="720"/>
                        <w:jc w:val="both"/>
                        <w:rPr>
                          <w:i/>
                          <w:szCs w:val="24"/>
                          <w:lang w:eastAsia="lt-LT"/>
                        </w:rPr>
                      </w:pPr>
                      <w:sdt>
                        <w:sdtPr>
                          <w:alias w:val="Numeris"/>
                          <w:tag w:val="nr_12aa20a90a0846a184a0680d33ee9189"/>
                          <w:lock w:val="sdtLocked"/>
                          <w:richText/>
                        </w:sdtPr>
                        <w:sdtContent>
                          <w:r>
                            <w:rPr>
                              <w:color w:val="000000"/>
                            </w:rPr>
                            <w:t>30.4</w:t>
                          </w:r>
                        </w:sdtContent>
                      </w:sdt>
                      <w:r>
                        <w:rPr>
                          <w:color w:val="000000"/>
                        </w:rPr>
                        <w:t>. jei Aprašo 4 priede ilgalaikio turto vienetams nėra nustatyto ilgalaikio turto nusidėvėjimo (amortizacijos) skaičiavimo laikotarpio</w:t>
                      </w:r>
                      <w:r>
                        <w:rPr>
                          <w:color w:val="9CC2E5"/>
                        </w:rPr>
                        <w:t xml:space="preserve"> </w:t>
                      </w:r>
                      <w:r>
                        <w:t xml:space="preserve">ir Komisijos atskiru nutarimu suderintų Ūkio subjekto ilgalaikio turto grupių nusidėvėjimo (amortizacijos) laikotarpių, </w:t>
                      </w:r>
                      <w:r>
                        <w:rPr>
                          <w:color w:val="000000"/>
                        </w:rPr>
                        <w:t>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30.5 pp."/>
                    <w:tag w:val="part_5442e02a6bbd474d86b64460f3df46b1"/>
                    <w:lock w:val="sdtLocked"/>
                    <w:richText/>
                  </w:sdtPr>
                  <w:sdtContent>
                    <w:p>
                      <w:pPr>
                        <w:widowControl w:val="0"/>
                        <w:tabs>
                          <w:tab w:val="left" w:pos="1134"/>
                        </w:tabs>
                        <w:ind w:firstLine="720"/>
                        <w:jc w:val="both"/>
                        <w:rPr>
                          <w:lang w:eastAsia="lt-LT"/>
                        </w:rPr>
                      </w:pPr>
                      <w:sdt>
                        <w:sdtPr>
                          <w:alias w:val="Numeris"/>
                          <w:tag w:val="nr_5442e02a6bbd474d86b64460f3df46b1"/>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7ba8667bb25949c290dc0cadc5360944"/>
                    <w:lock w:val="sdtLocked"/>
                    <w:richText/>
                  </w:sdtPr>
                  <w:sdtContent>
                    <w:p>
                      <w:pPr>
                        <w:widowControl w:val="0"/>
                        <w:tabs>
                          <w:tab w:val="left" w:pos="1134"/>
                        </w:tabs>
                        <w:ind w:firstLine="720"/>
                        <w:jc w:val="both"/>
                        <w:rPr>
                          <w:lang w:eastAsia="lt-LT"/>
                        </w:rPr>
                      </w:pPr>
                      <w:sdt>
                        <w:sdtPr>
                          <w:alias w:val="Numeris"/>
                          <w:tag w:val="nr_7ba8667bb25949c290dc0cadc5360944"/>
                          <w:lock w:val="sdtLocked"/>
                          <w:richText/>
                        </w:sdtPr>
                        <w:sdtContent>
                          <w:r>
                            <w:rPr>
                              <w:lang w:eastAsia="lt-LT"/>
                            </w:rPr>
                            <w:t>30.6</w:t>
                          </w:r>
                        </w:sdtContent>
                      </w:sdt>
                      <w:r>
                        <w:rPr>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w:t>
                      </w:r>
                      <w:r>
                        <w:rPr>
                          <w:color w:val="000000"/>
                        </w:rPr>
                        <w:t xml:space="preserve"> Komisija gali nustatyti kitą nei Ūkio subjekto numatomą taikyti ilgalaikio turto vieneto nusidėvėjimo laikotarpį. Komisijai nustačius kitą ilgalaikio turto vieneto nusidėvėjimo laikotarpį, Ūkio subjektas, skaičiuodamas nusidėvėjimo (amortizacijos) sąnaudas, privalo taikyti Komisijos nustatytą ilgalaikio turto vieneto nusidėvėjimo (amortizacijos) laikotarpį. Ūkio subjektui nepateikus informacijos ar dokumentų, kuriais remiantis Ūkio subjektas planuoja taikyti kitokį negu Aprašo </w:t>
                      </w:r>
                      <w:r>
                        <w:rPr>
                          <w:color w:val="000000"/>
                          <w:szCs w:val="24"/>
                        </w:rPr>
                        <w:br/>
                      </w:r>
                      <w:r>
                        <w:rPr>
                          <w:color w:val="000000"/>
                        </w:rPr>
                        <w:t>4 priede nustatytą nusidėvėjimo (amortizacijos) laikotarpį, taikomas Aprašo 4 priede nustatytas nusidėvėjimo (amortizacijos) laikotarpis.</w:t>
                      </w:r>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902c000967943b486cfdb26d2fd7ebf"/>
                <w:lock w:val="sdtLocked"/>
                <w:richText/>
              </w:sdtPr>
              <w:sdtContent>
                <w:p>
                  <w:pPr>
                    <w:widowControl w:val="0"/>
                    <w:tabs>
                      <w:tab w:val="left" w:pos="851"/>
                      <w:tab w:val="left" w:pos="1134"/>
                    </w:tabs>
                    <w:ind w:firstLine="720"/>
                    <w:jc w:val="both"/>
                    <w:rPr>
                      <w:szCs w:val="24"/>
                    </w:rPr>
                  </w:pPr>
                  <w:sdt>
                    <w:sdtPr>
                      <w:alias w:val="Numeris"/>
                      <w:tag w:val="nr_4902c000967943b486cfdb26d2fd7ebf"/>
                      <w:lock w:val="sdtLocked"/>
                      <w:richText/>
                    </w:sdtPr>
                    <w:sdtContent>
                      <w:r>
                        <w:rPr>
                          <w:color w:val="000000"/>
                        </w:rPr>
                        <w:t>39</w:t>
                      </w:r>
                    </w:sdtContent>
                  </w:sdt>
                  <w:r>
                    <w:rPr>
                      <w:color w:val="000000"/>
                    </w:rPr>
                    <w:t>. 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eae3b5869c2415ca6fe1d93ac1466a9"/>
                    <w:lock w:val="sdtLocked"/>
                    <w:richText/>
                  </w:sdtPr>
                  <w:sdtContent>
                    <w:p>
                      <w:pPr>
                        <w:widowControl w:val="0"/>
                        <w:tabs>
                          <w:tab w:val="left" w:pos="142"/>
                        </w:tabs>
                        <w:ind w:firstLine="720"/>
                        <w:jc w:val="both"/>
                        <w:rPr>
                          <w:szCs w:val="24"/>
                        </w:rPr>
                      </w:pPr>
                      <w:sdt>
                        <w:sdtPr>
                          <w:alias w:val="Numeris"/>
                          <w:tag w:val="nr_deae3b5869c2415ca6fe1d93ac1466a9"/>
                          <w:lock w:val="sdtLocked"/>
                          <w:richText/>
                        </w:sdtPr>
                        <w:sdtContent>
                          <w:r>
                            <w:rPr>
                              <w:szCs w:val="24"/>
                            </w:rPr>
                            <w:t>41.1</w:t>
                          </w:r>
                        </w:sdtContent>
                      </w:sdt>
                      <w:r>
                        <w:rPr>
                          <w:szCs w:val="24"/>
                        </w:rPr>
                        <w:t>. beviltiškų skolų, baudų, delspinigių sąnaudas;</w:t>
                      </w:r>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8588653f02fc4f209c5e1900dcac7ac0"/>
                    <w:lock w:val="sdtLocked"/>
                    <w:richText/>
                  </w:sdtPr>
                  <w:sdtContent>
                    <w:p>
                      <w:pPr>
                        <w:widowControl w:val="0"/>
                        <w:tabs>
                          <w:tab w:val="left" w:pos="142"/>
                          <w:tab w:val="left" w:pos="1418"/>
                        </w:tabs>
                        <w:ind w:firstLine="720"/>
                        <w:jc w:val="both"/>
                        <w:rPr>
                          <w:szCs w:val="24"/>
                        </w:rPr>
                      </w:pPr>
                      <w:sdt>
                        <w:sdtPr>
                          <w:alias w:val="Numeris"/>
                          <w:tag w:val="nr_8588653f02fc4f209c5e1900dcac7ac0"/>
                          <w:lock w:val="sdtLocked"/>
                          <w:richText/>
                        </w:sdtPr>
                        <w:sdtContent>
                          <w:r>
                            <w:rPr>
                              <w:szCs w:val="24"/>
                            </w:rPr>
                            <w:t>41.3</w:t>
                          </w:r>
                        </w:sdtContent>
                      </w:sdt>
                      <w:r>
                        <w:rPr>
                          <w:szCs w:val="24"/>
                        </w:rPr>
                        <w:t>. tantjemų išmokų, pelno mokesčio, mokesčių nuo dividendų sąnaudas;</w:t>
                      </w:r>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93b21be3e3a84ab2b1736522bb91802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93b21be3e3a84ab2b1736522bb918025"/>
                          <w:lock w:val="sdtLocked"/>
                          <w:richText/>
                        </w:sdtPr>
                        <w:sdtContent>
                          <w:r>
                            <w:rPr>
                              <w:szCs w:val="24"/>
                            </w:rPr>
                            <w:t>41.5</w:t>
                          </w:r>
                        </w:sdtContent>
                      </w:sdt>
                      <w:r>
                        <w:rPr>
                          <w:szCs w:val="24"/>
                        </w:rPr>
                        <w:t>. patirtas palūkanų sąnaudas ir kitas finansinės-investicinės veiklos sąnaudas;</w:t>
                      </w:r>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4241a4c37a714bf79ee57244ce8beace"/>
                    <w:lock w:val="sdtLocked"/>
                    <w:richText/>
                  </w:sdtPr>
                  <w:sdtContent>
                    <w:p>
                      <w:pPr>
                        <w:widowControl w:val="0"/>
                        <w:tabs>
                          <w:tab w:val="left" w:pos="142"/>
                          <w:tab w:val="left" w:pos="1134"/>
                          <w:tab w:val="left" w:pos="1560"/>
                          <w:tab w:val="left" w:pos="2410"/>
                          <w:tab w:val="left" w:pos="2552"/>
                        </w:tabs>
                        <w:ind w:firstLine="720"/>
                        <w:jc w:val="both"/>
                        <w:rPr>
                          <w:szCs w:val="24"/>
                        </w:rPr>
                      </w:pPr>
                      <w:sdt>
                        <w:sdtPr>
                          <w:alias w:val="Numeris"/>
                          <w:tag w:val="nr_4241a4c37a714bf79ee57244ce8beace"/>
                          <w:lock w:val="sdtLocked"/>
                          <w:richText/>
                        </w:sdtPr>
                        <w:sdtContent>
                          <w:r>
                            <w:rPr>
                              <w:szCs w:val="24"/>
                            </w:rPr>
                            <w:t>41.19</w:t>
                          </w:r>
                        </w:sdtContent>
                      </w:sdt>
                      <w:r>
                        <w:rPr>
                          <w:szCs w:val="24"/>
                        </w:rPr>
                        <w:t xml:space="preserve">. </w:t>
                      </w:r>
                      <w:r>
                        <w:rPr>
                          <w:szCs w:val="24"/>
                          <w:lang w:eastAsia="lt-LT"/>
                        </w:rPr>
                        <w:t>nusidėvėjimo (amortizacijos) sąnaudas nuo ilgalaikio turto ar jo dalies vertės, sukurtos įvykdžius investicinius projektus, teisės aktų nustatyta tvarka nesuderintus su atitinkamos savivaldybės taryba ir (arba) Komisija</w:t>
                      </w:r>
                      <w:r>
                        <w:rPr>
                          <w:szCs w:val="24"/>
                        </w:rPr>
                        <w:t>;</w:t>
                      </w:r>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22e457db38ab4c11a15cc16e64400449"/>
                    <w:lock w:val="sdtLocked"/>
                    <w:richText/>
                  </w:sdtPr>
                  <w:sdtContent>
                    <w:p>
                      <w:pPr>
                        <w:widowControl w:val="0"/>
                        <w:tabs>
                          <w:tab w:val="left" w:pos="142"/>
                          <w:tab w:val="left" w:pos="1276"/>
                        </w:tabs>
                        <w:ind w:firstLine="720"/>
                        <w:jc w:val="both"/>
                        <w:rPr>
                          <w:szCs w:val="24"/>
                          <w:lang w:eastAsia="lt-LT"/>
                        </w:rPr>
                      </w:pPr>
                      <w:sdt>
                        <w:sdtPr>
                          <w:alias w:val="Numeris"/>
                          <w:tag w:val="nr_22e457db38ab4c11a15cc16e64400449"/>
                          <w:lock w:val="sdtLocked"/>
                          <w:richText/>
                        </w:sdtPr>
                        <w:sdtContent>
                          <w:r>
                            <w:rPr>
                              <w:color w:val="000000"/>
                              <w:szCs w:val="24"/>
                            </w:rPr>
                            <w:t>41.22</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Komisija priima atskirą sprendimą dėl tokio ilgalaikio turto likutinės vertės pripažinimo ekonomiškai pagrįsta investicijų derinimo metu;</w:t>
                      </w:r>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96d6ee60b68d4654972af4f63fef8ae6"/>
                <w:lock w:val="sdtLocked"/>
                <w:richText/>
              </w:sdtPr>
              <w:sdtContent>
                <w:p>
                  <w:pPr>
                    <w:widowControl w:val="0"/>
                    <w:tabs>
                      <w:tab w:val="left" w:pos="1134"/>
                    </w:tabs>
                    <w:ind w:firstLine="720"/>
                    <w:jc w:val="both"/>
                    <w:rPr>
                      <w:lang w:eastAsia="lt-LT"/>
                    </w:rPr>
                  </w:pPr>
                  <w:sdt>
                    <w:sdtPr>
                      <w:alias w:val="Numeris"/>
                      <w:tag w:val="nr_96d6ee60b68d4654972af4f63fef8ae6"/>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p>
                  <w:pPr>
                    <w:widowControl w:val="0"/>
                    <w:tabs>
                      <w:tab w:val="left" w:pos="1134"/>
                    </w:tabs>
                    <w:jc w:val="both"/>
                    <w:rPr>
                      <w:szCs w:val="24"/>
                      <w:lang w:eastAsia="lt-LT"/>
                    </w:rPr>
                  </w:pPr>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d39915df27d440ae826842be12cf740a"/>
                <w:lock w:val="sdtLocked"/>
                <w:richText/>
              </w:sdtPr>
              <w:sdtContent>
                <w:p>
                  <w:pPr>
                    <w:widowControl w:val="0"/>
                    <w:tabs>
                      <w:tab w:val="left" w:pos="1134"/>
                    </w:tabs>
                    <w:ind w:firstLine="720"/>
                    <w:jc w:val="both"/>
                    <w:rPr>
                      <w:szCs w:val="24"/>
                    </w:rPr>
                  </w:pPr>
                  <w:sdt>
                    <w:sdtPr>
                      <w:alias w:val="Numeris"/>
                      <w:tag w:val="nr_d39915df27d440ae826842be12cf740a"/>
                      <w:lock w:val="sdtLocked"/>
                      <w:richText/>
                    </w:sdtPr>
                    <w:sdtContent>
                      <w:r>
                        <w:t>57</w:t>
                      </w:r>
                    </w:sdtContent>
                  </w:sdt>
                  <w:r>
                    <w:t xml:space="preserve">. Paaiškėjus, kad pagal Aprašo </w:t>
                  </w:r>
                  <w:r>
                    <w:rPr>
                      <w:szCs w:val="24"/>
                    </w:rPr>
                    <w:t>51</w:t>
                  </w:r>
                  <w:r>
                    <w:t xml:space="preserve">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Auditoriaus įvertinimo ir pakartotinės reguliuojamosios veiklos ataskaitų patikros nereikia, jeigu duomenys reguliuojamosios veiklos ataskaitose koreguojami gavus Komisijos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343319d0e328472e9b1aa9307b3ffd3c"/>
                <w:lock w:val="sdtLocked"/>
                <w:richText/>
              </w:sdtPr>
              <w:sdtContent>
                <w:p>
                  <w:pPr>
                    <w:widowControl w:val="0"/>
                    <w:tabs>
                      <w:tab w:val="left" w:pos="1134"/>
                    </w:tabs>
                    <w:ind w:firstLine="720"/>
                    <w:jc w:val="both"/>
                    <w:rPr>
                      <w:szCs w:val="24"/>
                    </w:rPr>
                  </w:pPr>
                  <w:sdt>
                    <w:sdtPr>
                      <w:alias w:val="Numeris"/>
                      <w:tag w:val="nr_343319d0e328472e9b1aa9307b3ffd3c"/>
                      <w:lock w:val="sdtLocked"/>
                      <w:richText/>
                    </w:sdtPr>
                    <w:sdtContent>
                      <w:r>
                        <w:t>62</w:t>
                      </w:r>
                    </w:sdtContent>
                  </w:sdt>
                  <w:r>
                    <w:t>. Aprašo priedus bei kitus dokumentus, nurodytus 51 punkte, Ūkio subjektas privalo pateikti elektronine forma per Komisijos Duomenų surinkimo ir analizės informacinę sistemą.</w:t>
                  </w:r>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a9f1aeba72ff414291c5ee02354cf04d"/>
                <w:lock w:val="sdtLocked"/>
                <w:richText/>
              </w:sdtPr>
              <w:sdtContent>
                <w:p>
                  <w:pPr>
                    <w:widowControl w:val="0"/>
                    <w:tabs>
                      <w:tab w:val="left" w:pos="1134"/>
                    </w:tabs>
                    <w:ind w:firstLine="720"/>
                    <w:jc w:val="both"/>
                    <w:rPr>
                      <w:lang w:eastAsia="en-GB"/>
                    </w:rPr>
                  </w:pPr>
                  <w:sdt>
                    <w:sdtPr>
                      <w:alias w:val="Numeris"/>
                      <w:tag w:val="nr_a9f1aeba72ff414291c5ee02354cf04d"/>
                      <w:lock w:val="sdtLocked"/>
                      <w:richText/>
                    </w:sdtPr>
                    <w:sdtContent>
                      <w:r>
                        <w:rPr>
                          <w:lang w:eastAsia="en-GB"/>
                        </w:rPr>
                        <w:t>64</w:t>
                      </w:r>
                    </w:sdtContent>
                  </w:sdt>
                  <w:r>
                    <w:rPr>
                      <w:lang w:eastAsia="en-GB"/>
                    </w:rPr>
                    <w:t xml:space="preserve">. </w:t>
                  </w:r>
                  <w:r>
                    <w:rPr>
                      <w:color w:val="000000"/>
                    </w:rPr>
                    <w:t>Esant neaiškumų dėl šio Aprašo nuostatų taikymo, esant neaiškumų dėl tam tikrų sąnaudų, pajamų ar ilgalaikio turto verčių priskyrimo reguliuojamosios ar nereguliuojamosios veiklos verslo vienetams ir paslaugoms, Ūkio subjektas turi teisę kreiptis į Komisiją metodinės pagalbos.</w:t>
                  </w:r>
                  <w:r>
                    <w:t xml:space="preserve"> Komisija, gavusi Ūkio subjekto prašymą, teikia konsultaciją Lietuvos Respublikos viešojo administravimo įstatymo nustatyta tvarka.</w:t>
                  </w:r>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priedų pakeitimai pagal nutarimą Nr. O3E-159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Calibri Light">
    <w:altName w:val="Segoe UI"/>
    <w:panose1 w:val="020F0302020204030204"/>
    <w:charset w:val="BA"/>
    <w:family w:val="swiss"/>
    <w:pitch w:val="variable"/>
    <w:sig w:usb0="A00002EF" w:usb1="4000207B"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720"/>
  <w:hyphenationZone w:val="396"/>
  <w:doNotHyphenateCaps/>
  <w:evenAndOddHeader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DAED1B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904db280327245baad8e2053b240ef7c" PartId="9edf573f742a491a8e23b28f9f5d06db">
    <Part Type="preambule" DocPartId="1d23fd61d06a49eaa7d0cf4eb13b2b44" PartId="87acd564ec7b49e188eb08be849eea73"/>
    <Part Type="punktas" Nr="1" Abbr="1 p." DocPartId="ea0afd34b1e94da09c83f63fc7b2ac10" PartId="d93429770cb44207b5bd06c2b294080e"/>
    <Part Type="punktas" Nr="2" Abbr="2 p." DocPartId="2f30ad01f01c4460b705b7fb8554dcf8" PartId="977997290946425ab5a97e761ce8c007">
      <Part Type="papunktis" Nr="2.1" Abbr="2.1 pp." DocPartId="388bfa9b1b534f7bae8f7de51b666fa6" PartId="eb78390c1054403797d0fd538f39b72e">
        <Part Type="papunktis" Nr="2.1.1" Abbr="2.1.1 pp." DocPartId="e7e4331360e24aa9a469f0a8bb4356fc" PartId="ab082c17190947ec8ac6252083450908"/>
        <Part Type="papunktis" Nr="2.1.2" Abbr="2.1.2 pp." DocPartId="d55a6c37c2294f2eb08b73aa8b25bcd2" PartId="5eb5fb40751443f69989becaf7d40029"/>
      </Part>
      <Part Type="papunktis" Nr="2.2" Abbr="2.2 pp." DocPartId="fe8481f9ad244e38aeea9b925c42ceba" PartId="941413351c8c490da256c3405eeff99c"/>
      <Part Type="papunktis" Nr="2.3" Abbr="2.3 pp." DocPartId="2c7cd19fdded48dbb8721c0bbbf9ffa2" PartId="5df39e74fd3546eaa2e47d6a2ac1e7f8"/>
      <Part Type="papunktis" Nr="2.4" Abbr="2.4 pp." DocPartId="0331ba99d9e244619888089838fcf1a7" PartId="265fbf51ad75402fbd9d3635750d2fc4"/>
      <Part Type="papunktis" Nr="2.5" Abbr="2.5 pp." DocPartId="98cd9fb409f947ae8f1fa38e68bb7c30" PartId="f2c3810fede54421b450348fbd125598"/>
      <Part Type="papunktis" Nr="2.6" Abbr="2.6 pp." DocPartId="9c5b8d50ba204aedaa0b1c80b2e9ac0a" PartId="ad5c3c66ee184809b2fe48d07fd24b68">
        <Part Type="citata" DocPartId="faf31996dc734f5a91e4c4764e6e46eb" PartId="095e7f7b8ad741d8874e073b68314f14">
          <Part Type="punktas" Nr="57" Abbr="57 p." DocPartId="4d17c543d0ef4460addfd47a7ba52338" PartId="16cf8f9f75194872b0ea28115cb500a9"/>
        </Part>
      </Part>
      <Part Type="papunktis" Nr="2.7" Abbr="2.7 pp." DocPartId="00a7863cc0c24db695eaeaa1b9dc4dc8" PartId="19c0fe036fd240429e5a33406eee97cf">
        <Part Type="citata" DocPartId="2df88e57d0ad4e6bbc2a19651c7cc274" PartId="31eb0531f0bb4429a4d90bdc62d3a7fc">
          <Part Type="punktas" Nr="58" Abbr="58 p." DocPartId="fabfdd871b594aa9ac7ce866d45907fb" PartId="a8ed9b6c284546f6b97504253bbbe60b"/>
        </Part>
      </Part>
      <Part Type="papunktis" Nr="2.8" Abbr="2.8 pp." DocPartId="fc6583f4099a487da4c390a6523d7acf" PartId="1dcb02d5054e44859cfe19cf88365ea7">
        <Part Type="citata" DocPartId="c54ece5fb0ae430bac06b59f211feed5" PartId="29e05e37b05e45eeb5c5e13b8fabbadd">
          <Part Type="punktas" Nr="59" Abbr="59 p." DocPartId="b76cd3720af8437ba07a4f47f26c8591" PartId="178b634394e64fc7b2adfa23d1e2910e"/>
        </Part>
      </Part>
      <Part Type="papunktis" Nr="2.9" Abbr="2.9 pp." DocPartId="9772d96b539f4779ac8d1de951f01d9e" PartId="b673751d08684041936878621859c6cb"/>
      <Part Type="papunktis" Nr="2.10" Abbr="2.10 pp." DocPartId="00380d409a10496ab4b0c14fcef8d498" PartId="939fc485d35f4a0c8fd6a8c1a4546ca4"/>
    </Part>
    <Part Type="signatura" DocPartId="8f899d2fae0243e39b97abbae3f940e9" PartId="d421cc9efb724aac809d7439b3268de3"/>
  </Part>
  <Part Type="patvirtinta" Title="ŠILUMOS SEKTORIAUS ĮMONIŲ APSKAITOS ATSKYRIMO IR SĄNAUDŲ PASKIRSTYMO REIKALAVIMŲ APRAŠAS" DocPartId="7c3bd6a30320436cae55e933168fe762" PartId="abac46cf20814c2ab8887f05b2b8f98e">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c6224f24e00f49d6b5276d9297fa20b2"/>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3fba32c3e8ef4880a30c6a61888a5b7b"/>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1c810e64e7ed42cb8e23ee9fac1ab95a">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1f40f0084ab4ffe8adc7bee74ec806f"/>
        </Part>
        <Part Type="papunktis" Nr="12.2" Abbr="12.2 pp." DocPartId="c375ae68661e483fb08f333f43a44fd4" PartId="63f2dd1a8b58490eabffce0c932fbd96"/>
      </Part>
      <Part Type="punktas" Nr="13" Abbr="13 p." DocPartId="b6f2b1629a0d4c159beb1c69d8c0cd38" PartId="63552eba40ad453f80a6737536f3b09d"/>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95b6840656c0473da4a1e6dd6c6eacf6"/>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5a5ef466d81d4b418436897eff20aeaa"/>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a7dd29a38ab441a6b1c787afc6b22148"/>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419d5ac317e649a59003dae5983168b5"/>
          <Part Type="papunktis" Nr="24.4.14" Abbr="24.4.14 pp." DocPartId="1774bc8c37044f5282d2cf08c7ccb417" PartId="9b592f1cf4c6449cb3eb368f3fbaff8c"/>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1b55d5a431bf4238a899707277417731"/>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87f8063220e6478a8eb17902bb22f84f"/>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12aa20a90a0846a184a0680d33ee9189"/>
        <Part Type="papunktis" Nr="30.5" Abbr="30.5 pp." DocPartId="2a29d03daba84c1fa7c96728aca8a5b9" PartId="5442e02a6bbd474d86b64460f3df46b1"/>
        <Part Type="papunktis" Nr="30.6" Abbr="30.6 pp." DocPartId="ab5aa2bef9c340c9a5c2ff0da0d615e4" PartId="7ba8667bb25949c290dc0cadc5360944"/>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902c000967943b486cfdb26d2fd7ebf"/>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deae3b5869c2415ca6fe1d93ac1466a9"/>
        <Part Type="papunktis" Nr="41.2" Abbr="41.2 pp." DocPartId="31a6a5f7ebd94279831eae4ee2584f45" PartId="e4c23b761e7b4e7c97f62531d70435c4"/>
        <Part Type="papunktis" Nr="41.3" Abbr="41.3 pp." DocPartId="c290f9c984984c28bb507e39f5d5f7c0" PartId="8588653f02fc4f209c5e1900dcac7ac0"/>
        <Part Type="papunktis" Nr="41.4" Abbr="41.4 pp." DocPartId="b6030e803be740af9469ae651bb14e35" PartId="6f3ffeac77ff474bacd3a673295c0417"/>
        <Part Type="papunktis" Nr="41.5" Abbr="41.5 pp." DocPartId="95fc87ae729a4fd98ebdb03ce9769ec1" PartId="93b21be3e3a84ab2b1736522bb918025"/>
        <Part Type="papunktis" Nr="41.6" Abbr="41.6 pp." DocPartId="c69bb32467b34ae99c2d02ede50b26d0" PartId="8edafbe57cc14bf5bd7265c477162ab1"/>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4241a4c37a714bf79ee57244ce8beace"/>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22e457db38ab4c11a15cc16e64400449"/>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96d6ee60b68d4654972af4f63fef8ae6"/>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d39915df27d440ae826842be12cf740a"/>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343319d0e328472e9b1aa9307b3ffd3c"/>
      <Part Type="punktas" Nr="63" Abbr="63 p." DocPartId="837c6cc551ab43c1bf999c5ca31d01a2" PartId="29c44ec0df6d47d1adc829529a119bbd"/>
      <Part Type="punktas" Nr="64" Abbr="64 p." DocPartId="84fcab1b403e4a93b0a921a07fc61183" PartId="a9f1aeba72ff414291c5ee02354cf04d"/>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D2C5617-E378-49CE-8427-6A925BD200D3}">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D1A879A1-2C94-469F-B7D2-2B6FEF59C5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21</Pages>
  <Words>50917</Words>
  <Characters>29023</Characters>
  <Application>Microsoft Office Word</Application>
  <DocSecurity>0</DocSecurity>
  <Lines>241</Lines>
  <Paragraphs>159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79781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GUMBYTĖ Danguolė</lastModifiedBy>
  <lastPrinted>2018-11-29T09:06:00Z</lastPrinted>
  <dcterms:modified xsi:type="dcterms:W3CDTF">2019-05-27T12:12:00Z</dcterms:modified>
  <revision>9</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