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2023-10-01 iki 2025-01-27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4e622894f9324e86998834c2f1722103"/>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4e622894f9324e86998834c2f1722103"/>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b8ac6b856e984dfab6675044721c0a6d"/>
                <w:lock w:val="sdtLocked"/>
                <w:richText/>
              </w:sdtPr>
              <w:sdtContent>
                <w:p>
                  <w:pPr>
                    <w:suppressAutoHyphens/>
                    <w:ind w:firstLine="851"/>
                    <w:jc w:val="both"/>
                    <w:rPr>
                      <w:szCs w:val="24"/>
                    </w:rPr>
                  </w:pPr>
                  <w:sdt>
                    <w:sdtPr>
                      <w:alias w:val="Numeris"/>
                      <w:tag w:val="nr_b8ac6b856e984dfab6675044721c0a6d"/>
                      <w:lock w:val="sdtLocked"/>
                      <w:richText/>
                    </w:sdtPr>
                    <w:sdtContent>
                      <w:r>
                        <w:rPr>
                          <w:szCs w:val="24"/>
                          <w:lang w:eastAsia="lt-LT"/>
                        </w:rPr>
                        <w:t>4</w:t>
                      </w:r>
                    </w:sdtContent>
                  </w:sdt>
                  <w:r>
                    <w:rPr>
                      <w:szCs w:val="24"/>
                      <w:lang w:eastAsia="lt-LT"/>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atskaitomybės įstatyme, Lietuvos Respublikos finansinių ataskaitų audito įstatyme, Šilumos kainų nustatymo metodikos principų apraše, patvirtintame Lietuvos Respublikos Vyriausybės 2011 m. liepos 13 d. nutarimu Nr. 889, Šilumos kainų nustatymo metodikoje, patvirtintoje Tarybos 2009 m. liepos 8 d. nutarimu Nr.  O3-96 „Dėl Šilumos kainų nustatymo metodikos“, Šilumos gamybos ir (ar) supirkimo tvarkos ir sąlygų apraše, patvirtintame Tarybos 2010 m. spalio 4 d. nutarimu Nr. O3-202 „Dėl Šilumos gamybos ir (ar) supirkimo tvarkos ir sąlygų aprašo patvirtinimo“, Šilumos gamybos, perdavimo, mažmeninio aptarnavimo, karšto vandens tiekimo ir atsiskaitomųjų karšto vandens apskaitos prietaisų aptarnavimo veiklų lyginamosios analizės apraše, patvirtintame Tarybos 2011 m. liepos 29 d. nutarimu Nr. O3-219 „Dėl Šilumos gamybos, perdavimo, pardavimo, karšto vandens tiekimo ir atsiskaitomųjų karšto vandens apskaitos prietaisų aptarnavimo veiklų lyginamosios analizės aprašo patvirtinimo“, Lietuvos finansinės atskaitomybės standartuose, Viešojo sektoriaus apskaitos ir finansinės atskaitomybės standartuose bei Tarptautiniuose finansinės atskaitomybės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5 p."/>
                <w:tag w:val="part_33e467bba2044fcba674df65ab771c18"/>
                <w:lock w:val="sdtLocked"/>
                <w:richText/>
              </w:sdtPr>
              <w:sdtContent>
                <w:p>
                  <w:pPr>
                    <w:suppressAutoHyphens/>
                    <w:ind w:firstLine="709"/>
                    <w:jc w:val="both"/>
                    <w:rPr>
                      <w:szCs w:val="24"/>
                    </w:rPr>
                  </w:pPr>
                  <w:sdt>
                    <w:sdtPr>
                      <w:alias w:val="Numeris"/>
                      <w:tag w:val="nr_33e467bba2044fcba674df65ab771c18"/>
                      <w:lock w:val="sdtLocked"/>
                      <w:richText/>
                    </w:sdtPr>
                    <w:sdtContent>
                      <w:r>
                        <w:rPr>
                          <w:szCs w:val="24"/>
                          <w:lang w:eastAsia="lt-LT"/>
                        </w:rPr>
                        <w:t>5</w:t>
                      </w:r>
                    </w:sdtContent>
                  </w:sdt>
                  <w:r>
                    <w:rPr>
                      <w:szCs w:val="24"/>
                      <w:lang w:eastAsia="lt-LT"/>
                    </w:rPr>
                    <w:t>. Aprašas netaikomas organizuojant ir tvarkant finansinę apskaitą ir rengiant finansines ataskaitas Lietuvos Respublikos įmonių atskaitomybės įstatyme bei Lietuvos Respublikos finansinės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Lietuvos finansinės atskaitomybės standartais arba Viešojo sektoriaus apskaitos ir finansinės atskaitomybės standartais, arba Tarptautiniais finansinės atskaitomybės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8-1 p."/>
                <w:tag w:val="part_4d1debedd1dd4f4c9e69cb2644b12a23"/>
                <w:lock w:val="sdtLocked"/>
                <w:richText/>
              </w:sdtPr>
              <w:sdtContent>
                <w:p>
                  <w:pPr>
                    <w:ind w:firstLine="709"/>
                    <w:jc w:val="both"/>
                    <w:rPr>
                      <w:szCs w:val="24"/>
                    </w:rPr>
                  </w:pPr>
                  <w:r>
                    <w:rPr>
                      <w:szCs w:val="24"/>
                    </w:rPr>
                    <w:t>8</w:t>
                  </w:r>
                  <w:r>
                    <w:rPr>
                      <w:szCs w:val="24"/>
                      <w:vertAlign w:val="superscript"/>
                    </w:rPr>
                    <w:t>1</w:t>
                  </w:r>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c4a009c7e22f44c5bde3a2f74ad4ec38"/>
                    <w:lock w:val="sdtLocked"/>
                    <w:richText/>
                  </w:sdtPr>
                  <w:sdtContent>
                    <w:p>
                      <w:pPr>
                        <w:suppressAutoHyphens/>
                        <w:ind w:firstLine="709"/>
                        <w:jc w:val="both"/>
                        <w:rPr>
                          <w:szCs w:val="24"/>
                        </w:rPr>
                      </w:pPr>
                      <w:sdt>
                        <w:sdtPr>
                          <w:alias w:val="Numeris"/>
                          <w:tag w:val="nr_c4a009c7e22f44c5bde3a2f74ad4ec38"/>
                          <w:lock w:val="sdtLocked"/>
                          <w:richText/>
                        </w:sdtPr>
                        <w:sdtContent>
                          <w:r>
                            <w:rPr>
                              <w:szCs w:val="24"/>
                              <w:lang w:eastAsia="lt-LT"/>
                            </w:rPr>
                            <w:t>10.9</w:t>
                          </w:r>
                        </w:sdtContent>
                      </w:sdt>
                      <w:r>
                        <w:rPr>
                          <w:szCs w:val="24"/>
                          <w:lang w:eastAsia="lt-LT"/>
                        </w:rPr>
                        <w:t xml:space="preserve">. </w:t>
                      </w:r>
                      <w:r>
                        <w:rPr>
                          <w:szCs w:val="24"/>
                        </w:rPr>
                        <w:t>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ir konkurencinę šilumos gamybą).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547d3dd4187b457d80e5558a5412162a"/>
                <w:lock w:val="sdtLocked"/>
                <w:richText/>
              </w:sdtPr>
              <w:sdtContent>
                <w:p>
                  <w:pPr>
                    <w:widowControl w:val="0"/>
                    <w:tabs>
                      <w:tab w:val="left" w:pos="1134"/>
                      <w:tab w:val="left" w:pos="1701"/>
                    </w:tabs>
                    <w:ind w:firstLine="720"/>
                    <w:jc w:val="both"/>
                    <w:rPr>
                      <w:szCs w:val="24"/>
                    </w:rPr>
                  </w:pPr>
                  <w:sdt>
                    <w:sdtPr>
                      <w:alias w:val="Numeris"/>
                      <w:tag w:val="nr_547d3dd4187b457d80e5558a5412162a"/>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32b2ea088d974dc386b4c95b904ea164"/>
                <w:lock w:val="sdtLocked"/>
                <w:richText/>
              </w:sdtPr>
              <w:sdtContent>
                <w:p>
                  <w:pPr>
                    <w:suppressAutoHyphens/>
                    <w:spacing w:line="259" w:lineRule="auto"/>
                    <w:ind w:firstLine="709"/>
                    <w:jc w:val="both"/>
                    <w:rPr>
                      <w:szCs w:val="24"/>
                    </w:rPr>
                  </w:pPr>
                  <w:sdt>
                    <w:sdtPr>
                      <w:alias w:val="Numeris"/>
                      <w:tag w:val="nr_32b2ea088d974dc386b4c95b904ea164"/>
                      <w:lock w:val="sdtLocked"/>
                      <w:richText/>
                    </w:sdtPr>
                    <w:sdtContent>
                      <w:r>
                        <w:rPr>
                          <w:kern w:val="2"/>
                          <w:szCs w:val="24"/>
                          <w:lang w:eastAsia="lt-LT"/>
                          <w14:ligatures w14:val="standardContextual"/>
                        </w:rPr>
                        <w:t>15</w:t>
                      </w:r>
                    </w:sdtContent>
                  </w:sdt>
                  <w:r>
                    <w:rPr>
                      <w:kern w:val="2"/>
                      <w:szCs w:val="24"/>
                      <w:lang w:eastAsia="lt-LT"/>
                      <w14:ligatures w14:val="standardContextual"/>
                    </w:rPr>
                    <w:t>. Pramonės įmonės (nepriklausomi šilumos gamintojai), kurių šilumos (susidarančios ne bendrame šilumos ir elektros energijos gamybos cikle) gamyba ir pardavimas nėra pagrindinė veikla,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bc02d5514746442499235010b368d158"/>
                        <w:lock w:val="sdtLocked"/>
                        <w:richText/>
                      </w:sdtPr>
                      <w:sdtContent>
                        <w:p>
                          <w:pPr>
                            <w:suppressAutoHyphens/>
                            <w:ind w:firstLine="709"/>
                            <w:jc w:val="both"/>
                            <w:rPr>
                              <w:color w:val="000000"/>
                              <w:szCs w:val="24"/>
                              <w:lang w:eastAsia="lt-LT"/>
                            </w:rPr>
                          </w:pPr>
                          <w:sdt>
                            <w:sdtPr>
                              <w:alias w:val="Numeris"/>
                              <w:tag w:val="nr_bc02d5514746442499235010b368d158"/>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 xml:space="preserve">metinės sąnaudų, finansuojamų per šilumos kainą, dalies ir </w:t>
                          </w:r>
                          <w:r>
                            <w:rPr>
                              <w:color w:val="000000"/>
                              <w:szCs w:val="24"/>
                              <w:shd w:val="clear" w:color="auto" w:fill="FFFFFF"/>
                            </w:rPr>
                            <w:t>su pagrindine veikla susijusius mokslinius tyrimus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30c8c235d6e64e1eaa7434b4125af1f0"/>
                        <w:lock w:val="sdtLocked"/>
                        <w:richText/>
                      </w:sdtPr>
                      <w:sdtContent>
                        <w:p>
                          <w:pPr>
                            <w:suppressAutoHyphens/>
                            <w:ind w:firstLine="709"/>
                            <w:jc w:val="both"/>
                            <w:rPr>
                              <w:color w:val="000000"/>
                              <w:szCs w:val="24"/>
                              <w:lang w:eastAsia="lt-LT"/>
                            </w:rPr>
                          </w:pPr>
                          <w:sdt>
                            <w:sdtPr>
                              <w:alias w:val="Numeris"/>
                              <w:tag w:val="nr_30c8c235d6e64e1eaa7434b4125af1f0"/>
                              <w:lock w:val="sdtLocked"/>
                              <w:richText/>
                            </w:sdtPr>
                            <w:sdtContent>
                              <w:r>
                                <w:rPr>
                                  <w:szCs w:val="24"/>
                                </w:rPr>
                                <w:t>24.4.12</w:t>
                              </w:r>
                            </w:sdtContent>
                          </w:sdt>
                          <w:r>
                            <w:rPr>
                              <w:szCs w:val="24"/>
                            </w:rPr>
                            <w:t>. ilgalaikio turto vienetų ar jų vertės dalį, sukurtą vartotojų, nepriklausomų šilumos gamintojų bei atliekinės šilumos gamintojų lėšomis, prijungiant juos prie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13 pp."/>
                        <w:tag w:val="part_bb6fa5a11bc748d8a0be63cff27c0164"/>
                        <w:lock w:val="sdtLocked"/>
                        <w:richText/>
                      </w:sdtPr>
                      <w:sdtContent>
                        <w:p>
                          <w:pPr>
                            <w:widowControl w:val="0"/>
                            <w:tabs>
                              <w:tab w:val="left" w:pos="851"/>
                            </w:tabs>
                            <w:ind w:firstLine="709"/>
                            <w:jc w:val="both"/>
                          </w:pPr>
                          <w:sdt>
                            <w:sdtPr>
                              <w:alias w:val="Numeris"/>
                              <w:tag w:val="nr_bb6fa5a11bc748d8a0be63cff27c0164"/>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1 pp."/>
                        <w:tag w:val="part_8b52bed1a8ce4eb89a6dc10ffce214a1"/>
                        <w:lock w:val="sdtLocked"/>
                        <w:richText/>
                      </w:sdtPr>
                      <w:sdtContent>
                        <w:p>
                          <w:pPr>
                            <w:ind w:firstLine="720"/>
                            <w:jc w:val="both"/>
                            <w:rPr>
                              <w:color w:val="000000"/>
                              <w:szCs w:val="24"/>
                              <w:lang w:eastAsia="lt-LT"/>
                            </w:rPr>
                          </w:pPr>
                          <w:sdt>
                            <w:sdtPr>
                              <w:alias w:val="Numeris"/>
                              <w:tag w:val="nr_8b52bed1a8ce4eb89a6dc10ffce214a1"/>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2 pp."/>
                        <w:tag w:val="part_f9489d1e428349238b30b7504906cd7a"/>
                        <w:lock w:val="sdtLocked"/>
                        <w:richText/>
                      </w:sdtPr>
                      <w:sdtContent>
                        <w:p>
                          <w:pPr>
                            <w:widowControl w:val="0"/>
                            <w:tabs>
                              <w:tab w:val="left" w:pos="851"/>
                              <w:tab w:val="left" w:pos="1134"/>
                            </w:tabs>
                            <w:suppressAutoHyphens/>
                            <w:ind w:firstLine="709"/>
                            <w:jc w:val="both"/>
                            <w:rPr>
                              <w:color w:val="000000"/>
                              <w:szCs w:val="24"/>
                              <w:lang w:eastAsia="lt-LT"/>
                            </w:rPr>
                          </w:pPr>
                          <w:sdt>
                            <w:sdtPr>
                              <w:alias w:val="Numeris"/>
                              <w:tag w:val="nr_f9489d1e428349238b30b7504906cd7a"/>
                              <w:lock w:val="sdtLocked"/>
                              <w:richText/>
                            </w:sdtPr>
                            <w:sdtContent>
                              <w:r>
                                <w:rPr>
                                  <w:color w:val="000000"/>
                                  <w:szCs w:val="24"/>
                                  <w:lang w:eastAsia="lt-LT"/>
                                </w:rPr>
                                <w:t>24.4.13</w:t>
                              </w:r>
                              <w:r>
                                <w:rPr>
                                  <w:color w:val="000000"/>
                                  <w:szCs w:val="24"/>
                                  <w:vertAlign w:val="superscript"/>
                                  <w:lang w:eastAsia="lt-LT"/>
                                </w:rPr>
                                <w:t>2</w:t>
                              </w:r>
                            </w:sdtContent>
                          </w:sdt>
                          <w:r>
                            <w:rPr>
                              <w:color w:val="000000"/>
                              <w:szCs w:val="24"/>
                              <w:lang w:eastAsia="lt-LT"/>
                            </w:rPr>
                            <w:t xml:space="preserve">. </w:t>
                          </w:r>
                          <w:r>
                            <w:rPr>
                              <w:szCs w:val="24"/>
                            </w:rPr>
                            <w:t>ilgalaikio turto vienetų ar jų vertės dalį, sukurtą įgyvendinus investicijų projektus, pagal paskirtį priskirtus investicijoms, nurodytoms Šilumos tiekėjų, nepriklausomų šilumos gamintojų, geriamojo vandens tiekėjų ir nuotekų tvarkytojų, paviršinių nuotekų tvarkytojų investicijų vertinimo ir derinimo Valstybinėje energetikos reguliavimo taryboje tvarkos aprašo, patvirtinto Tarybos 2019 m. balandžio 1 d. nutarimu Nr. O3E-93 „</w:t>
                          </w:r>
                          <w:r>
                            <w:rPr>
                              <w:color w:val="000000"/>
                            </w:rPr>
                            <w:t xml:space="preserve">Dėl Šilumos tiekėjų, nepriklausomų šilumos gamintojų, geriamojo vandens tiekėjų ir nuotekų tvarkytojų, paviršinių nuotekų tvarkytojų investicijų vertinimo ir derinimo Valstybinėje energetikos reguliavimo taryboje tvarkos aprašo patvirtinimo“ (toliau </w:t>
                          </w:r>
                          <w:r>
                            <w:t>– Investicijų derinimo tvarkos aprašas)</w:t>
                          </w:r>
                          <w:r>
                            <w:rPr>
                              <w:color w:val="000000"/>
                            </w:rPr>
                            <w:t>, 36.1, 36.2 (tik teisės aktuose nustatytai plėtrai įgyvendinti) arba 36.3 papunkčiuose</w:t>
                          </w:r>
                          <w:r>
                            <w:rPr>
                              <w:szCs w:val="24"/>
                            </w:rPr>
                            <w:t xml:space="preserve">, ir </w:t>
                          </w:r>
                          <w:r>
                            <w:rPr>
                              <w:color w:val="000000"/>
                              <w:szCs w:val="24"/>
                              <w:lang w:eastAsia="lt-LT"/>
                            </w:rPr>
                            <w:t>finansuotą iš reguliuojamų šilumos kainų papildomos dedamosios;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c0db2ae0aa70408fb561f710f96b714c"/>
                    <w:lock w:val="sdtLocked"/>
                    <w:richText/>
                  </w:sdtPr>
                  <w:sdtContent>
                    <w:p>
                      <w:pPr>
                        <w:widowControl w:val="0"/>
                        <w:tabs>
                          <w:tab w:val="left" w:pos="851"/>
                        </w:tabs>
                        <w:ind w:firstLine="709"/>
                        <w:jc w:val="both"/>
                      </w:pPr>
                      <w:sdt>
                        <w:sdtPr>
                          <w:alias w:val="Numeris"/>
                          <w:tag w:val="nr_c0db2ae0aa70408fb561f710f96b714c"/>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gamybos kogeneracinėse jėgainėse (Aprašo 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7 pp."/>
                    <w:tag w:val="part_f67fb7a2a8a6468ab4b22f601547d7fe"/>
                    <w:lock w:val="sdtLocked"/>
                    <w:richText/>
                  </w:sdtPr>
                  <w:sdtContent>
                    <w:p>
                      <w:pPr>
                        <w:tabs>
                          <w:tab w:val="left" w:pos="5880"/>
                        </w:tabs>
                        <w:ind w:firstLine="720"/>
                        <w:jc w:val="both"/>
                        <w:rPr>
                          <w:szCs w:val="24"/>
                          <w:lang w:eastAsia="lt-LT"/>
                        </w:rPr>
                      </w:pPr>
                      <w:sdt>
                        <w:sdtPr>
                          <w:alias w:val="Numeris"/>
                          <w:tag w:val="nr_f67fb7a2a8a6468ab4b22f601547d7fe"/>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25 p."/>
                <w:tag w:val="part_349959e7f3244a8bad1e93db41d37ced"/>
                <w:lock w:val="sdtLocked"/>
                <w:richText/>
              </w:sdtPr>
              <w:sdtContent>
                <w:p>
                  <w:pPr>
                    <w:suppressAutoHyphens/>
                    <w:ind w:firstLine="709"/>
                    <w:jc w:val="both"/>
                    <w:rPr>
                      <w:szCs w:val="24"/>
                      <w:lang w:eastAsia="lt-LT"/>
                    </w:rPr>
                  </w:pPr>
                  <w:sdt>
                    <w:sdtPr>
                      <w:alias w:val="Numeris"/>
                      <w:tag w:val="nr_349959e7f3244a8bad1e93db41d37ced"/>
                      <w:lock w:val="sdtLocked"/>
                      <w:richText/>
                    </w:sdtPr>
                    <w:sdtContent>
                      <w:r>
                        <w:rPr>
                          <w:szCs w:val="24"/>
                        </w:rPr>
                        <w:t>25</w:t>
                      </w:r>
                    </w:sdtContent>
                  </w:sdt>
                  <w:r>
                    <w:rPr>
                      <w:szCs w:val="24"/>
                    </w:rPr>
                    <w:t>. Ilgalaikio turto, kuriuo didinamas Ūkio subjekto įstatinis kapitalas, nudėvimoji vertė skaičiuojama iš perduoto turto finansinės likutinės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c3b2647da6c14277a96268b56e9f97da"/>
                <w:lock w:val="sdtLocked"/>
                <w:richText/>
              </w:sdtPr>
              <w:sdtContent>
                <w:p>
                  <w:pPr>
                    <w:widowControl w:val="0"/>
                    <w:tabs>
                      <w:tab w:val="left" w:pos="1134"/>
                    </w:tabs>
                    <w:ind w:firstLine="720"/>
                    <w:jc w:val="both"/>
                    <w:rPr>
                      <w:szCs w:val="24"/>
                    </w:rPr>
                  </w:pPr>
                  <w:sdt>
                    <w:sdtPr>
                      <w:alias w:val="Numeris"/>
                      <w:tag w:val="nr_c3b2647da6c14277a96268b56e9f97da"/>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finansinės apskaitos registruose užfiksuotais įrašais, kuriais remiantis buvo sudarytos finansinės ataskaitos. Perkeldamas duomenis iš finansinės apskaitos registrų į reguliavimo apskaitos sistemą, Ūkio subjektas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5be62fc79189403eb48a3b4204f91c0a"/>
                    <w:lock w:val="sdtLocked"/>
                    <w:richText/>
                  </w:sdtPr>
                  <w:sdtContent>
                    <w:p>
                      <w:pPr>
                        <w:widowControl w:val="0"/>
                        <w:tabs>
                          <w:tab w:val="left" w:pos="851"/>
                          <w:tab w:val="left" w:pos="1134"/>
                        </w:tabs>
                        <w:suppressAutoHyphens/>
                        <w:ind w:firstLine="709"/>
                        <w:jc w:val="both"/>
                        <w:rPr>
                          <w:lang w:eastAsia="lt-LT"/>
                        </w:rPr>
                      </w:pPr>
                      <w:sdt>
                        <w:sdtPr>
                          <w:alias w:val="Numeris"/>
                          <w:tag w:val="nr_5be62fc79189403eb48a3b4204f91c0a"/>
                          <w:lock w:val="sdtLocked"/>
                          <w:richText/>
                        </w:sdtPr>
                        <w:sdtContent>
                          <w:r>
                            <w:rPr>
                              <w:szCs w:val="24"/>
                            </w:rPr>
                            <w:t>30.5</w:t>
                          </w:r>
                        </w:sdtContent>
                      </w:sdt>
                      <w:r>
                        <w:rPr>
                          <w:szCs w:val="24"/>
                        </w:rPr>
                        <w:t>.</w:t>
                      </w:r>
                      <w:r>
                        <w:rPr>
                          <w:szCs w:val="24"/>
                          <w:lang w:eastAsia="lt-LT"/>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Lietuvos finansinės atskaitomybės standartuose arba Viešojo sektoriaus apskaitos ir finansinės atskaitomybės standartuose, arba Tarptautiniuose finansinės atskaitomybės standartuose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30.6 pp."/>
                    <w:tag w:val="part_60121773b09841fb8877dd43f027c807"/>
                    <w:lock w:val="sdtLocked"/>
                    <w:richText/>
                  </w:sdtPr>
                  <w:sdtContent>
                    <w:p>
                      <w:pPr>
                        <w:widowControl w:val="0"/>
                        <w:ind w:firstLine="720"/>
                        <w:jc w:val="both"/>
                      </w:pPr>
                      <w:sdt>
                        <w:sdtPr>
                          <w:alias w:val="Numeris"/>
                          <w:tag w:val="nr_60121773b09841fb8877dd43f027c807"/>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7 pp."/>
                    <w:tag w:val="part_d7386509d544489db32536f3e9b4a44b"/>
                    <w:lock w:val="sdtLocked"/>
                    <w:richText/>
                  </w:sdtPr>
                  <w:sdtContent>
                    <w:p>
                      <w:pPr>
                        <w:tabs>
                          <w:tab w:val="left" w:pos="5880"/>
                        </w:tabs>
                        <w:ind w:firstLine="720"/>
                        <w:jc w:val="both"/>
                        <w:rPr>
                          <w:lang w:eastAsia="lt-LT"/>
                        </w:rPr>
                      </w:pPr>
                      <w:sdt>
                        <w:sdtPr>
                          <w:alias w:val="Numeris"/>
                          <w:tag w:val="nr_d7386509d544489db32536f3e9b4a44b"/>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07e0d63b2254458ab2b2dab188ae7d2b"/>
                <w:lock w:val="sdtLocked"/>
                <w:richText/>
              </w:sdtPr>
              <w:sdtContent>
                <w:p>
                  <w:pPr>
                    <w:widowControl w:val="0"/>
                    <w:tabs>
                      <w:tab w:val="left" w:pos="851"/>
                      <w:tab w:val="left" w:pos="1134"/>
                    </w:tabs>
                    <w:suppressAutoHyphens/>
                    <w:ind w:firstLine="709"/>
                    <w:jc w:val="both"/>
                    <w:rPr>
                      <w:szCs w:val="24"/>
                    </w:rPr>
                  </w:pPr>
                  <w:sdt>
                    <w:sdtPr>
                      <w:alias w:val="Numeris"/>
                      <w:tag w:val="nr_07e0d63b2254458ab2b2dab188ae7d2b"/>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finansinės apskaitos registrų į reguliavimo apskaitos sistemą, Ūkio subjektas turi iš karto priskirti nepaskirstomųjų sąnaudų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39 p."/>
                <w:tag w:val="part_4be93d53b764498f92c25382e8149ecc"/>
                <w:lock w:val="sdtLocked"/>
                <w:richText/>
              </w:sdtPr>
              <w:sdtContent>
                <w:p>
                  <w:pPr>
                    <w:widowControl w:val="0"/>
                    <w:tabs>
                      <w:tab w:val="left" w:pos="851"/>
                    </w:tabs>
                    <w:ind w:firstLine="709"/>
                    <w:jc w:val="both"/>
                    <w:rPr>
                      <w:szCs w:val="24"/>
                    </w:rPr>
                  </w:pPr>
                  <w:sdt>
                    <w:sdtPr>
                      <w:alias w:val="Numeris"/>
                      <w:tag w:val="nr_4be93d53b764498f92c25382e8149ecc"/>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c8e4a11858bf41028d95d9ef9a382835"/>
                    <w:lock w:val="sdtLocked"/>
                    <w:richText/>
                  </w:sdtPr>
                  <w:sdtContent>
                    <w:p>
                      <w:pPr>
                        <w:widowControl w:val="0"/>
                        <w:tabs>
                          <w:tab w:val="left" w:pos="142"/>
                        </w:tabs>
                        <w:suppressAutoHyphens/>
                        <w:ind w:firstLine="709"/>
                        <w:jc w:val="both"/>
                      </w:pPr>
                      <w:sdt>
                        <w:sdtPr>
                          <w:alias w:val="Numeris"/>
                          <w:tag w:val="nr_c8e4a11858bf41028d95d9ef9a382835"/>
                          <w:lock w:val="sdtLocked"/>
                          <w:richText/>
                        </w:sdtPr>
                        <w:sdtContent>
                          <w:r>
                            <w:t>41.1</w:t>
                          </w:r>
                        </w:sdtContent>
                      </w:sdt>
                      <w:r>
                        <w:t>. beviltiškas skolas, išskyrus:</w:t>
                      </w:r>
                    </w:p>
                    <w:sdt>
                      <w:sdtPr>
                        <w:alias w:val="41.1.1 pp."/>
                        <w:tag w:val="part_4eedfa06572447539b6ae8287e7d9922"/>
                        <w:lock w:val="sdtLocked"/>
                        <w:richText/>
                      </w:sdtPr>
                      <w:sdtContent>
                        <w:p>
                          <w:pPr>
                            <w:widowControl w:val="0"/>
                            <w:tabs>
                              <w:tab w:val="left" w:pos="142"/>
                            </w:tabs>
                            <w:suppressAutoHyphens/>
                            <w:ind w:firstLine="709"/>
                            <w:jc w:val="both"/>
                          </w:pPr>
                          <w:sdt>
                            <w:sdtPr>
                              <w:alias w:val="Numeris"/>
                              <w:tag w:val="nr_4eedfa06572447539b6ae8287e7d9922"/>
                              <w:lock w:val="sdtLocked"/>
                              <w:richText/>
                            </w:sdtPr>
                            <w:sdtContent>
                              <w:r>
                                <w:t>41.1.1</w:t>
                              </w:r>
                            </w:sdtContent>
                          </w:sdt>
                          <w:r>
                            <w:t>.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w:t>
                          </w:r>
                        </w:p>
                      </w:sdtContent>
                    </w:sdt>
                    <w:sdt>
                      <w:sdtPr>
                        <w:alias w:val="41.1.2 pp."/>
                        <w:tag w:val="part_25cddf4462df47fab1ef601f36f6dd90"/>
                        <w:lock w:val="sdtLocked"/>
                        <w:richText/>
                      </w:sdtPr>
                      <w:sdtContent>
                        <w:p>
                          <w:pPr>
                            <w:suppressAutoHyphens/>
                            <w:ind w:firstLine="709"/>
                            <w:jc w:val="both"/>
                          </w:pPr>
                          <w:sdt>
                            <w:sdtPr>
                              <w:alias w:val="Numeris"/>
                              <w:tag w:val="nr_25cddf4462df47fab1ef601f36f6dd90"/>
                              <w:lock w:val="sdtLocked"/>
                              <w:richText/>
                            </w:sdtPr>
                            <w:sdtContent>
                              <w:r>
                                <w:t>41.1.2</w:t>
                              </w:r>
                            </w:sdtContent>
                          </w:sdt>
                          <w:r>
                            <w:t>.</w:t>
                          </w:r>
                          <w:r>
                            <w:rPr>
                              <w:szCs w:val="24"/>
                              <w:lang w:eastAsia="lt-LT"/>
                            </w:rPr>
                            <w:t xml:space="preserve"> vartotojų daugiabučiuose namuose beviltiškų skolų sąnaudas (be pridėtinės vertės mokesčio) už šilumos tiekimą, susidariusias Taisyklių 2.2‒2.4 papunkčiuose nurodytais atvejais. Ūkio subjektas Taisyklėse numatyta tvarka nustatęs skolos beviltiškumą ir Tarybai paprašius pateikęs Taisyklėse nurodytus beviltiškas skolas pagrindžiančius ir pastangas susigrąžinti šias skolas įrodančius dokumentus, vartotojų daugiabučiuose namuose beviltiškų skolų sąnaudas už šilumos tiekimą priskiria reguliuojamų kainų paslaugoms (produktams) ir atitinkamiems verslo vienetams tą ataskaitinį laikotarpį, kurį skolos beviltiškumas buvo įrodytas.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6119ee787e244291b52ca35901487158"/>
                    <w:lock w:val="sdtLocked"/>
                    <w:richText/>
                  </w:sdtPr>
                  <w:sdtContent>
                    <w:p>
                      <w:pPr>
                        <w:widowControl w:val="0"/>
                        <w:tabs>
                          <w:tab w:val="left" w:pos="142"/>
                          <w:tab w:val="left" w:pos="1418"/>
                        </w:tabs>
                        <w:ind w:firstLine="720"/>
                        <w:jc w:val="both"/>
                        <w:rPr>
                          <w:szCs w:val="24"/>
                        </w:rPr>
                      </w:pPr>
                      <w:sdt>
                        <w:sdtPr>
                          <w:alias w:val="Numeris"/>
                          <w:tag w:val="nr_6119ee787e244291b52ca3590148715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36b6ea16d5d44e768a094a6d9f6a33ea"/>
                    <w:lock w:val="sdtLocked"/>
                    <w:richText/>
                  </w:sdtPr>
                  <w:sdtContent>
                    <w:p>
                      <w:pPr>
                        <w:suppressAutoHyphens/>
                        <w:ind w:firstLine="709"/>
                        <w:jc w:val="both"/>
                        <w:rPr>
                          <w:szCs w:val="24"/>
                          <w:lang w:eastAsia="lt-LT"/>
                        </w:rPr>
                      </w:pPr>
                      <w:sdt>
                        <w:sdtPr>
                          <w:alias w:val="Numeris"/>
                          <w:tag w:val="nr_36b6ea16d5d44e768a094a6d9f6a33ea"/>
                          <w:lock w:val="sdtLocked"/>
                          <w:richText/>
                        </w:sdtPr>
                        <w:sdtContent>
                          <w:r>
                            <w:rPr>
                              <w:szCs w:val="24"/>
                            </w:rPr>
                            <w:t>41.5</w:t>
                          </w:r>
                        </w:sdtContent>
                      </w:sdt>
                      <w:r>
                        <w:rPr>
                          <w:szCs w:val="24"/>
                        </w:rPr>
                        <w:t>. patirtas palūkanų sąnaudas,</w:t>
                      </w:r>
                      <w:r>
                        <w:rPr>
                          <w:szCs w:val="24"/>
                          <w:lang w:eastAsia="lt-LT"/>
                        </w:rPr>
                        <w:t xml:space="preserve"> išskyrus:</w:t>
                      </w:r>
                    </w:p>
                    <w:sdt>
                      <w:sdtPr>
                        <w:alias w:val="41.5.1 pp."/>
                        <w:tag w:val="part_1040f448a7a545f1b50873a852edc1aa"/>
                        <w:lock w:val="sdtLocked"/>
                        <w:richText/>
                      </w:sdtPr>
                      <w:sdtContent>
                        <w:p>
                          <w:pPr>
                            <w:suppressAutoHyphens/>
                            <w:ind w:firstLine="709"/>
                            <w:jc w:val="both"/>
                          </w:pPr>
                          <w:sdt>
                            <w:sdtPr>
                              <w:alias w:val="Numeris"/>
                              <w:tag w:val="nr_1040f448a7a545f1b50873a852edc1aa"/>
                              <w:lock w:val="sdtLocked"/>
                              <w:richText/>
                            </w:sdtPr>
                            <w:sdtContent>
                              <w:r>
                                <w:rPr>
                                  <w:szCs w:val="24"/>
                                  <w:lang w:eastAsia="lt-LT"/>
                                </w:rPr>
                                <w:t>41.5.1</w:t>
                              </w:r>
                            </w:sdtContent>
                          </w:sdt>
                          <w:r>
                            <w:rPr>
                              <w:szCs w:val="24"/>
                              <w:lang w:eastAsia="lt-LT"/>
                            </w:rPr>
                            <w:t xml:space="preserve">. </w:t>
                          </w:r>
                          <w:r>
                            <w:rPr>
                              <w:color w:val="000000"/>
                              <w:szCs w:val="24"/>
                            </w:rPr>
                            <w:t>sąnaudas, kurios reikalingos padengti apyvartinių lėšų trūkumą vykdant Lietuvos Respublikos Vyriausybės 2020</w:t>
                          </w:r>
                          <w:r>
                            <w:t> </w:t>
                          </w:r>
                          <w:r>
                            <w:rPr>
                              <w:color w:val="000000"/>
                              <w:szCs w:val="24"/>
                            </w:rPr>
                            <w:t>m. kovo 16</w:t>
                          </w:r>
                          <w:r>
                            <w:t> </w:t>
                          </w:r>
                          <w:r>
                            <w:rPr>
                              <w:color w:val="000000"/>
                              <w:szCs w:val="24"/>
                            </w:rPr>
                            <w:t>d. pasitarimo sprendimo (protokolo Nr.</w:t>
                          </w:r>
                          <w:r>
                            <w:t> </w:t>
                          </w:r>
                          <w:r>
                            <w:rPr>
                              <w:color w:val="000000"/>
                              <w:szCs w:val="24"/>
                            </w:rPr>
                            <w:t>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p>
                      </w:sdtContent>
                    </w:sdt>
                    <w:sdt>
                      <w:sdtPr>
                        <w:alias w:val="41.5.2 pp."/>
                        <w:tag w:val="part_294135bfd6d24e1197f286c6dcd123e6"/>
                        <w:lock w:val="sdtLocked"/>
                        <w:richText/>
                      </w:sdtPr>
                      <w:sdtContent>
                        <w:p>
                          <w:pPr>
                            <w:suppressAutoHyphens/>
                            <w:ind w:firstLine="709"/>
                            <w:jc w:val="both"/>
                          </w:pPr>
                          <w:sdt>
                            <w:sdtPr>
                              <w:alias w:val="Numeris"/>
                              <w:tag w:val="nr_294135bfd6d24e1197f286c6dcd123e6"/>
                              <w:lock w:val="sdtLocked"/>
                              <w:richText/>
                            </w:sdtPr>
                            <w:sdtContent>
                              <w:r>
                                <w:t>41.5.2</w:t>
                              </w:r>
                            </w:sdtContent>
                          </w:sdt>
                          <w:r>
                            <w:t xml:space="preserve">. </w:t>
                          </w:r>
                          <w:r>
                            <w:rPr>
                              <w:color w:val="000000"/>
                              <w:szCs w:val="24"/>
                              <w:lang w:eastAsia="lt-LT"/>
                            </w:rPr>
                            <w:t xml:space="preserve">reguliuojamai veiklai priskirtų </w:t>
                          </w:r>
                          <w:r>
                            <w:rPr>
                              <w:szCs w:val="24"/>
                            </w:rPr>
                            <w:t>trumpalaikių paskolų faktinių palūkanų sąnaudų dalį neviršijančią paskolos sutarties sudarymo datai Lietuvos banko skelbiamos Lietuvos pinigų finansų įstaigų (bankų, užsienio bankų filialų ir kredito unijų) tikrųjų naujų paskolų ne finansų bendrovėms pradinio palūkanų fiksavimo laikotarpio iki 1 metų palūkanų normos;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5-1 pp."/>
                    <w:tag w:val="part_82cadf778364413e847d7657e8abd4d8"/>
                    <w:lock w:val="sdtLocked"/>
                    <w:richText/>
                  </w:sdtPr>
                  <w:sdtContent>
                    <w:p>
                      <w:pPr>
                        <w:ind w:firstLine="709"/>
                        <w:jc w:val="both"/>
                        <w:rPr>
                          <w:color w:val="000000"/>
                          <w:szCs w:val="24"/>
                          <w:lang w:eastAsia="lt-LT"/>
                        </w:rPr>
                      </w:pPr>
                      <w:r>
                        <w:rPr>
                          <w:color w:val="000000"/>
                          <w:szCs w:val="24"/>
                          <w:lang w:eastAsia="lt-LT"/>
                        </w:rPr>
                        <w:t>41.5¹. kitas finansinės-investicinės veiklos sąnaudas, išskyrus iš anksto su Taryba raštu suderinto kuro kainų svyravimo rizikos draudimo (angl. hedging) kontrakto, kuris atitinka vadovaujantis Aprašo 44</w:t>
                      </w:r>
                      <w:r>
                        <w:rPr>
                          <w:color w:val="000000"/>
                          <w:szCs w:val="24"/>
                          <w:vertAlign w:val="superscript"/>
                          <w:lang w:eastAsia="lt-LT"/>
                        </w:rPr>
                        <w:t>2</w:t>
                      </w:r>
                      <w:r>
                        <w:rPr>
                          <w:color w:val="000000"/>
                          <w:szCs w:val="24"/>
                          <w:lang w:eastAsia="lt-LT"/>
                        </w:rPr>
                        <w:t xml:space="preserve"> punktu suderintas gaires, sąnaudas:</w:t>
                      </w:r>
                    </w:p>
                    <w:sdt>
                      <w:sdtPr>
                        <w:alias w:val="41.5-1.1 pp."/>
                        <w:tag w:val="part_4f012d6e4c514896a95878849b71cb6d"/>
                        <w:lock w:val="sdtLocked"/>
                        <w:richText/>
                      </w:sdtPr>
                      <w:sdtContent>
                        <w:p>
                          <w:pPr>
                            <w:ind w:firstLine="709"/>
                            <w:jc w:val="both"/>
                            <w:rPr>
                              <w:color w:val="000000"/>
                              <w:szCs w:val="24"/>
                              <w:lang w:val="en-US"/>
                            </w:rPr>
                          </w:pPr>
                          <w:sdt>
                            <w:sdtPr>
                              <w:alias w:val="Numeris"/>
                              <w:tag w:val="nr_4f012d6e4c514896a95878849b71cb6d"/>
                              <w:lock w:val="sdtLocked"/>
                              <w:richText/>
                            </w:sdtPr>
                            <w:sdtContent>
                              <w:r>
                                <w:rPr>
                                  <w:color w:val="000000"/>
                                  <w:szCs w:val="24"/>
                                </w:rPr>
                                <w:t>41.5</w:t>
                              </w:r>
                              <w:r>
                                <w:rPr>
                                  <w:color w:val="000000"/>
                                  <w:szCs w:val="24"/>
                                  <w:vertAlign w:val="superscript"/>
                                </w:rPr>
                                <w:t>1</w:t>
                              </w:r>
                              <w:r>
                                <w:rPr>
                                  <w:color w:val="000000"/>
                                  <w:szCs w:val="24"/>
                                </w:rPr>
                                <w:t>.1</w:t>
                              </w:r>
                            </w:sdtContent>
                          </w:sdt>
                          <w:r>
                            <w:rPr>
                              <w:color w:val="000000"/>
                              <w:szCs w:val="24"/>
                            </w:rPr>
                            <w:t>. sudarytą kuro kainų svyravimo rizikos draudimo (angl. hedging) kontraktą ūkio subjektas pateikia Tarybai vertinimui. Kartu su kontraktu pateikia:</w:t>
                          </w:r>
                        </w:p>
                        <w:sdt>
                          <w:sdtPr>
                            <w:alias w:val="41.5-1.1.1 pp."/>
                            <w:tag w:val="part_f3bf2745bd8d443582b3d855d9561634"/>
                            <w:lock w:val="sdtLocked"/>
                            <w:richText/>
                          </w:sdtPr>
                          <w:sdtContent>
                            <w:p>
                              <w:pPr>
                                <w:ind w:firstLine="709"/>
                                <w:jc w:val="both"/>
                                <w:rPr>
                                  <w:color w:val="000000"/>
                                  <w:szCs w:val="24"/>
                                  <w:lang w:val="en-US"/>
                                </w:rPr>
                              </w:pPr>
                              <w:sdt>
                                <w:sdtPr>
                                  <w:alias w:val="Numeris"/>
                                  <w:tag w:val="nr_f3bf2745bd8d443582b3d855d9561634"/>
                                  <w:lock w:val="sdtLocked"/>
                                  <w:richText/>
                                </w:sdtPr>
                                <w:sdtContent>
                                  <w:r>
                                    <w:rPr>
                                      <w:color w:val="000000"/>
                                      <w:szCs w:val="24"/>
                                    </w:rPr>
                                    <w:t>41.5</w:t>
                                  </w:r>
                                  <w:r>
                                    <w:rPr>
                                      <w:color w:val="000000"/>
                                      <w:szCs w:val="24"/>
                                      <w:vertAlign w:val="superscript"/>
                                    </w:rPr>
                                    <w:t>1</w:t>
                                  </w:r>
                                  <w:r>
                                    <w:rPr>
                                      <w:color w:val="000000"/>
                                      <w:szCs w:val="24"/>
                                    </w:rPr>
                                    <w:t>.1.1</w:t>
                                  </w:r>
                                </w:sdtContent>
                              </w:sdt>
                              <w:r>
                                <w:rPr>
                                  <w:color w:val="000000"/>
                                  <w:szCs w:val="24"/>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16e151793b6148e6a648729ad244437e"/>
                            <w:lock w:val="sdtLocked"/>
                            <w:richText/>
                          </w:sdtPr>
                          <w:sdtContent>
                            <w:p>
                              <w:pPr>
                                <w:ind w:firstLine="709"/>
                                <w:jc w:val="both"/>
                                <w:rPr>
                                  <w:color w:val="000000"/>
                                  <w:szCs w:val="24"/>
                                  <w:lang w:val="en-US"/>
                                </w:rPr>
                              </w:pPr>
                              <w:sdt>
                                <w:sdtPr>
                                  <w:alias w:val="Numeris"/>
                                  <w:tag w:val="nr_16e151793b6148e6a648729ad244437e"/>
                                  <w:lock w:val="sdtLocked"/>
                                  <w:richText/>
                                </w:sdtPr>
                                <w:sdtContent>
                                  <w:r>
                                    <w:rPr>
                                      <w:color w:val="000000"/>
                                      <w:szCs w:val="24"/>
                                    </w:rPr>
                                    <w:t>41.5</w:t>
                                  </w:r>
                                  <w:r>
                                    <w:rPr>
                                      <w:color w:val="000000"/>
                                      <w:szCs w:val="24"/>
                                      <w:vertAlign w:val="superscript"/>
                                    </w:rPr>
                                    <w:t>1</w:t>
                                  </w:r>
                                  <w:r>
                                    <w:rPr>
                                      <w:color w:val="000000"/>
                                      <w:szCs w:val="24"/>
                                    </w:rPr>
                                    <w:t>.1.2</w:t>
                                  </w:r>
                                </w:sdtContent>
                              </w:sdt>
                              <w:r>
                                <w:rPr>
                                  <w:color w:val="000000"/>
                                  <w:szCs w:val="24"/>
                                </w:rPr>
                                <w:t>. informaciją apie sprendimo dėl pasirinkto kuro kainų svyravimo rizikos draudimo taikymo laikotarpio bei pasirinktos kuro kiekio apimties argumentus;</w:t>
                              </w:r>
                            </w:p>
                          </w:sdtContent>
                        </w:sdt>
                        <w:sdt>
                          <w:sdtPr>
                            <w:alias w:val="41.5-1.1.3 pp."/>
                            <w:tag w:val="part_26470212078844e8b68e495702166cc3"/>
                            <w:lock w:val="sdtLocked"/>
                            <w:richText/>
                          </w:sdtPr>
                          <w:sdtContent>
                            <w:p>
                              <w:pPr>
                                <w:ind w:firstLine="709"/>
                                <w:jc w:val="both"/>
                                <w:rPr>
                                  <w:szCs w:val="24"/>
                                </w:rPr>
                              </w:pPr>
                              <w:sdt>
                                <w:sdtPr>
                                  <w:alias w:val="Numeris"/>
                                  <w:tag w:val="nr_26470212078844e8b68e495702166cc3"/>
                                  <w:lock w:val="sdtLocked"/>
                                  <w:richText/>
                                </w:sdtPr>
                                <w:sdtContent>
                                  <w:r>
                                    <w:rPr>
                                      <w:color w:val="000000"/>
                                      <w:szCs w:val="24"/>
                                    </w:rPr>
                                    <w:t>41.5</w:t>
                                  </w:r>
                                  <w:r>
                                    <w:rPr>
                                      <w:color w:val="000000"/>
                                      <w:szCs w:val="24"/>
                                      <w:vertAlign w:val="superscript"/>
                                    </w:rPr>
                                    <w:t>1</w:t>
                                  </w:r>
                                  <w:r>
                                    <w:rPr>
                                      <w:color w:val="000000"/>
                                      <w:szCs w:val="24"/>
                                    </w:rPr>
                                    <w:t>.1.3</w:t>
                                  </w:r>
                                </w:sdtContent>
                              </w:sdt>
                              <w:r>
                                <w:rPr>
                                  <w:color w:val="000000"/>
                                  <w:szCs w:val="24"/>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6-1 pp."/>
                    <w:tag w:val="part_104d17ca89b540fa99ec5717fedf9800"/>
                    <w:lock w:val="sdtLocked"/>
                    <w:richText/>
                  </w:sdtPr>
                  <w:sdtContent>
                    <w:p>
                      <w:pPr>
                        <w:widowControl w:val="0"/>
                        <w:tabs>
                          <w:tab w:val="left" w:pos="993"/>
                        </w:tabs>
                        <w:suppressAutoHyphens/>
                        <w:ind w:firstLine="720"/>
                        <w:jc w:val="both"/>
                      </w:pPr>
                      <w:sdt>
                        <w:sdtPr>
                          <w:alias w:val="Numeris"/>
                          <w:tag w:val="nr_104d17ca89b540fa99ec5717fedf9800"/>
                          <w:lock w:val="sdtLocked"/>
                          <w:richText/>
                        </w:sdtPr>
                        <w:sdtContent>
                          <w:r>
                            <w:rPr>
                              <w:lang w:eastAsia="lt-LT"/>
                            </w:rPr>
                            <w:t>41.6</w:t>
                          </w:r>
                          <w:r>
                            <w:rPr>
                              <w:vertAlign w:val="superscript"/>
                              <w:lang w:eastAsia="lt-LT"/>
                            </w:rPr>
                            <w:t>1</w:t>
                          </w:r>
                        </w:sdtContent>
                      </w:sdt>
                      <w:r>
                        <w:rPr>
                          <w:lang w:eastAsia="lt-LT"/>
                        </w:rPr>
                        <w:t xml:space="preserve">. </w:t>
                      </w:r>
                      <w:r>
                        <w:rPr>
                          <w:color w:val="000000"/>
                          <w:szCs w:val="24"/>
                          <w:lang w:eastAsia="lt-LT"/>
                        </w:rPr>
                        <w:t>tyrimų, tarp jų ir mokslinių tyrimų, studijų ir panašaus pobūdžio sąnaudas, sudarančias daugiau kaip 0,05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6-2 pp."/>
                    <w:tag w:val="part_63d1c37667f646ce9530f9c26802ccf8"/>
                    <w:lock w:val="sdtLocked"/>
                    <w:richText/>
                  </w:sdtPr>
                  <w:sdtContent>
                    <w:p>
                      <w:pPr>
                        <w:suppressAutoHyphens/>
                        <w:ind w:firstLine="709"/>
                        <w:jc w:val="both"/>
                        <w:rPr>
                          <w:lang w:eastAsia="lt-LT"/>
                        </w:rPr>
                      </w:pPr>
                      <w:sdt>
                        <w:sdtPr>
                          <w:alias w:val="Numeris"/>
                          <w:tag w:val="nr_63d1c37667f646ce9530f9c26802ccf8"/>
                          <w:lock w:val="sdtLocked"/>
                          <w:richText/>
                        </w:sdtPr>
                        <w:sdtContent>
                          <w:r>
                            <w:rPr>
                              <w:color w:val="000000"/>
                              <w:szCs w:val="24"/>
                              <w:lang w:eastAsia="lt-LT"/>
                            </w:rPr>
                            <w:t>41.6</w:t>
                          </w:r>
                          <w:r>
                            <w:rPr>
                              <w:color w:val="000000"/>
                              <w:szCs w:val="24"/>
                              <w:vertAlign w:val="superscript"/>
                              <w:lang w:eastAsia="lt-LT"/>
                            </w:rPr>
                            <w:t>2</w:t>
                          </w:r>
                        </w:sdtContent>
                      </w:sdt>
                      <w:r>
                        <w:rPr>
                          <w:color w:val="000000"/>
                          <w:szCs w:val="24"/>
                          <w:lang w:eastAsia="lt-LT"/>
                        </w:rPr>
                        <w:t>. personalo mokymo sąnaudas, kurios yra būtinos reguliuojamai veiklai vykdyti, sudarančias daugiau kaip 1,0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72a53ec96f03410ea94f715c61ab0695"/>
                    <w:lock w:val="sdtLocked"/>
                    <w:richText/>
                  </w:sdtPr>
                  <w:sdtContent>
                    <w:p>
                      <w:pPr>
                        <w:tabs>
                          <w:tab w:val="left" w:pos="1134"/>
                        </w:tabs>
                        <w:ind w:firstLine="720"/>
                        <w:jc w:val="both"/>
                        <w:rPr>
                          <w:szCs w:val="24"/>
                        </w:rPr>
                      </w:pPr>
                      <w:sdt>
                        <w:sdtPr>
                          <w:alias w:val="Numeris"/>
                          <w:tag w:val="nr_72a53ec96f03410ea94f715c61ab0695"/>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2-1 pp."/>
                    <w:tag w:val="part_4a13d92ecf9a46d183923700d350d112"/>
                    <w:lock w:val="sdtLocked"/>
                    <w:richText/>
                  </w:sdtPr>
                  <w:sdtContent>
                    <w:p>
                      <w:pPr>
                        <w:tabs>
                          <w:tab w:val="left" w:pos="1134"/>
                        </w:tabs>
                        <w:ind w:firstLine="720"/>
                        <w:jc w:val="both"/>
                        <w:rPr>
                          <w:szCs w:val="24"/>
                          <w:lang w:eastAsia="lt-LT"/>
                        </w:rPr>
                      </w:pPr>
                      <w:sdt>
                        <w:sdtPr>
                          <w:alias w:val="Numeris"/>
                          <w:tag w:val="nr_4a13d92ecf9a46d183923700d350d112"/>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2-2 pp."/>
                    <w:tag w:val="part_1d21bed9c59948489732217c2fcbd741"/>
                    <w:lock w:val="sdtLocked"/>
                    <w:richText/>
                  </w:sdtPr>
                  <w:sdtContent>
                    <w:p>
                      <w:pPr>
                        <w:suppressAutoHyphens/>
                        <w:ind w:firstLine="709"/>
                        <w:jc w:val="both"/>
                        <w:rPr>
                          <w:szCs w:val="24"/>
                          <w:lang w:eastAsia="lt-LT"/>
                        </w:rPr>
                      </w:pPr>
                      <w:sdt>
                        <w:sdtPr>
                          <w:alias w:val="Numeris"/>
                          <w:tag w:val="nr_1d21bed9c59948489732217c2fcbd741"/>
                          <w:lock w:val="sdtLocked"/>
                          <w:richText/>
                        </w:sdtPr>
                        <w:sdtContent>
                          <w:r>
                            <w:rPr>
                              <w:color w:val="000000"/>
                              <w:szCs w:val="24"/>
                              <w:lang w:eastAsia="lt-LT"/>
                            </w:rPr>
                            <w:t>41.22</w:t>
                          </w:r>
                          <w:r>
                            <w:rPr>
                              <w:color w:val="000000"/>
                              <w:szCs w:val="24"/>
                              <w:vertAlign w:val="superscript"/>
                              <w:lang w:eastAsia="lt-LT"/>
                            </w:rPr>
                            <w:t>2</w:t>
                          </w:r>
                        </w:sdtContent>
                      </w:sdt>
                      <w:r>
                        <w:rPr>
                          <w:color w:val="000000"/>
                          <w:szCs w:val="24"/>
                          <w:lang w:eastAsia="lt-LT"/>
                        </w:rPr>
                        <w:t xml:space="preserve">. nusidėvėjimo (amortizacijos) sąnaudų dalį, priskaičiuojamą nuo ilgalaikio turto vienetų vertės dalies, </w:t>
                      </w:r>
                      <w:r>
                        <w:rPr>
                          <w:szCs w:val="24"/>
                          <w:lang w:eastAsia="lt-LT"/>
                        </w:rPr>
                        <w:t xml:space="preserve">sukurtos </w:t>
                      </w:r>
                      <w:r>
                        <w:rPr>
                          <w:color w:val="000000"/>
                          <w:szCs w:val="24"/>
                          <w:lang w:eastAsia="lt-LT"/>
                        </w:rPr>
                        <w:t>atliekinę šilumą generuojančių asmenų sumokėtomis lėšomis prijungiant juos prie šilumos perdavimo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d3b665674230454bba3d83e24de6ddf3"/>
                <w:lock w:val="sdtLocked"/>
                <w:richText/>
              </w:sdtPr>
              <w:sdtContent>
                <w:p>
                  <w:pPr>
                    <w:widowControl w:val="0"/>
                    <w:tabs>
                      <w:tab w:val="left" w:pos="1134"/>
                    </w:tabs>
                    <w:ind w:firstLine="720"/>
                    <w:jc w:val="both"/>
                  </w:pPr>
                  <w:sdt>
                    <w:sdtPr>
                      <w:alias w:val="Numeris"/>
                      <w:tag w:val="nr_d3b665674230454bba3d83e24de6ddf3"/>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sdtContent>
            </w:sdt>
            <w:sdt>
              <w:sdtPr>
                <w:alias w:val="44-1 p."/>
                <w:tag w:val="part_31af70bfc2a04195a2ed1184ffc49326"/>
                <w:lock w:val="sdtLocked"/>
                <w:richText/>
              </w:sdtPr>
              <w:sdtContent>
                <w:p>
                  <w:pPr>
                    <w:widowControl w:val="0"/>
                    <w:tabs>
                      <w:tab w:val="left" w:pos="851"/>
                    </w:tabs>
                    <w:ind w:firstLine="709"/>
                    <w:jc w:val="both"/>
                    <w:rPr>
                      <w:szCs w:val="24"/>
                      <w:lang w:eastAsia="lt-LT"/>
                    </w:rPr>
                  </w:pPr>
                  <w:sdt>
                    <w:sdtPr>
                      <w:alias w:val="Numeris"/>
                      <w:tag w:val="nr_31af70bfc2a04195a2ed1184ffc49326"/>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4-2 p."/>
                <w:tag w:val="part_2be19d27acaa4d4f834dc4c0456d4462"/>
                <w:lock w:val="sdtLocked"/>
                <w:richText/>
              </w:sdtPr>
              <w:sdtContent>
                <w:p>
                  <w:pPr>
                    <w:ind w:firstLine="709"/>
                    <w:jc w:val="both"/>
                    <w:rPr>
                      <w:szCs w:val="24"/>
                      <w:lang w:eastAsia="lt-LT"/>
                    </w:rPr>
                  </w:pPr>
                  <w:r>
                    <w:rPr>
                      <w:color w:val="000000"/>
                      <w:szCs w:val="24"/>
                      <w:lang w:eastAsia="lt-LT"/>
                    </w:rPr>
                    <w:t>44</w:t>
                  </w:r>
                  <w:r>
                    <w:rPr>
                      <w:color w:val="000000"/>
                      <w:szCs w:val="24"/>
                      <w:vertAlign w:val="superscript"/>
                      <w:lang w:eastAsia="lt-LT"/>
                    </w:rPr>
                    <w:t>2</w:t>
                  </w:r>
                  <w:r>
                    <w:rPr>
                      <w:color w:val="000000"/>
                      <w:szCs w:val="24"/>
                      <w:lang w:eastAsia="lt-LT"/>
                    </w:rPr>
                    <w:t xml:space="preserve">. </w:t>
                  </w:r>
                  <w:r>
                    <w:rPr>
                      <w:color w:val="000000"/>
                      <w:szCs w:val="24"/>
                    </w:rPr>
                    <w:t>Ūkio subjektas, siekdamas taikyti kuro kainų svyravimo rizikos draudimą (angl. hedging), Tarybai pateikia ir raštu suderina gaires, numatančias pagrindinius tokio draudimo, padedančio valdyti kuro kainų rizikas, sudarymo, naudojimo bei naudos/rizikos pasidalinimo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3-1 pp."/>
                    <w:tag w:val="part_dac59a62161e44558ed56cadbd707b82"/>
                    <w:lock w:val="sdtLocked"/>
                    <w:richText/>
                  </w:sdtPr>
                  <w:sdtContent>
                    <w:p>
                      <w:pPr>
                        <w:widowControl w:val="0"/>
                        <w:tabs>
                          <w:tab w:val="left" w:pos="851"/>
                          <w:tab w:val="left" w:pos="1276"/>
                        </w:tabs>
                        <w:ind w:firstLine="709"/>
                        <w:jc w:val="both"/>
                        <w:rPr>
                          <w:szCs w:val="24"/>
                        </w:rPr>
                      </w:pPr>
                      <w:sdt>
                        <w:sdtPr>
                          <w:alias w:val="Numeris"/>
                          <w:tag w:val="nr_dac59a62161e44558ed56cadbd707b82"/>
                          <w:lock w:val="sdtLocked"/>
                          <w:richText/>
                        </w:sdtPr>
                        <w:sdtContent>
                          <w:r>
                            <w:rPr>
                              <w:szCs w:val="24"/>
                              <w:lang w:eastAsia="lt-LT"/>
                            </w:rPr>
                            <w:t>48.3</w:t>
                          </w:r>
                          <w:r>
                            <w:rPr>
                              <w:szCs w:val="24"/>
                              <w:vertAlign w:val="superscript"/>
                              <w:lang w:eastAsia="lt-LT"/>
                            </w:rPr>
                            <w:t>1</w:t>
                          </w:r>
                        </w:sdtContent>
                      </w:sdt>
                      <w:r>
                        <w:rPr>
                          <w:szCs w:val="24"/>
                          <w:lang w:eastAsia="lt-LT"/>
                        </w:rPr>
                        <w:t xml:space="preserve">. Ūkio subjektui vykdant </w:t>
                      </w:r>
                      <w:r>
                        <w:rPr>
                          <w:szCs w:val="24"/>
                        </w:rPr>
                        <w:t xml:space="preserve">reguliuojamas veiklas, kurių apskaitos atskyrimo ir </w:t>
                      </w:r>
                      <w:r>
                        <w:t xml:space="preserve">sąnaudų paskirstymui taikomas Aprašas ir Geriamojo vandens tiekimo ir nuotekų tvarkymo bei paviršinių nuotekų tvarkymo paslaugų įmonių apskaitos atskyrimo ir susijusių reikalavimų aprašas, </w:t>
                      </w:r>
                      <w:r>
                        <w:rPr>
                          <w:szCs w:val="24"/>
                          <w:lang w:eastAsia="lt-LT"/>
                        </w:rPr>
                        <w:t>- pajamų, sąnaudų ir turto paskirstymo, vadovaujantis 8</w:t>
                      </w:r>
                      <w:r>
                        <w:rPr>
                          <w:szCs w:val="24"/>
                          <w:vertAlign w:val="superscript"/>
                          <w:lang w:eastAsia="lt-LT"/>
                        </w:rPr>
                        <w:t>1</w:t>
                      </w:r>
                      <w:r>
                        <w:rPr>
                          <w:szCs w:val="24"/>
                          <w:lang w:eastAsia="lt-LT"/>
                        </w:rPr>
                        <w:t xml:space="preserve"> punktu, tarp minėtais aprašais reglamentuojamų veiklų kriterijų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0abd2512ffcb4702b6694e51d256a005"/>
                <w:lock w:val="sdtLocked"/>
                <w:richText/>
              </w:sdtPr>
              <w:sdtContent>
                <w:p>
                  <w:pPr>
                    <w:suppressAutoHyphens/>
                    <w:ind w:firstLine="709"/>
                    <w:jc w:val="both"/>
                    <w:rPr>
                      <w:szCs w:val="24"/>
                    </w:rPr>
                  </w:pPr>
                  <w:sdt>
                    <w:sdtPr>
                      <w:alias w:val="Numeris"/>
                      <w:tag w:val="nr_0abd2512ffcb4702b6694e51d256a005"/>
                      <w:lock w:val="sdtLocked"/>
                      <w:richText/>
                    </w:sdtPr>
                    <w:sdtContent>
                      <w:r>
                        <w:rPr>
                          <w:szCs w:val="24"/>
                          <w:lang w:eastAsia="lt-LT"/>
                        </w:rPr>
                        <w:t>52</w:t>
                      </w:r>
                    </w:sdtContent>
                  </w:sdt>
                  <w:r>
                    <w:rPr>
                      <w:szCs w:val="24"/>
                      <w:lang w:eastAsia="lt-LT"/>
                    </w:rPr>
                    <w:t>. Kartu su metinėmis reguliuojamosios veiklos atskaitomis reguliuojančiajai institucijai turi būti pateiktas Ūkio subjekto metinių finansinių ataskaitų rinkinys, sudaromas pagal Lietuvos Respublikos įmonių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įmonių grupių konsoliduotosios finansinės atskaitomybės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783ded9e72334f2ba38e561cf404ad52"/>
                <w:lock w:val="sdtLocked"/>
                <w:richText/>
              </w:sdtPr>
              <w:sdtContent>
                <w:p>
                  <w:pPr>
                    <w:widowControl w:val="0"/>
                    <w:ind w:firstLine="720"/>
                    <w:jc w:val="both"/>
                    <w:rPr>
                      <w:szCs w:val="24"/>
                    </w:rPr>
                  </w:pPr>
                  <w:sdt>
                    <w:sdtPr>
                      <w:alias w:val="Numeris"/>
                      <w:tag w:val="nr_783ded9e72334f2ba38e561cf404ad52"/>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a0f030f09411eb9f09e7df20500045">
            <w:r w:rsidRPr="00532B9F">
              <w:rPr>
                <w:rFonts w:ascii="Times New Roman" w:eastAsia="MS Mincho" w:hAnsi="Times New Roman"/>
                <w:sz w:val="20"/>
                <w:iCs/>
                <w:color w:val="0000FF" w:themeColor="hyperlink"/>
                <w:u w:val="single"/>
              </w:rPr>
              <w:t>O3E-936</w:t>
            </w:r>
          </w:fldSimple>
          <w:r>
            <w:rPr>
              <w:rFonts w:ascii="Times New Roman" w:eastAsia="MS Mincho" w:hAnsi="Times New Roman"/>
              <w:sz w:val="20"/>
              <w:iCs/>
            </w:rPr>
            <w:t>,
2021-07-29,
paskelbta TAR 2021-07-29, i. k. 2021-16742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4fabf0494c11edbc04912defe897d1">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2022-10-11,
paskelbta TAR 2022-10-11, i. k. 2022-20688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6b040804811ed8df094f359a60216">
            <w:r w:rsidRPr="00532B9F">
              <w:rPr>
                <w:rFonts w:ascii="Times New Roman" w:eastAsia="MS Mincho" w:hAnsi="Times New Roman"/>
                <w:sz w:val="20"/>
                <w:iCs/>
                <w:color w:val="0000FF" w:themeColor="hyperlink"/>
                <w:u w:val="single"/>
              </w:rPr>
              <w:t>O3E-1735</w:t>
            </w:r>
          </w:fldSimple>
          <w:r>
            <w:rPr>
              <w:rFonts w:ascii="Times New Roman" w:eastAsia="MS Mincho" w:hAnsi="Times New Roman"/>
              <w:sz w:val="20"/>
              <w:iCs/>
            </w:rPr>
            <w:t>,
2022-12-20,
paskelbta TAR 2022-12-20, i. k. 2022-26015                </w:t>
          </w:r>
        </w:p>
        <w:p>
          <w:pPr>
            <w:jc w:val="both"/>
            <w:rPr>
              <w:rFonts w:ascii="Times New Roman" w:hAnsi="Times New Roman"/>
            </w:rPr>
          </w:pPr>
          <w:r>
            <w:rPr>
              <w:rFonts w:ascii="Times New Roman" w:hAnsi="Times New Roman"/>
              <w:sz w:val="20"/>
            </w:rPr>
            <w:t>Dėl Valstybinės energetikos reguliavimo tarybos 2022 m. spalio 11 d. nutarimo Nr. O3E-1363 „Dėl valstybinės energetikos reguliavimo tarybos 2018 m. gruodžio 31 d. nutarimo Nr. O3E-470 „Dėl Šilumos sektoriaus įmonių apskaitos atskyrimo ir sąnaudų paskirstymo reikalavimų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093605df611ee81b8b446907f594f">
            <w:r w:rsidRPr="00532B9F">
              <w:rPr>
                <w:rFonts w:ascii="Times New Roman" w:eastAsia="MS Mincho" w:hAnsi="Times New Roman"/>
                <w:sz w:val="20"/>
                <w:iCs/>
                <w:color w:val="0000FF" w:themeColor="hyperlink"/>
                <w:u w:val="single"/>
              </w:rPr>
              <w:t>O3E-1409</w:t>
            </w:r>
          </w:fldSimple>
          <w:r>
            <w:rPr>
              <w:rFonts w:ascii="Times New Roman" w:eastAsia="MS Mincho" w:hAnsi="Times New Roman"/>
              <w:sz w:val="20"/>
              <w:iCs/>
            </w:rPr>
            <w:t>,
2023-09-28,
paskelbta TAR 2023-09-28, i. k. 2023-18896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ind w:firstLine="720"/>
      <w:jc w:val="both"/>
      <w:rPr>
        <w:rFonts w:ascii="TimesLT" w:hAnsi="TimesLT" w:cs="Arial"/>
        <w:sz w:val="20"/>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4"/>
  <w:embedSystemFonts/>
  <w:proofState w:spelling="clean" w:grammar="clean"/>
  <w:defaultTabStop w:val="720"/>
  <w:hyphenationZone w:val="396"/>
  <w:doNotHyphenateCaps/>
  <w:evenAndOddHeaders/>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1DDE044"/>
  <w15:docId w15:val="{34F552EA-C9F0-4F06-8220-DA043E32D9A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3.png"/>
  <Relationship Id="rId14" Type="http://schemas.openxmlformats.org/officeDocument/2006/relationships/header" Target="header28.xml"/>
  <Relationship Id="rId15" Type="http://schemas.openxmlformats.org/officeDocument/2006/relationships/header" Target="header29.xml"/>
  <Relationship Id="rId16" Type="http://schemas.openxmlformats.org/officeDocument/2006/relationships/footer" Target="footer28.xml"/>
  <Relationship Id="rId17" Type="http://schemas.openxmlformats.org/officeDocument/2006/relationships/footer" Target="footer29.xml"/>
  <Relationship Id="rId18" Type="http://schemas.openxmlformats.org/officeDocument/2006/relationships/header" Target="header30.xml"/>
  <Relationship Id="rId19" Type="http://schemas.openxmlformats.org/officeDocument/2006/relationships/footer" Target="footer30.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4e622894f9324e86998834c2f1722103">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b8ac6b856e984dfab6675044721c0a6d"/>
      <Part Type="punktas" Nr="5" Abbr="5 p." DocPartId="31456c56b93a4bd3b337fdec69c9272e" PartId="33e467bba2044fcba674df65ab771c18"/>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8-1" Abbr="8-1 p." DocPartId="aa6a7b9794e54d78b151d0d11d3a7c58" PartId="4d1debedd1dd4f4c9e69cb2644b12a23"/>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c4a009c7e22f44c5bde3a2f74ad4ec38"/>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547d3dd4187b457d80e5558a5412162a"/>
      <Part Type="punktas" Nr="14" Abbr="14 p." DocPartId="93562311d3474dc1a5699dff986c85a2" PartId="de88430a526c461092e3d10a97d220e8"/>
      <Part Type="punktas" Nr="15" Abbr="15 p." DocPartId="270da5cdce804181881d05065a5fa56e" PartId="32b2ea088d974dc386b4c95b904ea164"/>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bc02d5514746442499235010b368d158"/>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30c8c235d6e64e1eaa7434b4125af1f0"/>
          <Part Type="papunktis" Nr="24.4.13" Abbr="24.4.13 pp." DocPartId="d7a43573ed9d49f3a7cd5f8e861b94dc" PartId="bb6fa5a11bc748d8a0be63cff27c0164"/>
          <Part Type="papunktis" Nr="24.4.13-1" Abbr="24.4.13-1 pp." DocPartId="82594d66fea84928bfeb3b5bab1362f4" PartId="8b52bed1a8ce4eb89a6dc10ffce214a1"/>
          <Part Type="papunktis" Nr="24.4.13-2" Abbr="24.4.13-2 pp." DocPartId="c5d447afbb0946a5a4bd49d353a92f01" PartId="f9489d1e428349238b30b7504906cd7a"/>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c0db2ae0aa70408fb561f710f96b714c"/>
        <Part Type="papunktis" Nr="24.7" Abbr="24.7 pp." DocPartId="43d92581298c4910a2d3039340430f43" PartId="f67fb7a2a8a6468ab4b22f601547d7fe"/>
      </Part>
      <Part Type="punktas" Nr="25" Abbr="25 p." DocPartId="a07ef303e8634f5fabd653fece6a9338" PartId="349959e7f3244a8bad1e93db41d37ced"/>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c3b2647da6c14277a96268b56e9f97da">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5be62fc79189403eb48a3b4204f91c0a"/>
        <Part Type="papunktis" Nr="30.6" Abbr="30.6 pp." DocPartId="ab5aa2bef9c340c9a5c2ff0da0d615e4" PartId="60121773b09841fb8877dd43f027c807"/>
        <Part Type="papunktis" Nr="30.7" Abbr="30.7 pp." DocPartId="20be0c3e68b246bbbf8c0420439e7e17" PartId="d7386509d544489db32536f3e9b4a44b"/>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07e0d63b2254458ab2b2dab188ae7d2b"/>
      <Part Type="punktas" Nr="39" Abbr="39 p." DocPartId="4ffc155392674faea7e6e6a6cdc4d2a8" PartId="4be93d53b764498f92c25382e8149ecc"/>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c8e4a11858bf41028d95d9ef9a382835">
          <Part Type="papunktis" Nr="41.1.1" Abbr="41.1.1 pp." DocPartId="88c5ce250b5b4572af40c403c0cba989" PartId="4eedfa06572447539b6ae8287e7d9922"/>
          <Part Type="papunktis" Nr="41.1.2" Abbr="41.1.2 pp." DocPartId="828e2ca183fe44cc81757916e470ab24" PartId="25cddf4462df47fab1ef601f36f6dd90"/>
        </Part>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6119ee787e244291b52ca35901487158"/>
        <Part Type="papunktis" Nr="41.4" Abbr="41.4 pp." DocPartId="b6030e803be740af9469ae651bb14e35" PartId="6f3ffeac77ff474bacd3a673295c0417"/>
        <Part Type="papunktis" Nr="41.5" Abbr="41.5 pp." DocPartId="95fc87ae729a4fd98ebdb03ce9769ec1" PartId="36b6ea16d5d44e768a094a6d9f6a33ea">
          <Part Type="papunktis" Nr="41.5.1" Abbr="41.5.1 pp." DocPartId="75852b79433e453386bced67815dc848" PartId="1040f448a7a545f1b50873a852edc1aa"/>
          <Part Type="papunktis" Nr="41.5.2" Abbr="41.5.2 pp." DocPartId="44690fc90c6340e79d76a9a51374a4a6" PartId="294135bfd6d24e1197f286c6dcd123e6"/>
        </Part>
        <Part Type="papunktis" Nr="41.5-1" Abbr="41.5-1 pp." DocPartId="b5a07c0949cd40cb9e0ec199182a71df" PartId="82cadf778364413e847d7657e8abd4d8">
          <Part Type="papunktis" Nr="41.5-1.1" Abbr="41.5-1.1 pp." DocPartId="a2c6d668b9844cb78ab57a9903f12b76" PartId="4f012d6e4c514896a95878849b71cb6d">
            <Part Type="papunktis" Nr="41.5-1.1.1" Abbr="41.5-1.1.1 pp." DocPartId="f822bc2074b54246b2d0dcca5eb71b9d" PartId="f3bf2745bd8d443582b3d855d9561634"/>
            <Part Type="papunktis" Nr="41.5-1.1.2" Abbr="41.5-1.1.2 pp." DocPartId="b404c306769b4cdda0a4711733457907" PartId="16e151793b6148e6a648729ad244437e"/>
            <Part Type="papunktis" Nr="41.5-1.1.3" Abbr="41.5-1.1.3 pp." DocPartId="4f9579c43083464eb107ad554a34d470" PartId="26470212078844e8b68e495702166cc3"/>
          </Part>
        </Part>
        <Part Type="papunktis" Nr="41.6" Abbr="41.6 pp." DocPartId="c69bb32467b34ae99c2d02ede50b26d0" PartId="8edafbe57cc14bf5bd7265c477162ab1"/>
        <Part Type="papunktis" Nr="41.6-1" Abbr="41.6-1 pp." DocPartId="fc495531db9e493795c6b549978b5a87" PartId="104d17ca89b540fa99ec5717fedf9800"/>
        <Part Type="papunktis" Nr="41.6-2" Abbr="41.6-2 pp." DocPartId="bfe1f0317ca74133bdd2ed5c85f48b1e" PartId="63d1c37667f646ce9530f9c26802ccf8"/>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72a53ec96f03410ea94f715c61ab0695"/>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2-1" Abbr="41.22-1 pp." DocPartId="4f24bda82d3b420c9bd9f71ba1ca1bac" PartId="4a13d92ecf9a46d183923700d350d112"/>
        <Part Type="papunktis" Nr="41.22-2" Abbr="41.22-2 pp." DocPartId="681194677be4427ea4c9f5fe5c31dffc" PartId="1d21bed9c59948489732217c2fcbd741"/>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d3b665674230454bba3d83e24de6ddf3"/>
      <Part Type="punktas" Nr="44-1" Abbr="44-1 p." DocPartId="686337f0cebc42ea96f45a87c8a71ba2" PartId="31af70bfc2a04195a2ed1184ffc49326"/>
      <Part Type="punktas" Nr="44-2" Abbr="44-2 p." DocPartId="daa653b13db845dd9e58acd1b980e8a4" PartId="2be19d27acaa4d4f834dc4c0456d4462"/>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3-1" Abbr="48.3-1 pp." DocPartId="34f3e53e22b845e58ecec2e7ee941ce4" PartId="dac59a62161e44558ed56cadbd707b82"/>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0abd2512ffcb4702b6694e51d256a005"/>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783ded9e72334f2ba38e561cf404ad52"/>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10A90A5-721D-4890-AEAA-9542817F2B23}">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220314E5-8B0A-43BC-904D-2F1E11B668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23</Pages>
  <Words>56098</Words>
  <Characters>31977</Characters>
  <Application>Microsoft Office Word</Application>
  <DocSecurity>0</DocSecurity>
  <Lines>266</Lines>
  <Paragraphs>175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87900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ŠAULYTĖ SKAIRIENĖ Dalia</lastModifiedBy>
  <lastPrinted>2018-11-29T09:06:00Z</lastPrinted>
  <dcterms:modified xsi:type="dcterms:W3CDTF">2023-10-03T08:15:00Z</dcterms:modified>
  <revision>27</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