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35762f7d254ead8a35f02c17518f03"/>
        <w:lock w:val="sdtLocked"/>
        <w:richText/>
      </w:sdtPr>
      <w:sdtContent>
        <w:p>
          <w:pPr>
            <w:jc w:val="both"/>
            <w:rPr>
              <w:rFonts w:ascii="Times New Roman" w:hAnsi="Times New Roman"/>
            </w:rPr>
          </w:pPr>
          <w:r>
            <w:rPr>
              <w:rFonts w:ascii="Times New Roman" w:hAnsi="Times New Roman"/>
              <w:b/>
              <w:i/>
            </w:rPr>
            <w:t>Suvestinė redakcija nuo 2022-12-21 iki 2023-09-30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p>
          <w:pPr>
            <w:widowControl w:val="0"/>
            <w:suppressAutoHyphens/>
            <w:ind w:firstLine="567"/>
            <w:jc w:val="center"/>
          </w:pPr>
        </w:p>
        <w:sdt>
          <w:sdtPr>
            <w:alias w:val="Pavadinimas"/>
            <w:tag w:val="title_c735762f7d254ead8a35f02c17518f03"/>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b53b9c12235443d084edab65d754c5af"/>
        <w:lock w:val="sdtLocked"/>
        <w:richText/>
      </w:sdtPr>
      <w:sdtContent>
        <w:p>
          <w:pPr>
            <w:widowControl w:val="0"/>
            <w:tabs>
              <w:tab w:val="left" w:pos="7088"/>
              <w:tab w:val="left" w:pos="7890"/>
            </w:tabs>
            <w:ind w:left="5102"/>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b53b9c12235443d084edab65d754c5af"/>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c699a1e092074ed6b43d75eae2aecb6d"/>
                <w:lock w:val="sdtLocked"/>
                <w:richText/>
              </w:sdtPr>
              <w:sdtContent>
                <w:p>
                  <w:pPr>
                    <w:widowControl w:val="0"/>
                    <w:tabs>
                      <w:tab w:val="left" w:pos="851"/>
                      <w:tab w:val="left" w:pos="1134"/>
                    </w:tabs>
                    <w:ind w:firstLine="720"/>
                    <w:jc w:val="both"/>
                    <w:rPr>
                      <w:szCs w:val="24"/>
                    </w:rPr>
                  </w:pPr>
                  <w:sdt>
                    <w:sdtPr>
                      <w:alias w:val="Numeris"/>
                      <w:tag w:val="nr_c699a1e092074ed6b43d75eae2aecb6d"/>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Lietuvos Respublikos pelno mokesčio įstatyme, Lietuvos Respublikos įmonių finansinės atskaitomybės įstatyme, Lietuvos Respublikos finansinių ataskaitų audito įstatyme, Šilumos kainų nustatymo metodikos principų apraše, patvirtintame Lietuvos Respublikos Vyriausybės 2011</w:t>
                  </w:r>
                  <w:r>
                    <w:rPr>
                      <w:color w:val="000000"/>
                      <w:szCs w:val="24"/>
                      <w:lang w:eastAsia="lt-LT"/>
                    </w:rPr>
                    <w:t> </w:t>
                  </w:r>
                  <w:r>
                    <w:rPr>
                      <w:szCs w:val="24"/>
                    </w:rPr>
                    <w:t>m. liepos 13</w:t>
                  </w:r>
                  <w:r>
                    <w:rPr>
                      <w:color w:val="000000"/>
                      <w:szCs w:val="24"/>
                      <w:lang w:eastAsia="lt-LT"/>
                    </w:rPr>
                    <w:t> </w:t>
                  </w:r>
                  <w:r>
                    <w:rPr>
                      <w:szCs w:val="24"/>
                    </w:rPr>
                    <w:t>d. nutarimu Nr.</w:t>
                  </w:r>
                  <w:r>
                    <w:rPr>
                      <w:color w:val="000000"/>
                      <w:szCs w:val="24"/>
                      <w:lang w:eastAsia="lt-LT"/>
                    </w:rPr>
                    <w:t> </w:t>
                  </w:r>
                  <w:r>
                    <w:rPr>
                      <w:szCs w:val="24"/>
                    </w:rPr>
                    <w:t>889, Šilumos kainų nustatymo metodikoje, patvirtintoje Tarybos 2009</w:t>
                  </w:r>
                  <w:r>
                    <w:rPr>
                      <w:color w:val="000000"/>
                      <w:szCs w:val="24"/>
                      <w:lang w:eastAsia="lt-LT"/>
                    </w:rPr>
                    <w:t> </w:t>
                  </w:r>
                  <w:r>
                    <w:rPr>
                      <w:szCs w:val="24"/>
                    </w:rPr>
                    <w:t>m. liepos 8</w:t>
                  </w:r>
                  <w:r>
                    <w:rPr>
                      <w:color w:val="000000"/>
                      <w:szCs w:val="24"/>
                      <w:lang w:eastAsia="lt-LT"/>
                    </w:rPr>
                    <w:t> </w:t>
                  </w:r>
                  <w:r>
                    <w:rPr>
                      <w:szCs w:val="24"/>
                    </w:rPr>
                    <w:t>d. nutarimu Nr.</w:t>
                  </w:r>
                  <w:r>
                    <w:rPr>
                      <w:color w:val="000000"/>
                      <w:szCs w:val="24"/>
                      <w:lang w:eastAsia="lt-LT"/>
                    </w:rPr>
                    <w:t xml:space="preserve">  </w:t>
                  </w:r>
                  <w:r>
                    <w:rPr>
                      <w:szCs w:val="24"/>
                    </w:rPr>
                    <w:t>O3-96 „Dėl Šilumos kainų nustatymo metodikos“, Šilumos gamybos ir (ar) supirkimo tvarkos ir sąlygų apraše, patvirtintame Tarybos 2010</w:t>
                  </w:r>
                  <w:r>
                    <w:rPr>
                      <w:color w:val="000000"/>
                      <w:szCs w:val="24"/>
                      <w:lang w:eastAsia="lt-LT"/>
                    </w:rPr>
                    <w:t> </w:t>
                  </w:r>
                  <w:r>
                    <w:rPr>
                      <w:szCs w:val="24"/>
                    </w:rPr>
                    <w:t>m. spalio 4</w:t>
                  </w:r>
                  <w:r>
                    <w:rPr>
                      <w:color w:val="000000"/>
                      <w:szCs w:val="24"/>
                      <w:lang w:eastAsia="lt-LT"/>
                    </w:rPr>
                    <w:t> </w:t>
                  </w:r>
                  <w:r>
                    <w:rPr>
                      <w:szCs w:val="24"/>
                    </w:rPr>
                    <w:t>d. nutarimu Nr.</w:t>
                  </w:r>
                  <w:r>
                    <w:rPr>
                      <w:color w:val="000000"/>
                      <w:szCs w:val="24"/>
                      <w:lang w:eastAsia="lt-LT"/>
                    </w:rPr>
                    <w:t> </w:t>
                  </w:r>
                  <w:r>
                    <w:rPr>
                      <w:szCs w:val="24"/>
                    </w:rPr>
                    <w:t xml:space="preserve">O3-202 „Dėl Šilumos gamybos ir (ar) supirkimo tvarkos ir sąlygų aprašo patvirtinimo“, </w:t>
                  </w:r>
                  <w:r>
                    <w:rPr>
                      <w:color w:val="000000"/>
                    </w:rPr>
                    <w:t xml:space="preserve">Šilumos gamybos, perdavimo, mažmeninio aptarnavimo, karšto vandens tiekimo ir atsiskaitomųjų karšto vandens apskaitos prietaisų aptarnavimo veiklų lyginamosios analizės apraše, </w:t>
                  </w:r>
                  <w:r>
                    <w:t>patvirtintame Tarybos 2011</w:t>
                  </w:r>
                  <w:r>
                    <w:rPr>
                      <w:bCs/>
                    </w:rPr>
                    <w:t> </w:t>
                  </w:r>
                  <w:r>
                    <w:t>m. liepos 29</w:t>
                  </w:r>
                  <w:r>
                    <w:rPr>
                      <w:bCs/>
                    </w:rPr>
                    <w:t> </w:t>
                  </w:r>
                  <w:r>
                    <w:t>d. nutarimu Nr.</w:t>
                  </w:r>
                  <w:r>
                    <w:rPr>
                      <w:bCs/>
                    </w:rPr>
                    <w:t> </w:t>
                  </w:r>
                  <w:r>
                    <w:t xml:space="preserve">O3-219 „Dėl Šilumos gamybos, perdavimo, pardavimo, karšto vandens tiekimo ir atsiskaitomųjų karšto vandens apskaitos prietaisų aptarnavimo veiklų lyginamosios analizės aprašo patvirtinimo“, </w:t>
                  </w:r>
                  <w:r>
                    <w:rPr>
                      <w:szCs w:val="24"/>
                    </w:rPr>
                    <w:t>Verslo apskaitos standartuose bei Tarptautiniuose apskaitos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8-1 p."/>
                <w:tag w:val="part_4d1debedd1dd4f4c9e69cb2644b12a23"/>
                <w:lock w:val="sdtLocked"/>
                <w:richText/>
              </w:sdtPr>
              <w:sdtContent>
                <w:p>
                  <w:pPr>
                    <w:ind w:firstLine="709"/>
                    <w:jc w:val="both"/>
                    <w:rPr>
                      <w:szCs w:val="24"/>
                    </w:rPr>
                  </w:pPr>
                  <w:r>
                    <w:rPr>
                      <w:szCs w:val="24"/>
                    </w:rPr>
                    <w:t>8</w:t>
                  </w:r>
                  <w:r>
                    <w:rPr>
                      <w:szCs w:val="24"/>
                      <w:vertAlign w:val="superscript"/>
                    </w:rPr>
                    <w:t>1</w:t>
                  </w:r>
                  <w:r>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4370274a756942edb27ed8db565954ff"/>
                    <w:lock w:val="sdtLocked"/>
                    <w:richText/>
                  </w:sdtPr>
                  <w:sdtContent>
                    <w:p>
                      <w:pPr>
                        <w:widowControl w:val="0"/>
                        <w:tabs>
                          <w:tab w:val="left" w:pos="851"/>
                          <w:tab w:val="left" w:pos="1134"/>
                        </w:tabs>
                        <w:ind w:firstLine="720"/>
                        <w:jc w:val="both"/>
                        <w:rPr>
                          <w:szCs w:val="24"/>
                        </w:rPr>
                      </w:pPr>
                      <w:sdt>
                        <w:sdtPr>
                          <w:alias w:val="Numeris"/>
                          <w:tag w:val="nr_4370274a756942edb27ed8db565954ff"/>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547d3dd4187b457d80e5558a5412162a"/>
                <w:lock w:val="sdtLocked"/>
                <w:richText/>
              </w:sdtPr>
              <w:sdtContent>
                <w:p>
                  <w:pPr>
                    <w:widowControl w:val="0"/>
                    <w:tabs>
                      <w:tab w:val="left" w:pos="1134"/>
                      <w:tab w:val="left" w:pos="1701"/>
                    </w:tabs>
                    <w:ind w:firstLine="720"/>
                    <w:jc w:val="both"/>
                    <w:rPr>
                      <w:szCs w:val="24"/>
                    </w:rPr>
                  </w:pPr>
                  <w:sdt>
                    <w:sdtPr>
                      <w:alias w:val="Numeris"/>
                      <w:tag w:val="nr_547d3dd4187b457d80e5558a5412162a"/>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Tarybos 2009</w:t>
                  </w:r>
                  <w:r>
                    <w:rPr>
                      <w:color w:val="000000"/>
                      <w:szCs w:val="24"/>
                      <w:lang w:eastAsia="lt-LT"/>
                    </w:rPr>
                    <w:t> </w:t>
                  </w:r>
                  <w:r>
                    <w:rPr>
                      <w:szCs w:val="24"/>
                    </w:rPr>
                    <w:t>m. liepos 22</w:t>
                  </w:r>
                  <w:r>
                    <w:rPr>
                      <w:color w:val="000000"/>
                      <w:szCs w:val="24"/>
                      <w:lang w:eastAsia="lt-LT"/>
                    </w:rPr>
                    <w:t> </w:t>
                  </w:r>
                  <w:r>
                    <w:rPr>
                      <w:szCs w:val="24"/>
                    </w:rPr>
                    <w:t>d. nutarimu Nr.</w:t>
                  </w:r>
                  <w:r>
                    <w:rPr>
                      <w:color w:val="000000"/>
                      <w:szCs w:val="24"/>
                      <w:lang w:eastAsia="lt-LT"/>
                    </w:rPr>
                    <w:t> </w:t>
                  </w:r>
                  <w:r>
                    <w:rPr>
                      <w:szCs w:val="24"/>
                    </w:rPr>
                    <w:t>O3-107 „Dėl Kogeneracinių jėgainių šilumos ir elektros energijos sąnaudų atskyrimo metodikos“ (toliau – Kogeneracinių jėgainių šilumos ir elektros energijos sąnaudų atskyrimo metodika).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b58959fc56084a70874515f943188cbf"/>
                        <w:lock w:val="sdtLocked"/>
                        <w:richText/>
                      </w:sdtPr>
                      <w:sdtContent>
                        <w:p>
                          <w:pPr>
                            <w:ind w:firstLine="709"/>
                            <w:jc w:val="both"/>
                            <w:rPr>
                              <w:color w:val="000000"/>
                              <w:szCs w:val="24"/>
                              <w:lang w:eastAsia="lt-LT"/>
                            </w:rPr>
                          </w:pPr>
                          <w:sdt>
                            <w:sdtPr>
                              <w:alias w:val="Numeris"/>
                              <w:tag w:val="nr_b58959fc56084a70874515f943188cbf"/>
                              <w:lock w:val="sdtLocked"/>
                              <w:richText/>
                            </w:sdt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 xml:space="preserve">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xml:space="preserve">, bendrai neviršijant kainų nustatymo metu Tarybos skirtos energetikos inovacijoms įgyvendinti </w:t>
                          </w:r>
                          <w:r>
                            <w:rPr>
                              <w:szCs w:val="24"/>
                              <w:lang w:eastAsia="en-GB"/>
                            </w:rPr>
                            <w:t>metinės sąnaudų, finansuojamų per šilumos kainą, dalies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652e582416254243b9c65b0552fd7104"/>
                        <w:lock w:val="sdtLocked"/>
                        <w:richText/>
                      </w:sdtPr>
                      <w:sdtContent>
                        <w:p>
                          <w:pPr>
                            <w:ind w:firstLine="720"/>
                            <w:jc w:val="both"/>
                            <w:rPr>
                              <w:color w:val="000000"/>
                              <w:szCs w:val="24"/>
                              <w:lang w:eastAsia="lt-LT"/>
                            </w:rPr>
                          </w:pPr>
                          <w:sdt>
                            <w:sdtPr>
                              <w:alias w:val="Numeris"/>
                              <w:tag w:val="nr_652e582416254243b9c65b0552fd7104"/>
                              <w:lock w:val="sdtLocked"/>
                              <w:richText/>
                            </w:sdtPr>
                            <w:sdtContent>
                              <w:r>
                                <w:rPr>
                                  <w:color w:val="000000"/>
                                  <w:szCs w:val="24"/>
                                  <w:lang w:eastAsia="lt-LT"/>
                                </w:rPr>
                                <w:t>24.4.12</w:t>
                              </w:r>
                            </w:sdtContent>
                          </w:sdt>
                          <w:r>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bb6fa5a11bc748d8a0be63cff27c0164"/>
                        <w:lock w:val="sdtLocked"/>
                        <w:richText/>
                      </w:sdtPr>
                      <w:sdtContent>
                        <w:p>
                          <w:pPr>
                            <w:widowControl w:val="0"/>
                            <w:tabs>
                              <w:tab w:val="left" w:pos="851"/>
                            </w:tabs>
                            <w:ind w:firstLine="709"/>
                            <w:jc w:val="both"/>
                          </w:pPr>
                          <w:sdt>
                            <w:sdtPr>
                              <w:alias w:val="Numeris"/>
                              <w:tag w:val="nr_bb6fa5a11bc748d8a0be63cff27c0164"/>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 bei ilgalaikio turto vertės dalį, sukurtą diegiant energetikos inovacijas ir finansuotą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1 pp."/>
                        <w:tag w:val="part_8b52bed1a8ce4eb89a6dc10ffce214a1"/>
                        <w:lock w:val="sdtLocked"/>
                        <w:richText/>
                      </w:sdtPr>
                      <w:sdtContent>
                        <w:p>
                          <w:pPr>
                            <w:ind w:firstLine="720"/>
                            <w:jc w:val="both"/>
                            <w:rPr>
                              <w:color w:val="000000"/>
                              <w:szCs w:val="24"/>
                              <w:lang w:eastAsia="lt-LT"/>
                            </w:rPr>
                          </w:pPr>
                          <w:sdt>
                            <w:sdtPr>
                              <w:alias w:val="Numeris"/>
                              <w:tag w:val="nr_8b52bed1a8ce4eb89a6dc10ffce214a1"/>
                              <w:lock w:val="sdtLocked"/>
                              <w:richText/>
                            </w:sdtPr>
                            <w:sdtContent>
                              <w:r>
                                <w:rPr>
                                  <w:color w:val="000000"/>
                                  <w:szCs w:val="24"/>
                                  <w:lang w:eastAsia="lt-LT"/>
                                </w:rPr>
                                <w:t>24.4.13</w:t>
                              </w:r>
                              <w:r>
                                <w:rPr>
                                  <w:color w:val="000000"/>
                                  <w:szCs w:val="24"/>
                                  <w:vertAlign w:val="superscript"/>
                                  <w:lang w:eastAsia="lt-LT"/>
                                </w:rPr>
                                <w:t>1</w:t>
                              </w:r>
                            </w:sdtContent>
                          </w:sdt>
                          <w:r>
                            <w:rPr>
                              <w:color w:val="000000"/>
                              <w:szCs w:val="24"/>
                              <w:lang w:eastAsia="lt-LT"/>
                            </w:rPr>
                            <w:t xml:space="preserve">. ilgalaikio turto vertės dalį, </w:t>
                          </w:r>
                          <w:r>
                            <w:rPr>
                              <w:szCs w:val="24"/>
                              <w:lang w:eastAsia="lt-LT"/>
                            </w:rPr>
                            <w:t>sukurtą įgyvendinus energetikos inovacijų investicinius projektus iš Ūkio subjekto nuosavų ir (ar) skolintų lėšų</w:t>
                          </w:r>
                          <w:r>
                            <w:rPr>
                              <w:color w:val="000000"/>
                              <w:szCs w:val="24"/>
                              <w:lang w:eastAsia="lt-LT"/>
                            </w:rPr>
                            <w:t>, išskyrus atvejus, kai energetikos inovacijų diegimas bandomojoje aplinkoje pasiteisino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c0db2ae0aa70408fb561f710f96b714c"/>
                    <w:lock w:val="sdtLocked"/>
                    <w:richText/>
                  </w:sdtPr>
                  <w:sdtContent>
                    <w:p>
                      <w:pPr>
                        <w:widowControl w:val="0"/>
                        <w:tabs>
                          <w:tab w:val="left" w:pos="851"/>
                        </w:tabs>
                        <w:ind w:firstLine="709"/>
                        <w:jc w:val="both"/>
                      </w:pPr>
                      <w:sdt>
                        <w:sdtPr>
                          <w:alias w:val="Numeris"/>
                          <w:tag w:val="nr_c0db2ae0aa70408fb561f710f96b714c"/>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gamybos kogeneracinėse jėgainėse (Aprašo 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w:t>
                      </w:r>
                      <w:r>
                        <w:rPr>
                          <w:szCs w:val="24"/>
                        </w:rPr>
                        <w:t>vienetui</w:t>
                      </w:r>
                      <w:r>
                        <w:rPr>
                          <w:szCs w:val="24"/>
                          <w:lang w:eastAsia="lt-LT"/>
                        </w:rPr>
                        <w:t xml:space="preserve">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rPr>
                          <w:lang w:eastAsia="lt-LT"/>
                        </w:rPr>
                        <w:t xml:space="preserve">atitinkamų </w:t>
                      </w:r>
                      <w:r>
                        <w:rPr>
                          <w:bCs/>
                          <w:szCs w:val="24"/>
                          <w:lang w:eastAsia="lt-LT"/>
                        </w:rPr>
                        <w:t>investicijų derinimo metu suderintą paskirstymo proporciją;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7 pp."/>
                    <w:tag w:val="part_f67fb7a2a8a6468ab4b22f601547d7fe"/>
                    <w:lock w:val="sdtLocked"/>
                    <w:richText/>
                  </w:sdtPr>
                  <w:sdtContent>
                    <w:p>
                      <w:pPr>
                        <w:tabs>
                          <w:tab w:val="left" w:pos="5880"/>
                        </w:tabs>
                        <w:ind w:firstLine="720"/>
                        <w:jc w:val="both"/>
                        <w:rPr>
                          <w:szCs w:val="24"/>
                          <w:lang w:eastAsia="lt-LT"/>
                        </w:rPr>
                      </w:pPr>
                      <w:sdt>
                        <w:sdtPr>
                          <w:alias w:val="Numeris"/>
                          <w:tag w:val="nr_f67fb7a2a8a6468ab4b22f601547d7fe"/>
                          <w:lock w:val="sdtLocked"/>
                          <w:richText/>
                        </w:sdtPr>
                        <w:sdtContent>
                          <w:r>
                            <w:rPr>
                              <w:szCs w:val="24"/>
                              <w:lang w:eastAsia="lt-LT"/>
                            </w:rPr>
                            <w:t>24.7</w:t>
                          </w:r>
                        </w:sdtContent>
                      </w:sdt>
                      <w:r>
                        <w:rPr>
                          <w:szCs w:val="24"/>
                          <w:lang w:eastAsia="lt-LT"/>
                        </w:rPr>
                        <w:t xml:space="preserve">. Tuo atveju, kai nėra nustatyta bazinė kaina, atlikdamas kogeneracinės jėgainės turto (naujai pradėto eksploatuoti ar eksploatuojamo dar neįtraukto turto į šilumos bazinę kainą) vertės paskirstymą paslaugoms ir verslo vienetams, Ūkio subjektas vadovaujasi Kogeneracinių jėgainių šilumos ir elektros energijos sąnaudų atskyrimo metodika. </w:t>
                      </w:r>
                      <w:r>
                        <w:t xml:space="preserve">Kogeneracinės jėgainės ilgalaikio turto vertės dalys, priskirtos </w:t>
                      </w:r>
                      <w:r>
                        <w:rPr>
                          <w:szCs w:val="24"/>
                          <w:lang w:eastAsia="lt-LT"/>
                        </w:rPr>
                        <w:t>paslaugoms ir</w:t>
                      </w:r>
                      <w:r>
                        <w:t xml:space="preserve"> verslo vienetams, negali būti didesnės, nei priskirtos </w:t>
                      </w:r>
                      <w:r>
                        <w:rPr>
                          <w:szCs w:val="24"/>
                          <w:lang w:eastAsia="lt-LT"/>
                        </w:rPr>
                        <w:t>paslaugoms ir</w:t>
                      </w:r>
                      <w:r>
                        <w:t xml:space="preserve"> verslo vienetams investicijų derinimo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25 p."/>
                <w:tag w:val="part_51b83c4cf4ab4414952b123a31768cb1"/>
                <w:lock w:val="sdtLocked"/>
                <w:richText/>
              </w:sdtPr>
              <w:sdtContent>
                <w:p>
                  <w:pPr>
                    <w:widowControl w:val="0"/>
                    <w:tabs>
                      <w:tab w:val="left" w:pos="1134"/>
                      <w:tab w:val="left" w:pos="1701"/>
                    </w:tabs>
                    <w:ind w:firstLine="720"/>
                    <w:jc w:val="both"/>
                    <w:rPr>
                      <w:szCs w:val="24"/>
                      <w:lang w:eastAsia="lt-LT"/>
                    </w:rPr>
                  </w:pPr>
                  <w:sdt>
                    <w:sdtPr>
                      <w:alias w:val="Numeris"/>
                      <w:tag w:val="nr_51b83c4cf4ab4414952b123a31768cb1"/>
                      <w:lock w:val="sdtLocked"/>
                      <w:richText/>
                    </w:sdt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11b2280a329a4a9c9f1336a47407085c"/>
                    <w:lock w:val="sdtLocked"/>
                    <w:richText/>
                  </w:sdtPr>
                  <w:sdtContent>
                    <w:p>
                      <w:pPr>
                        <w:widowControl w:val="0"/>
                        <w:tabs>
                          <w:tab w:val="left" w:pos="1134"/>
                        </w:tabs>
                        <w:ind w:firstLine="720"/>
                        <w:jc w:val="both"/>
                        <w:rPr>
                          <w:lang w:eastAsia="lt-LT"/>
                        </w:rPr>
                      </w:pPr>
                      <w:sdt>
                        <w:sdtPr>
                          <w:alias w:val="Numeris"/>
                          <w:tag w:val="nr_11b2280a329a4a9c9f1336a47407085c"/>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60121773b09841fb8877dd43f027c807"/>
                    <w:lock w:val="sdtLocked"/>
                    <w:richText/>
                  </w:sdtPr>
                  <w:sdtContent>
                    <w:p>
                      <w:pPr>
                        <w:widowControl w:val="0"/>
                        <w:ind w:firstLine="720"/>
                        <w:jc w:val="both"/>
                      </w:pPr>
                      <w:sdt>
                        <w:sdtPr>
                          <w:alias w:val="Numeris"/>
                          <w:tag w:val="nr_60121773b09841fb8877dd43f027c807"/>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7 pp."/>
                    <w:tag w:val="part_d7386509d544489db32536f3e9b4a44b"/>
                    <w:lock w:val="sdtLocked"/>
                    <w:richText/>
                  </w:sdtPr>
                  <w:sdtContent>
                    <w:p>
                      <w:pPr>
                        <w:tabs>
                          <w:tab w:val="left" w:pos="5880"/>
                        </w:tabs>
                        <w:ind w:firstLine="720"/>
                        <w:jc w:val="both"/>
                        <w:rPr>
                          <w:lang w:eastAsia="lt-LT"/>
                        </w:rPr>
                      </w:pPr>
                      <w:sdt>
                        <w:sdtPr>
                          <w:alias w:val="Numeris"/>
                          <w:tag w:val="nr_d7386509d544489db32536f3e9b4a44b"/>
                          <w:lock w:val="sdtLocked"/>
                          <w:richText/>
                        </w:sdtPr>
                        <w:sdtContent>
                          <w:r>
                            <w:rPr>
                              <w:szCs w:val="24"/>
                            </w:rPr>
                            <w:t>30.7</w:t>
                          </w:r>
                        </w:sdtContent>
                      </w:sdt>
                      <w:r>
                        <w:rPr>
                          <w:szCs w:val="24"/>
                        </w:rPr>
                        <w:t xml:space="preserve">. </w:t>
                      </w:r>
                      <w:r>
                        <w:rPr>
                          <w:bCs/>
                          <w:szCs w:val="24"/>
                          <w:lang w:eastAsia="lt-LT"/>
                        </w:rPr>
                        <w:t>iki pirmosios bazinės kainos nustatymo momento Ūkio subjektų (nepriklausomų šilumos gamintojų) veikloje naudotiems ir toliau naudojamiems ilgalaikio turto vienetams yra taikomi sutrumpinti ilgalaikio turto nusidėvėjimo (amortizacijos) skaičiavimo laikotarpiai, t.y. Aprašo 4</w:t>
                      </w:r>
                      <w:r>
                        <w:rPr>
                          <w:bCs/>
                        </w:rPr>
                        <w:t> </w:t>
                      </w:r>
                      <w:r>
                        <w:rPr>
                          <w:bCs/>
                          <w:szCs w:val="24"/>
                          <w:lang w:eastAsia="lt-LT"/>
                        </w:rPr>
                        <w:t xml:space="preserve">priede nustatytas ilgalaikio turto nusidėvėjimo (amortizacijos) laikotarpis yra trumpinamas atitinkamo ilgalaikio turto vieneto faktiniu naudojimo veikloje laikotarpiu. </w:t>
                      </w:r>
                      <w:r>
                        <w:rPr>
                          <w:szCs w:val="24"/>
                          <w:lang w:eastAsia="lt-LT"/>
                        </w:rPr>
                        <w:t>Ilgalaikio turto vieneto likutinė vertė turi būti nudėvima per patikslintą turto naudingo tarnavimo laiką, patikslintą nusidėvėjimo sąnaudų sumą pradedant skaičiuoti nuo kito mėnesio pirmos dienos po pirmosios bazinės kainos nustatymo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4be93d53b764498f92c25382e8149ecc"/>
                <w:lock w:val="sdtLocked"/>
                <w:richText/>
              </w:sdtPr>
              <w:sdtContent>
                <w:p>
                  <w:pPr>
                    <w:widowControl w:val="0"/>
                    <w:tabs>
                      <w:tab w:val="left" w:pos="851"/>
                    </w:tabs>
                    <w:ind w:firstLine="709"/>
                    <w:jc w:val="both"/>
                    <w:rPr>
                      <w:szCs w:val="24"/>
                    </w:rPr>
                  </w:pPr>
                  <w:sdt>
                    <w:sdtPr>
                      <w:alias w:val="Numeris"/>
                      <w:tag w:val="nr_4be93d53b764498f92c25382e8149ecc"/>
                      <w:lock w:val="sdtLocked"/>
                      <w:richText/>
                    </w:sdtPr>
                    <w:sdtContent>
                      <w:r>
                        <w:rPr>
                          <w:color w:val="000000"/>
                          <w:szCs w:val="24"/>
                          <w:lang w:eastAsia="lt-LT"/>
                        </w:rPr>
                        <w:t>39</w:t>
                      </w:r>
                    </w:sdtContent>
                  </w:sdt>
                  <w:r>
                    <w:rPr>
                      <w:color w:val="000000"/>
                      <w:szCs w:val="24"/>
                      <w:lang w:eastAsia="lt-LT"/>
                    </w:rPr>
                    <w:t xml:space="preserve">. </w:t>
                  </w:r>
                  <w:r>
                    <w:rPr>
                      <w:color w:val="000000"/>
                    </w:rPr>
                    <w:t>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xml:space="preserve">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t>kogeneracinės jėgainės atitinkamų sąnaudų paskirstymo proporciją, nustatytą paskutinės bazines kainos ar kainų dedamųjų perskaičiavimo metu</w:t>
                  </w:r>
                  <w:r>
                    <w:rPr>
                      <w:color w:val="000000"/>
                    </w:rPr>
                    <w:t xml:space="preserve">.  Tuo atveju, kai nėra nustatyta pirmoji bazinė kaina, atlikdamas kogeneracinės jėgainės netiesioginių sąnaudų paskirstymą paslaugoms ir verslo vienetams, Ūkio subjektas vadovaujasi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d752a56bc77e4e8886970ebafbb66e4c"/>
                    <w:lock w:val="sdtLocked"/>
                    <w:richText/>
                  </w:sdtPr>
                  <w:sdtContent>
                    <w:p>
                      <w:pPr>
                        <w:widowControl w:val="0"/>
                        <w:tabs>
                          <w:tab w:val="left" w:pos="142"/>
                        </w:tabs>
                        <w:ind w:firstLine="720"/>
                        <w:jc w:val="both"/>
                      </w:pPr>
                      <w:sdt>
                        <w:sdtPr>
                          <w:alias w:val="Numeris"/>
                          <w:tag w:val="nr_d752a56bc77e4e8886970ebafbb66e4c"/>
                          <w:lock w:val="sdtLocked"/>
                          <w:richText/>
                        </w:sdtPr>
                        <w:sdtContent>
                          <w:r>
                            <w:t>41.1</w:t>
                          </w:r>
                        </w:sdtContent>
                      </w:sdt>
                      <w:r>
                        <w:t>. beviltiškas skolas,</w:t>
                      </w:r>
                      <w:r>
                        <w:rPr>
                          <w:rFonts w:hAnsi="Trebuchet MS"/>
                          <w:b/>
                          <w:bCs/>
                          <w:color w:val="002D72"/>
                          <w:kern w:val="24"/>
                          <w:sz w:val="36"/>
                          <w:szCs w:val="36"/>
                        </w:rPr>
                        <w:t xml:space="preserve"> </w:t>
                      </w:r>
                      <w:r>
                        <w:t xml:space="preserve">išskyrus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1-1 pp."/>
                    <w:tag w:val="part_af4802d7b3134f61823e26c97ec61cef"/>
                    <w:lock w:val="sdtLocked"/>
                    <w:richText/>
                  </w:sdtPr>
                  <w:sdtContent>
                    <w:p>
                      <w:pPr>
                        <w:ind w:firstLine="709"/>
                        <w:jc w:val="both"/>
                        <w:rPr>
                          <w:szCs w:val="24"/>
                        </w:rPr>
                      </w:pPr>
                      <w:sdt>
                        <w:sdtPr>
                          <w:alias w:val="Numeris"/>
                          <w:tag w:val="nr_af4802d7b3134f61823e26c97ec61cef"/>
                          <w:lock w:val="sdtLocked"/>
                          <w:richText/>
                        </w:sdtPr>
                        <w:sdtContent>
                          <w:r>
                            <w:rPr>
                              <w:color w:val="000000"/>
                              <w:szCs w:val="24"/>
                            </w:rPr>
                            <w:t>41.1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6119ee787e244291b52ca35901487158"/>
                    <w:lock w:val="sdtLocked"/>
                    <w:richText/>
                  </w:sdtPr>
                  <w:sdtContent>
                    <w:p>
                      <w:pPr>
                        <w:widowControl w:val="0"/>
                        <w:tabs>
                          <w:tab w:val="left" w:pos="142"/>
                          <w:tab w:val="left" w:pos="1418"/>
                        </w:tabs>
                        <w:ind w:firstLine="720"/>
                        <w:jc w:val="both"/>
                        <w:rPr>
                          <w:szCs w:val="24"/>
                        </w:rPr>
                      </w:pPr>
                      <w:sdt>
                        <w:sdtPr>
                          <w:alias w:val="Numeris"/>
                          <w:tag w:val="nr_6119ee787e244291b52ca35901487158"/>
                          <w:lock w:val="sdtLocked"/>
                          <w:richText/>
                        </w:sdtPr>
                        <w:sdtContent>
                          <w:r>
                            <w:rPr>
                              <w:bCs/>
                              <w:lang w:eastAsia="lt-LT"/>
                            </w:rPr>
                            <w:t>41.3</w:t>
                          </w:r>
                        </w:sdtContent>
                      </w:sdt>
                      <w:r>
                        <w:rPr>
                          <w:bCs/>
                          <w:lang w:eastAsia="lt-LT"/>
                        </w:rPr>
                        <w:t xml:space="preserve">. tantjemų išmokų, atlygio valdybos </w:t>
                      </w:r>
                      <w:r>
                        <w:rPr>
                          <w:lang w:eastAsia="lt-LT"/>
                        </w:rPr>
                        <w:t>ir tarybos</w:t>
                      </w:r>
                      <w:r>
                        <w:rPr>
                          <w:bCs/>
                          <w:lang w:eastAsia="lt-LT"/>
                        </w:rPr>
                        <w:t xml:space="preserve"> nariams </w:t>
                      </w:r>
                      <w:r>
                        <w:rPr>
                          <w:lang w:eastAsia="lt-LT"/>
                        </w:rPr>
                        <w:t>bei su šiuo atlygiu susijusių mokesčių</w:t>
                      </w:r>
                      <w:r>
                        <w:rPr>
                          <w:bCs/>
                          <w:lang w:eastAsia="lt-LT"/>
                        </w:rPr>
                        <w:t xml:space="preserve">, išskyrus viešo intereso įmonių valdybos </w:t>
                      </w:r>
                      <w:r>
                        <w:rPr>
                          <w:lang w:eastAsia="lt-LT"/>
                        </w:rPr>
                        <w:t>arba tarybos</w:t>
                      </w:r>
                      <w:r>
                        <w:rPr>
                          <w:bCs/>
                          <w:lang w:eastAsia="lt-LT"/>
                        </w:rPr>
                        <w:t xml:space="preserve"> narių atlygio </w:t>
                      </w:r>
                      <w:r>
                        <w:rPr>
                          <w:lang w:eastAsia="lt-LT"/>
                        </w:rPr>
                        <w:t>bei su šiuo atlygiu susijusių mokesčių,</w:t>
                      </w:r>
                      <w:r>
                        <w:rPr>
                          <w:bCs/>
                          <w:lang w:eastAsia="lt-LT"/>
                        </w:rPr>
                        <w:t xml:space="preserve"> pelno mokesčio, mokesčių nuo dividendų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e06ad6c1e20d4884b36474f1937a155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e06ad6c1e20d4884b36474f1937a155a"/>
                          <w:lock w:val="sdtLocked"/>
                          <w:richText/>
                        </w:sdtPr>
                        <w:sdtContent>
                          <w:r>
                            <w:rPr>
                              <w:szCs w:val="24"/>
                            </w:rPr>
                            <w:t>41.5</w:t>
                          </w:r>
                        </w:sdtContent>
                      </w:sdt>
                      <w:r>
                        <w:rPr>
                          <w:szCs w:val="24"/>
                        </w:rPr>
                        <w:t>. patirtas palūkanų sąnaudas ir kitas finansinės-investicinės veiklos sąnaudas;</w:t>
                      </w:r>
                    </w:p>
                    <w:p>
                      <w:pPr>
                        <w:rPr>
                          <w:rFonts w:ascii="Times New Roman" w:hAnsi="Times New Roman"/>
                          <w:sz w:val="20"/>
                          <w:b/>
                          <w:i/>
                        </w:rPr>
                      </w:pPr>
                      <w:r>
                        <w:rPr>
                          <w:rFonts w:ascii="Times New Roman" w:hAnsi="Times New Roman"/>
                          <w:sz w:val="20"/>
                          <w:b/>
                          <w:i/>
                        </w:rPr>
                        <w:t>Redakcija nuo punktuose nurodytos sąnaudos įvertinamos artimiausio šilumos kainos skaičiavimo (šilumos bazinės kainos (kainos dedamųjų) ar jų perskaičiavimo) metu, nuo šio nutarimo įsigaliojimo:</w:t>
                      </w:r>
                    </w:p>
                    <w:p>
                      <w:pPr>
                        <w:ind w:firstLine="709"/>
                        <w:jc w:val="both"/>
                      </w:pPr>
                      <w:sdt>
                        <w:sdtPr>
                          <w:alias w:val="Numeris"/>
                          <w:tag w:val="nr_e06ad6c1e20d4884b36474f1937a155a"/>
                          <w:lock w:val="sdtLocked"/>
                          <w:richText/>
                        </w:sdtPr>
                        <w:sdtContent>
                          <w:r>
                            <w:rPr>
                              <w:szCs w:val="24"/>
                            </w:rPr>
                            <w:t>41.5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mokestinių prievolių atidėjimą per laikotarpį nuo Lietuvos Respublikos Vyriausybės paskelbto karantino Lietuvos Respublikos teritorijoje pradžios iki karantino Lietuvos Respublikos teritorijoje atšaukimo ir du mėnesius po jo. Reguliuojamų kainų verslo vienetams ir paslaugoms (produktams)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5-1 pp."/>
                    <w:tag w:val="part_82cadf778364413e847d7657e8abd4d8"/>
                    <w:lock w:val="sdtLocked"/>
                    <w:richText/>
                  </w:sdtPr>
                  <w:sdtContent>
                    <w:p>
                      <w:pPr>
                        <w:ind w:firstLine="709"/>
                        <w:jc w:val="both"/>
                        <w:rPr>
                          <w:color w:val="000000"/>
                          <w:szCs w:val="24"/>
                          <w:lang w:eastAsia="lt-LT"/>
                        </w:rPr>
                      </w:pPr>
                      <w:r>
                        <w:rPr>
                          <w:color w:val="000000"/>
                          <w:szCs w:val="24"/>
                          <w:lang w:eastAsia="lt-LT"/>
                        </w:rPr>
                        <w:t>41.5¹. kitas finansinės-investicinės veiklos sąnaudas, išskyrus iš anksto su Taryba raštu suderinto kuro kainų svyravimo rizikos draudimo (angl. hedging) kontrakto, kuris atitinka vadovaujantis Aprašo 44</w:t>
                      </w:r>
                      <w:r>
                        <w:rPr>
                          <w:color w:val="000000"/>
                          <w:szCs w:val="24"/>
                          <w:vertAlign w:val="superscript"/>
                          <w:lang w:eastAsia="lt-LT"/>
                        </w:rPr>
                        <w:t>2</w:t>
                      </w:r>
                      <w:r>
                        <w:rPr>
                          <w:color w:val="000000"/>
                          <w:szCs w:val="24"/>
                          <w:lang w:eastAsia="lt-LT"/>
                        </w:rPr>
                        <w:t xml:space="preserve"> punktu suderintas gaires, sąnaudas:</w:t>
                      </w:r>
                    </w:p>
                    <w:sdt>
                      <w:sdtPr>
                        <w:alias w:val="41.5-1.1 pp."/>
                        <w:tag w:val="part_4f012d6e4c514896a95878849b71cb6d"/>
                        <w:lock w:val="sdtLocked"/>
                        <w:richText/>
                      </w:sdtPr>
                      <w:sdtContent>
                        <w:p>
                          <w:pPr>
                            <w:ind w:firstLine="709"/>
                            <w:jc w:val="both"/>
                            <w:rPr>
                              <w:color w:val="000000"/>
                              <w:szCs w:val="24"/>
                              <w:lang w:val="en-US"/>
                            </w:rPr>
                          </w:pPr>
                          <w:sdt>
                            <w:sdtPr>
                              <w:alias w:val="Numeris"/>
                              <w:tag w:val="nr_4f012d6e4c514896a95878849b71cb6d"/>
                              <w:lock w:val="sdtLocked"/>
                              <w:richText/>
                            </w:sdtPr>
                            <w:sdtContent>
                              <w:r>
                                <w:rPr>
                                  <w:color w:val="000000"/>
                                  <w:szCs w:val="24"/>
                                </w:rPr>
                                <w:t>41.5</w:t>
                              </w:r>
                              <w:r>
                                <w:rPr>
                                  <w:color w:val="000000"/>
                                  <w:szCs w:val="24"/>
                                  <w:vertAlign w:val="superscript"/>
                                </w:rPr>
                                <w:t>1</w:t>
                              </w:r>
                              <w:r>
                                <w:rPr>
                                  <w:color w:val="000000"/>
                                  <w:szCs w:val="24"/>
                                </w:rPr>
                                <w:t>.1</w:t>
                              </w:r>
                            </w:sdtContent>
                          </w:sdt>
                          <w:r>
                            <w:rPr>
                              <w:color w:val="000000"/>
                              <w:szCs w:val="24"/>
                            </w:rPr>
                            <w:t>. sudarytą kuro kainų svyravimo rizikos draudimo (angl. hedging) kontraktą ūkio subjektas pateikia Tarybai vertinimui. Kartu su kontraktu pateikia:</w:t>
                          </w:r>
                        </w:p>
                        <w:sdt>
                          <w:sdtPr>
                            <w:alias w:val="41.5-1.1.1 pp."/>
                            <w:tag w:val="part_f3bf2745bd8d443582b3d855d9561634"/>
                            <w:lock w:val="sdtLocked"/>
                            <w:richText/>
                          </w:sdtPr>
                          <w:sdtContent>
                            <w:p>
                              <w:pPr>
                                <w:ind w:firstLine="709"/>
                                <w:jc w:val="both"/>
                                <w:rPr>
                                  <w:color w:val="000000"/>
                                  <w:szCs w:val="24"/>
                                  <w:lang w:val="en-US"/>
                                </w:rPr>
                              </w:pPr>
                              <w:sdt>
                                <w:sdtPr>
                                  <w:alias w:val="Numeris"/>
                                  <w:tag w:val="nr_f3bf2745bd8d443582b3d855d9561634"/>
                                  <w:lock w:val="sdtLocked"/>
                                  <w:richText/>
                                </w:sdtPr>
                                <w:sdtContent>
                                  <w:r>
                                    <w:rPr>
                                      <w:color w:val="000000"/>
                                      <w:szCs w:val="24"/>
                                    </w:rPr>
                                    <w:t>41.5</w:t>
                                  </w:r>
                                  <w:r>
                                    <w:rPr>
                                      <w:color w:val="000000"/>
                                      <w:szCs w:val="24"/>
                                      <w:vertAlign w:val="superscript"/>
                                    </w:rPr>
                                    <w:t>1</w:t>
                                  </w:r>
                                  <w:r>
                                    <w:rPr>
                                      <w:color w:val="000000"/>
                                      <w:szCs w:val="24"/>
                                    </w:rPr>
                                    <w:t>.1.1</w:t>
                                  </w:r>
                                </w:sdtContent>
                              </w:sdt>
                              <w:r>
                                <w:rPr>
                                  <w:color w:val="000000"/>
                                  <w:szCs w:val="24"/>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16e151793b6148e6a648729ad244437e"/>
                            <w:lock w:val="sdtLocked"/>
                            <w:richText/>
                          </w:sdtPr>
                          <w:sdtContent>
                            <w:p>
                              <w:pPr>
                                <w:ind w:firstLine="709"/>
                                <w:jc w:val="both"/>
                                <w:rPr>
                                  <w:color w:val="000000"/>
                                  <w:szCs w:val="24"/>
                                  <w:lang w:val="en-US"/>
                                </w:rPr>
                              </w:pPr>
                              <w:sdt>
                                <w:sdtPr>
                                  <w:alias w:val="Numeris"/>
                                  <w:tag w:val="nr_16e151793b6148e6a648729ad244437e"/>
                                  <w:lock w:val="sdtLocked"/>
                                  <w:richText/>
                                </w:sdtPr>
                                <w:sdtContent>
                                  <w:r>
                                    <w:rPr>
                                      <w:color w:val="000000"/>
                                      <w:szCs w:val="24"/>
                                    </w:rPr>
                                    <w:t>41.5</w:t>
                                  </w:r>
                                  <w:r>
                                    <w:rPr>
                                      <w:color w:val="000000"/>
                                      <w:szCs w:val="24"/>
                                      <w:vertAlign w:val="superscript"/>
                                    </w:rPr>
                                    <w:t>1</w:t>
                                  </w:r>
                                  <w:r>
                                    <w:rPr>
                                      <w:color w:val="000000"/>
                                      <w:szCs w:val="24"/>
                                    </w:rPr>
                                    <w:t>.1.2</w:t>
                                  </w:r>
                                </w:sdtContent>
                              </w:sdt>
                              <w:r>
                                <w:rPr>
                                  <w:color w:val="000000"/>
                                  <w:szCs w:val="24"/>
                                </w:rPr>
                                <w:t>. informaciją apie sprendimo dėl pasirinkto kuro kainų svyravimo rizikos draudimo taikymo laikotarpio bei pasirinktos kuro kiekio apimties argumentus;</w:t>
                              </w:r>
                            </w:p>
                          </w:sdtContent>
                        </w:sdt>
                        <w:sdt>
                          <w:sdtPr>
                            <w:alias w:val="41.5-1.1.3 pp."/>
                            <w:tag w:val="part_26470212078844e8b68e495702166cc3"/>
                            <w:lock w:val="sdtLocked"/>
                            <w:richText/>
                          </w:sdtPr>
                          <w:sdtContent>
                            <w:p>
                              <w:pPr>
                                <w:ind w:firstLine="709"/>
                                <w:jc w:val="both"/>
                                <w:rPr>
                                  <w:szCs w:val="24"/>
                                </w:rPr>
                              </w:pPr>
                              <w:sdt>
                                <w:sdtPr>
                                  <w:alias w:val="Numeris"/>
                                  <w:tag w:val="nr_26470212078844e8b68e495702166cc3"/>
                                  <w:lock w:val="sdtLocked"/>
                                  <w:richText/>
                                </w:sdtPr>
                                <w:sdtContent>
                                  <w:r>
                                    <w:rPr>
                                      <w:color w:val="000000"/>
                                      <w:szCs w:val="24"/>
                                    </w:rPr>
                                    <w:t>41.5</w:t>
                                  </w:r>
                                  <w:r>
                                    <w:rPr>
                                      <w:color w:val="000000"/>
                                      <w:szCs w:val="24"/>
                                      <w:vertAlign w:val="superscript"/>
                                    </w:rPr>
                                    <w:t>1</w:t>
                                  </w:r>
                                  <w:r>
                                    <w:rPr>
                                      <w:color w:val="000000"/>
                                      <w:szCs w:val="24"/>
                                    </w:rPr>
                                    <w:t>.1.3</w:t>
                                  </w:r>
                                </w:sdtContent>
                              </w:sdt>
                              <w:r>
                                <w:rPr>
                                  <w:color w:val="000000"/>
                                  <w:szCs w:val="24"/>
                                </w:rPr>
                                <w:t>. bent vieną alternatyvios priemonės, jeigu jų yra, padedančios valdyti tiekimo ir 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6-1 pp."/>
                    <w:tag w:val="part_63e65232a2ac4a5a85e63cff7cba1c54"/>
                    <w:lock w:val="sdtLocked"/>
                    <w:richText/>
                  </w:sdtPr>
                  <w:sdtContent>
                    <w:p>
                      <w:pPr>
                        <w:widowControl w:val="0"/>
                        <w:tabs>
                          <w:tab w:val="left" w:pos="993"/>
                        </w:tabs>
                        <w:ind w:firstLine="720"/>
                        <w:jc w:val="both"/>
                        <w:rPr>
                          <w:lang w:eastAsia="lt-LT"/>
                        </w:rPr>
                      </w:pPr>
                      <w:sdt>
                        <w:sdtPr>
                          <w:alias w:val="Numeris"/>
                          <w:tag w:val="nr_63e65232a2ac4a5a85e63cff7cba1c54"/>
                          <w:lock w:val="sdtLocked"/>
                          <w:richText/>
                        </w:sdtPr>
                        <w:sdtContent>
                          <w:r>
                            <w:rPr>
                              <w:lang w:eastAsia="lt-LT"/>
                            </w:rPr>
                            <w:t>41.6</w:t>
                          </w:r>
                          <w:r>
                            <w:rPr>
                              <w:vertAlign w:val="superscript"/>
                              <w:lang w:val="en-US" w:eastAsia="lt-LT"/>
                            </w:rPr>
                            <w:t>1</w:t>
                          </w:r>
                        </w:sdtContent>
                      </w:sdt>
                      <w:r>
                        <w:rPr>
                          <w:lang w:val="en-US" w:eastAsia="lt-LT"/>
                        </w:rPr>
                        <w:t xml:space="preserve">. </w:t>
                      </w:r>
                      <w:r>
                        <w:rPr>
                          <w:color w:val="000000"/>
                          <w:szCs w:val="24"/>
                          <w:lang w:eastAsia="lt-LT"/>
                        </w:rPr>
                        <w:t>tyrimų, studijų ir panašaus pobūdžio sąnaudas, sudarančias daugiau kaip 0,05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72a53ec96f03410ea94f715c61ab0695"/>
                    <w:lock w:val="sdtLocked"/>
                    <w:richText/>
                  </w:sdtPr>
                  <w:sdtContent>
                    <w:p>
                      <w:pPr>
                        <w:tabs>
                          <w:tab w:val="left" w:pos="1134"/>
                        </w:tabs>
                        <w:ind w:firstLine="720"/>
                        <w:jc w:val="both"/>
                        <w:rPr>
                          <w:szCs w:val="24"/>
                        </w:rPr>
                      </w:pPr>
                      <w:sdt>
                        <w:sdtPr>
                          <w:alias w:val="Numeris"/>
                          <w:tag w:val="nr_72a53ec96f03410ea94f715c61ab0695"/>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 taip pat nuo ilgalaikio turto vertės dalies, sukurtos diegiant energetikos inovacijas ir finansuotos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2-1 pp."/>
                    <w:tag w:val="part_4a13d92ecf9a46d183923700d350d112"/>
                    <w:lock w:val="sdtLocked"/>
                    <w:richText/>
                  </w:sdtPr>
                  <w:sdtContent>
                    <w:p>
                      <w:pPr>
                        <w:tabs>
                          <w:tab w:val="left" w:pos="1134"/>
                        </w:tabs>
                        <w:ind w:firstLine="720"/>
                        <w:jc w:val="both"/>
                        <w:rPr>
                          <w:szCs w:val="24"/>
                          <w:lang w:eastAsia="lt-LT"/>
                        </w:rPr>
                      </w:pPr>
                      <w:sdt>
                        <w:sdtPr>
                          <w:alias w:val="Numeris"/>
                          <w:tag w:val="nr_4a13d92ecf9a46d183923700d350d112"/>
                          <w:lock w:val="sdtLocked"/>
                          <w:richText/>
                        </w:sdtPr>
                        <w:sdtContent>
                          <w:r>
                            <w:rPr>
                              <w:szCs w:val="24"/>
                              <w:lang w:eastAsia="lt-LT"/>
                            </w:rPr>
                            <w:t>41.22</w:t>
                          </w:r>
                          <w:r>
                            <w:rPr>
                              <w:szCs w:val="24"/>
                              <w:vertAlign w:val="superscript"/>
                              <w:lang w:eastAsia="lt-LT"/>
                            </w:rPr>
                            <w:t>1</w:t>
                          </w:r>
                        </w:sdtContent>
                      </w:sdt>
                      <w:r>
                        <w:rPr>
                          <w:szCs w:val="24"/>
                          <w:lang w:eastAsia="lt-LT"/>
                        </w:rPr>
                        <w:t xml:space="preserve">. nusidėvėjimo (amortizacijos) sąnaudų dalį nuo ilgalaikio turto vertės dalies, </w:t>
                      </w:r>
                      <w:r>
                        <w:t xml:space="preserve">priskaičiuotos nuo </w:t>
                      </w:r>
                      <w:r>
                        <w:rPr>
                          <w:szCs w:val="24"/>
                          <w:lang w:eastAsia="lt-LT"/>
                        </w:rPr>
                        <w:t xml:space="preserve">įgyvendintų energetikos inovacijų investicinių projektų iš Ūkio subjekto </w:t>
                      </w:r>
                      <w:r>
                        <w:rPr>
                          <w:color w:val="000000"/>
                          <w:szCs w:val="24"/>
                          <w:lang w:eastAsia="lt-LT"/>
                        </w:rPr>
                        <w:t>nuosavų ir (ar) skolintų</w:t>
                      </w:r>
                      <w:r>
                        <w:rPr>
                          <w:szCs w:val="24"/>
                          <w:lang w:eastAsia="lt-LT"/>
                        </w:rPr>
                        <w:t xml:space="preserve"> lėšų</w:t>
                      </w:r>
                      <w:r>
                        <w:rPr>
                          <w:color w:val="000000"/>
                          <w:szCs w:val="24"/>
                          <w:lang w:eastAsia="lt-LT"/>
                        </w:rPr>
                        <w:t>, išskyrus atvejus, kai energetikos inovacijų diegimas bandomojoje aplinkoje pasiteisino vadovaujantis Inovacijų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d3b665674230454bba3d83e24de6ddf3"/>
                <w:lock w:val="sdtLocked"/>
                <w:richText/>
              </w:sdtPr>
              <w:sdtContent>
                <w:p>
                  <w:pPr>
                    <w:widowControl w:val="0"/>
                    <w:tabs>
                      <w:tab w:val="left" w:pos="1134"/>
                    </w:tabs>
                    <w:ind w:firstLine="720"/>
                    <w:jc w:val="both"/>
                  </w:pPr>
                  <w:sdt>
                    <w:sdtPr>
                      <w:alias w:val="Numeris"/>
                      <w:tag w:val="nr_d3b665674230454bba3d83e24de6ddf3"/>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sdtContent>
            </w:sdt>
            <w:sdt>
              <w:sdtPr>
                <w:alias w:val="44-1 p."/>
                <w:tag w:val="part_31af70bfc2a04195a2ed1184ffc49326"/>
                <w:lock w:val="sdtLocked"/>
                <w:richText/>
              </w:sdtPr>
              <w:sdtContent>
                <w:p>
                  <w:pPr>
                    <w:widowControl w:val="0"/>
                    <w:tabs>
                      <w:tab w:val="left" w:pos="851"/>
                    </w:tabs>
                    <w:ind w:firstLine="709"/>
                    <w:jc w:val="both"/>
                    <w:rPr>
                      <w:szCs w:val="24"/>
                      <w:lang w:eastAsia="lt-LT"/>
                    </w:rPr>
                  </w:pPr>
                  <w:sdt>
                    <w:sdtPr>
                      <w:alias w:val="Numeris"/>
                      <w:tag w:val="nr_31af70bfc2a04195a2ed1184ffc49326"/>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lang w:eastAsia="lt-LT"/>
                    </w:rPr>
                    <w:t>Ūkio subjektų reguliuojamų kainų verslo vieneto ir paslaugų (produktų) ataskaitinio laikotarpio sąnaudoms</w:t>
                  </w:r>
                  <w:r>
                    <w:rPr>
                      <w:szCs w:val="24"/>
                      <w:lang w:eastAsia="lt-LT"/>
                    </w:rPr>
                    <w:t xml:space="preserve">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4-2 p."/>
                <w:tag w:val="part_2be19d27acaa4d4f834dc4c0456d4462"/>
                <w:lock w:val="sdtLocked"/>
                <w:richText/>
              </w:sdtPr>
              <w:sdtContent>
                <w:p>
                  <w:pPr>
                    <w:ind w:firstLine="709"/>
                    <w:jc w:val="both"/>
                    <w:rPr>
                      <w:szCs w:val="24"/>
                      <w:lang w:eastAsia="lt-LT"/>
                    </w:rPr>
                  </w:pPr>
                  <w:r>
                    <w:rPr>
                      <w:color w:val="000000"/>
                      <w:szCs w:val="24"/>
                      <w:lang w:eastAsia="lt-LT"/>
                    </w:rPr>
                    <w:t>44</w:t>
                  </w:r>
                  <w:r>
                    <w:rPr>
                      <w:color w:val="000000"/>
                      <w:szCs w:val="24"/>
                      <w:vertAlign w:val="superscript"/>
                      <w:lang w:eastAsia="lt-LT"/>
                    </w:rPr>
                    <w:t>2</w:t>
                  </w:r>
                  <w:r>
                    <w:rPr>
                      <w:color w:val="000000"/>
                      <w:szCs w:val="24"/>
                      <w:lang w:eastAsia="lt-LT"/>
                    </w:rPr>
                    <w:t xml:space="preserve">. </w:t>
                  </w:r>
                  <w:r>
                    <w:rPr>
                      <w:color w:val="000000"/>
                      <w:szCs w:val="24"/>
                    </w:rPr>
                    <w:t>Ūkio subjektas, siekdamas taikyti kuro kainų svyravimo rizikos draudimą (angl. hedging), Tarybai pateikia ir raštu suderina gaires, numatančias pagrindinius tokio draudimo, padedančio valdyti kuro kainų rizikas, sudarymo, naudojimo bei naudos/rizikos pasidalinimo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3-1 pp."/>
                    <w:tag w:val="part_dac59a62161e44558ed56cadbd707b82"/>
                    <w:lock w:val="sdtLocked"/>
                    <w:richText/>
                  </w:sdtPr>
                  <w:sdtContent>
                    <w:p>
                      <w:pPr>
                        <w:widowControl w:val="0"/>
                        <w:tabs>
                          <w:tab w:val="left" w:pos="851"/>
                          <w:tab w:val="left" w:pos="1276"/>
                        </w:tabs>
                        <w:ind w:firstLine="709"/>
                        <w:jc w:val="both"/>
                        <w:rPr>
                          <w:szCs w:val="24"/>
                        </w:rPr>
                      </w:pPr>
                      <w:sdt>
                        <w:sdtPr>
                          <w:alias w:val="Numeris"/>
                          <w:tag w:val="nr_dac59a62161e44558ed56cadbd707b82"/>
                          <w:lock w:val="sdtLocked"/>
                          <w:richText/>
                        </w:sdtPr>
                        <w:sdtContent>
                          <w:r>
                            <w:rPr>
                              <w:szCs w:val="24"/>
                              <w:lang w:eastAsia="lt-LT"/>
                            </w:rPr>
                            <w:t>48.3</w:t>
                          </w:r>
                          <w:r>
                            <w:rPr>
                              <w:szCs w:val="24"/>
                              <w:vertAlign w:val="superscript"/>
                              <w:lang w:eastAsia="lt-LT"/>
                            </w:rPr>
                            <w:t>1</w:t>
                          </w:r>
                        </w:sdtContent>
                      </w:sdt>
                      <w:r>
                        <w:rPr>
                          <w:szCs w:val="24"/>
                          <w:lang w:eastAsia="lt-LT"/>
                        </w:rPr>
                        <w:t xml:space="preserve">. Ūkio subjektui vykdant </w:t>
                      </w:r>
                      <w:r>
                        <w:rPr>
                          <w:szCs w:val="24"/>
                        </w:rPr>
                        <w:t xml:space="preserve">reguliuojamas veiklas, kurių apskaitos atskyrimo ir </w:t>
                      </w:r>
                      <w:r>
                        <w:t xml:space="preserve">sąnaudų paskirstymui taikomas Aprašas ir Geriamojo vandens tiekimo ir nuotekų tvarkymo bei paviršinių nuotekų tvarkymo paslaugų įmonių apskaitos atskyrimo ir susijusių reikalavimų aprašas, </w:t>
                      </w:r>
                      <w:r>
                        <w:rPr>
                          <w:szCs w:val="24"/>
                          <w:lang w:eastAsia="lt-LT"/>
                        </w:rPr>
                        <w:t>- pajamų, sąnaudų ir turto paskirstymo, vadovaujantis 8</w:t>
                      </w:r>
                      <w:r>
                        <w:rPr>
                          <w:szCs w:val="24"/>
                          <w:vertAlign w:val="superscript"/>
                          <w:lang w:eastAsia="lt-LT"/>
                        </w:rPr>
                        <w:t>1</w:t>
                      </w:r>
                      <w:r>
                        <w:rPr>
                          <w:szCs w:val="24"/>
                          <w:lang w:eastAsia="lt-LT"/>
                        </w:rPr>
                        <w:t xml:space="preserve"> punktu, tarp minėtais aprašais reglamentuojamų veiklų kriterijų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783ded9e72334f2ba38e561cf404ad52"/>
                <w:lock w:val="sdtLocked"/>
                <w:richText/>
              </w:sdtPr>
              <w:sdtContent>
                <w:p>
                  <w:pPr>
                    <w:widowControl w:val="0"/>
                    <w:ind w:firstLine="720"/>
                    <w:jc w:val="both"/>
                    <w:rPr>
                      <w:szCs w:val="24"/>
                    </w:rPr>
                  </w:pPr>
                  <w:sdt>
                    <w:sdtPr>
                      <w:alias w:val="Numeris"/>
                      <w:tag w:val="nr_783ded9e72334f2ba38e561cf404ad52"/>
                      <w:lock w:val="sdtLocked"/>
                      <w:richText/>
                    </w:sdtPr>
                    <w:sdtContent>
                      <w:r>
                        <w:rPr>
                          <w:szCs w:val="24"/>
                          <w:lang w:eastAsia="lt-LT"/>
                        </w:rPr>
                        <w:t>57</w:t>
                      </w:r>
                    </w:sdtContent>
                  </w:sdt>
                  <w:r>
                    <w:rPr>
                      <w:szCs w:val="24"/>
                      <w:lang w:eastAsia="lt-LT"/>
                    </w:rPr>
                    <w:t xml:space="preserve">. </w:t>
                  </w:r>
                  <w:r>
                    <w:rPr>
                      <w:lang w:eastAsia="lt-LT"/>
                    </w:rPr>
                    <w:t xml:space="preserve">Metines </w:t>
                  </w:r>
                  <w:r>
                    <w:t xml:space="preserve">reguliuojamosios veiklos </w:t>
                  </w:r>
                  <w:r>
                    <w:rPr>
                      <w:lang w:eastAsia="lt-LT"/>
                    </w:rPr>
                    <w:t xml:space="preserve">ataskaitas Ūkio subjektas teikia kartu su audito ataskaita. Audito ataskaitoje nurodytos metinių </w:t>
                  </w:r>
                  <w:r>
                    <w:t xml:space="preserve">reguliuojamosios veiklos </w:t>
                  </w:r>
                  <w:r>
                    <w:rPr>
                      <w:lang w:eastAsia="lt-LT"/>
                    </w:rPr>
                    <w:t xml:space="preserve">ataskaitų klaidos privalo būti ištaisytos ir Tarybai pateiktos patikslintos metinių </w:t>
                  </w:r>
                  <w:r>
                    <w:t xml:space="preserve">reguliuojamosios veiklos </w:t>
                  </w:r>
                  <w:r>
                    <w:rPr>
                      <w:lang w:eastAsia="lt-LT"/>
                    </w:rPr>
                    <w:t>ataskaitos. Vėliau paaiškėjus</w:t>
                  </w:r>
                  <w:r>
                    <w:rPr>
                      <w:szCs w:val="24"/>
                      <w:lang w:eastAsia="lt-LT"/>
                    </w:rPr>
                    <w:t xml:space="preserve">,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e4ee09b6c11ea9515f752ff221ec9">
            <w:r w:rsidRPr="00532B9F">
              <w:rPr>
                <w:rFonts w:ascii="Times New Roman" w:eastAsia="MS Mincho" w:hAnsi="Times New Roman"/>
                <w:sz w:val="20"/>
                <w:iCs/>
                <w:color w:val="0000FF" w:themeColor="hyperlink"/>
                <w:u w:val="single"/>
              </w:rPr>
              <w:t>O3E-439</w:t>
            </w:r>
          </w:fldSimple>
          <w:r>
            <w:rPr>
              <w:rFonts w:ascii="Times New Roman" w:eastAsia="MS Mincho" w:hAnsi="Times New Roman"/>
              <w:sz w:val="20"/>
              <w:iCs/>
            </w:rPr>
            <w:t>,
2020-05-21,
paskelbta TAR 2020-05-21, i. k. 2020-10801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fa0f030f09411eb9f09e7df20500045">
            <w:r w:rsidRPr="00532B9F">
              <w:rPr>
                <w:rFonts w:ascii="Times New Roman" w:eastAsia="MS Mincho" w:hAnsi="Times New Roman"/>
                <w:sz w:val="20"/>
                <w:iCs/>
                <w:color w:val="0000FF" w:themeColor="hyperlink"/>
                <w:u w:val="single"/>
              </w:rPr>
              <w:t>O3E-936</w:t>
            </w:r>
          </w:fldSimple>
          <w:r>
            <w:rPr>
              <w:rFonts w:ascii="Times New Roman" w:eastAsia="MS Mincho" w:hAnsi="Times New Roman"/>
              <w:sz w:val="20"/>
              <w:iCs/>
            </w:rPr>
            <w:t>,
2021-07-29,
paskelbta TAR 2021-07-29, i. k. 2021-16742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4fabf0494c11edbc04912defe897d1">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2022-10-11,
paskelbta TAR 2022-10-11, i. k. 2022-20688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6b040804811ed8df094f359a60216">
            <w:r w:rsidRPr="00532B9F">
              <w:rPr>
                <w:rFonts w:ascii="Times New Roman" w:eastAsia="MS Mincho" w:hAnsi="Times New Roman"/>
                <w:sz w:val="20"/>
                <w:iCs/>
                <w:color w:val="0000FF" w:themeColor="hyperlink"/>
                <w:u w:val="single"/>
              </w:rPr>
              <w:t>O3E-1735</w:t>
            </w:r>
          </w:fldSimple>
          <w:r>
            <w:rPr>
              <w:rFonts w:ascii="Times New Roman" w:eastAsia="MS Mincho" w:hAnsi="Times New Roman"/>
              <w:sz w:val="20"/>
              <w:iCs/>
            </w:rPr>
            <w:t>,
2022-12-20,
paskelbta TAR 2022-12-20, i. k. 2022-26015                </w:t>
          </w:r>
        </w:p>
        <w:p>
          <w:pPr>
            <w:jc w:val="both"/>
            <w:rPr>
              <w:rFonts w:ascii="Times New Roman" w:hAnsi="Times New Roman"/>
            </w:rPr>
          </w:pPr>
          <w:r>
            <w:rPr>
              <w:rFonts w:ascii="Times New Roman" w:hAnsi="Times New Roman"/>
              <w:sz w:val="20"/>
            </w:rPr>
            <w:t>Dėl Valstybinės energetikos reguliavimo tarybos 2022 m. spalio 11 d. nutarimo Nr. O3E-1363 „Dėl valstybinės energetikos reguliavimo tarybos 2018 m. gruodžio 31 d. nutarimo Nr. O3E-470 „Dėl Šilumos sektoriaus įmonių apskaitos atskyrimo ir sąnaudų paskirstymo reikalavimų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ind w:firstLine="720"/>
      <w:jc w:val="both"/>
      <w:rPr>
        <w:rFonts w:ascii="TimesLT" w:hAnsi="TimesLT" w:cs="Arial"/>
        <w:sz w:val="20"/>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embedSystemFonts/>
  <w:proofState w:spelling="clean" w:grammar="clean"/>
  <w:defaultTabStop w:val="720"/>
  <w:hyphenationZone w:val="396"/>
  <w:doNotHyphenateCaps/>
  <w:evenAndOddHeaders/>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4E8E44F"/>
  <w15:docId w15:val="{34F552EA-C9F0-4F06-8220-DA043E32D9A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png"/>
  <Relationship Id="rId13" Type="http://schemas.openxmlformats.org/officeDocument/2006/relationships/header" Target="header25.xml"/>
  <Relationship Id="rId14" Type="http://schemas.openxmlformats.org/officeDocument/2006/relationships/header" Target="header26.xml"/>
  <Relationship Id="rId15" Type="http://schemas.openxmlformats.org/officeDocument/2006/relationships/footer" Target="footer25.xml"/>
  <Relationship Id="rId16" Type="http://schemas.openxmlformats.org/officeDocument/2006/relationships/footer" Target="footer26.xml"/>
  <Relationship Id="rId17" Type="http://schemas.openxmlformats.org/officeDocument/2006/relationships/header" Target="header27.xml"/>
  <Relationship Id="rId18" Type="http://schemas.openxmlformats.org/officeDocument/2006/relationships/footer" Target="footer27.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c735762f7d254ead8a35f02c17518f03">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b53b9c12235443d084edab65d754c5af">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c699a1e092074ed6b43d75eae2aecb6d"/>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8-1" Abbr="8-1 p." DocPartId="aa6a7b9794e54d78b151d0d11d3a7c58" PartId="4d1debedd1dd4f4c9e69cb2644b12a23"/>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4370274a756942edb27ed8db565954ff"/>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547d3dd4187b457d80e5558a5412162a"/>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b58959fc56084a70874515f943188cbf"/>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652e582416254243b9c65b0552fd7104"/>
          <Part Type="papunktis" Nr="24.4.13" Abbr="24.4.13 pp." DocPartId="d7a43573ed9d49f3a7cd5f8e861b94dc" PartId="bb6fa5a11bc748d8a0be63cff27c0164"/>
          <Part Type="papunktis" Nr="24.4.13-1" Abbr="24.4.13-1 pp." DocPartId="82594d66fea84928bfeb3b5bab1362f4" PartId="8b52bed1a8ce4eb89a6dc10ffce214a1"/>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c0db2ae0aa70408fb561f710f96b714c"/>
        <Part Type="papunktis" Nr="24.7" Abbr="24.7 pp." DocPartId="43d92581298c4910a2d3039340430f43" PartId="f67fb7a2a8a6468ab4b22f601547d7fe"/>
      </Part>
      <Part Type="punktas" Nr="25" Abbr="25 p." DocPartId="a07ef303e8634f5fabd653fece6a9338" PartId="51b83c4cf4ab4414952b123a31768cb1"/>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11b2280a329a4a9c9f1336a47407085c"/>
        <Part Type="papunktis" Nr="30.6" Abbr="30.6 pp." DocPartId="ab5aa2bef9c340c9a5c2ff0da0d615e4" PartId="60121773b09841fb8877dd43f027c807"/>
        <Part Type="papunktis" Nr="30.7" Abbr="30.7 pp." DocPartId="20be0c3e68b246bbbf8c0420439e7e17" PartId="d7386509d544489db32536f3e9b4a44b"/>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4be93d53b764498f92c25382e8149ecc"/>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d752a56bc77e4e8886970ebafbb66e4c"/>
        <Part Type="papunktis" Nr="41.1-1" Abbr="41.1-1 pp." DocPartId="e0b43233e5c24695a92366f4fd1cb270" PartId="af4802d7b3134f61823e26c97ec61cef"/>
        <Part Type="papunktis" Nr="41.2" Abbr="41.2 pp." DocPartId="31a6a5f7ebd94279831eae4ee2584f45" PartId="e4c23b761e7b4e7c97f62531d70435c4"/>
        <Part Type="papunktis" Nr="41.3" Abbr="41.3 pp." DocPartId="c290f9c984984c28bb507e39f5d5f7c0" PartId="6119ee787e244291b52ca35901487158"/>
        <Part Type="papunktis" Nr="41.4" Abbr="41.4 pp." DocPartId="b6030e803be740af9469ae651bb14e35" PartId="6f3ffeac77ff474bacd3a673295c0417"/>
        <Part Type="papunktis" Nr="41.5" Abbr="41.5 pp." DocPartId="95fc87ae729a4fd98ebdb03ce9769ec1" PartId="e06ad6c1e20d4884b36474f1937a155a"/>
        <Part Type="papunktis" Nr="41.5-1" Abbr="41.5-1 pp." DocPartId="b5a07c0949cd40cb9e0ec199182a71df" PartId="82cadf778364413e847d7657e8abd4d8">
          <Part Type="papunktis" Nr="41.5-1.1" Abbr="41.5-1.1 pp." DocPartId="a2c6d668b9844cb78ab57a9903f12b76" PartId="4f012d6e4c514896a95878849b71cb6d">
            <Part Type="papunktis" Nr="41.5-1.1.1" Abbr="41.5-1.1.1 pp." DocPartId="f822bc2074b54246b2d0dcca5eb71b9d" PartId="f3bf2745bd8d443582b3d855d9561634"/>
            <Part Type="papunktis" Nr="41.5-1.1.2" Abbr="41.5-1.1.2 pp." DocPartId="b404c306769b4cdda0a4711733457907" PartId="16e151793b6148e6a648729ad244437e"/>
            <Part Type="papunktis" Nr="41.5-1.1.3" Abbr="41.5-1.1.3 pp." DocPartId="4f9579c43083464eb107ad554a34d470" PartId="26470212078844e8b68e495702166cc3"/>
          </Part>
        </Part>
        <Part Type="papunktis" Nr="41.6" Abbr="41.6 pp." DocPartId="c69bb32467b34ae99c2d02ede50b26d0" PartId="8edafbe57cc14bf5bd7265c477162ab1"/>
        <Part Type="papunktis" Nr="41.6-1" Abbr="41.6-1 pp." DocPartId="fc495531db9e493795c6b549978b5a87" PartId="63e65232a2ac4a5a85e63cff7cba1c54"/>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72a53ec96f03410ea94f715c61ab0695"/>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2-1" Abbr="41.22-1 pp." DocPartId="4f24bda82d3b420c9bd9f71ba1ca1bac" PartId="4a13d92ecf9a46d183923700d350d112"/>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d3b665674230454bba3d83e24de6ddf3"/>
      <Part Type="punktas" Nr="44-1" Abbr="44-1 p." DocPartId="686337f0cebc42ea96f45a87c8a71ba2" PartId="31af70bfc2a04195a2ed1184ffc49326"/>
      <Part Type="punktas" Nr="44-2" Abbr="44-2 p." DocPartId="daa653b13db845dd9e58acd1b980e8a4" PartId="2be19d27acaa4d4f834dc4c0456d4462"/>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3-1" Abbr="48.3-1 pp." DocPartId="34f3e53e22b845e58ecec2e7ee941ce4" PartId="dac59a62161e44558ed56cadbd707b82"/>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783ded9e72334f2ba38e561cf404ad52"/>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2.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EF22F8-1D50-4648-BBC1-89AE107EB9ED}">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8FF0778A-615A-4543-995C-125418FE74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21</Pages>
  <Words>50156</Words>
  <Characters>28589</Characters>
  <Application>Microsoft Office Word</Application>
  <DocSecurity>0</DocSecurity>
  <Lines>238</Lines>
  <Paragraphs>157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78588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ŠAULYTĖ SKAIRIENĖ Dalia</lastModifiedBy>
  <lastPrinted>2018-11-29T09:06:00Z</lastPrinted>
  <dcterms:modified xsi:type="dcterms:W3CDTF">2023-02-07T09:38:00Z</dcterms:modified>
  <revision>24</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