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body>
    <w:sdt>
      <w:sdtPr>
        <w:alias w:val="pagrindine"/>
        <w:tag w:val="part_f7fe5ac428c444819bcf25154da16634"/>
        <w:lock w:val="sdtLocked"/>
        <w:richText/>
      </w:sdtPr>
      <w:sdtContent>
        <w:p>
          <w:pPr>
            <w:jc w:val="both"/>
            <w:rPr>
              <w:rFonts w:ascii="Times New Roman" w:hAnsi="Times New Roman"/>
            </w:rPr>
          </w:pPr>
          <w:r>
            <w:rPr>
              <w:rFonts w:ascii="Times New Roman" w:hAnsi="Times New Roman"/>
              <w:b/>
              <w:i/>
            </w:rPr>
            <w:t>Suvestinė redakcija nuo 2021-08-03 iki 2021-12-14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2020-11-10, i. k. 2020-23607</w:t>
          </w:r>
        </w:p>
        <w:p>
          <w:pPr>
            <w:jc w:val="both"/>
            <w:rPr>
              <w:rFonts w:ascii="Times New Roman" w:hAnsi="Times New Roman"/>
              <w:sz w:val="20"/>
            </w:rPr>
          </w:pPr>
        </w:p>
        <w:p>
          <w:pPr>
            <w:tabs>
              <w:tab w:val="center" w:pos="4153"/>
              <w:tab w:val="right" w:pos="8306"/>
            </w:tabs>
            <w:jc w:val="center"/>
            <w:rPr>
              <w:szCs w:val="24"/>
              <w:lang w:val="pt-PT"/>
            </w:rPr>
          </w:pPr>
          <w:r>
            <w:rPr>
              <w:sz w:val="22"/>
              <w:szCs w:val="22"/>
              <w:lang w:eastAsia="lt-LT"/>
            </w:rPr>
            <w:drawing>
              <wp:inline distT="0" distB="0" distL="0" distR="0">
                <wp:extent cx="552450" cy="5619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center" w:pos="4153"/>
              <w:tab w:val="right" w:pos="8306"/>
            </w:tabs>
            <w:jc w:val="center"/>
            <w:rPr>
              <w:szCs w:val="24"/>
              <w:lang w:val="pt-PT"/>
            </w:rPr>
          </w:pPr>
        </w:p>
        <w:p>
          <w:pPr>
            <w:jc w:val="center"/>
            <w:rPr>
              <w:b/>
              <w:szCs w:val="24"/>
            </w:rPr>
          </w:pPr>
          <w:r>
            <w:rPr>
              <w:b/>
              <w:szCs w:val="24"/>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85.05pt;margin-top:-56.7pt;width:.75pt;height:.75pt;z-index:251659264;visibility:hidden;mso-position-horizontal-relative:text;mso-position-vertical-relative:text" stroked="f">
                <v:imagedata r:id="rId11" o:title=""/>
              </v:shape>
            </w:pict>
          </w:r>
          <w:r>
            <w:rPr>
              <w:b/>
              <w:szCs w:val="24"/>
            </w:rPr>
            <w:t>LIETUVOS RESPUBLIKOS SVEIKATOS APSAUGOS MINISTRAS</w:t>
          </w:r>
        </w:p>
        <w:p>
          <w:pPr>
            <w:jc w:val="center"/>
            <w:rPr>
              <w:szCs w:val="24"/>
            </w:rPr>
          </w:pPr>
        </w:p>
        <w:p>
          <w:pPr>
            <w:jc w:val="center"/>
            <w:rPr>
              <w:b/>
              <w:szCs w:val="24"/>
            </w:rPr>
          </w:pPr>
          <w:r>
            <w:rPr>
              <w:b/>
              <w:szCs w:val="24"/>
            </w:rPr>
            <w:t>Į S A K Y M A S</w:t>
          </w:r>
        </w:p>
        <w:p>
          <w:pPr>
            <w:jc w:val="center"/>
            <w:rPr>
              <w:b/>
              <w:szCs w:val="24"/>
            </w:rPr>
          </w:pPr>
          <w:r>
            <w:rPr>
              <w:b/>
              <w:szCs w:val="24"/>
            </w:rPr>
            <w:t xml:space="preserve">DĖL RIBINIŲ PRODUKTŲ VERTINIMO TARPINSTITUCINĖS KOMISIJOS SUDARYMO IR JOS DARBO REGLAMENTO PATVIRTINIMO </w:t>
          </w:r>
        </w:p>
        <w:p>
          <w:pPr>
            <w:jc w:val="center"/>
            <w:rPr>
              <w:szCs w:val="24"/>
            </w:rPr>
          </w:pPr>
        </w:p>
        <w:p>
          <w:pPr>
            <w:jc w:val="center"/>
            <w:rPr>
              <w:szCs w:val="24"/>
            </w:rPr>
          </w:pPr>
          <w:r>
            <w:rPr>
              <w:szCs w:val="24"/>
            </w:rPr>
            <w:t>2020 m. lapkričio 10 d. Nr. V-2578</w:t>
          </w:r>
        </w:p>
        <w:p>
          <w:pPr>
            <w:jc w:val="center"/>
            <w:rPr>
              <w:szCs w:val="24"/>
            </w:rPr>
          </w:pPr>
          <w:r>
            <w:rPr>
              <w:szCs w:val="24"/>
            </w:rPr>
            <w:t>Vilnius</w:t>
          </w:r>
        </w:p>
        <w:p>
          <w:pPr>
            <w:ind w:firstLine="709"/>
            <w:jc w:val="both"/>
            <w:rPr>
              <w:szCs w:val="24"/>
            </w:rPr>
          </w:pPr>
        </w:p>
        <w:sdt>
          <w:sdtPr>
            <w:alias w:val="preambule"/>
            <w:tag w:val="part_c302d3af7e3a4d9dbb41fb039b86bf9c"/>
            <w:lock w:val="sdtLocked"/>
            <w:richText/>
          </w:sdtPr>
          <w:sdtContent>
            <w:p>
              <w:pPr>
                <w:ind w:firstLine="851"/>
                <w:jc w:val="both"/>
                <w:rPr>
                  <w:bCs/>
                  <w:color w:val="000000"/>
                  <w:szCs w:val="24"/>
                  <w:lang w:eastAsia="lt-LT" w:bidi="lt-LT"/>
                </w:rPr>
              </w:pPr>
              <w:r>
                <w:rPr>
                  <w:color w:val="000000"/>
                  <w:szCs w:val="24"/>
                  <w:lang w:eastAsia="lt-LT"/>
                </w:rPr>
                <w:t xml:space="preserve">Atsižvelgdamas į Lietuvos </w:t>
              </w:r>
              <w:r>
                <w:rPr>
                  <w:color w:val="000000"/>
                  <w:szCs w:val="24"/>
                </w:rPr>
                <w:t xml:space="preserve">Respublikos Vyriausybės 2013 m. birželio 26 d. nutarimo Nr. 600 „Dėl 2009 m. lapkričio 30 d. Europos Parlamento ir Tarybos Reglamento (EB) Nr. 1223/2009 dėl kosmetikos gaminių įgyvendinimo“ 1 punkto, </w:t>
              </w:r>
              <w:r>
                <w:rPr>
                  <w:color w:val="000000"/>
                  <w:szCs w:val="24"/>
                  <w:lang w:eastAsia="lt-LT"/>
                </w:rPr>
                <w:t xml:space="preserve">Lietuvos </w:t>
              </w:r>
              <w:r>
                <w:rPr>
                  <w:color w:val="000000"/>
                  <w:szCs w:val="24"/>
                </w:rPr>
                <w:t>Respublikos Vyriausybės 2013 m. liepos 24 d. nutarimo Nr. 686 „D</w:t>
              </w:r>
              <w:r>
                <w:rPr>
                  <w:color w:val="000000"/>
                  <w:szCs w:val="24"/>
                  <w:lang w:eastAsia="lt-LT"/>
                </w:rPr>
                <w:t>ėl 2012 m. gegužės 22 d. Europos Parlamento ir Tarybos reglamento (ES) Nr. 528/2012 dėl biocidinių produktų tiekimo rinkai ir jų naudojimo įgyvendinimo“ 1.1 papunkčio, Lietuvos Respublikos farmacijos įstatymo 8 straipsnio 15 dalies 1 punkto, Lietuvos Respublikos sveikatos sistemos įstatymo 75 straipsnio 2 dalies 5 punkto nuostatas ir, s</w:t>
              </w:r>
              <w:r>
                <w:rPr>
                  <w:color w:val="000000"/>
                  <w:szCs w:val="24"/>
                </w:rPr>
                <w:t>iekdamas išvengti rizikos vartotojų sveikatai, susijusios su skirtingoms</w:t>
              </w:r>
              <w:r>
                <w:rPr>
                  <w:bCs/>
                  <w:color w:val="000000"/>
                  <w:szCs w:val="24"/>
                  <w:lang w:eastAsia="lt-LT" w:bidi="lt-LT"/>
                </w:rPr>
                <w:t xml:space="preserve"> produktų grupėms</w:t>
              </w:r>
              <w:r>
                <w:rPr>
                  <w:color w:val="000000"/>
                  <w:szCs w:val="24"/>
                </w:rPr>
                <w:t xml:space="preserve"> </w:t>
              </w:r>
              <w:r>
                <w:rPr>
                  <w:bCs/>
                  <w:color w:val="000000"/>
                  <w:szCs w:val="24"/>
                  <w:lang w:eastAsia="lt-LT" w:bidi="lt-LT"/>
                </w:rPr>
                <w:t>būdingų</w:t>
              </w:r>
              <w:r>
                <w:rPr>
                  <w:color w:val="000000"/>
                  <w:szCs w:val="24"/>
                </w:rPr>
                <w:t xml:space="preserve"> požymių turinčių produktų </w:t>
              </w:r>
              <w:r>
                <w:rPr>
                  <w:bCs/>
                  <w:color w:val="000000"/>
                  <w:szCs w:val="24"/>
                  <w:lang w:eastAsia="lt-LT" w:bidi="lt-LT"/>
                </w:rPr>
                <w:t>(</w:t>
              </w:r>
              <w:r>
                <w:rPr>
                  <w:color w:val="000000"/>
                  <w:szCs w:val="24"/>
                </w:rPr>
                <w:t>vadinamųjų „skiriamosios linijos“ produktų</w:t>
              </w:r>
              <w:r>
                <w:rPr>
                  <w:bCs/>
                  <w:color w:val="000000"/>
                  <w:szCs w:val="24"/>
                  <w:lang w:eastAsia="lt-LT" w:bidi="lt-LT"/>
                </w:rPr>
                <w:t xml:space="preserve">, angl. </w:t>
              </w:r>
              <w:r>
                <w:rPr>
                  <w:bCs/>
                  <w:i/>
                  <w:color w:val="000000"/>
                  <w:szCs w:val="24"/>
                  <w:lang w:eastAsia="lt-LT" w:bidi="lt-LT"/>
                </w:rPr>
                <w:t>borderline products</w:t>
              </w:r>
              <w:r>
                <w:rPr>
                  <w:bCs/>
                  <w:color w:val="000000"/>
                  <w:szCs w:val="24"/>
                  <w:lang w:eastAsia="lt-LT" w:bidi="lt-LT"/>
                </w:rPr>
                <w:t>)</w:t>
              </w:r>
              <w:r>
                <w:rPr>
                  <w:color w:val="000000"/>
                  <w:szCs w:val="24"/>
                </w:rPr>
                <w:t xml:space="preserve"> (toliau – ribiniai produktai) </w:t>
              </w:r>
              <w:r>
                <w:rPr>
                  <w:bCs/>
                  <w:color w:val="000000"/>
                  <w:szCs w:val="24"/>
                  <w:lang w:eastAsia="lt-LT" w:bidi="lt-LT"/>
                </w:rPr>
                <w:t>klasifikavimo, tiekimo rinkai ir rinkos priežiūros problemomis:</w:t>
              </w:r>
            </w:p>
          </w:sdtContent>
        </w:sdt>
        <w:sdt>
          <w:sdtPr>
            <w:alias w:val="1 p."/>
            <w:tag w:val="part_297e0f1d38304d70a2294d5bd664ee84"/>
            <w:lock w:val="sdtLocked"/>
            <w:richText/>
          </w:sdtPr>
          <w:sdtContent>
            <w:p>
              <w:pPr>
                <w:ind w:firstLine="851"/>
                <w:jc w:val="both"/>
                <w:rPr>
                  <w:color w:val="000000"/>
                  <w:szCs w:val="24"/>
                </w:rPr>
              </w:pPr>
              <w:sdt>
                <w:sdtPr>
                  <w:alias w:val="Numeris"/>
                  <w:tag w:val="nr_297e0f1d38304d70a2294d5bd664ee84"/>
                  <w:lock w:val="sdtLocked"/>
                  <w:richText/>
                </w:sdtPr>
                <w:sdtContent>
                  <w:r>
                    <w:rPr>
                      <w:color w:val="000000"/>
                      <w:szCs w:val="24"/>
                    </w:rPr>
                    <w:t>1</w:t>
                  </w:r>
                </w:sdtContent>
              </w:sdt>
              <w:r>
                <w:rPr>
                  <w:color w:val="000000"/>
                  <w:szCs w:val="24"/>
                </w:rPr>
                <w:t>. Sudarau Ribinių produktų vertinimo tarpinstitucinę komisiją (toliau – Komisija):</w:t>
              </w:r>
            </w:p>
            <w:p>
              <w:pPr>
                <w:tabs>
                  <w:tab w:val="left" w:pos="993"/>
                </w:tabs>
                <w:ind w:firstLine="851"/>
                <w:jc w:val="both"/>
                <w:rPr>
                  <w:color w:val="000000"/>
                  <w:szCs w:val="24"/>
                </w:rPr>
              </w:pPr>
              <w:r>
                <w:rPr>
                  <w:color w:val="000000"/>
                  <w:szCs w:val="24"/>
                </w:rPr>
                <w:t>Rolanda Lingienė – Nacionalinio visuomenės sveikatos centro prie Sveikatos apsaugos ministerijos Vilniaus departamento direktorė (Komisijos pirmininkė);</w:t>
              </w:r>
            </w:p>
            <w:p>
              <w:pPr>
                <w:ind w:firstLine="851"/>
                <w:jc w:val="both"/>
                <w:rPr>
                  <w:color w:val="000000"/>
                  <w:szCs w:val="24"/>
                </w:rPr>
              </w:pPr>
              <w:r>
                <w:rPr>
                  <w:color w:val="000000"/>
                  <w:szCs w:val="24"/>
                </w:rPr>
                <w:t>Žydrūnas Martinėnas – Valstybinės vaistų kontrolės tarnybos prie Lietuvos Respublikos sveikatos apsaugos ministerijos viršininko pavaduotojas (Komisijos pirmininko pavaduotojas);</w:t>
              </w:r>
            </w:p>
            <w:p>
              <w:pPr>
                <w:ind w:firstLine="851"/>
                <w:jc w:val="both"/>
                <w:rPr>
                  <w:szCs w:val="24"/>
                </w:rPr>
              </w:pPr>
              <w:r>
                <w:rPr>
                  <w:szCs w:val="24"/>
                </w:rPr>
                <w:t>Regina Burbienė – Nacionalinio visuomenės sveikatos centro prie Sveikatos apsaugos ministerijos Vilniaus departamento Produktų vertinimo skyriaus patarėja (pakaitinis narys Ričardas Norkus – Nacionalinio visuomenės sveikatos centro prie Sveikatos apsaugos ministerijos Vilniaus departamento Produktų vertinimo skyriaus vyriausiasis specialistas);</w:t>
              </w:r>
            </w:p>
            <w:p>
              <w:pPr>
                <w:ind w:firstLine="851"/>
                <w:jc w:val="both"/>
                <w:rPr>
                  <w:szCs w:val="24"/>
                </w:rPr>
              </w:pPr>
              <w:r>
                <w:rPr>
                  <w:szCs w:val="24"/>
                </w:rPr>
                <w:t>Ilona Drulytė – Valstybinės maisto ir veterinarijos tarnybos Maisto skyriaus patarėja, laikinai einanti vedėjos pareigas (pakaitinė narė Giedrė Lukoševičienė – Valstybinės maisto ir veterinarijos tarnybos Maisto skyriaus vyriausioji specialistė);</w:t>
              </w:r>
            </w:p>
            <w:p>
              <w:pPr>
                <w:ind w:firstLine="851"/>
                <w:jc w:val="both"/>
                <w:rPr>
                  <w:szCs w:val="24"/>
                </w:rPr>
              </w:pPr>
              <w:r>
                <w:rPr>
                  <w:szCs w:val="24"/>
                </w:rPr>
                <w:t xml:space="preserve">Inga Grinevičė – Valstybinės vartotojų teisių apsaugos tarnybos Nesąžiningos komercinės veiklos ir reklamos skyriaus vedėja </w:t>
              </w:r>
              <w:r>
                <w:rPr>
                  <w:color w:val="000000"/>
                  <w:szCs w:val="24"/>
                </w:rPr>
                <w:t>(pakaitinė narė </w:t>
              </w:r>
              <w:r>
                <w:t>Justina Kirstukė</w:t>
              </w:r>
              <w:r>
                <w:rPr>
                  <w:color w:val="000000"/>
                  <w:szCs w:val="24"/>
                </w:rPr>
                <w:t> – Valstybinės vartotojų teisių apsaugos tarnybos Nesąžiningos komercinės veiklos ir reklamos skyriaus patarėja</w:t>
              </w:r>
              <w:r>
                <w:rPr>
                  <w:szCs w:val="24"/>
                </w:rPr>
                <w:t>);</w:t>
              </w:r>
            </w:p>
            <w:p>
              <w:pPr>
                <w:ind w:firstLine="851"/>
                <w:jc w:val="both"/>
                <w:rPr>
                  <w:szCs w:val="24"/>
                </w:rPr>
              </w:pPr>
              <w:r>
                <w:rPr>
                  <w:szCs w:val="24"/>
                </w:rPr>
                <w:t>Jolanta Karaveckaitė – Valstybinės akreditavimo sveikatos priežiūros veiklai tarnybos prie Sveikatos apsaugos ministerijos Medicinos priemonių priežiūros skyriaus vedėja (pakaitinė narė Saulė Dainiuvienė – Valstybinės akreditavimo sveikatos priežiūros veiklai tarnybos prie Sveikatos apsaugos ministerijos Medicinos priemonių priežiūros skyriaus vyriausioji specialistė);</w:t>
              </w:r>
            </w:p>
            <w:p>
              <w:pPr>
                <w:ind w:firstLine="851"/>
                <w:jc w:val="both"/>
                <w:rPr>
                  <w:szCs w:val="24"/>
                </w:rPr>
              </w:pPr>
              <w:r>
                <w:rPr>
                  <w:szCs w:val="24"/>
                </w:rPr>
                <w:t>Rima Mačiūnienė – Narkotikų, tabako ir alkoholio kontrolės departamento Narkotinių ir psichotropinių medžiagų prekursorių kontrolės ir rizikos vertinimo skyriaus vedėja (pakaitinė narė Rasa Povilanskienė – Narkotikų, tabako ir alkoholio kontrolės departamento Narkotinių ir psichotropinių medžiagų prekursorių kontrolės ir rizikos vertinimo skyriaus patarėja;</w:t>
              </w:r>
            </w:p>
            <w:p>
              <w:pPr>
                <w:ind w:firstLine="851"/>
                <w:jc w:val="both"/>
                <w:rPr>
                  <w:szCs w:val="24"/>
                </w:rPr>
              </w:pPr>
              <w:r>
                <w:rPr>
                  <w:szCs w:val="24"/>
                </w:rPr>
                <w:t>Saulius Majus – Nacionalinio visuomenės sveikatos centro prie Sveikatos apsaugos ministerijos Vilniaus departamento Produktų vertinimo skyriaus vedėjas (pakaitinė narė Palmira Hakaitė – Nacionalinio visuomenės sveikatos centro prie Sveikatos apsaugos ministerijos Vilniaus departamento Produktų vertinimo skyriaus vyriausioji specialistė);</w:t>
              </w:r>
            </w:p>
            <w:p>
              <w:pPr>
                <w:ind w:firstLine="851"/>
                <w:jc w:val="both"/>
                <w:rPr>
                  <w:szCs w:val="24"/>
                </w:rPr>
              </w:pPr>
              <w:r>
                <w:rPr>
                  <w:szCs w:val="24"/>
                </w:rPr>
                <w:t>Ingrida Stulgienė – Valstybinės vartotojų teisių apsaugos tarnybos Rinkos priežiūros planavimo ir rizikos vertinimo skyriaus vyriausioji specialistė (pakaitinis narys Arvydas Naina – Valstybinės vartotojų teisių apsaugos tarnybos Rinkos priežiūros planavimo ir rizikos vertinimo skyriaus vedėjas);</w:t>
              </w:r>
            </w:p>
            <w:p>
              <w:pPr>
                <w:ind w:firstLine="851"/>
                <w:jc w:val="both"/>
                <w:rPr>
                  <w:color w:val="000000"/>
                  <w:szCs w:val="24"/>
                </w:rPr>
              </w:pPr>
              <w:r>
                <w:rPr>
                  <w:szCs w:val="24"/>
                </w:rPr>
                <w:t>Eglė Daniulevičiūtė</w:t>
              </w:r>
              <w:r>
                <w:rPr>
                  <w:color w:val="000000"/>
                </w:rPr>
                <w:t xml:space="preserve"> – Valstybinės vaistų kontrolės tarnybos prie Lietuvos Respublikos sveikatos apsaugos ministerijos Vaistų registracijos skyriaus </w:t>
              </w:r>
              <w:r>
                <w:rPr>
                  <w:szCs w:val="24"/>
                </w:rPr>
                <w:t>vyriausioji specialistė</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19350f36211eb9f09e7df20500045">
                <w:r w:rsidRPr="00532B9F">
                  <w:rPr>
                    <w:rFonts w:ascii="Times New Roman" w:eastAsia="MS Mincho" w:hAnsi="Times New Roman"/>
                    <w:sz w:val="20"/>
                    <w:i/>
                    <w:iCs/>
                    <w:color w:val="0000FF" w:themeColor="hyperlink"/>
                    <w:u w:val="single"/>
                  </w:rPr>
                  <w:t>V-1787</w:t>
                </w:r>
              </w:fldSimple>
              <w:r>
                <w:rPr>
                  <w:rFonts w:ascii="Times New Roman" w:eastAsia="MS Mincho" w:hAnsi="Times New Roman"/>
                  <w:sz w:val="20"/>
                  <w:i/>
                  <w:iCs/>
                </w:rPr>
                <w:t>,
2021-08-02,
paskelbta TAR 2021-08-02, i. k. 2021-16921            </w:t>
              </w:r>
            </w:p>
            <w:p/>
          </w:sdtContent>
        </w:sdt>
        <w:sdt>
          <w:sdtPr>
            <w:alias w:val="2 p."/>
            <w:tag w:val="part_66c48e11ccf74832a30e942ba81be6dd"/>
            <w:lock w:val="sdtLocked"/>
            <w:richText/>
          </w:sdtPr>
          <w:sdtContent>
            <w:p>
              <w:pPr>
                <w:widowControl w:val="0"/>
                <w:shd w:val="clear" w:color="auto" w:fill="FFFFFF"/>
                <w:ind w:firstLine="851"/>
                <w:jc w:val="both"/>
                <w:rPr>
                  <w:szCs w:val="24"/>
                </w:rPr>
              </w:pPr>
              <w:sdt>
                <w:sdtPr>
                  <w:alias w:val="Numeris"/>
                  <w:tag w:val="nr_66c48e11ccf74832a30e942ba81be6dd"/>
                  <w:lock w:val="sdtLocked"/>
                  <w:richText/>
                </w:sdtPr>
                <w:sdtContent>
                  <w:r>
                    <w:rPr>
                      <w:szCs w:val="24"/>
                    </w:rPr>
                    <w:t>2</w:t>
                  </w:r>
                </w:sdtContent>
              </w:sdt>
              <w:r>
                <w:rPr>
                  <w:szCs w:val="24"/>
                </w:rPr>
                <w:t>. </w:t>
              </w:r>
              <w:r>
                <w:rPr>
                  <w:spacing w:val="60"/>
                  <w:szCs w:val="24"/>
                </w:rPr>
                <w:t>Tvirtinu</w:t>
              </w:r>
              <w:r>
                <w:rPr>
                  <w:szCs w:val="24"/>
                </w:rPr>
                <w:t xml:space="preserve"> Ribinių produktų vertinimo tarpinstitucinės komisijos darbo reglamentą (pridedama).</w:t>
              </w:r>
            </w:p>
          </w:sdtContent>
        </w:sdt>
        <w:sdt>
          <w:sdtPr>
            <w:alias w:val="3 p."/>
            <w:tag w:val="part_d1c3adf683aa4b3aae8de644949f1c71"/>
            <w:lock w:val="sdtLocked"/>
            <w:richText/>
          </w:sdtPr>
          <w:sdtContent>
            <w:p>
              <w:pPr>
                <w:widowControl w:val="0"/>
                <w:shd w:val="clear" w:color="auto" w:fill="FFFFFF"/>
                <w:ind w:firstLine="851"/>
                <w:jc w:val="both"/>
                <w:rPr>
                  <w:spacing w:val="60"/>
                  <w:szCs w:val="24"/>
                </w:rPr>
              </w:pPr>
              <w:sdt>
                <w:sdtPr>
                  <w:alias w:val="Numeris"/>
                  <w:tag w:val="nr_d1c3adf683aa4b3aae8de644949f1c71"/>
                  <w:lock w:val="sdtLocked"/>
                  <w:richText/>
                </w:sdtPr>
                <w:sdtContent>
                  <w:r>
                    <w:rPr>
                      <w:szCs w:val="24"/>
                    </w:rPr>
                    <w:t>3</w:t>
                  </w:r>
                </w:sdtContent>
              </w:sdt>
              <w:r>
                <w:rPr>
                  <w:szCs w:val="24"/>
                </w:rPr>
                <w:t>. </w:t>
              </w:r>
              <w:r>
                <w:rPr>
                  <w:spacing w:val="60"/>
                  <w:szCs w:val="24"/>
                </w:rPr>
                <w:t>Pavedu:</w:t>
              </w:r>
            </w:p>
            <w:sdt>
              <w:sdtPr>
                <w:alias w:val="3.1 pp."/>
                <w:tag w:val="part_1d66a84f381c424c99fc056ab3b57c3e"/>
                <w:lock w:val="sdtLocked"/>
                <w:richText/>
              </w:sdtPr>
              <w:sdtContent>
                <w:p>
                  <w:pPr>
                    <w:widowControl w:val="0"/>
                    <w:shd w:val="clear" w:color="auto" w:fill="FFFFFF"/>
                    <w:ind w:firstLine="851"/>
                    <w:jc w:val="both"/>
                    <w:rPr>
                      <w:szCs w:val="24"/>
                    </w:rPr>
                  </w:pPr>
                  <w:sdt>
                    <w:sdtPr>
                      <w:alias w:val="Numeris"/>
                      <w:tag w:val="nr_1d66a84f381c424c99fc056ab3b57c3e"/>
                      <w:lock w:val="sdtLocked"/>
                      <w:richText/>
                    </w:sdtPr>
                    <w:sdtContent>
                      <w:r>
                        <w:rPr>
                          <w:szCs w:val="24"/>
                        </w:rPr>
                        <w:t>3.1</w:t>
                      </w:r>
                    </w:sdtContent>
                  </w:sdt>
                  <w:r>
                    <w:rPr>
                      <w:szCs w:val="24"/>
                    </w:rPr>
                    <w:t xml:space="preserve">. Komisijos sekretoriaus funkcijas vykdyti Nacionalinio visuomenės sveikatos centro prie Sveikatos apsaugos ministerijos Vilniaus departamento Produktų vertinimo skyriaus vyriausiajai specialistei Editai Avlas; </w:t>
                  </w:r>
                </w:p>
              </w:sdtContent>
            </w:sdt>
            <w:sdt>
              <w:sdtPr>
                <w:alias w:val="3.2 pp."/>
                <w:tag w:val="part_03303f540e324771812b37849a4b6e7c"/>
                <w:lock w:val="sdtLocked"/>
                <w:richText/>
              </w:sdtPr>
              <w:sdtContent>
                <w:p>
                  <w:pPr>
                    <w:widowControl w:val="0"/>
                    <w:shd w:val="clear" w:color="auto" w:fill="FFFFFF"/>
                    <w:ind w:firstLine="851"/>
                    <w:jc w:val="both"/>
                    <w:rPr>
                      <w:szCs w:val="24"/>
                    </w:rPr>
                  </w:pPr>
                  <w:sdt>
                    <w:sdtPr>
                      <w:alias w:val="Numeris"/>
                      <w:tag w:val="nr_03303f540e324771812b37849a4b6e7c"/>
                      <w:lock w:val="sdtLocked"/>
                      <w:richText/>
                    </w:sdtPr>
                    <w:sdtContent>
                      <w:r>
                        <w:rPr>
                          <w:szCs w:val="24"/>
                        </w:rPr>
                        <w:t>3.2</w:t>
                      </w:r>
                    </w:sdtContent>
                  </w:sdt>
                  <w:r>
                    <w:rPr>
                      <w:szCs w:val="24"/>
                    </w:rPr>
                    <w:t>. įsakymo vykdymą kontroliuoti viceministrui pagal veiklos sritį.</w:t>
                  </w:r>
                </w:p>
                <w:p>
                  <w:pPr>
                    <w:tabs>
                      <w:tab w:val="right" w:pos="9639"/>
                    </w:tabs>
                    <w:rPr>
                      <w:szCs w:val="24"/>
                    </w:rPr>
                  </w:pPr>
                </w:p>
                <w:p>
                  <w:pPr>
                    <w:tabs>
                      <w:tab w:val="right" w:pos="9639"/>
                    </w:tabs>
                    <w:rPr>
                      <w:szCs w:val="24"/>
                    </w:rPr>
                  </w:pPr>
                </w:p>
              </w:sdtContent>
            </w:sdt>
          </w:sdtContent>
        </w:sdt>
        <w:sdt>
          <w:sdtPr>
            <w:alias w:val="signatura"/>
            <w:tag w:val="part_3280685de8b34be8bebe71d72a34bb03"/>
            <w:lock w:val="sdtLocked"/>
            <w:richText/>
          </w:sdtPr>
          <w:sdtContent>
            <w:p>
              <w:pPr>
                <w:tabs>
                  <w:tab w:val="left" w:pos="7655"/>
                  <w:tab w:val="right" w:pos="9639"/>
                </w:tabs>
                <w:rPr>
                  <w:szCs w:val="24"/>
                </w:rPr>
              </w:pPr>
              <w:r>
                <w:rPr>
                  <w:szCs w:val="24"/>
                </w:rPr>
                <w:t xml:space="preserve">Sveikatos apsaugos ministras </w:t>
                <w:tab/>
                <w:t>Aurelijus Veryga</w:t>
              </w:r>
            </w:p>
            <w:p>
              <w:pPr>
                <w:rPr>
                  <w:szCs w:val="24"/>
                </w:rPr>
              </w:pPr>
            </w:p>
          </w:sdtContent>
        </w:sdt>
      </w:sdtContent>
    </w:sdt>
    <w:sdt>
      <w:sdtPr>
        <w:alias w:val="patvirtinta"/>
        <w:tag w:val="part_c7c11b73447843608231985a004b3ece"/>
        <w:lock w:val="sdtLocked"/>
        <w:richText/>
      </w:sdtPr>
      <w:sdtContent>
        <w:p>
          <w:pPr>
            <w:ind w:firstLine="5103"/>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567" w:footer="567" w:gutter="0"/>
              <w:pgNumType w:start="1"/>
              <w:cols w:space="1296"/>
              <w:titlePg/>
              <w:docGrid w:linePitch="360"/>
            </w:sectPr>
          </w:pPr>
        </w:p>
        <w:p>
          <w:pPr>
            <w:ind w:firstLine="5103"/>
            <w:rPr>
              <w:szCs w:val="24"/>
            </w:rPr>
          </w:pPr>
          <w:r>
            <w:rPr>
              <w:szCs w:val="24"/>
            </w:rPr>
            <w:t>PATVIRTINTA</w:t>
          </w:r>
        </w:p>
        <w:p>
          <w:pPr>
            <w:widowControl w:val="0"/>
            <w:shd w:val="clear" w:color="auto" w:fill="FFFFFF"/>
            <w:ind w:firstLine="5103"/>
            <w:rPr>
              <w:szCs w:val="24"/>
            </w:rPr>
          </w:pPr>
          <w:r>
            <w:rPr>
              <w:szCs w:val="24"/>
            </w:rPr>
            <w:t>Lietuvos Respublikos</w:t>
          </w:r>
        </w:p>
        <w:p>
          <w:pPr>
            <w:widowControl w:val="0"/>
            <w:shd w:val="clear" w:color="auto" w:fill="FFFFFF"/>
            <w:ind w:firstLine="5103"/>
            <w:rPr>
              <w:szCs w:val="24"/>
            </w:rPr>
          </w:pPr>
          <w:r>
            <w:rPr>
              <w:szCs w:val="24"/>
            </w:rPr>
            <w:t>sveikatos apsaugos ministro</w:t>
          </w:r>
        </w:p>
        <w:p>
          <w:pPr>
            <w:widowControl w:val="0"/>
            <w:shd w:val="clear" w:color="auto" w:fill="FFFFFF"/>
            <w:ind w:firstLine="5103"/>
            <w:rPr>
              <w:szCs w:val="24"/>
            </w:rPr>
          </w:pPr>
          <w:r>
            <w:rPr>
              <w:szCs w:val="24"/>
            </w:rPr>
            <w:t>2020 m. lapkričio 10 d. įsakymu Nr. V-2578</w:t>
          </w:r>
        </w:p>
        <w:p>
          <w:pPr>
            <w:ind w:firstLine="4820"/>
            <w:jc w:val="center"/>
            <w:rPr>
              <w:szCs w:val="24"/>
            </w:rPr>
          </w:pPr>
        </w:p>
        <w:p>
          <w:pPr>
            <w:ind w:firstLine="4820"/>
            <w:jc w:val="center"/>
            <w:rPr>
              <w:szCs w:val="24"/>
            </w:rPr>
          </w:pPr>
        </w:p>
        <w:p>
          <w:pPr>
            <w:widowControl w:val="0"/>
            <w:shd w:val="clear" w:color="auto" w:fill="FFFFFF"/>
            <w:jc w:val="center"/>
            <w:rPr>
              <w:szCs w:val="24"/>
            </w:rPr>
          </w:pPr>
          <w:sdt>
            <w:sdtPr>
              <w:alias w:val="Pavadinimas"/>
              <w:tag w:val="title_c7c11b73447843608231985a004b3ece"/>
              <w:lock w:val="sdtLocked"/>
              <w:richText/>
            </w:sdtPr>
            <w:sdtContent>
              <w:r>
                <w:rPr>
                  <w:b/>
                  <w:bCs/>
                  <w:szCs w:val="24"/>
                </w:rPr>
                <w:t xml:space="preserve">RIBINIŲ PRODUKTŲ VERTINIMO TARPINSTITUCINĖS KOMISIJOS DARBO REGLAMENTAS </w:t>
              </w:r>
            </w:sdtContent>
          </w:sdt>
        </w:p>
        <w:p>
          <w:pPr>
            <w:jc w:val="center"/>
            <w:rPr>
              <w:szCs w:val="24"/>
            </w:rPr>
          </w:pPr>
        </w:p>
        <w:sdt>
          <w:sdtPr>
            <w:alias w:val="skyrius"/>
            <w:tag w:val="part_98d7db9a49d44ea5806a1817b0201448"/>
            <w:lock w:val="sdtLocked"/>
            <w:richText/>
          </w:sdtPr>
          <w:sdtContent>
            <w:p>
              <w:pPr>
                <w:widowControl w:val="0"/>
                <w:jc w:val="center"/>
                <w:rPr>
                  <w:b/>
                  <w:szCs w:val="24"/>
                  <w:lang w:eastAsia="lt-LT"/>
                </w:rPr>
              </w:pPr>
              <w:sdt>
                <w:sdtPr>
                  <w:alias w:val="Numeris"/>
                  <w:tag w:val="nr_98d7db9a49d44ea5806a1817b0201448"/>
                  <w:lock w:val="sdtLocked"/>
                  <w:richText/>
                </w:sdtPr>
                <w:sdtContent>
                  <w:r>
                    <w:rPr>
                      <w:b/>
                      <w:szCs w:val="24"/>
                      <w:lang w:eastAsia="lt-LT"/>
                    </w:rPr>
                    <w:t>I</w:t>
                  </w:r>
                </w:sdtContent>
              </w:sdt>
              <w:r>
                <w:rPr>
                  <w:b/>
                  <w:szCs w:val="24"/>
                  <w:lang w:eastAsia="lt-LT"/>
                </w:rPr>
                <w:t xml:space="preserve"> SKYRIUS</w:t>
              </w:r>
            </w:p>
            <w:p>
              <w:pPr>
                <w:widowControl w:val="0"/>
                <w:shd w:val="clear" w:color="auto" w:fill="FFFFFF"/>
                <w:jc w:val="center"/>
                <w:rPr>
                  <w:szCs w:val="24"/>
                </w:rPr>
              </w:pPr>
              <w:sdt>
                <w:sdtPr>
                  <w:alias w:val="Pavadinimas"/>
                  <w:tag w:val="title_98d7db9a49d44ea5806a1817b0201448"/>
                  <w:lock w:val="sdtLocked"/>
                  <w:richText/>
                </w:sdtPr>
                <w:sdtContent>
                  <w:r>
                    <w:rPr>
                      <w:b/>
                      <w:bCs/>
                      <w:szCs w:val="24"/>
                    </w:rPr>
                    <w:t>BENDROSIOS NUOSTATOS</w:t>
                  </w:r>
                </w:sdtContent>
              </w:sdt>
            </w:p>
            <w:p>
              <w:pPr>
                <w:ind w:firstLine="709"/>
                <w:jc w:val="both"/>
                <w:rPr>
                  <w:szCs w:val="24"/>
                </w:rPr>
              </w:pPr>
            </w:p>
            <w:sdt>
              <w:sdtPr>
                <w:alias w:val="1 p."/>
                <w:tag w:val="part_1d65e3d0685d4a5582eec508145c669a"/>
                <w:lock w:val="sdtLocked"/>
                <w:richText/>
              </w:sdtPr>
              <w:sdtContent>
                <w:p>
                  <w:pPr>
                    <w:widowControl w:val="0"/>
                    <w:shd w:val="clear" w:color="auto" w:fill="FFFFFF"/>
                    <w:tabs>
                      <w:tab w:val="left" w:pos="4820"/>
                    </w:tabs>
                    <w:ind w:firstLine="851"/>
                    <w:jc w:val="both"/>
                    <w:rPr>
                      <w:szCs w:val="24"/>
                    </w:rPr>
                  </w:pPr>
                  <w:sdt>
                    <w:sdtPr>
                      <w:alias w:val="Numeris"/>
                      <w:tag w:val="nr_1d65e3d0685d4a5582eec508145c669a"/>
                      <w:lock w:val="sdtLocked"/>
                      <w:richText/>
                    </w:sdtPr>
                    <w:sdtContent>
                      <w:r>
                        <w:rPr>
                          <w:szCs w:val="24"/>
                        </w:rPr>
                        <w:t>1</w:t>
                      </w:r>
                    </w:sdtContent>
                  </w:sdt>
                  <w:r>
                    <w:rPr>
                      <w:szCs w:val="24"/>
                    </w:rPr>
                    <w:t>. Ribinių</w:t>
                  </w:r>
                  <w:r>
                    <w:rPr>
                      <w:bCs/>
                      <w:szCs w:val="24"/>
                    </w:rPr>
                    <w:t xml:space="preserve"> produktų vertinimo tarpinstitucinės komisijos</w:t>
                  </w:r>
                  <w:r>
                    <w:rPr>
                      <w:szCs w:val="24"/>
                    </w:rPr>
                    <w:t xml:space="preserve"> darbo reglamentas (toliau – reglamentas) nustato Ribinių</w:t>
                  </w:r>
                  <w:r>
                    <w:rPr>
                      <w:bCs/>
                      <w:szCs w:val="24"/>
                    </w:rPr>
                    <w:t xml:space="preserve"> produktų vertinimo tarpinstitucinės komisijos </w:t>
                  </w:r>
                  <w:r>
                    <w:rPr>
                      <w:szCs w:val="24"/>
                    </w:rPr>
                    <w:t xml:space="preserve">(toliau – Komisija) darbo organizavimo tvarką. </w:t>
                  </w:r>
                </w:p>
              </w:sdtContent>
            </w:sdt>
            <w:sdt>
              <w:sdtPr>
                <w:alias w:val="2 p."/>
                <w:tag w:val="part_d516275045954db5af69fc511dee8731"/>
                <w:lock w:val="sdtLocked"/>
                <w:richText/>
              </w:sdtPr>
              <w:sdtContent>
                <w:p>
                  <w:pPr>
                    <w:tabs>
                      <w:tab w:val="left" w:pos="4820"/>
                    </w:tabs>
                    <w:ind w:firstLine="851"/>
                    <w:jc w:val="both"/>
                    <w:rPr>
                      <w:bCs/>
                      <w:color w:val="000000"/>
                      <w:szCs w:val="24"/>
                      <w:lang w:eastAsia="lt-LT" w:bidi="lt-LT"/>
                    </w:rPr>
                  </w:pPr>
                  <w:sdt>
                    <w:sdtPr>
                      <w:alias w:val="Numeris"/>
                      <w:tag w:val="nr_d516275045954db5af69fc511dee8731"/>
                      <w:lock w:val="sdtLocked"/>
                      <w:richText/>
                    </w:sdtPr>
                    <w:sdtContent>
                      <w:r>
                        <w:rPr>
                          <w:szCs w:val="24"/>
                        </w:rPr>
                        <w:t>2</w:t>
                      </w:r>
                    </w:sdtContent>
                  </w:sdt>
                  <w:r>
                    <w:rPr>
                      <w:szCs w:val="24"/>
                    </w:rPr>
                    <w:t xml:space="preserve">. Komisija yra iš </w:t>
                  </w:r>
                  <w:r>
                    <w:rPr>
                      <w:color w:val="000000"/>
                      <w:szCs w:val="24"/>
                    </w:rPr>
                    <w:t xml:space="preserve">nacionalinių kompetentingų institucijų, kurioms suteikti įgaliojimai vykdyti tam tikrų </w:t>
                  </w:r>
                  <w:r>
                    <w:rPr>
                      <w:bCs/>
                      <w:color w:val="000000"/>
                      <w:szCs w:val="24"/>
                      <w:lang w:eastAsia="lt-LT" w:bidi="lt-LT"/>
                    </w:rPr>
                    <w:t>produktų grupių tiekimo rinkai įteisinimo procedūras</w:t>
                  </w:r>
                  <w:r>
                    <w:rPr>
                      <w:color w:val="000000"/>
                      <w:szCs w:val="24"/>
                    </w:rPr>
                    <w:t xml:space="preserve"> ir (ar) produktų rinkos priežiūrą (toliau – institucijos), atstovų sudaryta nuolatinė patariamoji institucija, nagrinėjanti probleminius klausimus, susijusius su produktų, kurie turi </w:t>
                  </w:r>
                  <w:r>
                    <w:rPr>
                      <w:bCs/>
                      <w:color w:val="000000"/>
                      <w:szCs w:val="24"/>
                      <w:lang w:eastAsia="lt-LT" w:bidi="lt-LT"/>
                    </w:rPr>
                    <w:t>skirtingoms produktų grupėms</w:t>
                  </w:r>
                  <w:r>
                    <w:rPr>
                      <w:color w:val="000000"/>
                      <w:szCs w:val="24"/>
                    </w:rPr>
                    <w:t xml:space="preserve"> </w:t>
                  </w:r>
                  <w:r>
                    <w:rPr>
                      <w:bCs/>
                      <w:color w:val="000000"/>
                      <w:szCs w:val="24"/>
                      <w:lang w:eastAsia="lt-LT" w:bidi="lt-LT"/>
                    </w:rPr>
                    <w:t>būdingų</w:t>
                  </w:r>
                  <w:r>
                    <w:rPr>
                      <w:color w:val="000000"/>
                      <w:szCs w:val="24"/>
                    </w:rPr>
                    <w:t xml:space="preserve"> požymių </w:t>
                  </w:r>
                  <w:r>
                    <w:rPr>
                      <w:bCs/>
                      <w:color w:val="000000"/>
                      <w:szCs w:val="24"/>
                      <w:lang w:eastAsia="lt-LT" w:bidi="lt-LT"/>
                    </w:rPr>
                    <w:t xml:space="preserve">(angl. </w:t>
                  </w:r>
                  <w:r>
                    <w:rPr>
                      <w:bCs/>
                      <w:i/>
                      <w:color w:val="000000"/>
                      <w:szCs w:val="24"/>
                      <w:lang w:eastAsia="lt-LT" w:bidi="lt-LT"/>
                    </w:rPr>
                    <w:t>borderline products</w:t>
                  </w:r>
                  <w:r>
                    <w:rPr>
                      <w:bCs/>
                      <w:color w:val="000000"/>
                      <w:szCs w:val="24"/>
                      <w:lang w:eastAsia="lt-LT" w:bidi="lt-LT"/>
                    </w:rPr>
                    <w:t>) (toliau – ribiniai produktai) tiekimu rinkai ir jų klasifikavimu ir teikianti šiais klausimais rekomendacinio pobūdžio siūlymus institucijoms .</w:t>
                  </w:r>
                </w:p>
              </w:sdtContent>
            </w:sdt>
            <w:sdt>
              <w:sdtPr>
                <w:alias w:val="3 p."/>
                <w:tag w:val="part_eeca394d0729418886331eac0d1972d6"/>
                <w:lock w:val="sdtLocked"/>
                <w:richText/>
              </w:sdtPr>
              <w:sdtContent>
                <w:p>
                  <w:pPr>
                    <w:tabs>
                      <w:tab w:val="left" w:pos="4820"/>
                    </w:tabs>
                    <w:ind w:firstLine="851"/>
                    <w:jc w:val="both"/>
                    <w:rPr>
                      <w:szCs w:val="24"/>
                      <w:lang w:eastAsia="lt-LT"/>
                    </w:rPr>
                  </w:pPr>
                  <w:sdt>
                    <w:sdtPr>
                      <w:alias w:val="Numeris"/>
                      <w:tag w:val="nr_eeca394d0729418886331eac0d1972d6"/>
                      <w:lock w:val="sdtLocked"/>
                      <w:richText/>
                    </w:sdtPr>
                    <w:sdtContent>
                      <w:r>
                        <w:rPr>
                          <w:bCs/>
                          <w:szCs w:val="24"/>
                          <w:lang w:eastAsia="lt-LT" w:bidi="lt-LT"/>
                        </w:rPr>
                        <w:t>3</w:t>
                      </w:r>
                    </w:sdtContent>
                  </w:sdt>
                  <w:r>
                    <w:rPr>
                      <w:bCs/>
                      <w:szCs w:val="24"/>
                      <w:lang w:eastAsia="lt-LT" w:bidi="lt-LT"/>
                    </w:rPr>
                    <w:t xml:space="preserve">. Komisiją sudaro 10 narių. Komisija sudaroma iš </w:t>
                  </w:r>
                  <w:r>
                    <w:rPr>
                      <w:szCs w:val="24"/>
                    </w:rPr>
                    <w:t xml:space="preserve">Valstybinės vaistų kontrolės tarnybos prie Lietuvos Respublikos sveikatos apsaugos ministerijos (2 nariai), Valstybinės akreditavimo sveikatos priežiūros veiklai tarnybos prie Sveikatos apsaugos ministerijos (1 narys), Valstybinės vartotojų teisių apsaugos tarnybos (2 nariai), Valstybinės maisto ir veterinarijos tarnybos (1 narys), Narkotikų, tabako ir alkoholio kontrolės departamento (1 narys) ir Nacionalinio visuomenės sveikatos centro prie Sveikatos apsaugos ministerijos atstovų (3 nariai). Komisijos personalinę sudėtį tvirtina Lietuvos Respublikos sveikatos apsaugos ministras (įsakyme nurodomi pakaitiniai Komisijos nariai, kurie dalyvauja Komisijos veikloje, kai pagrindinis Komisijos narys dėl objektyvių priežasčių to negali padaryti). </w:t>
                  </w:r>
                </w:p>
              </w:sdtContent>
            </w:sdt>
            <w:sdt>
              <w:sdtPr>
                <w:alias w:val="4 p."/>
                <w:tag w:val="part_c84c516ee3bb461bb9a57dc3b885b356"/>
                <w:lock w:val="sdtLocked"/>
                <w:richText/>
              </w:sdtPr>
              <w:sdtContent>
                <w:p>
                  <w:pPr>
                    <w:widowControl w:val="0"/>
                    <w:shd w:val="clear" w:color="auto" w:fill="FFFFFF"/>
                    <w:tabs>
                      <w:tab w:val="left" w:pos="4820"/>
                    </w:tabs>
                    <w:ind w:firstLine="851"/>
                    <w:jc w:val="both"/>
                    <w:rPr>
                      <w:szCs w:val="24"/>
                    </w:rPr>
                  </w:pPr>
                  <w:sdt>
                    <w:sdtPr>
                      <w:alias w:val="Numeris"/>
                      <w:tag w:val="nr_c84c516ee3bb461bb9a57dc3b885b356"/>
                      <w:lock w:val="sdtLocked"/>
                      <w:richText/>
                    </w:sdtPr>
                    <w:sdtContent>
                      <w:r>
                        <w:rPr>
                          <w:szCs w:val="24"/>
                        </w:rPr>
                        <w:t>4</w:t>
                      </w:r>
                    </w:sdtContent>
                  </w:sdt>
                  <w:r>
                    <w:rPr>
                      <w:szCs w:val="24"/>
                    </w:rPr>
                    <w:t>. Komisija savo veikloje vadovaujasi Lietuvos Respublikos Konstitucija, Lietuvos Respublikos įstatymais, Europos Sąjungos reglamentais, Lietuvos Respublikos Vyriausybės nutarimais, kitais teisės aktais, šiuo reglamentu bei atsižvelgia į Europos Komisijos rekomendacijas.</w:t>
                  </w:r>
                  <w:r>
                    <w:rPr>
                      <w:color w:val="000000"/>
                      <w:szCs w:val="24"/>
                    </w:rPr>
                    <w:t xml:space="preserve"> </w:t>
                  </w:r>
                </w:p>
              </w:sdtContent>
            </w:sdt>
            <w:sdt>
              <w:sdtPr>
                <w:alias w:val="5 p."/>
                <w:tag w:val="part_43da70a11a56484daf5cb5db3abc9575"/>
                <w:lock w:val="sdtLocked"/>
                <w:richText/>
              </w:sdtPr>
              <w:sdtContent>
                <w:p>
                  <w:pPr>
                    <w:widowControl w:val="0"/>
                    <w:shd w:val="clear" w:color="auto" w:fill="FFFFFF"/>
                    <w:tabs>
                      <w:tab w:val="left" w:pos="4820"/>
                    </w:tabs>
                    <w:ind w:firstLine="851"/>
                    <w:jc w:val="both"/>
                    <w:rPr>
                      <w:color w:val="000000"/>
                      <w:szCs w:val="24"/>
                    </w:rPr>
                  </w:pPr>
                  <w:sdt>
                    <w:sdtPr>
                      <w:alias w:val="Numeris"/>
                      <w:tag w:val="nr_43da70a11a56484daf5cb5db3abc9575"/>
                      <w:lock w:val="sdtLocked"/>
                      <w:richText/>
                    </w:sdtPr>
                    <w:sdtContent>
                      <w:r>
                        <w:rPr>
                          <w:szCs w:val="24"/>
                        </w:rPr>
                        <w:t>5</w:t>
                      </w:r>
                    </w:sdtContent>
                  </w:sdt>
                  <w:r>
                    <w:rPr>
                      <w:szCs w:val="24"/>
                    </w:rPr>
                    <w:t xml:space="preserve">. Komisijos </w:t>
                  </w:r>
                  <w:r>
                    <w:rPr>
                      <w:color w:val="000000"/>
                      <w:szCs w:val="24"/>
                    </w:rPr>
                    <w:t xml:space="preserve">darbas grindžiamas </w:t>
                  </w:r>
                  <w:r>
                    <w:rPr>
                      <w:szCs w:val="24"/>
                    </w:rPr>
                    <w:t>kolegialumo, nešališkumo, teisėtumo ir v</w:t>
                  </w:r>
                  <w:r>
                    <w:rPr>
                      <w:color w:val="000000"/>
                      <w:szCs w:val="24"/>
                    </w:rPr>
                    <w:t>iešumo principais, Komisijos narių atsakomybe už Komisijos kompetencijai priskirtų klausimų sprendimą.</w:t>
                  </w:r>
                </w:p>
              </w:sdtContent>
            </w:sdt>
            <w:sdt>
              <w:sdtPr>
                <w:alias w:val="6 p."/>
                <w:tag w:val="part_cf5b9d6889f0498e9229ffa37edebb5c"/>
                <w:lock w:val="sdtLocked"/>
                <w:richText/>
              </w:sdtPr>
              <w:sdtContent>
                <w:p>
                  <w:pPr>
                    <w:widowControl w:val="0"/>
                    <w:shd w:val="clear" w:color="auto" w:fill="FFFFFF"/>
                    <w:tabs>
                      <w:tab w:val="left" w:pos="4820"/>
                    </w:tabs>
                    <w:ind w:firstLine="851"/>
                    <w:jc w:val="both"/>
                    <w:rPr>
                      <w:szCs w:val="24"/>
                    </w:rPr>
                  </w:pPr>
                  <w:sdt>
                    <w:sdtPr>
                      <w:alias w:val="Numeris"/>
                      <w:tag w:val="nr_cf5b9d6889f0498e9229ffa37edebb5c"/>
                      <w:lock w:val="sdtLocked"/>
                      <w:richText/>
                    </w:sdtPr>
                    <w:sdtContent>
                      <w:r>
                        <w:rPr>
                          <w:color w:val="000000"/>
                          <w:szCs w:val="24"/>
                        </w:rPr>
                        <w:t>6</w:t>
                      </w:r>
                    </w:sdtContent>
                  </w:sdt>
                  <w:r>
                    <w:rPr>
                      <w:color w:val="000000"/>
                      <w:szCs w:val="24"/>
                    </w:rPr>
                    <w:t>. Komisijos nariai privalo saugoti dėl nagrinėjamo klausimo gautą informaciją, kuri įvardijama kaip konfidenciali informacija. Pirmojo posėdžio pradžioje K</w:t>
                  </w:r>
                  <w:r>
                    <w:rPr>
                      <w:szCs w:val="24"/>
                    </w:rPr>
                    <w:t xml:space="preserve">omisijos pirmininkas,  nariai ir sekretorius privalo pasirašyti</w:t>
                  </w:r>
                  <w:r>
                    <w:t xml:space="preserve"> </w:t>
                  </w:r>
                  <w:r>
                    <w:rPr>
                      <w:szCs w:val="24"/>
                    </w:rPr>
                    <w:t>Ribinių produktų vertinimo tarpinstitucinės komisijos nario, sekretoriaus konfidencialumo pasižadėjimus (reglamento 1 priedas), kuriuos kaupia ir saugo Komisijos sekretorius.</w:t>
                  </w:r>
                </w:p>
              </w:sdtContent>
            </w:sdt>
            <w:sdt>
              <w:sdtPr>
                <w:alias w:val="7 p."/>
                <w:tag w:val="part_d56804b7bd684f15b85444a7ed09c885"/>
                <w:lock w:val="sdtLocked"/>
                <w:richText/>
              </w:sdtPr>
              <w:sdtContent>
                <w:p>
                  <w:pPr>
                    <w:ind w:firstLine="851"/>
                    <w:jc w:val="both"/>
                    <w:rPr>
                      <w:color w:val="000000"/>
                      <w:szCs w:val="24"/>
                    </w:rPr>
                  </w:pPr>
                  <w:sdt>
                    <w:sdtPr>
                      <w:alias w:val="Numeris"/>
                      <w:tag w:val="nr_d56804b7bd684f15b85444a7ed09c885"/>
                      <w:lock w:val="sdtLocked"/>
                      <w:richText/>
                    </w:sdtPr>
                    <w:sdtContent>
                      <w:r>
                        <w:rPr>
                          <w:color w:val="000000"/>
                          <w:szCs w:val="24"/>
                        </w:rPr>
                        <w:t>7</w:t>
                      </w:r>
                    </w:sdtContent>
                  </w:sdt>
                  <w:r>
                    <w:rPr>
                      <w:color w:val="000000"/>
                      <w:szCs w:val="24"/>
                    </w:rPr>
                    <w:t>. K</w:t>
                  </w:r>
                  <w:r>
                    <w:rPr>
                      <w:szCs w:val="24"/>
                    </w:rPr>
                    <w:t>omisiją ūkiškai ir techniškai aptarnauja Nacionalinis visuomenės sveikatos centras prie Sveikatos apsaugos ministerijos (toliau – Centras)</w:t>
                  </w:r>
                  <w:r>
                    <w:rPr>
                      <w:color w:val="000000"/>
                      <w:szCs w:val="24"/>
                    </w:rPr>
                    <w:t>.</w:t>
                  </w:r>
                </w:p>
                <w:p>
                  <w:pPr>
                    <w:widowControl w:val="0"/>
                    <w:shd w:val="clear" w:color="auto" w:fill="FFFFFF"/>
                    <w:tabs>
                      <w:tab w:val="left" w:pos="4820"/>
                    </w:tabs>
                    <w:ind w:firstLine="851"/>
                    <w:jc w:val="both"/>
                    <w:rPr>
                      <w:szCs w:val="24"/>
                    </w:rPr>
                  </w:pPr>
                </w:p>
              </w:sdtContent>
            </w:sdt>
          </w:sdtContent>
        </w:sdt>
        <w:sdt>
          <w:sdtPr>
            <w:alias w:val="skyrius"/>
            <w:tag w:val="part_b65c2238216e47229ab6bec9ebf6b362"/>
            <w:lock w:val="sdtLocked"/>
            <w:richText/>
          </w:sdtPr>
          <w:sdtContent>
            <w:p>
              <w:pPr>
                <w:tabs>
                  <w:tab w:val="left" w:pos="3686"/>
                  <w:tab w:val="left" w:pos="4820"/>
                </w:tabs>
                <w:jc w:val="center"/>
                <w:rPr>
                  <w:b/>
                  <w:szCs w:val="24"/>
                </w:rPr>
              </w:pPr>
              <w:sdt>
                <w:sdtPr>
                  <w:alias w:val="Numeris"/>
                  <w:tag w:val="nr_b65c2238216e47229ab6bec9ebf6b362"/>
                  <w:lock w:val="sdtLocked"/>
                  <w:richText/>
                </w:sdtPr>
                <w:sdtContent>
                  <w:r>
                    <w:rPr>
                      <w:b/>
                      <w:szCs w:val="24"/>
                    </w:rPr>
                    <w:t>II</w:t>
                  </w:r>
                </w:sdtContent>
              </w:sdt>
              <w:r>
                <w:rPr>
                  <w:b/>
                  <w:szCs w:val="24"/>
                </w:rPr>
                <w:t xml:space="preserve"> SKYRIUS</w:t>
              </w:r>
            </w:p>
            <w:p>
              <w:pPr>
                <w:widowControl w:val="0"/>
                <w:shd w:val="clear" w:color="auto" w:fill="FFFFFF"/>
                <w:tabs>
                  <w:tab w:val="left" w:pos="2268"/>
                  <w:tab w:val="left" w:pos="4820"/>
                </w:tabs>
                <w:jc w:val="center"/>
                <w:rPr>
                  <w:szCs w:val="24"/>
                </w:rPr>
              </w:pPr>
              <w:sdt>
                <w:sdtPr>
                  <w:alias w:val="Pavadinimas"/>
                  <w:tag w:val="title_b65c2238216e47229ab6bec9ebf6b362"/>
                  <w:lock w:val="sdtLocked"/>
                  <w:richText/>
                </w:sdtPr>
                <w:sdtContent>
                  <w:r>
                    <w:rPr>
                      <w:b/>
                      <w:bCs/>
                      <w:szCs w:val="24"/>
                    </w:rPr>
                    <w:t>KOMISIJOS FUNKCIJOS</w:t>
                  </w:r>
                  <w:r>
                    <w:rPr>
                      <w:b/>
                      <w:bCs/>
                      <w:caps/>
                      <w:color w:val="FF0000"/>
                      <w:szCs w:val="24"/>
                    </w:rPr>
                    <w:t xml:space="preserve"> </w:t>
                  </w:r>
                </w:sdtContent>
              </w:sdt>
            </w:p>
            <w:p>
              <w:pPr>
                <w:tabs>
                  <w:tab w:val="left" w:pos="4820"/>
                </w:tabs>
                <w:ind w:firstLine="851"/>
                <w:jc w:val="both"/>
                <w:rPr>
                  <w:szCs w:val="24"/>
                </w:rPr>
              </w:pPr>
            </w:p>
            <w:sdt>
              <w:sdtPr>
                <w:alias w:val="8 p."/>
                <w:tag w:val="part_d393156d1af94bb5b0ce4c199d083836"/>
                <w:lock w:val="sdtLocked"/>
                <w:richText/>
              </w:sdtPr>
              <w:sdtContent>
                <w:p>
                  <w:pPr>
                    <w:widowControl w:val="0"/>
                    <w:shd w:val="clear" w:color="auto" w:fill="FFFFFF"/>
                    <w:tabs>
                      <w:tab w:val="left" w:pos="4820"/>
                    </w:tabs>
                    <w:ind w:firstLine="851"/>
                    <w:jc w:val="both"/>
                    <w:rPr>
                      <w:szCs w:val="24"/>
                    </w:rPr>
                  </w:pPr>
                  <w:sdt>
                    <w:sdtPr>
                      <w:alias w:val="Numeris"/>
                      <w:tag w:val="nr_d393156d1af94bb5b0ce4c199d083836"/>
                      <w:lock w:val="sdtLocked"/>
                      <w:richText/>
                    </w:sdtPr>
                    <w:sdtContent>
                      <w:r>
                        <w:rPr>
                          <w:szCs w:val="24"/>
                        </w:rPr>
                        <w:t>8</w:t>
                      </w:r>
                    </w:sdtContent>
                  </w:sdt>
                  <w:r>
                    <w:rPr>
                      <w:szCs w:val="24"/>
                    </w:rPr>
                    <w:t>. Komisija vykdo šias funkcijas:</w:t>
                  </w:r>
                </w:p>
                <w:sdt>
                  <w:sdtPr>
                    <w:alias w:val="8.1 pp."/>
                    <w:tag w:val="part_bd6156da3dd64079a7946be6126cb075"/>
                    <w:lock w:val="sdtLocked"/>
                    <w:richText/>
                  </w:sdtPr>
                  <w:sdtContent>
                    <w:p>
                      <w:pPr>
                        <w:widowControl w:val="0"/>
                        <w:shd w:val="clear" w:color="auto" w:fill="FFFFFF"/>
                        <w:tabs>
                          <w:tab w:val="left" w:pos="4820"/>
                        </w:tabs>
                        <w:ind w:firstLine="851"/>
                        <w:jc w:val="both"/>
                        <w:rPr>
                          <w:szCs w:val="24"/>
                        </w:rPr>
                      </w:pPr>
                      <w:sdt>
                        <w:sdtPr>
                          <w:alias w:val="Numeris"/>
                          <w:tag w:val="nr_bd6156da3dd64079a7946be6126cb075"/>
                          <w:lock w:val="sdtLocked"/>
                          <w:richText/>
                        </w:sdtPr>
                        <w:sdtContent>
                          <w:r>
                            <w:rPr>
                              <w:szCs w:val="24"/>
                            </w:rPr>
                            <w:t>8.1</w:t>
                          </w:r>
                        </w:sdtContent>
                      </w:sdt>
                      <w:r>
                        <w:rPr>
                          <w:szCs w:val="24"/>
                        </w:rPr>
                        <w:t>. nagrinėja valstybės institucijų ir įstaigų prašymus dėl tiekiamų rinkai ribinių produktų klasifikavimo ir dėl jų tiekimo rinkai atitinkamo sektoriaus teisės aktų taikymo ir teikia joms siūlymus šiais klausimais (toliau – Komisijos siūlymai);</w:t>
                      </w:r>
                      <w:r>
                        <w:rPr>
                          <w:bCs/>
                          <w:szCs w:val="24"/>
                        </w:rPr>
                        <w:t xml:space="preserve"> </w:t>
                      </w:r>
                    </w:p>
                  </w:sdtContent>
                </w:sdt>
                <w:sdt>
                  <w:sdtPr>
                    <w:alias w:val="8.2 pp."/>
                    <w:tag w:val="part_060efe92f2c84b71bbc81ec37706c4d0"/>
                    <w:lock w:val="sdtLocked"/>
                    <w:richText/>
                  </w:sdtPr>
                  <w:sdtContent>
                    <w:p>
                      <w:pPr>
                        <w:widowControl w:val="0"/>
                        <w:shd w:val="clear" w:color="auto" w:fill="FFFFFF"/>
                        <w:ind w:firstLine="851"/>
                        <w:jc w:val="both"/>
                        <w:rPr>
                          <w:color w:val="000000"/>
                          <w:szCs w:val="24"/>
                        </w:rPr>
                      </w:pPr>
                      <w:sdt>
                        <w:sdtPr>
                          <w:alias w:val="Numeris"/>
                          <w:tag w:val="nr_060efe92f2c84b71bbc81ec37706c4d0"/>
                          <w:lock w:val="sdtLocked"/>
                          <w:richText/>
                        </w:sdtPr>
                        <w:sdtContent>
                          <w:r>
                            <w:rPr>
                              <w:color w:val="000000"/>
                              <w:szCs w:val="24"/>
                            </w:rPr>
                            <w:t>8.2</w:t>
                          </w:r>
                        </w:sdtContent>
                      </w:sdt>
                      <w:r>
                        <w:rPr>
                          <w:color w:val="000000"/>
                          <w:szCs w:val="24"/>
                        </w:rPr>
                        <w:t>. identifikuoja poreikį</w:t>
                      </w:r>
                      <w:r>
                        <w:rPr>
                          <w:color w:val="000000"/>
                          <w:szCs w:val="24"/>
                          <w:lang w:eastAsia="lt-LT"/>
                        </w:rPr>
                        <w:t xml:space="preserve"> ir teikia siūlymus institucijoms dėl ribinių produktų teisinio reguliavimo tobulinimo.</w:t>
                      </w:r>
                    </w:p>
                  </w:sdtContent>
                </w:sdt>
              </w:sdtContent>
            </w:sdt>
            <w:sdt>
              <w:sdtPr>
                <w:alias w:val="9 p."/>
                <w:tag w:val="part_2fcff22e82ef410c8e3e1f7676a575bc"/>
                <w:lock w:val="sdtLocked"/>
                <w:richText/>
              </w:sdtPr>
              <w:sdtContent>
                <w:p>
                  <w:pPr>
                    <w:widowControl w:val="0"/>
                    <w:shd w:val="clear" w:color="auto" w:fill="FFFFFF"/>
                    <w:tabs>
                      <w:tab w:val="left" w:pos="4820"/>
                    </w:tabs>
                    <w:ind w:firstLine="851"/>
                    <w:jc w:val="both"/>
                    <w:rPr>
                      <w:color w:val="000000"/>
                      <w:szCs w:val="24"/>
                    </w:rPr>
                  </w:pPr>
                  <w:sdt>
                    <w:sdtPr>
                      <w:alias w:val="Numeris"/>
                      <w:tag w:val="nr_2fcff22e82ef410c8e3e1f7676a575bc"/>
                      <w:lock w:val="sdtLocked"/>
                      <w:richText/>
                    </w:sdtPr>
                    <w:sdtContent>
                      <w:r>
                        <w:rPr>
                          <w:color w:val="000000"/>
                          <w:szCs w:val="24"/>
                        </w:rPr>
                        <w:t>9</w:t>
                      </w:r>
                    </w:sdtContent>
                  </w:sdt>
                  <w:r>
                    <w:rPr>
                      <w:color w:val="000000"/>
                      <w:szCs w:val="24"/>
                    </w:rPr>
                    <w:t>. Siekdama tinkamai vykdyti Komisijos funkcijas, Komisija:</w:t>
                  </w:r>
                </w:p>
                <w:sdt>
                  <w:sdtPr>
                    <w:alias w:val="9.1 pp."/>
                    <w:tag w:val="part_3772ef39db114152b172f8cdd2b89a8b"/>
                    <w:lock w:val="sdtLocked"/>
                    <w:richText/>
                  </w:sdtPr>
                  <w:sdtContent>
                    <w:p>
                      <w:pPr>
                        <w:widowControl w:val="0"/>
                        <w:shd w:val="clear" w:color="auto" w:fill="FFFFFF"/>
                        <w:tabs>
                          <w:tab w:val="left" w:pos="4820"/>
                        </w:tabs>
                        <w:ind w:firstLine="851"/>
                        <w:jc w:val="both"/>
                        <w:rPr>
                          <w:color w:val="000000"/>
                          <w:szCs w:val="24"/>
                        </w:rPr>
                      </w:pPr>
                      <w:sdt>
                        <w:sdtPr>
                          <w:alias w:val="Numeris"/>
                          <w:tag w:val="nr_3772ef39db114152b172f8cdd2b89a8b"/>
                          <w:lock w:val="sdtLocked"/>
                          <w:richText/>
                        </w:sdtPr>
                        <w:sdtContent>
                          <w:r>
                            <w:rPr>
                              <w:color w:val="000000"/>
                              <w:szCs w:val="24"/>
                            </w:rPr>
                            <w:t>9.1</w:t>
                          </w:r>
                        </w:sdtContent>
                      </w:sdt>
                      <w:r>
                        <w:rPr>
                          <w:color w:val="000000"/>
                          <w:szCs w:val="24"/>
                        </w:rPr>
                        <w:t xml:space="preserve">. analizuoja Europos Sąjungos Teisingumo teismo priimtus sprendimus, susijusius su </w:t>
                      </w:r>
                      <w:r>
                        <w:rPr>
                          <w:bCs/>
                          <w:color w:val="000000"/>
                          <w:szCs w:val="24"/>
                          <w:lang w:eastAsia="lt-LT" w:bidi="lt-LT"/>
                        </w:rPr>
                        <w:t>skirtingoms produktų grupėms</w:t>
                      </w:r>
                      <w:r>
                        <w:rPr>
                          <w:color w:val="000000"/>
                          <w:szCs w:val="24"/>
                        </w:rPr>
                        <w:t xml:space="preserve"> </w:t>
                      </w:r>
                      <w:r>
                        <w:rPr>
                          <w:bCs/>
                          <w:color w:val="000000"/>
                          <w:szCs w:val="24"/>
                          <w:lang w:eastAsia="lt-LT" w:bidi="lt-LT"/>
                        </w:rPr>
                        <w:t>būdingų</w:t>
                      </w:r>
                      <w:r>
                        <w:rPr>
                          <w:color w:val="000000"/>
                          <w:szCs w:val="24"/>
                        </w:rPr>
                        <w:t xml:space="preserve"> požymių turinčių produktų atribojimo praktika;</w:t>
                      </w:r>
                    </w:p>
                  </w:sdtContent>
                </w:sdt>
                <w:sdt>
                  <w:sdtPr>
                    <w:alias w:val="9.2 pp."/>
                    <w:tag w:val="part_0e442d8c42694e03971a94203d56e2a8"/>
                    <w:lock w:val="sdtLocked"/>
                    <w:richText/>
                  </w:sdtPr>
                  <w:sdtContent>
                    <w:p>
                      <w:pPr>
                        <w:widowControl w:val="0"/>
                        <w:shd w:val="clear" w:color="auto" w:fill="FFFFFF"/>
                        <w:tabs>
                          <w:tab w:val="left" w:pos="4820"/>
                        </w:tabs>
                        <w:ind w:firstLine="851"/>
                        <w:jc w:val="both"/>
                        <w:rPr>
                          <w:color w:val="000000"/>
                          <w:szCs w:val="24"/>
                        </w:rPr>
                      </w:pPr>
                      <w:sdt>
                        <w:sdtPr>
                          <w:alias w:val="Numeris"/>
                          <w:tag w:val="nr_0e442d8c42694e03971a94203d56e2a8"/>
                          <w:lock w:val="sdtLocked"/>
                          <w:richText/>
                        </w:sdtPr>
                        <w:sdtContent>
                          <w:r>
                            <w:rPr>
                              <w:color w:val="000000"/>
                              <w:szCs w:val="24"/>
                            </w:rPr>
                            <w:t>9.2</w:t>
                          </w:r>
                        </w:sdtContent>
                      </w:sdt>
                      <w:r>
                        <w:rPr>
                          <w:color w:val="000000"/>
                          <w:szCs w:val="24"/>
                        </w:rPr>
                        <w:t>. analizuoja Europos Sąjungos valstybių narių ribinių produktų tiekimo rinkai reguliavimo nacionalinę praktiką;</w:t>
                      </w:r>
                    </w:p>
                  </w:sdtContent>
                </w:sdt>
                <w:sdt>
                  <w:sdtPr>
                    <w:alias w:val="9.3 pp."/>
                    <w:tag w:val="part_75ad2640b52940daacefcedb86996dcf"/>
                    <w:lock w:val="sdtLocked"/>
                    <w:richText/>
                  </w:sdtPr>
                  <w:sdtContent>
                    <w:p>
                      <w:pPr>
                        <w:widowControl w:val="0"/>
                        <w:shd w:val="clear" w:color="auto" w:fill="FFFFFF"/>
                        <w:tabs>
                          <w:tab w:val="left" w:pos="4820"/>
                        </w:tabs>
                        <w:ind w:firstLine="851"/>
                        <w:jc w:val="both"/>
                        <w:rPr>
                          <w:color w:val="000000"/>
                          <w:szCs w:val="24"/>
                        </w:rPr>
                      </w:pPr>
                      <w:sdt>
                        <w:sdtPr>
                          <w:alias w:val="Numeris"/>
                          <w:tag w:val="nr_75ad2640b52940daacefcedb86996dcf"/>
                          <w:lock w:val="sdtLocked"/>
                          <w:richText/>
                        </w:sdtPr>
                        <w:sdtContent>
                          <w:r>
                            <w:rPr>
                              <w:color w:val="000000"/>
                              <w:szCs w:val="24"/>
                            </w:rPr>
                            <w:t>9.3</w:t>
                          </w:r>
                        </w:sdtContent>
                      </w:sdt>
                      <w:r>
                        <w:rPr>
                          <w:color w:val="000000"/>
                          <w:szCs w:val="24"/>
                        </w:rPr>
                        <w:t>. konsultuojasi ir keičiasi ekspertinėmis žiniomis su Europos vaistų agentūra, Europos kosmetikos rinkos priežiūros institucijų platforma, Europos maisto saugos tarnyba, Europos cheminių medžiagų agentūra, Europos Komisijos direktoratu SANTE ir Europos Sąjungos valstybių narių įgaliotomis ir (ar) kompetentingomis atitinkamų produktų grupių nacionalinėmis institucijomis vaistinių preparatų, kosmetikos gaminių, medicinos priemonių, biocidinių produktų, maisto produktų (įskaitant maisto papildus) ir prireikus kitų gaminių saugos srityse.</w:t>
                      </w:r>
                    </w:p>
                    <w:p>
                      <w:pPr>
                        <w:widowControl w:val="0"/>
                        <w:shd w:val="clear" w:color="auto" w:fill="FFFFFF"/>
                        <w:tabs>
                          <w:tab w:val="left" w:pos="2410"/>
                        </w:tabs>
                        <w:ind w:firstLine="851"/>
                        <w:jc w:val="both"/>
                        <w:rPr>
                          <w:szCs w:val="24"/>
                        </w:rPr>
                      </w:pPr>
                    </w:p>
                  </w:sdtContent>
                </w:sdt>
              </w:sdtContent>
            </w:sdt>
          </w:sdtContent>
        </w:sdt>
        <w:sdt>
          <w:sdtPr>
            <w:alias w:val="skyrius"/>
            <w:tag w:val="part_b0dc47872d5042b191d97eb0e374bf4e"/>
            <w:lock w:val="sdtLocked"/>
            <w:richText/>
          </w:sdtPr>
          <w:sdtContent>
            <w:p>
              <w:pPr>
                <w:widowControl w:val="0"/>
                <w:jc w:val="center"/>
                <w:rPr>
                  <w:b/>
                  <w:szCs w:val="24"/>
                  <w:lang w:eastAsia="lt-LT"/>
                </w:rPr>
              </w:pPr>
              <w:sdt>
                <w:sdtPr>
                  <w:alias w:val="Numeris"/>
                  <w:tag w:val="nr_b0dc47872d5042b191d97eb0e374bf4e"/>
                  <w:lock w:val="sdtLocked"/>
                  <w:richText/>
                </w:sdtPr>
                <w:sdtContent>
                  <w:r>
                    <w:rPr>
                      <w:b/>
                      <w:bCs/>
                      <w:szCs w:val="24"/>
                    </w:rPr>
                    <w:t>III</w:t>
                  </w:r>
                </w:sdtContent>
              </w:sdt>
              <w:r>
                <w:rPr>
                  <w:b/>
                  <w:szCs w:val="24"/>
                  <w:lang w:eastAsia="lt-LT"/>
                </w:rPr>
                <w:t xml:space="preserve"> SKYRIUS</w:t>
              </w:r>
            </w:p>
            <w:p>
              <w:pPr>
                <w:widowControl w:val="0"/>
                <w:tabs>
                  <w:tab w:val="left" w:pos="2268"/>
                </w:tabs>
                <w:jc w:val="center"/>
                <w:rPr>
                  <w:b/>
                  <w:szCs w:val="24"/>
                  <w:lang w:eastAsia="lt-LT"/>
                </w:rPr>
              </w:pPr>
              <w:sdt>
                <w:sdtPr>
                  <w:alias w:val="Pavadinimas"/>
                  <w:tag w:val="title_b0dc47872d5042b191d97eb0e374bf4e"/>
                  <w:lock w:val="sdtLocked"/>
                  <w:richText/>
                </w:sdtPr>
                <w:sdtContent>
                  <w:r>
                    <w:rPr>
                      <w:b/>
                      <w:bCs/>
                      <w:szCs w:val="24"/>
                    </w:rPr>
                    <w:t>KOMISIJOS TEISĖS IR PAREIGOS</w:t>
                  </w:r>
                </w:sdtContent>
              </w:sdt>
            </w:p>
            <w:p>
              <w:pPr>
                <w:widowControl w:val="0"/>
                <w:shd w:val="clear" w:color="auto" w:fill="FFFFFF"/>
                <w:ind w:firstLine="851"/>
                <w:rPr>
                  <w:b/>
                  <w:bCs/>
                  <w:szCs w:val="24"/>
                </w:rPr>
              </w:pPr>
            </w:p>
            <w:sdt>
              <w:sdtPr>
                <w:alias w:val="10 p."/>
                <w:tag w:val="part_399f7875c98b41579c51696870518911"/>
                <w:lock w:val="sdtLocked"/>
                <w:richText/>
              </w:sdtPr>
              <w:sdtContent>
                <w:p>
                  <w:pPr>
                    <w:widowControl w:val="0"/>
                    <w:shd w:val="clear" w:color="auto" w:fill="FFFFFF"/>
                    <w:ind w:firstLine="851"/>
                    <w:jc w:val="both"/>
                    <w:rPr>
                      <w:color w:val="000000"/>
                      <w:szCs w:val="24"/>
                    </w:rPr>
                  </w:pPr>
                  <w:sdt>
                    <w:sdtPr>
                      <w:alias w:val="Numeris"/>
                      <w:tag w:val="nr_399f7875c98b41579c51696870518911"/>
                      <w:lock w:val="sdtLocked"/>
                      <w:richText/>
                    </w:sdtPr>
                    <w:sdtContent>
                      <w:r>
                        <w:rPr>
                          <w:color w:val="000000"/>
                          <w:szCs w:val="24"/>
                        </w:rPr>
                        <w:t>10</w:t>
                      </w:r>
                    </w:sdtContent>
                  </w:sdt>
                  <w:r>
                    <w:rPr>
                      <w:color w:val="000000"/>
                      <w:szCs w:val="24"/>
                    </w:rPr>
                    <w:t xml:space="preserve">. Komisija, vykdydama jai pavestas funkcijas, turi teisę: </w:t>
                  </w:r>
                </w:p>
                <w:sdt>
                  <w:sdtPr>
                    <w:alias w:val="10.1 pp."/>
                    <w:tag w:val="part_7b7ded2c491f4a24a00bc4387f964466"/>
                    <w:lock w:val="sdtLocked"/>
                    <w:richText/>
                  </w:sdtPr>
                  <w:sdtContent>
                    <w:p>
                      <w:pPr>
                        <w:widowControl w:val="0"/>
                        <w:shd w:val="clear" w:color="auto" w:fill="FFFFFF"/>
                        <w:ind w:firstLine="851"/>
                        <w:jc w:val="both"/>
                        <w:rPr>
                          <w:color w:val="000000"/>
                          <w:szCs w:val="24"/>
                        </w:rPr>
                      </w:pPr>
                      <w:sdt>
                        <w:sdtPr>
                          <w:alias w:val="Numeris"/>
                          <w:tag w:val="nr_7b7ded2c491f4a24a00bc4387f964466"/>
                          <w:lock w:val="sdtLocked"/>
                          <w:richText/>
                        </w:sdtPr>
                        <w:sdtContent>
                          <w:r>
                            <w:rPr>
                              <w:color w:val="000000"/>
                              <w:szCs w:val="24"/>
                            </w:rPr>
                            <w:t>10.1</w:t>
                          </w:r>
                        </w:sdtContent>
                      </w:sdt>
                      <w:r>
                        <w:rPr>
                          <w:color w:val="000000"/>
                          <w:szCs w:val="24"/>
                        </w:rPr>
                        <w:t>. teisės aktų, reguliuojančių atitinkamų duomenų teikimą, nustatyta tvarka prašyti ir gauti iš institucijų duomenis, reikalingus Komisijos funkcijoms atlikti;</w:t>
                      </w:r>
                    </w:p>
                  </w:sdtContent>
                </w:sdt>
                <w:sdt>
                  <w:sdtPr>
                    <w:alias w:val="10.2 pp."/>
                    <w:tag w:val="part_f3f24cc86aa748bab7743c76a4638168"/>
                    <w:lock w:val="sdtLocked"/>
                    <w:richText/>
                  </w:sdtPr>
                  <w:sdtContent>
                    <w:p>
                      <w:pPr>
                        <w:widowControl w:val="0"/>
                        <w:shd w:val="clear" w:color="auto" w:fill="FFFFFF"/>
                        <w:ind w:firstLine="851"/>
                        <w:jc w:val="both"/>
                        <w:rPr>
                          <w:szCs w:val="24"/>
                        </w:rPr>
                      </w:pPr>
                      <w:sdt>
                        <w:sdtPr>
                          <w:alias w:val="Numeris"/>
                          <w:tag w:val="nr_f3f24cc86aa748bab7743c76a4638168"/>
                          <w:lock w:val="sdtLocked"/>
                          <w:richText/>
                        </w:sdtPr>
                        <w:sdtContent>
                          <w:r>
                            <w:rPr>
                              <w:szCs w:val="24"/>
                            </w:rPr>
                            <w:t>10.2</w:t>
                          </w:r>
                        </w:sdtContent>
                      </w:sdt>
                      <w:r>
                        <w:rPr>
                          <w:szCs w:val="24"/>
                        </w:rPr>
                        <w:t>. pasitelkti nepriklausomus ekspertus (specialistus), valstybės institucijų, įstaigų ir organizacijų atstovus.</w:t>
                      </w:r>
                    </w:p>
                  </w:sdtContent>
                </w:sdt>
              </w:sdtContent>
            </w:sdt>
            <w:sdt>
              <w:sdtPr>
                <w:alias w:val="11 p."/>
                <w:tag w:val="part_e738040c725248fdb82e9b0171ce8e3c"/>
                <w:lock w:val="sdtLocked"/>
                <w:richText/>
              </w:sdtPr>
              <w:sdtContent>
                <w:p>
                  <w:pPr>
                    <w:widowControl w:val="0"/>
                    <w:shd w:val="clear" w:color="auto" w:fill="FFFFFF"/>
                    <w:ind w:firstLine="851"/>
                    <w:jc w:val="both"/>
                    <w:rPr>
                      <w:color w:val="000000"/>
                      <w:szCs w:val="24"/>
                    </w:rPr>
                  </w:pPr>
                  <w:sdt>
                    <w:sdtPr>
                      <w:alias w:val="Numeris"/>
                      <w:tag w:val="nr_e738040c725248fdb82e9b0171ce8e3c"/>
                      <w:lock w:val="sdtLocked"/>
                      <w:richText/>
                    </w:sdtPr>
                    <w:sdtContent>
                      <w:r>
                        <w:rPr>
                          <w:color w:val="000000"/>
                          <w:szCs w:val="24"/>
                        </w:rPr>
                        <w:t>11</w:t>
                      </w:r>
                    </w:sdtContent>
                  </w:sdt>
                  <w:r>
                    <w:rPr>
                      <w:color w:val="000000"/>
                      <w:szCs w:val="24"/>
                    </w:rPr>
                    <w:t>. Komisija institucijos prašymą turi išnagrinėti ir pateikti Ribinių produktų vertinimo tarpinstitucinės komisijos siūlymą (</w:t>
                  </w:r>
                  <w:r>
                    <w:rPr>
                      <w:szCs w:val="24"/>
                    </w:rPr>
                    <w:t>reglamento</w:t>
                  </w:r>
                  <w:r>
                    <w:rPr>
                      <w:color w:val="000000"/>
                      <w:szCs w:val="24"/>
                    </w:rPr>
                    <w:t xml:space="preserve"> 2 priedas) dėl gaminio tinkamo klasifikavimo ir tiekimo rinkai reguliavimo ne vėliau kaip per 30 darbo dienų nuo prašymo gavimo dienos. </w:t>
                  </w:r>
                </w:p>
              </w:sdtContent>
            </w:sdt>
            <w:sdt>
              <w:sdtPr>
                <w:alias w:val="12 p."/>
                <w:tag w:val="part_d9f517aededc483b9aadd0d21f2c7176"/>
                <w:lock w:val="sdtLocked"/>
                <w:richText/>
              </w:sdtPr>
              <w:sdtContent>
                <w:p>
                  <w:pPr>
                    <w:widowControl w:val="0"/>
                    <w:shd w:val="clear" w:color="auto" w:fill="FFFFFF"/>
                    <w:ind w:firstLine="851"/>
                    <w:jc w:val="both"/>
                    <w:rPr>
                      <w:color w:val="000000"/>
                      <w:szCs w:val="24"/>
                    </w:rPr>
                  </w:pPr>
                  <w:sdt>
                    <w:sdtPr>
                      <w:alias w:val="Numeris"/>
                      <w:tag w:val="nr_d9f517aededc483b9aadd0d21f2c7176"/>
                      <w:lock w:val="sdtLocked"/>
                      <w:richText/>
                    </w:sdtPr>
                    <w:sdtContent>
                      <w:r>
                        <w:rPr>
                          <w:color w:val="000000"/>
                          <w:szCs w:val="24"/>
                        </w:rPr>
                        <w:t>12</w:t>
                      </w:r>
                    </w:sdtContent>
                  </w:sdt>
                  <w:r>
                    <w:rPr>
                      <w:color w:val="000000"/>
                      <w:szCs w:val="24"/>
                    </w:rPr>
                    <w:t>. Komisija kasmet ne vėliau kaip iki vasario 1 d. turi pateikti Sveikatos apsaugos ministerijai Komisijos veiklos ataskaitą.</w:t>
                  </w:r>
                </w:p>
                <w:p>
                  <w:pPr>
                    <w:widowControl w:val="0"/>
                    <w:shd w:val="clear" w:color="auto" w:fill="FFFFFF"/>
                    <w:ind w:firstLine="851"/>
                    <w:jc w:val="both"/>
                    <w:rPr>
                      <w:szCs w:val="24"/>
                    </w:rPr>
                  </w:pPr>
                </w:p>
              </w:sdtContent>
            </w:sdt>
          </w:sdtContent>
        </w:sdt>
        <w:sdt>
          <w:sdtPr>
            <w:alias w:val="skyrius"/>
            <w:tag w:val="part_caaa7d97e8384719a2f70014396e405d"/>
            <w:lock w:val="sdtLocked"/>
            <w:richText/>
          </w:sdtPr>
          <w:sdtContent>
            <w:p>
              <w:pPr>
                <w:widowControl w:val="0"/>
                <w:shd w:val="clear" w:color="auto" w:fill="FFFFFF"/>
                <w:tabs>
                  <w:tab w:val="left" w:pos="2410"/>
                </w:tabs>
                <w:jc w:val="center"/>
                <w:rPr>
                  <w:b/>
                  <w:bCs/>
                  <w:szCs w:val="24"/>
                </w:rPr>
              </w:pPr>
              <w:sdt>
                <w:sdtPr>
                  <w:alias w:val="Numeris"/>
                  <w:tag w:val="nr_caaa7d97e8384719a2f70014396e405d"/>
                  <w:lock w:val="sdtLocked"/>
                  <w:richText/>
                </w:sdtPr>
                <w:sdtContent>
                  <w:r>
                    <w:rPr>
                      <w:b/>
                      <w:bCs/>
                      <w:szCs w:val="24"/>
                    </w:rPr>
                    <w:t>IV</w:t>
                  </w:r>
                </w:sdtContent>
              </w:sdt>
              <w:r>
                <w:rPr>
                  <w:b/>
                  <w:bCs/>
                  <w:szCs w:val="24"/>
                </w:rPr>
                <w:t xml:space="preserve"> SKYRIUS</w:t>
              </w:r>
            </w:p>
            <w:p>
              <w:pPr>
                <w:widowControl w:val="0"/>
                <w:shd w:val="clear" w:color="auto" w:fill="FFFFFF"/>
                <w:tabs>
                  <w:tab w:val="left" w:pos="2410"/>
                </w:tabs>
                <w:jc w:val="center"/>
                <w:rPr>
                  <w:b/>
                  <w:bCs/>
                  <w:szCs w:val="24"/>
                </w:rPr>
              </w:pPr>
              <w:sdt>
                <w:sdtPr>
                  <w:alias w:val="Pavadinimas"/>
                  <w:tag w:val="title_caaa7d97e8384719a2f70014396e405d"/>
                  <w:lock w:val="sdtLocked"/>
                  <w:richText/>
                </w:sdtPr>
                <w:sdtContent>
                  <w:r>
                    <w:rPr>
                      <w:b/>
                      <w:bCs/>
                      <w:szCs w:val="24"/>
                    </w:rPr>
                    <w:t>KOMISIJOS DARBO ORGANIZAVIMAS</w:t>
                  </w:r>
                </w:sdtContent>
              </w:sdt>
            </w:p>
            <w:p>
              <w:pPr>
                <w:widowControl w:val="0"/>
                <w:shd w:val="clear" w:color="auto" w:fill="FFFFFF"/>
                <w:tabs>
                  <w:tab w:val="left" w:pos="2410"/>
                </w:tabs>
                <w:ind w:firstLine="851"/>
                <w:jc w:val="center"/>
                <w:rPr>
                  <w:b/>
                  <w:bCs/>
                  <w:szCs w:val="24"/>
                </w:rPr>
              </w:pPr>
            </w:p>
            <w:sdt>
              <w:sdtPr>
                <w:alias w:val="13 p."/>
                <w:tag w:val="part_7d6ff23dfe76495caee443e8475337cd"/>
                <w:lock w:val="sdtLocked"/>
                <w:richText/>
              </w:sdtPr>
              <w:sdtContent>
                <w:p>
                  <w:pPr>
                    <w:ind w:firstLine="851"/>
                    <w:jc w:val="both"/>
                    <w:rPr>
                      <w:szCs w:val="24"/>
                    </w:rPr>
                  </w:pPr>
                  <w:sdt>
                    <w:sdtPr>
                      <w:alias w:val="Numeris"/>
                      <w:tag w:val="nr_7d6ff23dfe76495caee443e8475337cd"/>
                      <w:lock w:val="sdtLocked"/>
                      <w:richText/>
                    </w:sdtPr>
                    <w:sdtContent>
                      <w:r>
                        <w:rPr>
                          <w:szCs w:val="24"/>
                        </w:rPr>
                        <w:t>13</w:t>
                      </w:r>
                    </w:sdtContent>
                  </w:sdt>
                  <w:r>
                    <w:rPr>
                      <w:szCs w:val="24"/>
                    </w:rPr>
                    <w:t>. Komisijos pirmininkas organizuoja Komijos darbą, atsako už jos veiklą ir jai atstovauja. Komisijos pirmininko nesant (dėl ligos, komandiruotės, atostogų ir kitų objektyvių priežasčių) jo funkcijas atlieka Komisijos pirmininko pavaduotojas.</w:t>
                  </w:r>
                </w:p>
              </w:sdtContent>
            </w:sdt>
            <w:sdt>
              <w:sdtPr>
                <w:alias w:val="14 p."/>
                <w:tag w:val="part_070e6064756740ce9703e5c28170511a"/>
                <w:lock w:val="sdtLocked"/>
                <w:richText/>
              </w:sdtPr>
              <w:sdtContent>
                <w:p>
                  <w:pPr>
                    <w:ind w:firstLine="851"/>
                    <w:jc w:val="both"/>
                    <w:rPr>
                      <w:szCs w:val="24"/>
                    </w:rPr>
                  </w:pPr>
                  <w:sdt>
                    <w:sdtPr>
                      <w:alias w:val="Numeris"/>
                      <w:tag w:val="nr_070e6064756740ce9703e5c28170511a"/>
                      <w:lock w:val="sdtLocked"/>
                      <w:richText/>
                    </w:sdtPr>
                    <w:sdtContent>
                      <w:r>
                        <w:rPr>
                          <w:szCs w:val="24"/>
                        </w:rPr>
                        <w:t>14</w:t>
                      </w:r>
                    </w:sdtContent>
                  </w:sdt>
                  <w:r>
                    <w:rPr>
                      <w:szCs w:val="24"/>
                    </w:rPr>
                    <w:t>. Komisijos veiklos forma yra posėdžiai, kurie šaukiami pagal poreikį. Komisijos posėdį šaukia Komisijos pirmininkas. Komisijos posėdžiai gali būti organizuojami nuotoliniu būdu, naudojant telekomunikacijos priemones (vaizdo ir garso konferencijos ryšiu), ir elektroniniu būdu (balsuojant elektroniniu paštu).</w:t>
                  </w:r>
                </w:p>
              </w:sdtContent>
            </w:sdt>
            <w:sdt>
              <w:sdtPr>
                <w:alias w:val="15 p."/>
                <w:tag w:val="part_1aaf2b18c7a6468d88a9e81323fbf847"/>
                <w:lock w:val="sdtLocked"/>
                <w:richText/>
              </w:sdtPr>
              <w:sdtContent>
                <w:p>
                  <w:pPr>
                    <w:widowControl w:val="0"/>
                    <w:ind w:firstLine="851"/>
                    <w:jc w:val="both"/>
                    <w:rPr>
                      <w:szCs w:val="24"/>
                    </w:rPr>
                  </w:pPr>
                  <w:sdt>
                    <w:sdtPr>
                      <w:alias w:val="Numeris"/>
                      <w:tag w:val="nr_1aaf2b18c7a6468d88a9e81323fbf847"/>
                      <w:lock w:val="sdtLocked"/>
                      <w:richText/>
                    </w:sdtPr>
                    <w:sdtContent>
                      <w:r>
                        <w:rPr>
                          <w:szCs w:val="24"/>
                        </w:rPr>
                        <w:t>15</w:t>
                      </w:r>
                    </w:sdtContent>
                  </w:sdt>
                  <w:r>
                    <w:rPr>
                      <w:szCs w:val="24"/>
                    </w:rPr>
                    <w:t xml:space="preserve">. Komisijos sekretoriumi skiriamas Centro darbuotojas. Komisijos sekretorius nėra Komisijos narys. </w:t>
                  </w:r>
                </w:p>
              </w:sdtContent>
            </w:sdt>
            <w:sdt>
              <w:sdtPr>
                <w:alias w:val="16 p."/>
                <w:tag w:val="part_96cbcd4eb7154f5f96c2f7d6d450f4aa"/>
                <w:lock w:val="sdtLocked"/>
                <w:richText/>
              </w:sdtPr>
              <w:sdtContent>
                <w:p>
                  <w:pPr>
                    <w:ind w:firstLine="851"/>
                    <w:jc w:val="both"/>
                    <w:rPr>
                      <w:color w:val="000000"/>
                      <w:szCs w:val="24"/>
                    </w:rPr>
                  </w:pPr>
                  <w:sdt>
                    <w:sdtPr>
                      <w:alias w:val="Numeris"/>
                      <w:tag w:val="nr_96cbcd4eb7154f5f96c2f7d6d450f4aa"/>
                      <w:lock w:val="sdtLocked"/>
                      <w:richText/>
                    </w:sdtPr>
                    <w:sdtContent>
                      <w:r>
                        <w:rPr>
                          <w:szCs w:val="24"/>
                        </w:rPr>
                        <w:t>16</w:t>
                      </w:r>
                    </w:sdtContent>
                  </w:sdt>
                  <w:r>
                    <w:rPr>
                      <w:szCs w:val="24"/>
                    </w:rPr>
                    <w:t>. Komisijos narį, laikinai negalintį eiti pareigų (dėl ligos, komandiruotės, atostogų ir kitų objektyvių priežasčių), pavaduoja atitinkamos institucijos pakaitinis Komisijos narys, deleguotas kartu su Komisijos nariu.</w:t>
                  </w:r>
                </w:p>
              </w:sdtContent>
            </w:sdt>
            <w:sdt>
              <w:sdtPr>
                <w:alias w:val="17 p."/>
                <w:tag w:val="part_bb9e751c60354f12846ed6efcf6d768e"/>
                <w:lock w:val="sdtLocked"/>
                <w:richText/>
              </w:sdtPr>
              <w:sdtContent>
                <w:p>
                  <w:pPr>
                    <w:ind w:firstLine="851"/>
                    <w:jc w:val="both"/>
                    <w:rPr>
                      <w:szCs w:val="24"/>
                    </w:rPr>
                  </w:pPr>
                  <w:sdt>
                    <w:sdtPr>
                      <w:alias w:val="Numeris"/>
                      <w:tag w:val="nr_bb9e751c60354f12846ed6efcf6d768e"/>
                      <w:lock w:val="sdtLocked"/>
                      <w:richText/>
                    </w:sdtPr>
                    <w:sdtContent>
                      <w:r>
                        <w:rPr>
                          <w:szCs w:val="24"/>
                        </w:rPr>
                        <w:t>17</w:t>
                      </w:r>
                    </w:sdtContent>
                  </w:sdt>
                  <w:r>
                    <w:rPr>
                      <w:szCs w:val="24"/>
                    </w:rPr>
                    <w:t xml:space="preserve">. Komisijos nariai, o jiems laikinai nesant – pakaitiniai nariai (toliau kartu – </w:t>
                  </w:r>
                  <w:r>
                    <w:rPr>
                      <w:color w:val="000000"/>
                      <w:szCs w:val="24"/>
                    </w:rPr>
                    <w:t>visi K</w:t>
                  </w:r>
                  <w:r>
                    <w:rPr>
                      <w:szCs w:val="24"/>
                    </w:rPr>
                    <w:t xml:space="preserve">omisijos nariai) iki Komisijos posėdžio susipažįsta su Komisijos sekretoriaus pateiktais dokumentais, renka informaciją apie vertinamą ribinį produktą (savybes, klasifikavimą kitose valstybėse ir pan.) ir prireikus organizuoja sukauptos informacijos aptarimą atstovaujamoje institucijoje; teikia savo pastabas ir </w:t>
                  </w:r>
                  <w:r>
                    <w:rPr>
                      <w:color w:val="000000"/>
                      <w:szCs w:val="24"/>
                    </w:rPr>
                    <w:t xml:space="preserve">siūlymus Komisijos pirmininkui ir kitiems Komisijos nariams dėl svarstymui </w:t>
                  </w:r>
                  <w:r>
                    <w:rPr>
                      <w:szCs w:val="24"/>
                    </w:rPr>
                    <w:t>pateiktuose dokumentuose nurodytų duomenų; Komisijos posėdžiuose pateikia atstovaujamos institucijos poziciją svarstomais klausimais.</w:t>
                  </w:r>
                </w:p>
              </w:sdtContent>
            </w:sdt>
            <w:sdt>
              <w:sdtPr>
                <w:alias w:val="18 p."/>
                <w:tag w:val="part_edf476ed06814b59849e1c14d74ced4e"/>
                <w:lock w:val="sdtLocked"/>
                <w:richText/>
              </w:sdtPr>
              <w:sdtContent>
                <w:p>
                  <w:pPr>
                    <w:ind w:firstLine="851"/>
                    <w:jc w:val="both"/>
                    <w:rPr>
                      <w:color w:val="000000"/>
                      <w:szCs w:val="24"/>
                    </w:rPr>
                  </w:pPr>
                  <w:sdt>
                    <w:sdtPr>
                      <w:alias w:val="Numeris"/>
                      <w:tag w:val="nr_edf476ed06814b59849e1c14d74ced4e"/>
                      <w:lock w:val="sdtLocked"/>
                      <w:richText/>
                    </w:sdtPr>
                    <w:sdtContent>
                      <w:r>
                        <w:rPr>
                          <w:szCs w:val="24"/>
                        </w:rPr>
                        <w:t>18</w:t>
                      </w:r>
                    </w:sdtContent>
                  </w:sdt>
                  <w:r>
                    <w:rPr>
                      <w:szCs w:val="24"/>
                    </w:rPr>
                    <w:t>. K</w:t>
                  </w:r>
                  <w:r>
                    <w:rPr>
                      <w:color w:val="000000"/>
                      <w:szCs w:val="24"/>
                    </w:rPr>
                    <w:t xml:space="preserve">omisijos posėdyje Komisijos kvietimu dalyvauja vertinamo produkto gamintojas, platintojas ar importuotojas, taip pat Komisijos pasitelkti </w:t>
                  </w:r>
                  <w:r>
                    <w:rPr>
                      <w:szCs w:val="24"/>
                    </w:rPr>
                    <w:t xml:space="preserve">nepriklausomi ekspertai (specialistai), </w:t>
                  </w:r>
                  <w:r>
                    <w:rPr>
                      <w:color w:val="000000"/>
                      <w:szCs w:val="24"/>
                    </w:rPr>
                    <w:t>valstybės institucijų</w:t>
                  </w:r>
                  <w:r>
                    <w:rPr>
                      <w:szCs w:val="24"/>
                    </w:rPr>
                    <w:t>, įstaigų ir organizacijų atstovai</w:t>
                  </w:r>
                  <w:r>
                    <w:rPr>
                      <w:color w:val="000000"/>
                      <w:szCs w:val="24"/>
                    </w:rPr>
                    <w:t xml:space="preserve">, kurie turi teisę pareikšti savo nuomonę dėl nagrinėjamo klausimo bei dalyvauti diskusijose. </w:t>
                  </w:r>
                </w:p>
              </w:sdtContent>
            </w:sdt>
            <w:sdt>
              <w:sdtPr>
                <w:alias w:val="19 p."/>
                <w:tag w:val="part_7a1c8131b93745ce863aab0bdbf59302"/>
                <w:lock w:val="sdtLocked"/>
                <w:richText/>
              </w:sdtPr>
              <w:sdtContent>
                <w:p>
                  <w:pPr>
                    <w:ind w:firstLine="851"/>
                    <w:jc w:val="both"/>
                    <w:rPr>
                      <w:szCs w:val="24"/>
                    </w:rPr>
                  </w:pPr>
                  <w:sdt>
                    <w:sdtPr>
                      <w:alias w:val="Numeris"/>
                      <w:tag w:val="nr_7a1c8131b93745ce863aab0bdbf59302"/>
                      <w:lock w:val="sdtLocked"/>
                      <w:richText/>
                    </w:sdtPr>
                    <w:sdtContent>
                      <w:r>
                        <w:rPr>
                          <w:szCs w:val="24"/>
                        </w:rPr>
                        <w:t>19</w:t>
                      </w:r>
                    </w:sdtContent>
                  </w:sdt>
                  <w:r>
                    <w:rPr>
                      <w:szCs w:val="24"/>
                    </w:rPr>
                    <w:t xml:space="preserve">. Kvietimą dalyvauti posėdyje, kuriame nurodyta Komisijos posėdžio data, laikas ir vieta, Komisijos sekretorius išsiunčia visiems Komisijos nariams, Komisijos posėdyje kviečiamiems dalyvauti </w:t>
                  </w:r>
                  <w:r>
                    <w:rPr>
                      <w:color w:val="000000"/>
                      <w:szCs w:val="24"/>
                    </w:rPr>
                    <w:t xml:space="preserve">vertinamo produkto gamintojui, platintojui ar importuotojui, taip pat Komisijos pasitelktiems </w:t>
                  </w:r>
                  <w:r>
                    <w:rPr>
                      <w:szCs w:val="24"/>
                    </w:rPr>
                    <w:t xml:space="preserve">nepriklausomiems ekspertams (specialistams), </w:t>
                  </w:r>
                  <w:r>
                    <w:rPr>
                      <w:color w:val="000000"/>
                      <w:szCs w:val="24"/>
                    </w:rPr>
                    <w:t>valstybės institucijų</w:t>
                  </w:r>
                  <w:r>
                    <w:rPr>
                      <w:szCs w:val="24"/>
                    </w:rPr>
                    <w:t>, įstaigų ir organizacijų atstovams elektroniniu paštu ne vėliau kaip prieš 5 darbo dienas iki posėdžio. Kartu su kvietimu siunčiama posėdžio darbotvarkė bei visa posėdžiui skirta medžiaga.</w:t>
                  </w:r>
                </w:p>
                <w:p>
                  <w:pPr>
                    <w:widowControl w:val="0"/>
                    <w:ind w:firstLine="851"/>
                    <w:jc w:val="both"/>
                    <w:rPr>
                      <w:szCs w:val="24"/>
                    </w:rPr>
                  </w:pPr>
                  <w:r>
                    <w:rPr>
                      <w:szCs w:val="24"/>
                    </w:rPr>
                    <w:t>Jei Komisijos posėdis vyks elektroniniu būdu (balsuojant elektroniniu paštu), Komisijos sekretorius persiunčia Komisijos nariams ir Komisijos pirmininko parengtą posėdžio sprendimų, dėl kurių Komisijos nariai turi balsuoti „už“ arba „prieš“, projektą.</w:t>
                  </w:r>
                </w:p>
              </w:sdtContent>
            </w:sdt>
            <w:sdt>
              <w:sdtPr>
                <w:alias w:val="20 p."/>
                <w:tag w:val="part_8090c304a7b1482ca83649e6693f18db"/>
                <w:lock w:val="sdtLocked"/>
                <w:richText/>
              </w:sdtPr>
              <w:sdtContent>
                <w:p>
                  <w:pPr>
                    <w:widowControl w:val="0"/>
                    <w:ind w:firstLine="851"/>
                    <w:jc w:val="both"/>
                    <w:rPr>
                      <w:szCs w:val="24"/>
                    </w:rPr>
                  </w:pPr>
                  <w:sdt>
                    <w:sdtPr>
                      <w:alias w:val="Numeris"/>
                      <w:tag w:val="nr_8090c304a7b1482ca83649e6693f18db"/>
                      <w:lock w:val="sdtLocked"/>
                      <w:richText/>
                    </w:sdtPr>
                    <w:sdtContent>
                      <w:r>
                        <w:rPr>
                          <w:szCs w:val="24"/>
                          <w:lang w:eastAsia="lt-LT"/>
                        </w:rPr>
                        <w:t>20</w:t>
                      </w:r>
                    </w:sdtContent>
                  </w:sdt>
                  <w:r>
                    <w:rPr>
                      <w:szCs w:val="24"/>
                      <w:lang w:eastAsia="lt-LT"/>
                    </w:rPr>
                    <w:t>. Jei Komisijos narys, gavęs posėdžio medžiagą (ar posėdžio metu), įtaria, kad dėl svarstomo klausimo gali kilti viešųjų ir privačių interesų konfliktas, jis nusišalina nuo klausimo svarstymo ir apie tai raštu (arba posėdžio metu – žodžiu) informuoja Komisijos pirmininką. J</w:t>
                  </w:r>
                  <w:r>
                    <w:rPr>
                      <w:szCs w:val="24"/>
                    </w:rPr>
                    <w:t xml:space="preserve">ei interesų konfliktas gali kilti dėl Komisijos pirmininko dalyvavimo, jis apie tai turi informuoti Komisijos pirmininko pavaduotoją ir kitus Komisijos narius. Nusišalinęs Komisijos narys turi jokiais būdais nedalyvauti toliau svarstant klausimą ir rengiant, svarstant ir priimant siūlymą arba kitaip darant įtaką jo priėmimui. </w:t>
                  </w:r>
                  <w:r>
                    <w:rPr>
                      <w:szCs w:val="24"/>
                      <w:lang w:eastAsia="lt-LT"/>
                    </w:rPr>
                    <w:t>Komisijos nario nusišalinimas pažymimas Komisijos posėdžio protokole.</w:t>
                  </w:r>
                  <w:r>
                    <w:rPr>
                      <w:szCs w:val="24"/>
                    </w:rPr>
                    <w:t xml:space="preserve"> </w:t>
                  </w:r>
                </w:p>
              </w:sdtContent>
            </w:sdt>
            <w:sdt>
              <w:sdtPr>
                <w:alias w:val="21 p."/>
                <w:tag w:val="part_ff6275ec4d6a417e8cb77f448467ee1e"/>
                <w:lock w:val="sdtLocked"/>
                <w:richText/>
              </w:sdtPr>
              <w:sdtContent>
                <w:p>
                  <w:pPr>
                    <w:ind w:firstLine="851"/>
                    <w:jc w:val="both"/>
                    <w:rPr>
                      <w:szCs w:val="24"/>
                    </w:rPr>
                  </w:pPr>
                  <w:sdt>
                    <w:sdtPr>
                      <w:alias w:val="Numeris"/>
                      <w:tag w:val="nr_ff6275ec4d6a417e8cb77f448467ee1e"/>
                      <w:lock w:val="sdtLocked"/>
                      <w:richText/>
                    </w:sdtPr>
                    <w:sdtContent>
                      <w:r>
                        <w:rPr>
                          <w:szCs w:val="24"/>
                        </w:rPr>
                        <w:t>21</w:t>
                      </w:r>
                    </w:sdtContent>
                  </w:sdt>
                  <w:r>
                    <w:rPr>
                      <w:szCs w:val="24"/>
                    </w:rPr>
                    <w:t>. Komisijos narys, negalintis dalyvauti Komisijos posėdyje, likus ne mažiau kaip 1 darbo dienai iki posėdžio, privalo elektroniniu paštu apie tai ir apie pakaitinio nario dalyvavimą pranešti Komisijos sekretoriui.</w:t>
                  </w:r>
                </w:p>
              </w:sdtContent>
            </w:sdt>
            <w:sdt>
              <w:sdtPr>
                <w:alias w:val="22 p."/>
                <w:tag w:val="part_153bea7fce6e476ca22d02be7d558c73"/>
                <w:lock w:val="sdtLocked"/>
                <w:richText/>
              </w:sdtPr>
              <w:sdtContent>
                <w:p>
                  <w:pPr>
                    <w:ind w:firstLine="851"/>
                    <w:jc w:val="both"/>
                    <w:rPr>
                      <w:szCs w:val="24"/>
                    </w:rPr>
                  </w:pPr>
                  <w:sdt>
                    <w:sdtPr>
                      <w:alias w:val="Numeris"/>
                      <w:tag w:val="nr_153bea7fce6e476ca22d02be7d558c73"/>
                      <w:lock w:val="sdtLocked"/>
                      <w:richText/>
                    </w:sdtPr>
                    <w:sdtContent>
                      <w:r>
                        <w:rPr>
                          <w:szCs w:val="24"/>
                        </w:rPr>
                        <w:t>22</w:t>
                      </w:r>
                    </w:sdtContent>
                  </w:sdt>
                  <w:r>
                    <w:rPr>
                      <w:szCs w:val="24"/>
                    </w:rPr>
                    <w:t xml:space="preserve">. Komisijos narys, iš anksto informavęs Komisijos sekretorių ir suderinęs technines galimybes, nenuotoliniu būdu vykstančiame Komisijos posėdyje gali dalyvauti nuotoliniu būdu. </w:t>
                  </w:r>
                </w:p>
              </w:sdtContent>
            </w:sdt>
            <w:sdt>
              <w:sdtPr>
                <w:alias w:val="23 p."/>
                <w:tag w:val="part_30ddf2c88aa24adbbc0d905ddaa83336"/>
                <w:lock w:val="sdtLocked"/>
                <w:richText/>
              </w:sdtPr>
              <w:sdtContent>
                <w:p>
                  <w:pPr>
                    <w:ind w:firstLine="851"/>
                    <w:jc w:val="both"/>
                    <w:rPr>
                      <w:szCs w:val="24"/>
                    </w:rPr>
                  </w:pPr>
                  <w:sdt>
                    <w:sdtPr>
                      <w:alias w:val="Numeris"/>
                      <w:tag w:val="nr_30ddf2c88aa24adbbc0d905ddaa83336"/>
                      <w:lock w:val="sdtLocked"/>
                      <w:richText/>
                    </w:sdtPr>
                    <w:sdtContent>
                      <w:r>
                        <w:rPr>
                          <w:szCs w:val="24"/>
                        </w:rPr>
                        <w:t>23</w:t>
                      </w:r>
                    </w:sdtContent>
                  </w:sdt>
                  <w:r>
                    <w:rPr>
                      <w:szCs w:val="24"/>
                    </w:rPr>
                    <w:t xml:space="preserve">. Komisijos posėdis laikomas teisėtu, jeigu jame dalyvauja daugiau kaip pusė Komisijos narių, o jei Komisijos posėdis vyksta elektroniniu būdu (balsuojant elektroniniu paštu) – jei per Komisijos pirmininko nurodytą terminą, kuris negali būti trumpesnis kaip 3 darbo dienos, balsuoja ne mažiau, kaip pusė Komisijos narių. </w:t>
                  </w:r>
                </w:p>
              </w:sdtContent>
            </w:sdt>
            <w:sdt>
              <w:sdtPr>
                <w:alias w:val="24 p."/>
                <w:tag w:val="part_e78e010d649b40a4a9b8ffdf3dc2237d"/>
                <w:lock w:val="sdtLocked"/>
                <w:richText/>
              </w:sdtPr>
              <w:sdtContent>
                <w:p>
                  <w:pPr>
                    <w:ind w:firstLine="851"/>
                    <w:jc w:val="both"/>
                    <w:rPr>
                      <w:szCs w:val="24"/>
                    </w:rPr>
                  </w:pPr>
                  <w:sdt>
                    <w:sdtPr>
                      <w:alias w:val="Numeris"/>
                      <w:tag w:val="nr_e78e010d649b40a4a9b8ffdf3dc2237d"/>
                      <w:lock w:val="sdtLocked"/>
                      <w:richText/>
                    </w:sdtPr>
                    <w:sdtContent>
                      <w:r>
                        <w:rPr>
                          <w:color w:val="000000"/>
                          <w:szCs w:val="24"/>
                        </w:rPr>
                        <w:t>24</w:t>
                      </w:r>
                    </w:sdtContent>
                  </w:sdt>
                  <w:r>
                    <w:rPr>
                      <w:color w:val="000000"/>
                      <w:szCs w:val="24"/>
                    </w:rPr>
                    <w:t xml:space="preserve">. Komisijos siūlymai priimami Komisijos posėdyje dalyvaujančių Komisijos narių bendru sutarimu. Jeigu Komisijos nariai nepasiekia bendro susitarimo, Komisijos siūlymai priimami posėdyje dalyvaujančių, o jei </w:t>
                  </w:r>
                  <w:r>
                    <w:rPr>
                      <w:szCs w:val="24"/>
                    </w:rPr>
                    <w:t>Komisijos posėdis vyksta elektroniniu būdu (balsuojant elektroniniu paštu) – balsavusių</w:t>
                  </w:r>
                  <w:r>
                    <w:rPr>
                      <w:color w:val="000000"/>
                      <w:szCs w:val="24"/>
                    </w:rPr>
                    <w:t xml:space="preserve"> Komisijos narių balsų dauguma. Balsams pasiskirsčius po lygiai, lemiamas Komisijos posėdžio pirmininko balsas. </w:t>
                  </w:r>
                </w:p>
              </w:sdtContent>
            </w:sdt>
            <w:sdt>
              <w:sdtPr>
                <w:alias w:val="25 p."/>
                <w:tag w:val="part_6f7444b71e2c447ba34d152cfeab9a49"/>
                <w:lock w:val="sdtLocked"/>
                <w:richText/>
              </w:sdtPr>
              <w:sdtContent>
                <w:p>
                  <w:pPr>
                    <w:widowControl w:val="0"/>
                    <w:ind w:firstLine="851"/>
                    <w:jc w:val="both"/>
                    <w:rPr>
                      <w:szCs w:val="24"/>
                    </w:rPr>
                  </w:pPr>
                  <w:sdt>
                    <w:sdtPr>
                      <w:alias w:val="Numeris"/>
                      <w:tag w:val="nr_6f7444b71e2c447ba34d152cfeab9a49"/>
                      <w:lock w:val="sdtLocked"/>
                      <w:richText/>
                    </w:sdtPr>
                    <w:sdtContent>
                      <w:r>
                        <w:rPr>
                          <w:color w:val="000000"/>
                          <w:szCs w:val="24"/>
                        </w:rPr>
                        <w:t>25</w:t>
                      </w:r>
                    </w:sdtContent>
                  </w:sdt>
                  <w:r>
                    <w:rPr>
                      <w:color w:val="000000"/>
                      <w:szCs w:val="24"/>
                    </w:rPr>
                    <w:t xml:space="preserve">. Komisijos </w:t>
                  </w:r>
                  <w:r>
                    <w:rPr>
                      <w:szCs w:val="24"/>
                    </w:rPr>
                    <w:t xml:space="preserve">posėdžio eigai fiksuoti rašomas </w:t>
                  </w:r>
                  <w:r>
                    <w:rPr>
                      <w:color w:val="000000"/>
                      <w:szCs w:val="24"/>
                    </w:rPr>
                    <w:t>posėdžio protokolas ir daromas skaitmeninis garso įrašas, kuris saugomas kartu su posėdžio protokolu</w:t>
                  </w:r>
                  <w:r>
                    <w:rPr>
                      <w:szCs w:val="24"/>
                    </w:rPr>
                    <w:t>. Posėdžio protokolas turi būti parengtas ne vėliau kaip per 6 darbo dienas po Komisijos posėdžio.</w:t>
                  </w:r>
                </w:p>
              </w:sdtContent>
            </w:sdt>
            <w:sdt>
              <w:sdtPr>
                <w:alias w:val="26 p."/>
                <w:tag w:val="part_d29a746e7d7347d4ac613bf31c404be1"/>
                <w:lock w:val="sdtLocked"/>
                <w:richText/>
              </w:sdtPr>
              <w:sdtContent>
                <w:p>
                  <w:pPr>
                    <w:ind w:firstLine="851"/>
                    <w:jc w:val="both"/>
                    <w:rPr>
                      <w:color w:val="000000"/>
                      <w:szCs w:val="24"/>
                    </w:rPr>
                  </w:pPr>
                  <w:sdt>
                    <w:sdtPr>
                      <w:alias w:val="Numeris"/>
                      <w:tag w:val="nr_d29a746e7d7347d4ac613bf31c404be1"/>
                      <w:lock w:val="sdtLocked"/>
                      <w:richText/>
                    </w:sdtPr>
                    <w:sdtContent>
                      <w:r>
                        <w:rPr>
                          <w:color w:val="000000"/>
                          <w:szCs w:val="24"/>
                        </w:rPr>
                        <w:t>26</w:t>
                      </w:r>
                    </w:sdtContent>
                  </w:sdt>
                  <w:r>
                    <w:rPr>
                      <w:color w:val="000000"/>
                      <w:szCs w:val="24"/>
                    </w:rPr>
                    <w:t>. Komisijos sekretorius posėdžio protokolo projektą elektroniniu paštu teikia derinimui posėdyje dalyvavusiems asmenims, kurie ne vėliau kaip per 3 darbo dienas nuo posėdžio protokolo projekto gavimo dienos gali elektroniniu paštu pateikti pastabas ir pasiūlymus.</w:t>
                  </w:r>
                </w:p>
              </w:sdtContent>
            </w:sdt>
            <w:sdt>
              <w:sdtPr>
                <w:alias w:val="27 p."/>
                <w:tag w:val="part_764884c79aa04aea8624fe9d9c166c64"/>
                <w:lock w:val="sdtLocked"/>
                <w:richText/>
              </w:sdtPr>
              <w:sdtContent>
                <w:p>
                  <w:pPr>
                    <w:ind w:firstLine="851"/>
                    <w:jc w:val="both"/>
                    <w:rPr>
                      <w:szCs w:val="24"/>
                    </w:rPr>
                  </w:pPr>
                  <w:sdt>
                    <w:sdtPr>
                      <w:alias w:val="Numeris"/>
                      <w:tag w:val="nr_764884c79aa04aea8624fe9d9c166c64"/>
                      <w:lock w:val="sdtLocked"/>
                      <w:richText/>
                    </w:sdtPr>
                    <w:sdtContent>
                      <w:r>
                        <w:rPr>
                          <w:szCs w:val="24"/>
                        </w:rPr>
                        <w:t>27</w:t>
                      </w:r>
                    </w:sdtContent>
                  </w:sdt>
                  <w:r>
                    <w:rPr>
                      <w:szCs w:val="24"/>
                    </w:rPr>
                    <w:t>. Komisijos posėdžio protokolą pasirašo Komisijos pirmininkas ir Komisijos sekretorius. Komisijos posėdžio protokolo kopijas Komisijos sekretorius elektroniniu paštu išsiunčia visiems posėdyje dalyvavusiems asmenims ne vėliau kaip per 2 darbo dienas nuo jo pasirašymo.</w:t>
                  </w:r>
                </w:p>
              </w:sdtContent>
            </w:sdt>
            <w:sdt>
              <w:sdtPr>
                <w:alias w:val="28 p."/>
                <w:tag w:val="part_d7cfbcf857364051b6629f25ea594075"/>
                <w:lock w:val="sdtLocked"/>
                <w:richText/>
              </w:sdtPr>
              <w:sdtContent>
                <w:p>
                  <w:pPr>
                    <w:ind w:firstLine="851"/>
                    <w:jc w:val="both"/>
                    <w:rPr>
                      <w:szCs w:val="24"/>
                    </w:rPr>
                  </w:pPr>
                  <w:sdt>
                    <w:sdtPr>
                      <w:alias w:val="Numeris"/>
                      <w:tag w:val="nr_d7cfbcf857364051b6629f25ea594075"/>
                      <w:lock w:val="sdtLocked"/>
                      <w:richText/>
                    </w:sdtPr>
                    <w:sdtContent>
                      <w:r>
                        <w:rPr>
                          <w:szCs w:val="24"/>
                        </w:rPr>
                        <w:t>28</w:t>
                      </w:r>
                    </w:sdtContent>
                  </w:sdt>
                  <w:r>
                    <w:rPr>
                      <w:szCs w:val="24"/>
                    </w:rPr>
                    <w:t>. Komisijos siūlymai įforminami Komisijos</w:t>
                  </w:r>
                  <w:r>
                    <w:rPr>
                      <w:color w:val="000000"/>
                      <w:szCs w:val="24"/>
                    </w:rPr>
                    <w:t xml:space="preserve"> siūlymo forma (</w:t>
                  </w:r>
                  <w:r>
                    <w:rPr>
                      <w:szCs w:val="24"/>
                    </w:rPr>
                    <w:t>reglamento</w:t>
                  </w:r>
                  <w:r>
                    <w:rPr>
                      <w:color w:val="000000"/>
                      <w:szCs w:val="24"/>
                    </w:rPr>
                    <w:t xml:space="preserve"> 2 priedas). </w:t>
                  </w:r>
                  <w:r>
                    <w:rPr>
                      <w:szCs w:val="24"/>
                    </w:rPr>
                    <w:t xml:space="preserve">Juos pasirašo Komisijos pirmininkas. </w:t>
                  </w:r>
                </w:p>
                <w:p>
                  <w:pPr>
                    <w:widowControl w:val="0"/>
                    <w:shd w:val="clear" w:color="auto" w:fill="FFFFFF"/>
                    <w:ind w:firstLine="851"/>
                    <w:rPr>
                      <w:szCs w:val="24"/>
                    </w:rPr>
                  </w:pPr>
                </w:p>
              </w:sdtContent>
            </w:sdt>
          </w:sdtContent>
        </w:sdt>
        <w:sdt>
          <w:sdtPr>
            <w:alias w:val="skyrius"/>
            <w:tag w:val="part_45c67523254745a885ba88ed9d043183"/>
            <w:lock w:val="sdtLocked"/>
            <w:richText/>
          </w:sdtPr>
          <w:sdtContent>
            <w:p>
              <w:pPr>
                <w:widowControl w:val="0"/>
                <w:jc w:val="center"/>
                <w:rPr>
                  <w:b/>
                  <w:szCs w:val="24"/>
                  <w:lang w:eastAsia="lt-LT"/>
                </w:rPr>
              </w:pPr>
              <w:sdt>
                <w:sdtPr>
                  <w:alias w:val="Numeris"/>
                  <w:tag w:val="nr_45c67523254745a885ba88ed9d043183"/>
                  <w:lock w:val="sdtLocked"/>
                  <w:richText/>
                </w:sdtPr>
                <w:sdtContent>
                  <w:r>
                    <w:rPr>
                      <w:b/>
                      <w:szCs w:val="24"/>
                    </w:rPr>
                    <w:t>V</w:t>
                  </w:r>
                </w:sdtContent>
              </w:sdt>
              <w:r>
                <w:rPr>
                  <w:b/>
                  <w:szCs w:val="24"/>
                </w:rPr>
                <w:t xml:space="preserve"> </w:t>
              </w:r>
              <w:r>
                <w:rPr>
                  <w:b/>
                  <w:szCs w:val="24"/>
                  <w:lang w:eastAsia="lt-LT"/>
                </w:rPr>
                <w:t>SKYRIUS</w:t>
              </w:r>
            </w:p>
            <w:p>
              <w:pPr>
                <w:widowControl w:val="0"/>
                <w:tabs>
                  <w:tab w:val="left" w:pos="2410"/>
                </w:tabs>
                <w:jc w:val="center"/>
                <w:rPr>
                  <w:b/>
                  <w:szCs w:val="24"/>
                </w:rPr>
              </w:pPr>
              <w:sdt>
                <w:sdtPr>
                  <w:alias w:val="Pavadinimas"/>
                  <w:tag w:val="title_45c67523254745a885ba88ed9d043183"/>
                  <w:lock w:val="sdtLocked"/>
                  <w:richText/>
                </w:sdtPr>
                <w:sdtContent>
                  <w:r>
                    <w:rPr>
                      <w:b/>
                      <w:szCs w:val="24"/>
                    </w:rPr>
                    <w:t>BAIGIAMOS NUOSTATOS</w:t>
                  </w:r>
                </w:sdtContent>
              </w:sdt>
            </w:p>
            <w:p>
              <w:pPr>
                <w:widowControl w:val="0"/>
                <w:ind w:firstLine="851"/>
                <w:jc w:val="both"/>
                <w:rPr>
                  <w:b/>
                  <w:szCs w:val="24"/>
                </w:rPr>
              </w:pPr>
            </w:p>
            <w:sdt>
              <w:sdtPr>
                <w:alias w:val="29 p."/>
                <w:tag w:val="part_0feafabdbe504cb699bdd80abf0248e5"/>
                <w:lock w:val="sdtLocked"/>
                <w:richText/>
              </w:sdtPr>
              <w:sdtContent>
                <w:p>
                  <w:pPr>
                    <w:ind w:firstLine="851"/>
                    <w:jc w:val="both"/>
                  </w:pPr>
                  <w:sdt>
                    <w:sdtPr>
                      <w:alias w:val="Numeris"/>
                      <w:tag w:val="nr_0feafabdbe504cb699bdd80abf0248e5"/>
                      <w:lock w:val="sdtLocked"/>
                      <w:richText/>
                    </w:sdtPr>
                    <w:sdtContent>
                      <w:r>
                        <w:rPr>
                          <w:szCs w:val="24"/>
                        </w:rPr>
                        <w:t>29</w:t>
                      </w:r>
                    </w:sdtContent>
                  </w:sdt>
                  <w:r>
                    <w:rPr>
                      <w:szCs w:val="24"/>
                    </w:rPr>
                    <w:t>. Komisijai pateikta su produkto vertinimu bei kitais Komisijoje svarstomais klausimais susijusi informacija tvarkoma nepažeidžiant asmens duomenų apsaugos, valstybės tarnybos, komercinės, profesinės ir kitų įstatymų saugomų paslapčių apsaugos reikalavimų, taip pat laikantis kitų įstatymuose numatytų apribojimų ir draudimų.</w:t>
                  </w:r>
                </w:p>
              </w:sdtContent>
            </w:sdt>
            <w:sdt>
              <w:sdtPr>
                <w:alias w:val="30 p."/>
                <w:tag w:val="part_3da08199dddd4bc0a946f43b1225af8c"/>
                <w:lock w:val="sdtLocked"/>
                <w:richText/>
              </w:sdtPr>
              <w:sdtContent>
                <w:p>
                  <w:pPr>
                    <w:ind w:right="-1" w:firstLine="851"/>
                    <w:jc w:val="both"/>
                    <w:rPr>
                      <w:szCs w:val="24"/>
                    </w:rPr>
                  </w:pPr>
                  <w:sdt>
                    <w:sdtPr>
                      <w:alias w:val="Numeris"/>
                      <w:tag w:val="nr_3da08199dddd4bc0a946f43b1225af8c"/>
                      <w:lock w:val="sdtLocked"/>
                      <w:richText/>
                    </w:sdtPr>
                    <w:sdtContent>
                      <w:r>
                        <w:rPr>
                          <w:color w:val="000000"/>
                          <w:szCs w:val="24"/>
                        </w:rPr>
                        <w:t>30</w:t>
                      </w:r>
                    </w:sdtContent>
                  </w:sdt>
                  <w:r>
                    <w:rPr>
                      <w:color w:val="000000"/>
                      <w:szCs w:val="24"/>
                    </w:rPr>
                    <w:t xml:space="preserve">. Su Komisijos veikla susijusi informacija: Komisijos sudėtis, reglamentas, posėdžių protokolų išrašai, priimti siūlymai, metinės veiklos ataskaitos skelbiamos Centro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19350f36211eb9f09e7df20500045">
                    <w:r w:rsidRPr="00532B9F">
                      <w:rPr>
                        <w:rFonts w:ascii="Times New Roman" w:eastAsia="MS Mincho" w:hAnsi="Times New Roman"/>
                        <w:sz w:val="20"/>
                        <w:i/>
                        <w:iCs/>
                        <w:color w:val="0000FF" w:themeColor="hyperlink"/>
                        <w:u w:val="single"/>
                      </w:rPr>
                      <w:t>V-1787</w:t>
                    </w:r>
                  </w:fldSimple>
                  <w:r>
                    <w:rPr>
                      <w:rFonts w:ascii="Times New Roman" w:eastAsia="MS Mincho" w:hAnsi="Times New Roman"/>
                      <w:sz w:val="20"/>
                      <w:i/>
                      <w:iCs/>
                    </w:rPr>
                    <w:t>,
2021-08-02,
paskelbta TAR 2021-08-02, i. k. 2021-16921        </w:t>
                  </w:r>
                </w:p>
                <w:p/>
              </w:sdtContent>
            </w:sdt>
          </w:sdtContent>
        </w:sdt>
        <w:sdt>
          <w:sdtPr>
            <w:alias w:val="pabaiga"/>
            <w:tag w:val="part_0b260a4e6bfd4cb0a292f9e86a79e008"/>
            <w:lock w:val="sdtLocked"/>
            <w:richText/>
          </w:sdtPr>
          <w:sdtContent>
            <w:p>
              <w:pPr>
                <w:jc w:val="center"/>
                <w:rPr>
                  <w:szCs w:val="24"/>
                </w:rPr>
              </w:pPr>
              <w:r>
                <w:rPr>
                  <w:szCs w:val="24"/>
                </w:rPr>
                <w:t>_________________</w:t>
              </w:r>
            </w:p>
          </w:sdtContent>
        </w:sdt>
      </w:sdtContent>
    </w:sdt>
    <w:sdt>
      <w:sdtPr>
        <w:alias w:val="1 pr."/>
        <w:tag w:val="part_3bd36469061d4e00bb822069702a9041"/>
        <w:lock w:val="sdtLocked"/>
        <w:richText/>
      </w:sdtPr>
      <w:sdtContent>
        <w:p>
          <w:pPr>
            <w:ind w:left="5387"/>
            <w:jc w:val="both"/>
            <w:sectPr>
              <w:pgSz w:w="11906" w:h="16838" w:code="9"/>
              <w:pgMar w:top="1134" w:right="567" w:bottom="1134" w:left="1701" w:header="567" w:footer="567" w:gutter="0"/>
              <w:pgNumType w:start="1"/>
              <w:cols w:space="1296"/>
              <w:titlePg/>
              <w:docGrid w:linePitch="360"/>
            </w:sectPr>
          </w:pPr>
        </w:p>
        <w:p>
          <w:pPr>
            <w:ind w:left="5387"/>
            <w:jc w:val="both"/>
            <w:rPr>
              <w:bCs/>
              <w:szCs w:val="24"/>
            </w:rPr>
          </w:pPr>
          <w:r>
            <w:rPr>
              <w:bCs/>
              <w:szCs w:val="24"/>
            </w:rPr>
            <w:t xml:space="preserve">Ribinių produktų vertinimo tarpinstitucinės </w:t>
          </w:r>
        </w:p>
        <w:p>
          <w:pPr>
            <w:ind w:left="5387"/>
            <w:jc w:val="both"/>
            <w:rPr>
              <w:color w:val="000000"/>
              <w:szCs w:val="24"/>
              <w:lang w:eastAsia="lt-LT"/>
            </w:rPr>
          </w:pPr>
          <w:r>
            <w:rPr>
              <w:bCs/>
              <w:szCs w:val="24"/>
            </w:rPr>
            <w:t>komisijos</w:t>
          </w:r>
          <w:r>
            <w:rPr>
              <w:b/>
              <w:szCs w:val="24"/>
            </w:rPr>
            <w:t xml:space="preserve"> </w:t>
          </w:r>
          <w:r>
            <w:rPr>
              <w:bCs/>
              <w:szCs w:val="24"/>
            </w:rPr>
            <w:t>darbo r</w:t>
          </w:r>
          <w:r>
            <w:rPr>
              <w:color w:val="000000"/>
              <w:szCs w:val="24"/>
              <w:lang w:eastAsia="lt-LT"/>
            </w:rPr>
            <w:t>eglamento</w:t>
          </w:r>
        </w:p>
        <w:p>
          <w:pPr>
            <w:ind w:left="4559" w:firstLine="828"/>
            <w:jc w:val="both"/>
            <w:rPr>
              <w:szCs w:val="24"/>
              <w:lang w:eastAsia="lt-LT"/>
            </w:rPr>
          </w:pPr>
          <w:sdt>
            <w:sdtPr>
              <w:alias w:val="Numeris"/>
              <w:tag w:val="nr_3bd36469061d4e00bb822069702a9041"/>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priedas </w:t>
          </w:r>
        </w:p>
        <w:p>
          <w:pPr>
            <w:ind w:left="4559" w:firstLine="828"/>
            <w:jc w:val="both"/>
            <w:rPr>
              <w:szCs w:val="24"/>
              <w:lang w:eastAsia="lt-LT"/>
            </w:rPr>
          </w:pPr>
        </w:p>
        <w:p>
          <w:pPr>
            <w:jc w:val="center"/>
            <w:rPr>
              <w:b/>
              <w:bCs/>
              <w:szCs w:val="24"/>
              <w:lang w:val="en-US" w:eastAsia="lt-LT"/>
            </w:rPr>
          </w:pPr>
          <w:sdt>
            <w:sdtPr>
              <w:alias w:val="Pavadinimas"/>
              <w:tag w:val="title_3bd36469061d4e00bb822069702a9041"/>
              <w:lock w:val="sdtLocked"/>
              <w:richText/>
            </w:sdtPr>
            <w:sdtContent>
              <w:r>
                <w:rPr>
                  <w:b/>
                  <w:bCs/>
                  <w:szCs w:val="24"/>
                  <w:lang w:eastAsia="lt-LT"/>
                </w:rPr>
                <w:t xml:space="preserve">(Ribinių produktų vertinimo tarpinstitucinės </w:t>
              </w:r>
              <w:r>
                <w:rPr>
                  <w:b/>
                  <w:bCs/>
                  <w:szCs w:val="24"/>
                </w:rPr>
                <w:t>komisijos nario, sekretoriaus konfidencialumo pasižadėjimo forma</w:t>
              </w:r>
              <w:r>
                <w:rPr>
                  <w:b/>
                  <w:bCs/>
                  <w:szCs w:val="24"/>
                  <w:lang w:eastAsia="lt-LT"/>
                </w:rPr>
                <w:t>)</w:t>
              </w:r>
            </w:sdtContent>
          </w:sdt>
        </w:p>
        <w:p>
          <w:pPr>
            <w:jc w:val="center"/>
            <w:rPr>
              <w:szCs w:val="24"/>
              <w:lang w:eastAsia="lt-LT"/>
            </w:rPr>
          </w:pPr>
        </w:p>
        <w:p>
          <w:pPr>
            <w:ind w:left="-284" w:firstLine="142"/>
            <w:jc w:val="center"/>
            <w:rPr>
              <w:szCs w:val="24"/>
              <w:lang w:eastAsia="lt-LT"/>
            </w:rPr>
          </w:pPr>
          <w:r>
            <w:rPr>
              <w:iCs/>
              <w:szCs w:val="24"/>
              <w:lang w:eastAsia="lt-LT"/>
            </w:rPr>
            <w:t>(Ribinių produktų vertinimo tarpinstitucinės komisijos nario (-ės), sekretoriaus (-ės) vardas ir pavardė)</w:t>
          </w:r>
        </w:p>
        <w:p>
          <w:pPr>
            <w:jc w:val="center"/>
            <w:rPr>
              <w:b/>
              <w:bCs/>
              <w:szCs w:val="24"/>
              <w:lang w:eastAsia="lt-LT"/>
            </w:rPr>
          </w:pPr>
        </w:p>
        <w:p>
          <w:pPr>
            <w:jc w:val="center"/>
            <w:rPr>
              <w:b/>
              <w:bCs/>
              <w:szCs w:val="24"/>
              <w:lang w:eastAsia="lt-LT"/>
            </w:rPr>
          </w:pPr>
          <w:r>
            <w:rPr>
              <w:b/>
              <w:bCs/>
              <w:szCs w:val="24"/>
              <w:lang w:eastAsia="lt-LT"/>
            </w:rPr>
            <w:t>KONFIDENCIALUMO PASIŽADĖJIMAS</w:t>
          </w:r>
        </w:p>
        <w:p>
          <w:pPr>
            <w:jc w:val="center"/>
            <w:rPr>
              <w:b/>
              <w:bCs/>
              <w:szCs w:val="24"/>
              <w:lang w:eastAsia="lt-LT"/>
            </w:rPr>
          </w:pPr>
        </w:p>
        <w:p>
          <w:pPr>
            <w:jc w:val="center"/>
            <w:rPr>
              <w:color w:val="000000"/>
              <w:szCs w:val="24"/>
              <w:lang w:eastAsia="lt-LT"/>
            </w:rPr>
          </w:pPr>
          <w:r>
            <w:rPr>
              <w:color w:val="000000"/>
              <w:szCs w:val="24"/>
              <w:lang w:eastAsia="lt-LT"/>
            </w:rPr>
            <w:t>(Dokumento data) (Dokumento registracijos numeris)</w:t>
          </w:r>
        </w:p>
        <w:p>
          <w:pPr>
            <w:jc w:val="center"/>
            <w:rPr>
              <w:color w:val="000000"/>
              <w:szCs w:val="24"/>
              <w:lang w:eastAsia="lt-LT"/>
            </w:rPr>
          </w:pPr>
          <w:r>
            <w:rPr>
              <w:color w:val="000000"/>
              <w:szCs w:val="24"/>
              <w:lang w:eastAsia="lt-LT"/>
            </w:rPr>
            <w:t>(Sudarymo vieta)</w:t>
          </w:r>
        </w:p>
        <w:p>
          <w:pPr>
            <w:ind w:firstLine="62"/>
            <w:jc w:val="center"/>
            <w:rPr>
              <w:szCs w:val="24"/>
              <w:lang w:eastAsia="lt-LT"/>
            </w:rPr>
          </w:pPr>
        </w:p>
        <w:p>
          <w:pPr>
            <w:ind w:firstLine="62"/>
            <w:rPr>
              <w:szCs w:val="24"/>
              <w:lang w:eastAsia="lt-LT"/>
            </w:rPr>
          </w:pPr>
        </w:p>
        <w:p>
          <w:pPr>
            <w:ind w:firstLine="567"/>
            <w:jc w:val="both"/>
            <w:rPr>
              <w:szCs w:val="24"/>
              <w:lang w:eastAsia="lt-LT"/>
            </w:rPr>
          </w:pPr>
          <w:r>
            <w:rPr>
              <w:szCs w:val="24"/>
              <w:lang w:eastAsia="lt-LT"/>
            </w:rPr>
            <w:t xml:space="preserve">Būdamas (-a) </w:t>
          </w:r>
          <w:r>
            <w:rPr>
              <w:b/>
              <w:bCs/>
              <w:szCs w:val="24"/>
              <w:lang w:eastAsia="lt-LT"/>
            </w:rPr>
            <w:t xml:space="preserve">Ribinių produktų vertinimo tarpinstitucinės </w:t>
          </w:r>
          <w:r>
            <w:rPr>
              <w:b/>
              <w:bCs/>
              <w:szCs w:val="24"/>
            </w:rPr>
            <w:t xml:space="preserve">komisijos </w:t>
          </w:r>
          <w:r>
            <w:rPr>
              <w:szCs w:val="24"/>
              <w:lang w:eastAsia="lt-LT"/>
            </w:rPr>
            <w:t xml:space="preserve">(toliau – Komisijos) nariu (-e), sekretoriumi (-e) </w:t>
          </w:r>
          <w:r>
            <w:rPr>
              <w:b/>
              <w:bCs/>
              <w:szCs w:val="24"/>
              <w:lang w:eastAsia="lt-LT"/>
            </w:rPr>
            <w:t>pasižadu</w:t>
          </w:r>
          <w:r>
            <w:rPr>
              <w:szCs w:val="24"/>
              <w:lang w:eastAsia="lt-LT"/>
            </w:rPr>
            <w:t>:</w:t>
          </w:r>
        </w:p>
        <w:p>
          <w:pPr>
            <w:ind w:firstLine="567"/>
            <w:jc w:val="both"/>
            <w:rPr>
              <w:szCs w:val="24"/>
              <w:lang w:eastAsia="lt-LT"/>
            </w:rPr>
          </w:pPr>
          <w:r>
            <w:rPr>
              <w:szCs w:val="24"/>
              <w:lang w:eastAsia="lt-LT"/>
            </w:rPr>
            <w:t>1. saugoti konfidencialią informaciją, kuri taps man žinoma, ir naudoti ją tik įstatymų bei kitų teisės aktų nustatytais atvejais ir tvarka, vykdant Komisijos darbo reglamento nustatytas funkcijas;</w:t>
          </w:r>
        </w:p>
        <w:p>
          <w:pPr>
            <w:ind w:firstLine="567"/>
            <w:jc w:val="both"/>
            <w:rPr>
              <w:szCs w:val="24"/>
              <w:lang w:eastAsia="lt-LT"/>
            </w:rPr>
          </w:pPr>
          <w:r>
            <w:rPr>
              <w:szCs w:val="24"/>
              <w:lang w:eastAsia="lt-LT"/>
            </w:rPr>
            <w:t>2. saugoti man patikėtą informaciją, kuri yra konfidenciali, tokiu būdu, kad tretieji asmenys neturėtų galimybės su ja susipažinti ar pasinaudoti;</w:t>
          </w:r>
        </w:p>
        <w:p>
          <w:pPr>
            <w:ind w:firstLine="567"/>
            <w:jc w:val="both"/>
            <w:rPr>
              <w:szCs w:val="24"/>
              <w:lang w:eastAsia="lt-LT"/>
            </w:rPr>
          </w:pPr>
          <w:r>
            <w:rPr>
              <w:szCs w:val="24"/>
              <w:lang w:eastAsia="lt-LT"/>
            </w:rPr>
            <w:t>3. neatskleisti kitiems asmenims man žinomos ar mano turimuose dokumentuose esančios konfidencialios informacijos, jei jos atskleidimas prieštarauja teisės aktams, kenkia visuomenės interesams;</w:t>
          </w:r>
        </w:p>
        <w:p>
          <w:pPr>
            <w:ind w:firstLine="567"/>
            <w:jc w:val="both"/>
            <w:rPr>
              <w:szCs w:val="24"/>
              <w:lang w:eastAsia="lt-LT"/>
            </w:rPr>
          </w:pPr>
          <w:r>
            <w:rPr>
              <w:szCs w:val="24"/>
              <w:lang w:eastAsia="lt-LT"/>
            </w:rPr>
            <w:t xml:space="preserve">ir </w:t>
          </w:r>
          <w:r>
            <w:rPr>
              <w:b/>
              <w:bCs/>
              <w:szCs w:val="24"/>
              <w:lang w:eastAsia="lt-LT"/>
            </w:rPr>
            <w:t>patvirtinu</w:t>
          </w:r>
          <w:r>
            <w:rPr>
              <w:szCs w:val="24"/>
              <w:lang w:eastAsia="lt-LT"/>
            </w:rPr>
            <w:t>, kad:</w:t>
          </w:r>
        </w:p>
        <w:p>
          <w:pPr>
            <w:ind w:firstLine="567"/>
            <w:jc w:val="both"/>
            <w:rPr>
              <w:szCs w:val="24"/>
              <w:lang w:eastAsia="lt-LT"/>
            </w:rPr>
          </w:pPr>
          <w:r>
            <w:rPr>
              <w:szCs w:val="24"/>
              <w:lang w:eastAsia="lt-LT"/>
            </w:rPr>
            <w:t>1. man išaiškinta, jog konfidencialią informaciją sudaro visa su Komisijos veikla susijusi informacija, išskyrus tą, kuri yra skelbiama viešai;</w:t>
          </w:r>
        </w:p>
        <w:p>
          <w:pPr>
            <w:ind w:firstLine="567"/>
            <w:jc w:val="both"/>
            <w:rPr>
              <w:szCs w:val="24"/>
              <w:lang w:eastAsia="lt-LT"/>
            </w:rPr>
          </w:pPr>
          <w:r>
            <w:rPr>
              <w:szCs w:val="24"/>
              <w:lang w:eastAsia="lt-LT"/>
            </w:rPr>
            <w:t>2. esu įspėtas (-a), jog pažeidęs (-usi) šį pasižadėjimą atsakysiu Lietuvos Respublikos teisės aktų nustatyta tvarka.</w:t>
          </w:r>
        </w:p>
        <w:p>
          <w:pPr>
            <w:ind w:firstLine="62"/>
            <w:jc w:val="both"/>
            <w:rPr>
              <w:szCs w:val="24"/>
              <w:lang w:eastAsia="lt-LT"/>
            </w:rPr>
          </w:pPr>
        </w:p>
        <w:p>
          <w:pPr>
            <w:ind w:firstLine="62"/>
            <w:jc w:val="both"/>
            <w:rPr>
              <w:szCs w:val="24"/>
              <w:lang w:eastAsia="lt-LT"/>
            </w:rPr>
          </w:pPr>
        </w:p>
        <w:p>
          <w:pPr>
            <w:ind w:firstLine="62"/>
            <w:jc w:val="both"/>
            <w:rPr>
              <w:szCs w:val="24"/>
              <w:lang w:eastAsia="lt-LT"/>
            </w:rPr>
          </w:pPr>
          <w:r>
            <w:rPr>
              <w:szCs w:val="24"/>
            </w:rPr>
            <w:t>(Pareigos Komisijoje)</w:t>
            <w:tab/>
            <w:tab/>
            <w:t>(Parašas)</w:t>
            <w:tab/>
            <w:tab/>
            <w:t>(Vardas ir pavardė)</w:t>
          </w:r>
        </w:p>
        <w:p>
          <w:pPr>
            <w:ind w:firstLine="62"/>
            <w:jc w:val="both"/>
            <w:rPr>
              <w:szCs w:val="24"/>
              <w:lang w:eastAsia="lt-LT"/>
            </w:rPr>
          </w:pPr>
        </w:p>
        <w:p>
          <w:pPr>
            <w:ind w:firstLine="62"/>
            <w:jc w:val="both"/>
            <w:rPr>
              <w:szCs w:val="24"/>
              <w:lang w:eastAsia="lt-LT"/>
            </w:rPr>
          </w:pPr>
        </w:p>
      </w:sdtContent>
    </w:sdt>
    <w:sdt>
      <w:sdtPr>
        <w:alias w:val="2 pr."/>
        <w:tag w:val="part_62cfded056e74eaab364fb96cc98a9ff"/>
        <w:lock w:val="sdtLocked"/>
        <w:richText/>
      </w:sdtPr>
      <w:sdtContent>
        <w:p>
          <w:pPr>
            <w:ind w:left="5387"/>
            <w:jc w:val="both"/>
            <w:sectPr>
              <w:pgSz w:w="11906" w:h="16838" w:code="9"/>
              <w:pgMar w:top="1134" w:right="567" w:bottom="1134" w:left="1701" w:header="567" w:footer="567" w:gutter="0"/>
              <w:pgNumType w:start="1"/>
              <w:cols w:space="1296"/>
              <w:titlePg/>
              <w:docGrid w:linePitch="360"/>
            </w:sectPr>
          </w:pPr>
        </w:p>
        <w:p>
          <w:pPr>
            <w:ind w:left="5387"/>
            <w:jc w:val="both"/>
            <w:rPr>
              <w:bCs/>
              <w:szCs w:val="24"/>
            </w:rPr>
          </w:pPr>
          <w:r>
            <w:rPr>
              <w:bCs/>
              <w:szCs w:val="24"/>
            </w:rPr>
            <w:t xml:space="preserve">Ribinių produktų vertinimo tarpinstitucinės </w:t>
          </w:r>
        </w:p>
        <w:p>
          <w:pPr>
            <w:ind w:left="5387"/>
            <w:jc w:val="both"/>
            <w:rPr>
              <w:color w:val="000000"/>
              <w:szCs w:val="24"/>
              <w:lang w:eastAsia="lt-LT"/>
            </w:rPr>
          </w:pPr>
          <w:r>
            <w:rPr>
              <w:bCs/>
              <w:szCs w:val="24"/>
            </w:rPr>
            <w:t>komisijos</w:t>
          </w:r>
          <w:r>
            <w:rPr>
              <w:b/>
              <w:szCs w:val="24"/>
            </w:rPr>
            <w:t xml:space="preserve"> </w:t>
          </w:r>
          <w:r>
            <w:rPr>
              <w:bCs/>
              <w:szCs w:val="24"/>
            </w:rPr>
            <w:t>darbo</w:t>
          </w:r>
          <w:r>
            <w:rPr>
              <w:b/>
              <w:szCs w:val="24"/>
            </w:rPr>
            <w:t xml:space="preserve"> </w:t>
          </w:r>
          <w:r>
            <w:rPr>
              <w:color w:val="000000"/>
              <w:szCs w:val="24"/>
              <w:lang w:eastAsia="lt-LT"/>
            </w:rPr>
            <w:t>reglamento</w:t>
          </w:r>
        </w:p>
        <w:p>
          <w:pPr>
            <w:ind w:left="5387"/>
            <w:jc w:val="both"/>
            <w:rPr>
              <w:szCs w:val="24"/>
              <w:lang w:eastAsia="lt-LT"/>
            </w:rPr>
          </w:pPr>
          <w:sdt>
            <w:sdtPr>
              <w:alias w:val="Numeris"/>
              <w:tag w:val="nr_62cfded056e74eaab364fb96cc98a9ff"/>
              <w:lock w:val="sdtLocked"/>
              <w:richText/>
            </w:sdtPr>
            <w:sdtContent>
              <w:r>
                <w:rPr>
                  <w:color w:val="000000"/>
                  <w:szCs w:val="24"/>
                  <w:lang w:eastAsia="lt-LT"/>
                </w:rPr>
                <w:t>2</w:t>
              </w:r>
            </w:sdtContent>
          </w:sdt>
          <w:r>
            <w:rPr>
              <w:color w:val="000000"/>
              <w:szCs w:val="24"/>
              <w:lang w:eastAsia="lt-LT"/>
            </w:rPr>
            <w:t xml:space="preserve"> </w:t>
          </w:r>
          <w:r>
            <w:rPr>
              <w:szCs w:val="24"/>
              <w:lang w:eastAsia="lt-LT"/>
            </w:rPr>
            <w:t xml:space="preserve">priedas </w:t>
          </w:r>
        </w:p>
        <w:p>
          <w:pPr>
            <w:suppressAutoHyphens/>
            <w:jc w:val="center"/>
            <w:rPr>
              <w:b/>
              <w:szCs w:val="24"/>
            </w:rPr>
          </w:pPr>
        </w:p>
        <w:p>
          <w:pPr>
            <w:suppressAutoHyphens/>
            <w:jc w:val="center"/>
            <w:rPr>
              <w:b/>
              <w:szCs w:val="24"/>
            </w:rPr>
          </w:pPr>
        </w:p>
        <w:p>
          <w:pPr>
            <w:suppressAutoHyphens/>
            <w:jc w:val="center"/>
            <w:rPr>
              <w:szCs w:val="24"/>
            </w:rPr>
          </w:pPr>
          <w:sdt>
            <w:sdtPr>
              <w:alias w:val="Pavadinimas"/>
              <w:tag w:val="title_62cfded056e74eaab364fb96cc98a9ff"/>
              <w:lock w:val="sdtLocked"/>
              <w:richText/>
            </w:sdtPr>
            <w:sdtContent>
              <w:r>
                <w:rPr>
                  <w:b/>
                  <w:szCs w:val="24"/>
                </w:rPr>
                <w:t>(R</w:t>
              </w:r>
              <w:r>
                <w:rPr>
                  <w:b/>
                  <w:bCs/>
                  <w:szCs w:val="24"/>
                </w:rPr>
                <w:t xml:space="preserve">ibinių produktų vertinimo tarpinstitucinės komisijos siūlymo </w:t>
              </w:r>
              <w:r>
                <w:rPr>
                  <w:b/>
                  <w:szCs w:val="24"/>
                </w:rPr>
                <w:t>forma)</w:t>
              </w:r>
            </w:sdtContent>
          </w:sdt>
        </w:p>
        <w:p>
          <w:pPr>
            <w:suppressAutoHyphens/>
            <w:rPr>
              <w:szCs w:val="24"/>
            </w:rPr>
          </w:pPr>
        </w:p>
        <w:p>
          <w:pPr>
            <w:suppressAutoHyphens/>
            <w:rPr>
              <w:szCs w:val="24"/>
            </w:rPr>
          </w:pPr>
        </w:p>
        <w:p>
          <w:pPr>
            <w:suppressAutoHyphens/>
            <w:jc w:val="center"/>
            <w:rPr>
              <w:b/>
              <w:bCs/>
              <w:szCs w:val="24"/>
            </w:rPr>
          </w:pPr>
          <w:r>
            <w:rPr>
              <w:b/>
              <w:bCs/>
              <w:szCs w:val="24"/>
            </w:rPr>
            <w:t xml:space="preserve">RIBINIŲ PRODUKTŲ VERTINIMO TARPINSTITUCINĖS KOMISIJOS </w:t>
          </w:r>
        </w:p>
        <w:p>
          <w:pPr>
            <w:suppressAutoHyphens/>
            <w:jc w:val="center"/>
            <w:rPr>
              <w:b/>
              <w:caps/>
              <w:szCs w:val="24"/>
            </w:rPr>
          </w:pPr>
          <w:r>
            <w:rPr>
              <w:b/>
              <w:bCs/>
              <w:szCs w:val="24"/>
            </w:rPr>
            <w:t>SIŪLYMAS</w:t>
          </w:r>
        </w:p>
        <w:p>
          <w:pPr>
            <w:suppressAutoHyphens/>
            <w:rPr>
              <w:szCs w:val="24"/>
            </w:rPr>
          </w:pPr>
        </w:p>
        <w:p>
          <w:pPr>
            <w:jc w:val="center"/>
            <w:rPr>
              <w:color w:val="000000"/>
              <w:szCs w:val="24"/>
              <w:lang w:eastAsia="lt-LT"/>
            </w:rPr>
          </w:pPr>
          <w:r>
            <w:rPr>
              <w:color w:val="000000"/>
              <w:szCs w:val="24"/>
              <w:lang w:eastAsia="lt-LT"/>
            </w:rPr>
            <w:t>(Dokumento data) (Dokumento registracijos numeris)</w:t>
          </w: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r>
            <w:rPr>
              <w:szCs w:val="24"/>
            </w:rPr>
            <w:t>Produkto pavadinimas</w:t>
            <w:tab/>
          </w: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r>
            <w:rPr>
              <w:szCs w:val="24"/>
            </w:rPr>
            <w:t xml:space="preserve">Produkto gamintojas, platintojas ar importuotojas </w:t>
            <w:tab/>
          </w:r>
        </w:p>
        <w:p>
          <w:pPr>
            <w:tabs>
              <w:tab w:val="left" w:pos="2640"/>
            </w:tabs>
            <w:suppressAutoHyphens/>
            <w:ind w:firstLine="6174"/>
            <w:jc w:val="both"/>
            <w:rPr>
              <w:szCs w:val="24"/>
            </w:rPr>
          </w:pPr>
          <w:r>
            <w:rPr>
              <w:szCs w:val="24"/>
            </w:rPr>
            <w:t>(nurodomas pavadinimas ir adresas)</w:t>
          </w:r>
        </w:p>
        <w:p>
          <w:pPr>
            <w:tabs>
              <w:tab w:val="right" w:leader="underscore" w:pos="9638"/>
            </w:tabs>
            <w:suppressAutoHyphens/>
            <w:jc w:val="both"/>
            <w:rPr>
              <w:szCs w:val="24"/>
            </w:rPr>
          </w:pPr>
          <w:r>
            <w:rPr>
              <w:szCs w:val="24"/>
            </w:rPr>
            <w:tab/>
          </w:r>
        </w:p>
        <w:p>
          <w:pPr>
            <w:suppressAutoHyphens/>
            <w:ind w:firstLine="709"/>
            <w:jc w:val="both"/>
            <w:rPr>
              <w:szCs w:val="24"/>
            </w:rPr>
          </w:pPr>
        </w:p>
        <w:p>
          <w:pPr>
            <w:tabs>
              <w:tab w:val="right" w:leader="underscore" w:pos="9639"/>
            </w:tabs>
            <w:suppressAutoHyphens/>
            <w:ind w:firstLine="709"/>
            <w:rPr>
              <w:bCs/>
              <w:szCs w:val="24"/>
            </w:rPr>
          </w:pPr>
          <w:r>
            <w:rPr>
              <w:bCs/>
              <w:szCs w:val="24"/>
            </w:rPr>
            <w:t>Ribinių produktų vertinimo tarpinstitucinės komisijos siūlymas</w:t>
            <w:tab/>
          </w:r>
        </w:p>
        <w:p>
          <w:pPr>
            <w:tabs>
              <w:tab w:val="right" w:leader="underscore" w:pos="9639"/>
            </w:tabs>
            <w:suppressAutoHyphens/>
            <w:jc w:val="both"/>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________________________________________________________________________________</w:t>
          </w:r>
        </w:p>
        <w:p>
          <w:pPr>
            <w:tabs>
              <w:tab w:val="right" w:leader="underscore" w:pos="9638"/>
            </w:tabs>
            <w:suppressAutoHyphens/>
            <w:jc w:val="both"/>
            <w:rPr>
              <w:szCs w:val="24"/>
            </w:rPr>
          </w:pPr>
        </w:p>
        <w:p>
          <w:pPr>
            <w:tabs>
              <w:tab w:val="right" w:leader="underscore" w:pos="9638"/>
            </w:tabs>
            <w:suppressAutoHyphens/>
            <w:jc w:val="both"/>
            <w:rPr>
              <w:szCs w:val="24"/>
            </w:rPr>
          </w:pPr>
        </w:p>
        <w:p>
          <w:pPr>
            <w:tabs>
              <w:tab w:val="left" w:pos="6120"/>
              <w:tab w:val="left" w:pos="8040"/>
            </w:tabs>
            <w:suppressAutoHyphens/>
            <w:rPr>
              <w:bCs/>
              <w:szCs w:val="24"/>
            </w:rPr>
          </w:pPr>
          <w:r>
            <w:rPr>
              <w:bCs/>
              <w:szCs w:val="24"/>
            </w:rPr>
            <w:t xml:space="preserve">Ribinių produktų vertinimo                                        </w:t>
          </w:r>
        </w:p>
        <w:p>
          <w:pPr>
            <w:tabs>
              <w:tab w:val="left" w:pos="-142"/>
              <w:tab w:val="left" w:pos="6120"/>
              <w:tab w:val="left" w:pos="7320"/>
            </w:tabs>
            <w:suppressAutoHyphens/>
            <w:rPr>
              <w:szCs w:val="24"/>
            </w:rPr>
          </w:pPr>
          <w:r>
            <w:rPr>
              <w:bCs/>
              <w:szCs w:val="24"/>
            </w:rPr>
            <w:t xml:space="preserve">tarpinstitucinės komisijos </w:t>
          </w:r>
          <w:r>
            <w:rPr>
              <w:szCs w:val="24"/>
            </w:rPr>
            <w:t xml:space="preserve">pirmininkas                         (Parašas)</w:t>
            <w:tab/>
            <w:t xml:space="preserve">                         (Vardas ir pavardė)</w:t>
          </w:r>
        </w:p>
        <w:p>
          <w:pPr>
            <w:jc w:val="center"/>
            <w:rPr>
              <w:szCs w:val="24"/>
            </w:rPr>
          </w:pPr>
        </w:p>
        <w:p>
          <w:pPr>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d19350f36211eb9f09e7df20500045">
            <w:r w:rsidRPr="00532B9F">
              <w:rPr>
                <w:rFonts w:ascii="Times New Roman" w:eastAsia="MS Mincho" w:hAnsi="Times New Roman"/>
                <w:sz w:val="20"/>
                <w:iCs/>
                <w:color w:val="0000FF" w:themeColor="hyperlink"/>
                <w:u w:val="single"/>
              </w:rPr>
              <w:t>V-1787</w:t>
            </w:r>
          </w:fldSimple>
          <w:r>
            <w:rPr>
              <w:rFonts w:ascii="Times New Roman" w:eastAsia="MS Mincho" w:hAnsi="Times New Roman"/>
              <w:sz w:val="20"/>
              <w:iCs/>
            </w:rPr>
            <w:t>,
2021-08-02,
paskelbta TAR 2021-08-02, i. k. 2021-16921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altName w:val="Arial"/>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4"/>
  <w:proofState w:spelling="clean" w:grammar="clean"/>
  <w:defaultTabStop w:val="1296"/>
  <w:hyphenationZone w:val="396"/>
  <w:doNotHyphenateCaps/>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A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900215926">
      <w:bodyDiv w:val="1"/>
      <w:marLeft w:val="0"/>
      <w:marRight w:val="0"/>
      <w:marTop w:val="0"/>
      <w:marBottom w:val="0"/>
      <w:divBdr>
        <w:top w:val="none" w:sz="0" w:space="0" w:color="auto"/>
        <w:left w:val="none" w:sz="0" w:space="0" w:color="auto"/>
        <w:bottom w:val="none" w:sz="0" w:space="0" w:color="auto"/>
        <w:right w:val="none" w:sz="0" w:space="0" w:color="auto"/>
      </w:divBdr>
      <w:divsChild>
        <w:div w:id="2396014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image" Target="media/image1.wmf"/>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4ab342995b24d65a9ad311970a4d428" PartId="f7fe5ac428c444819bcf25154da16634">
    <Part Type="preambule" DocPartId="dbc7a4c1963b4f3a821a0aa64630fec8" PartId="c302d3af7e3a4d9dbb41fb039b86bf9c"/>
    <Part Type="punktas" Nr="1" Abbr="1 p." DocPartId="d92aadf6aa854ec98589a9c4cb5dcf89" PartId="297e0f1d38304d70a2294d5bd664ee84"/>
    <Part Type="punktas" Nr="2" Abbr="2 p." DocPartId="6dceb6919a8f4af1b3faf5f075c3a72d" PartId="66c48e11ccf74832a30e942ba81be6dd"/>
    <Part Type="punktas" Nr="3" Abbr="3 p." DocPartId="7e7b2863ca914692a6155a4a33d85c7a" PartId="d1c3adf683aa4b3aae8de644949f1c71">
      <Part Type="papunktis" Nr="3.1" Abbr="3.1 pp." DocPartId="c5b027fa0d444561bbf0580a6efa884a" PartId="1d66a84f381c424c99fc056ab3b57c3e"/>
      <Part Type="papunktis" Nr="3.2" Abbr="3.2 pp." DocPartId="ed0f29c64bcc440ebad41e6682f30c26" PartId="03303f540e324771812b37849a4b6e7c"/>
    </Part>
    <Part Type="signatura" DocPartId="f7d7f452ba1d4b199de9bcb4b6d191aa" PartId="3280685de8b34be8bebe71d72a34bb03"/>
  </Part>
  <Part Type="patvirtinta" Title="RIBINIŲ PRODUKTŲ VERTINIMO TARPINSTITUCINĖS KOMISIJOS DARBO REGLAMENTAS" DocPartId="eaa662e34dca4c89bc4847a29a9b5c0c" PartId="c7c11b73447843608231985a004b3ece">
    <Part Type="skyrius" Nr="1" Title="BENDROSIOS NUOSTATOS" DocPartId="d3c706a92acb4c678c8b5c411d51a656" PartId="98d7db9a49d44ea5806a1817b0201448">
      <Part Type="punktas" Nr="1" Abbr="1 p." DocPartId="6a2361f7b0144a6191a5d6e7eb6d32d0" PartId="1d65e3d0685d4a5582eec508145c669a"/>
      <Part Type="punktas" Nr="2" Abbr="2 p." DocPartId="aeac2e0c40f348ebb30b0fe05904fba5" PartId="d516275045954db5af69fc511dee8731"/>
      <Part Type="punktas" Nr="3" Abbr="3 p." DocPartId="fd65e44f90504b3d974d84fbe11bffb6" PartId="eeca394d0729418886331eac0d1972d6"/>
      <Part Type="punktas" Nr="4" Abbr="4 p." DocPartId="966dde021d034a288ef21bf5cd7affdc" PartId="c84c516ee3bb461bb9a57dc3b885b356"/>
      <Part Type="punktas" Nr="5" Abbr="5 p." DocPartId="ade1c538b5c7466b977cc0bdef6cd372" PartId="43da70a11a56484daf5cb5db3abc9575"/>
      <Part Type="punktas" Nr="6" Abbr="6 p." DocPartId="b2c018476daa4c3f89416ae739a413b7" PartId="cf5b9d6889f0498e9229ffa37edebb5c"/>
      <Part Type="punktas" Nr="7" Abbr="7 p." DocPartId="ac027378bdf64ac9a9f3e9e0e1eb11a6" PartId="d56804b7bd684f15b85444a7ed09c885"/>
    </Part>
    <Part Type="skyrius" Nr="2" Title="KOMISIJOS FUNKCIJOS" DocPartId="257328bc50df406b979f889977912ed4" PartId="b65c2238216e47229ab6bec9ebf6b362">
      <Part Type="punktas" Nr="8" Abbr="8 p." DocPartId="4d266a8bef4d4dcaa95a8773ea20c390" PartId="d393156d1af94bb5b0ce4c199d083836">
        <Part Type="papunktis" Nr="8.1" Abbr="8.1 pp." DocPartId="fc1a2d99a87e4dab911d5aa3378b1122" PartId="bd6156da3dd64079a7946be6126cb075"/>
        <Part Type="papunktis" Nr="8.2" Abbr="8.2 pp." DocPartId="7348cc69aae948869eeebf8dca8f7ea4" PartId="060efe92f2c84b71bbc81ec37706c4d0"/>
      </Part>
      <Part Type="punktas" Nr="9" Abbr="9 p." DocPartId="779dcea1ba6443c0bf29480a03d095ca" PartId="2fcff22e82ef410c8e3e1f7676a575bc">
        <Part Type="papunktis" Nr="9.1" Abbr="9.1 pp." DocPartId="c8e10f7a363c417eba0941a02638dba7" PartId="3772ef39db114152b172f8cdd2b89a8b"/>
        <Part Type="papunktis" Nr="9.2" Abbr="9.2 pp." DocPartId="5f1e34a99ce84f43bc8035b19e4c18d8" PartId="0e442d8c42694e03971a94203d56e2a8"/>
        <Part Type="papunktis" Nr="9.3" Abbr="9.3 pp." DocPartId="ffd42539866c4c40b916fc768aea83ff" PartId="75ad2640b52940daacefcedb86996dcf"/>
      </Part>
    </Part>
    <Part Type="skyrius" Nr="3" Title="KOMISIJOS TEISĖS IR PAREIGOS" DocPartId="5c973cb7ae9b4ab19758546f382b7561" PartId="b0dc47872d5042b191d97eb0e374bf4e">
      <Part Type="punktas" Nr="10" Abbr="10 p." DocPartId="e6746d71ebc241e5b76c293ea645f758" PartId="399f7875c98b41579c51696870518911">
        <Part Type="papunktis" Nr="10.1" Abbr="10.1 pp." DocPartId="e1be822bfb51443297fd05e06133b5e1" PartId="7b7ded2c491f4a24a00bc4387f964466"/>
        <Part Type="papunktis" Nr="10.2" Abbr="10.2 pp." DocPartId="464ef410ef884de5bb05d0f2d599a6b1" PartId="f3f24cc86aa748bab7743c76a4638168"/>
      </Part>
      <Part Type="punktas" Nr="11" Abbr="11 p." DocPartId="39d94af4d4b5400b9ed738351d7914ec" PartId="e738040c725248fdb82e9b0171ce8e3c"/>
      <Part Type="punktas" Nr="12" Abbr="12 p." DocPartId="600c1b5c3d42435b9bf26639d1c69879" PartId="d9f517aededc483b9aadd0d21f2c7176"/>
    </Part>
    <Part Type="skyrius" Nr="4" Title="KOMISIJOS DARBO ORGANIZAVIMAS" DocPartId="f63a109f15f243498a08a91efbc47a33" PartId="caaa7d97e8384719a2f70014396e405d">
      <Part Type="punktas" Nr="13" Abbr="13 p." DocPartId="31d5be6cf5e1499d865054b24fe46e5e" PartId="7d6ff23dfe76495caee443e8475337cd"/>
      <Part Type="punktas" Nr="14" Abbr="14 p." DocPartId="bfd2c571782f4d6abbf4a005c24fe6ce" PartId="070e6064756740ce9703e5c28170511a"/>
      <Part Type="punktas" Nr="15" Abbr="15 p." DocPartId="1501d206659b415fa89da52642b956cc" PartId="1aaf2b18c7a6468d88a9e81323fbf847"/>
      <Part Type="punktas" Nr="16" Abbr="16 p." DocPartId="3f8d5b51b2fe49208ed1b15392ee4969" PartId="96cbcd4eb7154f5f96c2f7d6d450f4aa"/>
      <Part Type="punktas" Nr="17" Abbr="17 p." DocPartId="e91b43eb0f92441ba8cc1a4888e30805" PartId="bb9e751c60354f12846ed6efcf6d768e"/>
      <Part Type="punktas" Nr="18" Abbr="18 p." DocPartId="fd6787e4597143c9bf846029cb7c4e3e" PartId="edf476ed06814b59849e1c14d74ced4e"/>
      <Part Type="punktas" Nr="19" Abbr="19 p." DocPartId="8bdaf8ca5aef4b9b9053d76b068a1c1d" PartId="7a1c8131b93745ce863aab0bdbf59302"/>
      <Part Type="punktas" Nr="20" Abbr="20 p." DocPartId="73c8e0a9ec9d46338408d37658557f45" PartId="8090c304a7b1482ca83649e6693f18db"/>
      <Part Type="punktas" Nr="21" Abbr="21 p." DocPartId="d6d5b1c468104cfbbe156a27148d1056" PartId="ff6275ec4d6a417e8cb77f448467ee1e"/>
      <Part Type="punktas" Nr="22" Abbr="22 p." DocPartId="09083d00923546fda42dee879070cc6d" PartId="153bea7fce6e476ca22d02be7d558c73"/>
      <Part Type="punktas" Nr="23" Abbr="23 p." DocPartId="384e9e89d2444ea7a4dd4dd6bc7ea33b" PartId="30ddf2c88aa24adbbc0d905ddaa83336"/>
      <Part Type="punktas" Nr="24" Abbr="24 p." DocPartId="697272d867074e92a84427cecfe6fc13" PartId="e78e010d649b40a4a9b8ffdf3dc2237d"/>
      <Part Type="punktas" Nr="25" Abbr="25 p." DocPartId="2bc237bdeabf425290f5c7eeda35048e" PartId="6f7444b71e2c447ba34d152cfeab9a49"/>
      <Part Type="punktas" Nr="26" Abbr="26 p." DocPartId="2a9bccb56a614575a806d3bca456eda9" PartId="d29a746e7d7347d4ac613bf31c404be1"/>
      <Part Type="punktas" Nr="27" Abbr="27 p." DocPartId="4dbb6e9c9d754e63a903adde32fe89fc" PartId="764884c79aa04aea8624fe9d9c166c64"/>
      <Part Type="punktas" Nr="28" Abbr="28 p." DocPartId="9301fc5b0c56436e93bceccde2e15898" PartId="d7cfbcf857364051b6629f25ea594075"/>
    </Part>
    <Part Type="skyrius" Nr="5" Title="BAIGIAMOS NUOSTATOS" DocPartId="0db71a902d894e609c99b81bdcd1e3ea" PartId="45c67523254745a885ba88ed9d043183">
      <Part Type="punktas" Nr="29" Abbr="29 p." DocPartId="7dda3c24acc34081ad6cdf2ac76c55a9" PartId="0feafabdbe504cb699bdd80abf0248e5"/>
      <Part Type="punktas" Nr="30" Abbr="30 p." DocPartId="326c974e60c14326aab21da454f500b0" PartId="3da08199dddd4bc0a946f43b1225af8c"/>
    </Part>
    <Part Type="pabaiga" DocPartId="b7cc90c045cd4acbb4732edfaadf56c5" PartId="0b260a4e6bfd4cb0a292f9e86a79e008"/>
  </Part>
  <Part Type="priedas" Nr="1" Abbr="1 pr." Title="(Ribinių produktų vertinimo tarpinstitucinės komisijos nario, sekretoriaus konfidencialumo pasižadėjimo forma)" DocPartId="3cb623fc450b41858b09bf46be6ef383" PartId="3bd36469061d4e00bb822069702a9041"/>
  <Part Type="priedas" Nr="2" Abbr="2 pr." Title="(Ribinių produktų vertinimo tarpinstitucinės komisijos siūlymo forma)" DocPartId="29d53bc9384c4fb5b6bbf98510a8fbb2" PartId="62cfded056e74eaab364fb96cc98a9ff"/>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280288F-7B57-4F8E-AD03-E1F8C7994FC6}">
  <ds:schemaRefs>
    <ds:schemaRef ds:uri="http://lrs.lt/TAIS/DocParts"/>
  </ds:schemaRefs>
</ds:datastoreItem>
</file>

<file path=customXml/itemProps3.xml><?xml version="1.0" encoding="utf-8"?>
<ds:datastoreItem xmlns:ds="http://schemas.openxmlformats.org/officeDocument/2006/customXml" ds:itemID="{DA1CFAD8-6D6C-4F30-A7E9-7FC179AE009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8</Pages>
  <Words>12973</Words>
  <Characters>7396</Characters>
  <Application>Microsoft Office Word</Application>
  <DocSecurity>0</DocSecurity>
  <Lines>61</Lines>
  <Paragraphs>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20329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2020-11-10T14:57:00Z</dcterms:created>
  <dc:creator>Regina Burbienė</dc:creator>
  <lastModifiedBy>BODIN Aušra</lastModifiedBy>
  <lastPrinted>2020-10-29T06:28:00Z</lastPrinted>
  <dcterms:modified xsi:type="dcterms:W3CDTF">2021-08-03T13:20:00Z</dcterms:modified>
  <revision>6</revision>
</coreProperties>
</file>